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376B863C-DC8F-4A9F-A2AE-3B6095E58DFB" style="width:450.4pt;height:320.65pt">
            <v:imagedata r:id="rId9" o:title=""/>
          </v:shape>
        </w:pict>
      </w:r>
    </w:p>
    <w:bookmarkEnd w:id="0"/>
    <w:p>
      <w:pPr>
        <w:rPr>
          <w:noProof/>
          <w:sz w:val="24"/>
          <w:szCs w:val="2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b/>
          <w:noProof/>
          <w:sz w:val="24"/>
          <w:szCs w:val="24"/>
        </w:rPr>
        <w:lastRenderedPageBreak/>
        <w:t xml:space="preserve">It-titjib tal-proċess tal-adeżjoni – Perspettiva tal-UE kredibbli għall-Balkani tal-Punent  </w:t>
      </w:r>
    </w:p>
    <w:p>
      <w:pPr>
        <w:spacing w:after="12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Daħla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L-Unjoni Ewropea u l-Istati Membri tagħha, minn żmien is-Summits ta’ Feira u ta’ Tessaloniki fl-2000 u fl-2003 rispettivament, esprimew b’mod konsistenti </w:t>
      </w:r>
      <w:r>
        <w:rPr>
          <w:rFonts w:ascii="Times New Roman" w:hAnsi="Times New Roman"/>
          <w:b/>
          <w:bCs/>
          <w:noProof/>
          <w:sz w:val="24"/>
          <w:szCs w:val="24"/>
        </w:rPr>
        <w:t>l-appoġġ bla tlaqliq tagħhom għall-perspettiva Ewropea tal-Balkani tal-Punent</w:t>
      </w:r>
      <w:r>
        <w:rPr>
          <w:rFonts w:ascii="Times New Roman" w:hAnsi="Times New Roman"/>
          <w:noProof/>
          <w:sz w:val="24"/>
          <w:szCs w:val="24"/>
        </w:rPr>
        <w:t xml:space="preserve">. Il-konklużjonijiet tal-Kunsill, adottati fil-Kunsill tal-Affarijiet Ġenerali f’Ġunju 2019 kienu wkoll affermaw </w:t>
      </w:r>
      <w:r>
        <w:rPr>
          <w:rFonts w:ascii="Times New Roman" w:hAnsi="Times New Roman"/>
          <w:i/>
          <w:iCs/>
          <w:noProof/>
          <w:sz w:val="24"/>
          <w:szCs w:val="24"/>
        </w:rPr>
        <w:t>“</w:t>
      </w:r>
      <w:r>
        <w:rPr>
          <w:rFonts w:ascii="Times New Roman" w:hAnsi="Times New Roman"/>
          <w:b/>
          <w:bCs/>
          <w:i/>
          <w:iCs/>
          <w:noProof/>
          <w:sz w:val="24"/>
          <w:szCs w:val="24"/>
        </w:rPr>
        <w:t>l-impenn tal-Kunsill lejn it-tkabbir</w:t>
      </w:r>
      <w:r>
        <w:rPr>
          <w:rFonts w:ascii="Times New Roman" w:hAnsi="Times New Roman"/>
          <w:i/>
          <w:iCs/>
          <w:noProof/>
          <w:sz w:val="24"/>
          <w:szCs w:val="24"/>
        </w:rPr>
        <w:t>, li jibqa’ politika ewlenija tal-Unjoni Ewropea, f’konformità mal-kunsens imġedded dwar it-tkabbir approvat mill-Kunsill Ewropew fl-14 u l-15 ta’ Diċembru 2006 u l-konklużjonijiet sussegwenti tal-Kunsill.”</w:t>
      </w:r>
      <w:r>
        <w:rPr>
          <w:rFonts w:ascii="Times New Roman" w:hAnsi="Times New Roman"/>
          <w:iCs/>
          <w:noProof/>
          <w:sz w:val="24"/>
          <w:szCs w:val="24"/>
        </w:rPr>
        <w:t xml:space="preserve"> Fil-Kunsill ta’ Novembru 2019, kien hemm qbil komuni dwar l-utilità li tiġi eżaminata l-effettività tal-proċess tan-negozjati tal-adeżjoni.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Din </w:t>
      </w:r>
      <w:r>
        <w:rPr>
          <w:rFonts w:ascii="Times New Roman" w:hAnsi="Times New Roman"/>
          <w:b/>
          <w:noProof/>
          <w:sz w:val="24"/>
          <w:szCs w:val="24"/>
        </w:rPr>
        <w:t>il-prospettiva soda, bbażata fuq il-mertu, ta’ adeżjoni sħiħa mal-UE</w:t>
      </w:r>
      <w:r>
        <w:rPr>
          <w:rFonts w:ascii="Times New Roman" w:hAnsi="Times New Roman"/>
          <w:noProof/>
          <w:sz w:val="24"/>
          <w:szCs w:val="24"/>
        </w:rPr>
        <w:t xml:space="preserve"> għall-Balkani tal-Punent hija fl-interess politiku, ta’ sigurtà u ekonomiku tal-Unjoni stess. Fi żminijiet ta’ sfidi u diviżjonijiet dejjem jiżdiedu madwar id-dinja, hija tibqa’, aktar minn qatt qabel, </w:t>
      </w:r>
      <w:r>
        <w:rPr>
          <w:rFonts w:ascii="Times New Roman" w:hAnsi="Times New Roman"/>
          <w:b/>
          <w:noProof/>
          <w:sz w:val="24"/>
          <w:szCs w:val="24"/>
        </w:rPr>
        <w:t>investiment ġeostrateġiku</w:t>
      </w:r>
      <w:r>
        <w:rPr>
          <w:rFonts w:ascii="Times New Roman" w:hAnsi="Times New Roman"/>
          <w:noProof/>
          <w:sz w:val="24"/>
          <w:szCs w:val="24"/>
        </w:rPr>
        <w:t xml:space="preserve"> f’Ewropa stabbli, qawwija u magħquda. Perspettiva kredibbli ta’ adeżjoni hija l-inċentiv ċentrali u l-mutur tat-trasformazzjoni fir-reġjun, u b’hekk jittejbu s-sigurta u l-prosperità tagħna. Hija għodda kruċjali biex jiġu promossi d-demokrazija, l-istat tad-dritt u r-rispett għad-drittijiet fundmentali, li huma wkoll il-muturi ewlenin tal-integrazzjoni ekonomika u l-ankra essenzjali għat-tkattir tar-rikonċiljazzjoni u l-istabbiltà fir-reġjun. Iż-żamma u t-titjib ta’ din il-politika hija b’hekk indispensabbli għall-</w:t>
      </w:r>
      <w:r>
        <w:rPr>
          <w:rFonts w:ascii="Times New Roman" w:hAnsi="Times New Roman"/>
          <w:b/>
          <w:noProof/>
          <w:sz w:val="24"/>
          <w:szCs w:val="24"/>
        </w:rPr>
        <w:t>kredibbiltà tal-UE, għas-suċċess tal-UE u għall-influwenza tal-UE tar-reġjun u lil hinn</w:t>
      </w:r>
      <w:r>
        <w:rPr>
          <w:rFonts w:ascii="Times New Roman" w:hAnsi="Times New Roman"/>
          <w:noProof/>
          <w:sz w:val="24"/>
          <w:szCs w:val="24"/>
        </w:rPr>
        <w:t xml:space="preserve"> - speċjalment fi żminijiet ta’ kompetizzjoni ġeopolitika aktar qawwija. 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Madankollu, huwa ċar li </w:t>
      </w:r>
      <w:r>
        <w:rPr>
          <w:rFonts w:ascii="Times New Roman" w:hAnsi="Times New Roman"/>
          <w:b/>
          <w:bCs/>
          <w:noProof/>
          <w:sz w:val="24"/>
          <w:szCs w:val="24"/>
        </w:rPr>
        <w:t>l-effettività tal-proċess kumplessiv ta’ adeżjoni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u tal-implimentazzjoni tiegħu trid tkompli tittejjeb</w:t>
      </w:r>
      <w:r>
        <w:rPr>
          <w:rFonts w:ascii="Times New Roman" w:hAnsi="Times New Roman"/>
          <w:noProof/>
          <w:sz w:val="24"/>
          <w:szCs w:val="24"/>
        </w:rPr>
        <w:t xml:space="preserve">. Filwaqt li d-direzzjoni strateġika tal-politika għadha valida daqs qatt qabel, hemm bżonn li din issir aktar dinamika fil-konkret. 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Minkejja riformi waħda wara l-oħra, bħal ma hu l-approċċ il-ġdid dwar l-istat tad-dritt, l-attenzjoni fuq il-prinċipji fundamentali u t-titjib taħt l-Istrateġija tal-Balkani tal-Punent tal-Kummissjoni tal-2018</w:t>
      </w:r>
      <w:r>
        <w:rPr>
          <w:rStyle w:val="FootnoteReference"/>
          <w:noProof/>
          <w:sz w:val="24"/>
          <w:szCs w:val="24"/>
        </w:rPr>
        <w:footnoteReference w:id="2"/>
      </w:r>
      <w:r>
        <w:rPr>
          <w:rFonts w:ascii="Times New Roman" w:hAnsi="Times New Roman"/>
          <w:noProof/>
          <w:sz w:val="24"/>
          <w:szCs w:val="24"/>
        </w:rPr>
        <w:t>, hemm bżonn li l-proċess jingħata aktar tagħmir biex jilqa’ għad-</w:t>
      </w:r>
      <w:r>
        <w:rPr>
          <w:rFonts w:ascii="Times New Roman" w:hAnsi="Times New Roman"/>
          <w:b/>
          <w:noProof/>
          <w:sz w:val="24"/>
          <w:szCs w:val="24"/>
        </w:rPr>
        <w:t>dgħjufijiet strutturali</w:t>
      </w:r>
      <w:r>
        <w:rPr>
          <w:rFonts w:ascii="Times New Roman" w:hAnsi="Times New Roman"/>
          <w:noProof/>
          <w:sz w:val="24"/>
          <w:szCs w:val="24"/>
        </w:rPr>
        <w:t xml:space="preserve"> fil-pajjiżi, b’mod partikolari fil-qasam tal-prinċipji fundamentali. 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Il-bini ta’ aktar fiduċja fost dawk kollha involuti</w:t>
      </w:r>
      <w:r>
        <w:rPr>
          <w:rFonts w:ascii="Times New Roman" w:hAnsi="Times New Roman"/>
          <w:noProof/>
          <w:sz w:val="24"/>
          <w:szCs w:val="24"/>
        </w:rPr>
        <w:t xml:space="preserve">, u t-titjib </w:t>
      </w:r>
      <w:r>
        <w:rPr>
          <w:rFonts w:ascii="Times New Roman" w:hAnsi="Times New Roman"/>
          <w:b/>
          <w:noProof/>
          <w:sz w:val="24"/>
          <w:szCs w:val="24"/>
        </w:rPr>
        <w:t>tal-proċess tal-adeżjoni u biex dan isir aktar effettiv</w:t>
      </w:r>
      <w:r>
        <w:rPr>
          <w:rFonts w:ascii="Times New Roman" w:hAnsi="Times New Roman"/>
          <w:noProof/>
          <w:sz w:val="24"/>
          <w:szCs w:val="24"/>
        </w:rPr>
        <w:t xml:space="preserve"> huma kwistjonijiet ta’ importanza mill-akbar.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Hemm bżonn li jsir</w:t>
      </w:r>
      <w:r>
        <w:rPr>
          <w:rFonts w:ascii="Times New Roman" w:hAnsi="Times New Roman"/>
          <w:b/>
          <w:noProof/>
          <w:sz w:val="24"/>
          <w:szCs w:val="24"/>
        </w:rPr>
        <w:t xml:space="preserve"> aktar prevedibbli, aktar kredibbli</w:t>
      </w:r>
      <w:r>
        <w:rPr>
          <w:rFonts w:ascii="Times New Roman" w:hAnsi="Times New Roman"/>
          <w:noProof/>
          <w:sz w:val="24"/>
          <w:szCs w:val="24"/>
        </w:rPr>
        <w:t xml:space="preserve"> - ibbażat fuq kriterji oġġettivi u kundizzjonalità pożittiva u negattiva aktar rigoruża, kif ukoll riversibbiltà - </w:t>
      </w:r>
      <w:r>
        <w:rPr>
          <w:rFonts w:ascii="Times New Roman" w:hAnsi="Times New Roman"/>
          <w:b/>
          <w:noProof/>
          <w:sz w:val="24"/>
          <w:szCs w:val="24"/>
        </w:rPr>
        <w:t>aktar dinamiku u suġġett għal direzzjoni politika aktar qawwija</w:t>
      </w:r>
      <w:r>
        <w:rPr>
          <w:rFonts w:ascii="Times New Roman" w:hAnsi="Times New Roman"/>
          <w:noProof/>
          <w:sz w:val="24"/>
          <w:szCs w:val="24"/>
        </w:rPr>
        <w:t>.</w:t>
      </w:r>
    </w:p>
    <w:p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Din il-Komunikazzjoni tippreżenta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</w:rPr>
        <w:t>l-proposti konkreti</w:t>
      </w:r>
      <w:r>
        <w:rPr>
          <w:rFonts w:ascii="Times New Roman" w:hAnsi="Times New Roman"/>
          <w:b/>
          <w:noProof/>
          <w:sz w:val="24"/>
          <w:szCs w:val="24"/>
        </w:rPr>
        <w:t xml:space="preserve"> tal-Kummissjoni</w:t>
      </w:r>
      <w:r>
        <w:rPr>
          <w:rFonts w:ascii="Times New Roman" w:hAnsi="Times New Roman"/>
          <w:noProof/>
          <w:sz w:val="24"/>
          <w:szCs w:val="24"/>
        </w:rPr>
        <w:t xml:space="preserve"> għat-tisħiħ tal-proċess kollu tal-adeżjoni. L-għan kumplessiv huwa li jitjiebu l-kredibbiltà u l-fiduċja fiż-żewġ naħat u li jinkisbu riżultati aħjar fil-konkret. Il-bidliet proposti jistgħu jitwettqu fi ħdan l-oqsfa ta’ negozjar eżistenti, li jiżgura kundizzjonijiet ekwi fir-reġjun. Dan ifisser li l-oqsfa tan-negozjar għas-Serbja u l-Montenegro mhux se jiġu emendati iżda l-bidliet proposti jkunu jistgħu jiġu akkomodati fi ħdan l-oqsfa eżistenti bi ftehim ma’ dawn iż-żewġ pajjiżi.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Objettiv ċentrali tal-impenn tal-Unjoni Ewropea mal-Balkani tal-Punent huwa biex dawn jitħejjew biex iwettqu r-rekwiżiti kollha tal-adeżjoni. Dan jinkludi l-għoti lilhom ta’ appoġġ għar-</w:t>
      </w:r>
      <w:r>
        <w:rPr>
          <w:rFonts w:ascii="Times New Roman" w:hAnsi="Times New Roman"/>
          <w:b/>
          <w:noProof/>
          <w:sz w:val="24"/>
          <w:szCs w:val="24"/>
        </w:rPr>
        <w:t>riformi fundamentali fid-demokrazija, l-istat tad-dritt u l-ekonomija</w:t>
      </w:r>
      <w:r>
        <w:rPr>
          <w:rFonts w:ascii="Times New Roman" w:hAnsi="Times New Roman"/>
          <w:noProof/>
          <w:sz w:val="24"/>
          <w:szCs w:val="24"/>
        </w:rPr>
        <w:t xml:space="preserve">, kif ukoll fl-allinjament tagħhom mal-valuri ċentrali Ewropej. Dan, imbagħad, iwassal biex jisseddqu </w:t>
      </w:r>
      <w:r>
        <w:rPr>
          <w:rFonts w:ascii="Times New Roman" w:hAnsi="Times New Roman"/>
          <w:b/>
          <w:bCs/>
          <w:noProof/>
          <w:sz w:val="24"/>
          <w:szCs w:val="24"/>
        </w:rPr>
        <w:t>tkabbir ekonomiku u konverġenża soċjali</w:t>
      </w:r>
      <w:r>
        <w:rPr>
          <w:rFonts w:ascii="Times New Roman" w:hAnsi="Times New Roman"/>
          <w:noProof/>
          <w:sz w:val="24"/>
          <w:szCs w:val="24"/>
        </w:rPr>
        <w:t xml:space="preserve"> qawwija u aċċellerati. </w:t>
      </w:r>
    </w:p>
    <w:p>
      <w:pPr>
        <w:pStyle w:val="Briefingtext"/>
        <w:spacing w:after="120"/>
        <w:rPr>
          <w:rFonts w:ascii="Times New Roman" w:eastAsia="Calibri" w:hAnsi="Times New Roman" w:cs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Aktar minn hekk, biex il-proċess tal-adeżjoni jsir aktar effettiv, se tkun strumentali </w:t>
      </w:r>
      <w:r>
        <w:rPr>
          <w:rFonts w:ascii="Times New Roman" w:hAnsi="Times New Roman"/>
          <w:b/>
          <w:bCs/>
          <w:noProof/>
          <w:sz w:val="24"/>
        </w:rPr>
        <w:t>l-komunikazzjoni strateġika</w:t>
      </w:r>
      <w:r>
        <w:rPr>
          <w:rFonts w:ascii="Times New Roman" w:hAnsi="Times New Roman"/>
          <w:noProof/>
          <w:sz w:val="24"/>
        </w:rPr>
        <w:t xml:space="preserve">. Fir-reġjun, it-trawwim ta’ għarfien dwar l-opportunitajiet li jġibu magħhom l-integrazzjoni aktar mill-qrib u r-riformi għandu importanza kritika, daqstant ieħor il-ġlieda konta influwenza minn pajjiżi terzi b’intenzjoni qarrieqa. Dan jirrekjedi wkoll sforzi aktar kredibbli mill-pajjiżi nfushom. L-impenn politiku pubbliku tal-awtoritajiet tagħhom lejn l-għan strateġiku tal-adeżjoni mal-UE se jiġi evalwat b’mod aktar ċar fir-rapporti annwali.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Dan l-approċċ ta’ politika b’hekk se jkun il-pedament ta’ </w:t>
      </w:r>
      <w:r>
        <w:rPr>
          <w:rFonts w:ascii="Times New Roman" w:hAnsi="Times New Roman"/>
          <w:b/>
          <w:bCs/>
          <w:noProof/>
          <w:sz w:val="24"/>
          <w:szCs w:val="24"/>
        </w:rPr>
        <w:t>aġenda li tħares ’il quddiem</w:t>
      </w:r>
      <w:r>
        <w:rPr>
          <w:rFonts w:ascii="Times New Roman" w:hAnsi="Times New Roman"/>
          <w:noProof/>
          <w:sz w:val="24"/>
          <w:szCs w:val="24"/>
        </w:rPr>
        <w:t xml:space="preserve">. Din l-aġenda se tagħti sostenn lit-trasformazzjoni tal-Balkani tal-Punent biex isiru ekonomiji tas-suq li jaħdmu tajjeb sabiex ikunu integrati b’mod sħiħ fis-suq uniku tal-UE, għall-ħolqien tal-impjiegi u l-opportunitajiet imprenditorjali, biex titjieb il-klima tan-negozju u tal-investiment, biex jiġi promoss l-istat tad-dritt u biex titwaqqaf l-emoraġija tal-persuni l-aktar kapaċi mir-reġjun. Dawn ir-riformi huma essenzjali biex tingħata spinta lill-ekonomiji tal-Balkani u biex dawn jiġu ankrati fis-swieq tal-UE billi tiġi aċċellerata l-konverġenża neċessarja mal-UE. B’mod partikolari, il-Kummissjoni se tikkunsidra kif iġġib ’il quddiem l-investiment, l-integrazzjoni soċjoekonomika, u l-istat tad-dritt, ittejjeb l-aċċess għas-suq uniku tal-UE, issaħħaħ il-konnettività kif ukoll tħaddan l-opportunitajiet tal-ekonomija ekoloġika. Il-Kummissjoni se  tippreżenta Komunikazzjoni f’dan is-sens qabel is-Summit ta’ Zagreb ta’ Mejju 2020.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L-għoti ta’ aktar saħħa lill-proċess tal-adeżjoni</w:t>
      </w:r>
    </w:p>
    <w:p>
      <w:pPr>
        <w:pStyle w:val="ListParagraph"/>
        <w:spacing w:after="120" w:line="240" w:lineRule="auto"/>
        <w:ind w:left="1080"/>
        <w:contextualSpacing w:val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>
      <w:pPr>
        <w:pStyle w:val="ListParagraph"/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Aktar kredibbiltà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Sabiex il-proċess tal-adeżjoni jkun jista’ jerġa’ jakkwista l-kredibbiltà fuq iż-żewġ naħat u sabiex jasal għall-potenzjal sħiħ tiegħu, hemm bżonn li jkun jistrieħ fuq </w:t>
      </w:r>
      <w:r>
        <w:rPr>
          <w:rFonts w:ascii="Times New Roman" w:hAnsi="Times New Roman"/>
          <w:b/>
          <w:noProof/>
          <w:sz w:val="24"/>
          <w:szCs w:val="24"/>
        </w:rPr>
        <w:t>impenji qawwija ta’ fiduċja, ta’ serħan il-moħħ reċiproka u impenji ċari miż-żewġ naħat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Dan ifisser li l-mexxejja tal-Balkani tal-Punent iridu jiksbu riżultati b’mod aktar kredibbli fejn jidħlu l-impenji tagħhom</w:t>
      </w:r>
      <w:r>
        <w:rPr>
          <w:rFonts w:ascii="Times New Roman" w:hAnsi="Times New Roman"/>
          <w:noProof/>
          <w:sz w:val="24"/>
          <w:szCs w:val="24"/>
        </w:rPr>
        <w:t xml:space="preserve"> biex jimplimentaw ir-riformi fundamentali meħtieġa, kemm jekk ikun dwar l-istat tad-dritt, il-ġlieda kontra l-korruzzjoni, l-ekonomija jew inkella biex jiżguraw il-funzjonament kif suppost tal-istituzzjonijiet demokratiċi u tal-amministrazzjoni pubblika, u l-allinjament fil-politika barranija. L-Istati Membri u ċ-ċittadini tal-UE għandhom preokkupazzjonijiet leġittimi u għandhom bżonn jingħataw serħan il-moħħ dwar ir-rieda politika bla ambigwità tal-pajjiżi, permezz ta’ riformi strutturali u tanġibbli ppruvati. Il-mexxejja tal-Balkani tal-Punent hemm bżonn li jippreżentaw evidenza ta’ aktar sforzi għat-tisħiħ tal-kooperazzjoni reġjonali u tar-relazzjonijiet ta’ viċinat tajjeb biex jinkisbu l-istabbiltà u l-prosperità għaċ-ċittadini tagħhom, filwaqt li l-UE tkun tista’ takkwista l-fiduċja li r-reġjun qiegħed jindirizza l-legat tal-passat tiegħu.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Dan ifisser ukoll li </w:t>
      </w:r>
      <w:r>
        <w:rPr>
          <w:rFonts w:ascii="Times New Roman" w:hAnsi="Times New Roman"/>
          <w:b/>
          <w:noProof/>
          <w:sz w:val="24"/>
          <w:szCs w:val="24"/>
        </w:rPr>
        <w:t>l-Unjoni Ewropea għandha tattwa mingħajr ambigwità l-impenn tagħha għal proċess ibbażat fuq il-mertu</w:t>
      </w:r>
      <w:r>
        <w:rPr>
          <w:rFonts w:ascii="Times New Roman" w:hAnsi="Times New Roman"/>
          <w:noProof/>
          <w:sz w:val="24"/>
          <w:szCs w:val="24"/>
        </w:rPr>
        <w:t xml:space="preserve">. Meta l-pajjiżi sħab jissodisfaw il-kriterji oġġettivi u l-kundizzjonijiet stabbiliti bħala oġġettiv, l-Istati Membri għandhom jaslu biex jaqblu li l-proċess jitmexxa ’il quddiem lejn l-istadju li jkun imiss. Il-partijiet kollha jridu jaraw li ma </w:t>
      </w:r>
      <w:r>
        <w:rPr>
          <w:rFonts w:ascii="Times New Roman" w:hAnsi="Times New Roman"/>
          <w:noProof/>
          <w:sz w:val="24"/>
          <w:szCs w:val="24"/>
        </w:rPr>
        <w:lastRenderedPageBreak/>
        <w:t xml:space="preserve">jużawx b’abbuż kwistjonijiet li jkunu pendenti fil-proċess tal-adeżjoni mal-UE. Fl-istess vena, l-Istati Membri u l-istituzzjonijiet hemm bżonn li jitkellmu b’leħen wieħed fir-reġjun, u jibagħtu sinjali ċari ta’ appoġġ u ta’ inkoraġġiment, u jitkellmu ċar u b’onestà dwar in-nuqqasijiet meta dawn jitfaċċaw. 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Jenħtieġ li tissaħħaħ il-kredibbiltà permezz ta’ </w:t>
      </w:r>
      <w:r>
        <w:rPr>
          <w:rFonts w:ascii="Times New Roman" w:hAnsi="Times New Roman"/>
          <w:b/>
          <w:noProof/>
          <w:sz w:val="24"/>
          <w:szCs w:val="24"/>
        </w:rPr>
        <w:t>attenzjoni anki aktar qawwija fuq ir-riformi fundamentali</w:t>
      </w:r>
      <w:r>
        <w:rPr>
          <w:rFonts w:ascii="Times New Roman" w:hAnsi="Times New Roman"/>
          <w:noProof/>
          <w:sz w:val="24"/>
          <w:szCs w:val="24"/>
        </w:rPr>
        <w:t xml:space="preserve"> li huma essenzjali għas-suċċess fil-perkors lejn l-UE. Dawn il-prinċipji fundamentali se jsiru anki aktar ċentrali fin-negozjati tal-adeżjoni. </w:t>
      </w:r>
      <w:r>
        <w:rPr>
          <w:rFonts w:ascii="Times New Roman" w:hAnsi="Times New Roman"/>
          <w:b/>
          <w:noProof/>
          <w:sz w:val="24"/>
          <w:szCs w:val="24"/>
        </w:rPr>
        <w:t>In-negozjati dwar il-prinċipji fundamentali se jkunu l-ewwel li jinfetħu, u l-aħħar li jingħalqu</w:t>
      </w:r>
      <w:r>
        <w:rPr>
          <w:rFonts w:ascii="Times New Roman" w:hAnsi="Times New Roman"/>
          <w:noProof/>
          <w:sz w:val="24"/>
          <w:szCs w:val="24"/>
        </w:rPr>
        <w:t>, u l-progress dwarhom ikun jistabbilixxi l-pass kumplessiv tan-negozjati. In-negozjati dwar il-prinċipji fundamentali se jkunu ggwidati minn:</w:t>
      </w:r>
    </w:p>
    <w:p>
      <w:pPr>
        <w:widowControl w:val="0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Il-parametru referezjarju tal-ftuħ se ikun jikkonsisti minn</w:t>
      </w:r>
      <w:r>
        <w:rPr>
          <w:rFonts w:ascii="Times New Roman" w:hAnsi="Times New Roman"/>
          <w:b/>
          <w:noProof/>
          <w:sz w:val="24"/>
          <w:szCs w:val="24"/>
        </w:rPr>
        <w:t xml:space="preserve"> pjan direzzjonali dwar il-kapitoli tal-istat tad-dritt</w:t>
      </w:r>
      <w:r>
        <w:rPr>
          <w:rFonts w:ascii="Times New Roman" w:hAnsi="Times New Roman"/>
          <w:noProof/>
          <w:sz w:val="24"/>
          <w:szCs w:val="24"/>
        </w:rPr>
        <w:t xml:space="preserve"> ekwivalenti għall-pjani ta’ azzjoni li kien ikun hemm qabel. Jibqgħu jiġu stabbiliti parametri referenzjarji temporanji. Ma jingħalaq b’mod proviżorju l-ebda kapitolu qabel ma’ jkunu ssodisfati dawn il-parametri referenzjarji.</w:t>
      </w:r>
    </w:p>
    <w:p>
      <w:pPr>
        <w:widowControl w:val="0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Pjan direzzjonali dwar il-funzjonament tal-istituzzjonijiet demokratiċi</w:t>
      </w:r>
      <w:r>
        <w:rPr>
          <w:rFonts w:ascii="Times New Roman" w:hAnsi="Times New Roman"/>
          <w:noProof/>
          <w:sz w:val="24"/>
          <w:szCs w:val="24"/>
        </w:rPr>
        <w:t xml:space="preserve"> u r-riforma fl-amministrazzjoni pubblika.  </w:t>
      </w:r>
    </w:p>
    <w:p>
      <w:pPr>
        <w:widowControl w:val="0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Rabta aktar qawwija mal-proċess tal-programm ta’ riforma ekonomika</w:t>
      </w:r>
      <w:r>
        <w:rPr>
          <w:rFonts w:ascii="Times New Roman" w:hAnsi="Times New Roman"/>
          <w:noProof/>
          <w:sz w:val="24"/>
          <w:szCs w:val="24"/>
        </w:rPr>
        <w:t xml:space="preserve"> biex il-pajjiżi jingħataw għajnuna jissodisfaw il-kriterji ekonomiċi.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Il-Kummissjoni se ssaħħaħ ukoll il-miżuri dwar l-istat tad-dritt u t-tiswir tal-istituzzjonijiet. Se tintalab il-kisba ta’ riżultati f’dawn ir-riformi qabel ma tkun tista’ sseħħ integrazzjoni settorjali aktar profonda, u minn dawn ir-riżultati jkun jiddependi l-progress kollu kemm hu. Barra minn dan, il-ħidma kontra l-korruzzjoni se tiġi integrata permezz ta’ attenzjoni qawwija fil-kapitoli relevanti. Se jibqa’ jingħata appoġġ bla waqfien għall-kooperazzjoni reġjonali. Hemm bżonn li jsiru l-isforzi kollha biex jiġu solvuti t-tilwimiet bilaterali, b’emfażi partikolari fuq id-djalogu bejn Belgrad u Pristina, iffaċilitat mill-UE, li jenħtieġ li jiġi konkluż bi ftehim ta’ normalizzazzjoni komprensiv u vinkolanti.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pStyle w:val="ListParagraph"/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Direzzjoni politika aktar b’saħħitha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L-adeżjoni mal-Unjoni Ewropea huwa proċess li jirrekjedi u li jappoġġja riformi fundamentali kif ukoll tibdil politiku u ekonomiku fil-pajjiżi li jkollhom l-aspirazzjoni li jaderixxu, kif ukoll jirrekjedi turija li dawn għandhom il-ħila li jieħdu fuqhom ir-responsabbiltajiet kondiviżi bħala Stat Membru tal-UE. Mhux proċess li jimxi ’l quddiem waħdu iżda jrid jirrifletti </w:t>
      </w:r>
      <w:r>
        <w:rPr>
          <w:rFonts w:ascii="Times New Roman" w:hAnsi="Times New Roman"/>
          <w:b/>
          <w:noProof/>
          <w:sz w:val="24"/>
          <w:szCs w:val="24"/>
        </w:rPr>
        <w:t>għażla soċjetali attiva</w:t>
      </w:r>
      <w:r>
        <w:rPr>
          <w:rFonts w:ascii="Times New Roman" w:hAnsi="Times New Roman"/>
          <w:noProof/>
          <w:sz w:val="24"/>
          <w:szCs w:val="24"/>
        </w:rPr>
        <w:t xml:space="preserve"> min-naħa tagħhom li jilħqu u jirrispettaw l-ogħla standards u valuri Ewropej. Bl-istess mod, l-impenn tal-Istati Membri li jikkondividu futur komuni mal-Balkani tal-Punent bħala membri sħaħ tal-Unjoni huma impenn sinifikanti politiku u mhux sempliċement tekniku.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Dan ifisser li ż-żewġ naħat jenħtieġ li </w:t>
      </w:r>
      <w:r>
        <w:rPr>
          <w:rFonts w:ascii="Times New Roman" w:hAnsi="Times New Roman"/>
          <w:b/>
          <w:noProof/>
          <w:sz w:val="24"/>
          <w:szCs w:val="24"/>
        </w:rPr>
        <w:t>jagħtu prova ta’ sens ta’ tmexxija akbar</w:t>
      </w:r>
      <w:r>
        <w:rPr>
          <w:rFonts w:ascii="Times New Roman" w:hAnsi="Times New Roman"/>
          <w:noProof/>
          <w:sz w:val="24"/>
          <w:szCs w:val="24"/>
        </w:rPr>
        <w:t xml:space="preserve"> u li jattwaw l-impenji rispettivi tagħhom fil-pubbliku, filwaqt li jagħtu attenzjoni aktar diretta fi kwistjonijiet li jnisslu tħassib. Meta jitqiesu l-implikazzjonijiet, wasal iż-żmien li </w:t>
      </w:r>
      <w:r>
        <w:rPr>
          <w:rFonts w:ascii="Times New Roman" w:hAnsi="Times New Roman"/>
          <w:b/>
          <w:noProof/>
          <w:sz w:val="24"/>
          <w:szCs w:val="24"/>
        </w:rPr>
        <w:t>n-natura politika tal-proċess titqiegħed fuq quddiem</w:t>
      </w:r>
      <w:r>
        <w:rPr>
          <w:rFonts w:ascii="Times New Roman" w:hAnsi="Times New Roman"/>
          <w:noProof/>
          <w:sz w:val="24"/>
          <w:szCs w:val="24"/>
        </w:rPr>
        <w:t xml:space="preserve"> u li jiġi ggarantit impenn direzzjonali u f’livell għoli mill-Istati Membri.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Dan għandu jinkludi l-ħolqien ta’ opportunitajiet ġodda għal </w:t>
      </w:r>
      <w:r>
        <w:rPr>
          <w:rFonts w:ascii="Times New Roman" w:hAnsi="Times New Roman"/>
          <w:b/>
          <w:noProof/>
          <w:sz w:val="24"/>
          <w:szCs w:val="24"/>
        </w:rPr>
        <w:t>djalogu politiku u ta’ politika f’livell għoli</w:t>
      </w:r>
      <w:r>
        <w:rPr>
          <w:rFonts w:ascii="Times New Roman" w:hAnsi="Times New Roman"/>
          <w:noProof/>
          <w:sz w:val="24"/>
          <w:szCs w:val="24"/>
        </w:rPr>
        <w:t xml:space="preserve"> mal-pajjiżi </w:t>
      </w:r>
      <w:r>
        <w:rPr>
          <w:rFonts w:ascii="Times New Roman" w:hAnsi="Times New Roman"/>
          <w:b/>
          <w:noProof/>
          <w:sz w:val="24"/>
          <w:szCs w:val="24"/>
        </w:rPr>
        <w:t>permezz ta’ summits regolari bejn l-UE u l-Balkani tal-Punent kif ukoll ta’ kuntatti ministerjali intensifikati</w:t>
      </w:r>
      <w:r>
        <w:rPr>
          <w:rFonts w:ascii="Times New Roman" w:hAnsi="Times New Roman"/>
          <w:noProof/>
          <w:sz w:val="24"/>
          <w:szCs w:val="24"/>
        </w:rPr>
        <w:t xml:space="preserve">, speċjalment f’oqsma fejn l-allinjament miexi ’l quddiem b’ritmu tajjeb, u fejn il-kriterji kruċjali qegħdin jiġu ssodsifati. Tali impenn aktar qawwi jista’ jwassal biex il-pajjiżi jipparteċipaw bħala </w:t>
      </w:r>
      <w:r>
        <w:rPr>
          <w:rFonts w:ascii="Times New Roman" w:hAnsi="Times New Roman"/>
          <w:b/>
          <w:noProof/>
          <w:sz w:val="24"/>
          <w:szCs w:val="24"/>
        </w:rPr>
        <w:t>osservaturi</w:t>
      </w:r>
      <w:r>
        <w:rPr>
          <w:rFonts w:ascii="Times New Roman" w:hAnsi="Times New Roman"/>
          <w:noProof/>
          <w:sz w:val="24"/>
          <w:szCs w:val="24"/>
        </w:rPr>
        <w:t xml:space="preserve"> f’laqgħat kruċjali tal-Unjoni Ewropea fi kwistjonijiet ta’ importanza sostanzjali għalihom.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Se jkun importanti li jiġi żgurat li </w:t>
      </w:r>
      <w:r>
        <w:rPr>
          <w:rFonts w:ascii="Times New Roman" w:hAnsi="Times New Roman"/>
          <w:b/>
          <w:noProof/>
          <w:sz w:val="24"/>
          <w:szCs w:val="24"/>
        </w:rPr>
        <w:t>l-korpi kollha taħt il-Ftehim ta’ Stabbilizzazzjoni u Assoċjazzjoni (Stabilisation and Association Agreement, SAA) jiffukaw ħafna aktar fuq il-kwistjonijiet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u r-riformi politiċi kruċjali</w:t>
      </w:r>
      <w:r>
        <w:rPr>
          <w:rFonts w:ascii="Times New Roman" w:hAnsi="Times New Roman"/>
          <w:noProof/>
          <w:sz w:val="24"/>
          <w:szCs w:val="24"/>
        </w:rPr>
        <w:t xml:space="preserve">, u jippermettu li jsir djalogu politiku reali. Il-Konferenzi Intergovernamentali (Inter-Governamental Conferences, IGCs) jenħtieġ li jipprovdu għal direzzjonar politiku aktar qawwi tal-proċess tan-negozjati ta’ adeżjoni.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w:t>L-Istati Membri</w:t>
      </w:r>
      <w:r>
        <w:rPr>
          <w:rFonts w:ascii="Times New Roman" w:hAnsi="Times New Roman"/>
          <w:b/>
          <w:noProof/>
          <w:sz w:val="24"/>
          <w:szCs w:val="24"/>
        </w:rPr>
        <w:t xml:space="preserve"> se jiġu mistiedna jagħtu kontribut b’mod aktar sistematiku għall-proċess tal-adeżjoni</w:t>
      </w:r>
      <w:r>
        <w:rPr>
          <w:rFonts w:ascii="Times New Roman" w:hAnsi="Times New Roman"/>
          <w:noProof/>
          <w:sz w:val="24"/>
          <w:szCs w:val="24"/>
        </w:rPr>
        <w:t xml:space="preserve">, inkluż permezz tal-monitoraġġ fil-konkret permezz tal-esperti tagħhom, bis-saħħa ta’ kontributi diretti għar-rapporti annwali u permezz ta’ għarfien esperti settorjali. L-Istati Membri se jkollhom ukoll l-opportunità li janalizzaw u jżommu għajnejhom b’mod aktar regolari fuq il-progress b’mod kumplessiv.  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w:t>Il-Kummissjoni</w:t>
      </w:r>
      <w:r>
        <w:rPr>
          <w:rFonts w:ascii="Times New Roman" w:hAnsi="Times New Roman"/>
          <w:noProof/>
          <w:sz w:val="24"/>
          <w:szCs w:val="24"/>
        </w:rPr>
        <w:t xml:space="preserve"> se tkompli żżomm għajnejha fuq il-progress kumplessiv li jkun qiegħed isir fin-negozjati. </w:t>
      </w:r>
      <w:r>
        <w:rPr>
          <w:rFonts w:ascii="Times New Roman" w:hAnsi="Times New Roman"/>
          <w:b/>
          <w:noProof/>
          <w:sz w:val="24"/>
          <w:szCs w:val="24"/>
        </w:rPr>
        <w:t>Fil-pakkett annwali tagħha tat-tkabbir hija se tipproponi l-perkors ’il quddiem</w:t>
      </w:r>
      <w:r>
        <w:rPr>
          <w:rFonts w:ascii="Times New Roman" w:hAnsi="Times New Roman"/>
          <w:noProof/>
          <w:sz w:val="24"/>
          <w:szCs w:val="24"/>
        </w:rPr>
        <w:t xml:space="preserve"> għas-sena ta’ wara f’dettal akbar fejn jidħlu riformi, li mbagħad jiġi approvat mill-Istati Membri, </w:t>
      </w:r>
      <w:r>
        <w:rPr>
          <w:rFonts w:ascii="Times New Roman" w:hAnsi="Times New Roman"/>
          <w:b/>
          <w:noProof/>
          <w:sz w:val="24"/>
          <w:szCs w:val="24"/>
        </w:rPr>
        <w:t>li jkun jinkludi proposti dwar miżuri korrettivi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Jenħtieġ li wara l-pubblikazzjoni tal-pakkett annwali tal-Kummissjoni b’ rapporti dwar kull pajjiż </w:t>
      </w:r>
      <w:r>
        <w:rPr>
          <w:rFonts w:ascii="Times New Roman" w:hAnsi="Times New Roman"/>
          <w:b/>
          <w:noProof/>
          <w:sz w:val="24"/>
          <w:szCs w:val="24"/>
          <w:u w:val="single"/>
        </w:rPr>
        <w:t>isiru IGCs speċifiċi għal kull pajjiż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u </w:t>
      </w:r>
      <w:r>
        <w:rPr>
          <w:rFonts w:ascii="Times New Roman" w:hAnsi="Times New Roman"/>
          <w:b/>
          <w:noProof/>
          <w:sz w:val="24"/>
          <w:szCs w:val="24"/>
        </w:rPr>
        <w:t>jkunu jipprovdu l-fora għad-djalogu politiku</w:t>
      </w:r>
      <w:r>
        <w:rPr>
          <w:rFonts w:ascii="Times New Roman" w:hAnsi="Times New Roman"/>
          <w:noProof/>
          <w:sz w:val="24"/>
          <w:szCs w:val="24"/>
        </w:rPr>
        <w:t xml:space="preserve"> dwar ir-riformi, jieħdu f’kunsiderazzjoni l-proċess tal-adeżjoni b’mod kumplessiv u jistabbilixxu l-ippjanar għas-sena li jkun imiss, inkluż il-ftuħ u l-għeluq ta’ kapitoli / ġabriet ta’ kapitoli u l-miżuri korrettivi possibbli. In-naħat kollha se jkollhom jaraw li jkunu rappreżentati fl-IGC </w:t>
      </w:r>
      <w:r>
        <w:rPr>
          <w:rFonts w:ascii="Times New Roman" w:hAnsi="Times New Roman"/>
          <w:b/>
          <w:noProof/>
          <w:sz w:val="24"/>
          <w:szCs w:val="24"/>
        </w:rPr>
        <w:t>fil-livell xieraq li jippermettilhom li jkollhom djalogu politiku produttiv</w:t>
      </w:r>
      <w:r>
        <w:rPr>
          <w:rFonts w:ascii="Times New Roman" w:hAnsi="Times New Roman"/>
          <w:noProof/>
          <w:sz w:val="24"/>
          <w:szCs w:val="24"/>
        </w:rPr>
        <w:t>.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w:t>Il-Kunsilli ta’ Stabbilizzazzjoni u Assoċjazzjoni</w:t>
      </w:r>
      <w:r>
        <w:rPr>
          <w:rFonts w:ascii="Times New Roman" w:hAnsi="Times New Roman"/>
          <w:noProof/>
          <w:sz w:val="24"/>
          <w:szCs w:val="24"/>
        </w:rPr>
        <w:t xml:space="preserve"> se jipprovdu wkoll mument important u kumplimentari għad-djalogu politiku dwar ir-riformi. Barra minn dan, ikunu jistgħu jippermettu, flimkien mal-Kumitati ta’ Stabbilizzazzjoni u Assoċjazzjoni, u mas-sottokumitati, </w:t>
      </w:r>
      <w:r>
        <w:rPr>
          <w:rFonts w:ascii="Times New Roman" w:hAnsi="Times New Roman"/>
          <w:b/>
          <w:noProof/>
          <w:sz w:val="24"/>
          <w:szCs w:val="24"/>
        </w:rPr>
        <w:t>li jsir monitoraġġ aktar qawwi tal-progress u jindirizzaw aspetti ta’ integrazzjoni aċċellerata</w:t>
      </w:r>
      <w:r>
        <w:rPr>
          <w:rFonts w:ascii="Times New Roman" w:hAnsi="Times New Roman"/>
          <w:noProof/>
          <w:sz w:val="24"/>
          <w:szCs w:val="24"/>
        </w:rPr>
        <w:t xml:space="preserve"> fil-ġabriet rispettivi (ara aktar ’l isfel).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F’mumenti kruċjali matul il-proċess ta’ adeżjoni ta’ kull sieħeb jenħtieġ li jittieħed inventarju politiku, pereżempju, hekk kif jiġu ssodisfati parametri referenzjarji temporanji dwar riformi fundamentali, f’kull mument meta l-Kunsill jiddeċiedi jekk il-kundizzjonijiet biex tinfetaħ ġabra jkunux ġew issodisfati, u hekk kif in-negozjati b’mod kumplessiv ikunu teknikament lesti biex jingħalqu.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pStyle w:val="ListParagraph"/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Proċess aktar dinamiku </w:t>
      </w:r>
    </w:p>
    <w:p>
      <w:pPr>
        <w:widowControl w:val="0"/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Sabiex jiddaħħal dinamiżu akbar fil-proċess tan-negozjati u sabiex jiġi inkoraġġit l-iskambju li jħalli l-frott tal-isforzi lil hinn mill-kapitoli individwali, </w:t>
      </w:r>
      <w:r>
        <w:rPr>
          <w:rFonts w:ascii="Times New Roman" w:hAnsi="Times New Roman"/>
          <w:b/>
          <w:noProof/>
          <w:sz w:val="24"/>
          <w:szCs w:val="24"/>
        </w:rPr>
        <w:t>il-kapitoli tan-negozjati se jiġu organizzati f’ġabriet tematiċi</w:t>
      </w:r>
      <w:r>
        <w:rPr>
          <w:rFonts w:ascii="Times New Roman" w:hAnsi="Times New Roman"/>
          <w:noProof/>
          <w:sz w:val="24"/>
          <w:szCs w:val="24"/>
        </w:rPr>
        <w:t xml:space="preserve">. Dawn il-ġabriet se jsegwu temi wiesa’ bħal ma huma l-governanza tajba, is-suq intern, il-kompetittivià ekonomika u l-konnettività. </w:t>
      </w:r>
    </w:p>
    <w:p>
      <w:pPr>
        <w:widowControl w:val="0"/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Il-ġbir tal-kapitoli se jippermetti li jkun hemm </w:t>
      </w:r>
      <w:r>
        <w:rPr>
          <w:rFonts w:ascii="Times New Roman" w:hAnsi="Times New Roman"/>
          <w:b/>
          <w:noProof/>
          <w:sz w:val="24"/>
          <w:szCs w:val="24"/>
        </w:rPr>
        <w:t>attenzjoni aktar qawwija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fuq setturi ċentrali fid-djalogu politiku</w:t>
      </w:r>
      <w:r>
        <w:rPr>
          <w:rFonts w:ascii="Times New Roman" w:hAnsi="Times New Roman"/>
          <w:noProof/>
          <w:sz w:val="24"/>
          <w:szCs w:val="24"/>
        </w:rPr>
        <w:t xml:space="preserve"> u jipprovdi inkwadrar aħjar għal impenn politiku ta’ livell ogħla. Bis-saħħa ta’ dan </w:t>
      </w:r>
      <w:r>
        <w:rPr>
          <w:rFonts w:ascii="Times New Roman" w:hAnsi="Times New Roman"/>
          <w:b/>
          <w:noProof/>
          <w:sz w:val="24"/>
          <w:szCs w:val="24"/>
        </w:rPr>
        <w:t>ikunu jistgħu jiġu identifikati r-riformi l-aktar importanti u urġenti</w:t>
      </w:r>
      <w:r>
        <w:rPr>
          <w:rFonts w:ascii="Times New Roman" w:hAnsi="Times New Roman"/>
          <w:noProof/>
          <w:sz w:val="24"/>
          <w:szCs w:val="24"/>
        </w:rPr>
        <w:t>.  Dan jagħti lill-proċessi ta’ riforma kumplessivament aktar dinamiżmu fil-konkret, billi jinċentiva aħjar ir-riformi settorjali fl-interessi taċ-ċittadini u n-negozji.</w:t>
      </w:r>
    </w:p>
    <w:p>
      <w:pPr>
        <w:widowControl w:val="0"/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In-negozjati dwar kull ġabra se jinfetħu għall-kapitoli kollha li jkunu fil-ġabra – wara li jkunu ġew issodisfati l-parametri referenzjarji tal-bidu – </w:t>
      </w:r>
      <w:r>
        <w:rPr>
          <w:rFonts w:ascii="Times New Roman" w:hAnsi="Times New Roman"/>
          <w:noProof/>
          <w:sz w:val="24"/>
          <w:szCs w:val="24"/>
        </w:rPr>
        <w:t xml:space="preserve">aktar milli fuq il-bażi ta’ kapitolu kapitolu. Bħala riżultat tal-proċess ta’ screening, li jkun sar għal kull ġabra, isir qbil dwar il-prijoritajiet fejn tidħol l-integrazzjoni aċċellerata u fejn jidħlu r-riformi kruċjali bejn l-UE u l-pajjiż kandidat. Meta dawn il-prijoriatjiet ikunu ġew indirizzati b’mod suffiċjenti, il-ġabra (li tkun tkopri l-kapitoli assoċjati kollha) tinfetaħ mingħajr kundizzjonijiet ulterjuri u jiġu stabbiliti l-parametri referenzjarji għall-għeluq għal kull kapitolu. Fil-każijiet fejn ikunu ġew implimentati riformi importanti qabel il-ftuħ, il-perjodu bejn il-ftuħ tal-ġabra u l-għeluq tal-kapitoli indipendenti jenħtieġ li jkun limitat, preferibbilment fi żmien sena, f’dipendenza sħiħa fuq il-progress tar-riformi, bl-attenzjoni tkun fuq il-miżuri li jkun jifdal li jiżguraw allinjament totali. </w:t>
      </w:r>
    </w:p>
    <w:p>
      <w:pPr>
        <w:widowControl w:val="0"/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Il-ġabriet se jiġu allinjati mas-sottokumitati tal-SAA</w:t>
      </w:r>
      <w:r>
        <w:rPr>
          <w:rFonts w:ascii="Times New Roman" w:hAnsi="Times New Roman"/>
          <w:noProof/>
          <w:sz w:val="24"/>
          <w:szCs w:val="24"/>
        </w:rPr>
        <w:t xml:space="preserve">, b’tali mod li l-progress fil-ġabra jkun jista’ jiġi ssorveljat u jkunu jistgħu jittieħdu miżuri speċifiċi ta’ allinjament aċċellerat taħt l-istrutturi tal-SAA. Dan  jippermetti li jsiru djalogi mmirati kif ukoll li ssir l-identifikazzjoni ta’ </w:t>
      </w:r>
      <w:r>
        <w:rPr>
          <w:rFonts w:ascii="Times New Roman" w:hAnsi="Times New Roman"/>
          <w:b/>
          <w:noProof/>
          <w:sz w:val="24"/>
          <w:szCs w:val="24"/>
        </w:rPr>
        <w:t>opportunitajiet ta’ allinjament u integrazzjoni aċċellerati</w:t>
      </w:r>
      <w:r>
        <w:rPr>
          <w:rFonts w:ascii="Times New Roman" w:hAnsi="Times New Roman"/>
          <w:noProof/>
          <w:sz w:val="24"/>
          <w:szCs w:val="24"/>
        </w:rPr>
        <w:t xml:space="preserve"> fl-oqsma ta’ politika kollha tal-UE, b’benefiċċju ċar għall-Unjoni Ewropea u għall-pajjiżi kandidati.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Sabiex </w:t>
      </w:r>
      <w:r>
        <w:rPr>
          <w:rFonts w:ascii="Times New Roman" w:hAnsi="Times New Roman"/>
          <w:b/>
          <w:noProof/>
          <w:sz w:val="24"/>
          <w:szCs w:val="24"/>
        </w:rPr>
        <w:t>in-negozjati mas-Serbja u mal-Montenegro</w:t>
      </w:r>
      <w:r>
        <w:rPr>
          <w:rFonts w:ascii="Times New Roman" w:hAnsi="Times New Roman"/>
          <w:noProof/>
          <w:sz w:val="24"/>
          <w:szCs w:val="24"/>
        </w:rPr>
        <w:t xml:space="preserve"> jingħataw aktar dinamiżmu, il-ħidma fuq il-kapitoli tista’ wkoll tiġi organizzata madwar ġabriet, filwaqt li jiġu rispettati l-oqsfa eżistenti tan-negozjar u bi qbil ma’ dawn il-pajjiżi. Dan ikun jippermetti attenzjoni politika akbar fuq setturi kruċjali u li jissawwar ritmu politiku fil-pajjiżi madwar kwistjonijiet kruċjali għall-allinjament. Se tiġi offruta l-possibbiltà li jkun hemm parteċipazzjoni f’eżerċizzju għall-identifikazzjoni ta’ oqsma ta’ interess għal allinjament settorjali u integrazzjoni aċċellerati, bi pjani direzzjonali komuni li dwarhom ikun irid jintlaħaq qbil, u jsir segwitu dwaru, fl-istrutturi tal-SAA.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Il-prevedibbiltà, il-kundizzjonalità pożittiva u negattiva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Isiru appelli qawwija mill-Istati Membri, kif ukoll mill-pajjiżi tal-Balkani tal-Punent, biex ikun hemm proċess li jkun aktar prevedibbli u li jiżgura </w:t>
      </w:r>
      <w:r>
        <w:rPr>
          <w:rFonts w:ascii="Times New Roman" w:hAnsi="Times New Roman"/>
          <w:b/>
          <w:noProof/>
          <w:sz w:val="24"/>
          <w:szCs w:val="24"/>
        </w:rPr>
        <w:t>ċarezza akbar dwar dak li l-Unjoni tistenna</w:t>
      </w:r>
      <w:r>
        <w:rPr>
          <w:rFonts w:ascii="Times New Roman" w:hAnsi="Times New Roman"/>
          <w:noProof/>
          <w:sz w:val="24"/>
          <w:szCs w:val="24"/>
        </w:rPr>
        <w:t xml:space="preserve"> mill-pajjiżi involuti fit-tkabbir fl-istadji differenti tal-proċess, u dwar x’inhuma </w:t>
      </w:r>
      <w:r>
        <w:rPr>
          <w:rFonts w:ascii="Times New Roman" w:hAnsi="Times New Roman"/>
          <w:b/>
          <w:noProof/>
          <w:sz w:val="24"/>
          <w:szCs w:val="24"/>
        </w:rPr>
        <w:t>l-konsegwenzi pożittivi u negattivi</w:t>
      </w:r>
      <w:r>
        <w:rPr>
          <w:rFonts w:ascii="Times New Roman" w:hAnsi="Times New Roman"/>
          <w:noProof/>
          <w:sz w:val="24"/>
          <w:szCs w:val="24"/>
        </w:rPr>
        <w:t xml:space="preserve"> tal-progress jew tan-nuqqas tiegħu.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Il-Kummissjoni se tuża</w:t>
      </w:r>
      <w:r>
        <w:rPr>
          <w:rFonts w:ascii="Times New Roman" w:hAnsi="Times New Roman"/>
          <w:b/>
          <w:noProof/>
          <w:sz w:val="24"/>
          <w:szCs w:val="24"/>
        </w:rPr>
        <w:t xml:space="preserve"> l-pakkett ta’ tkabbir biex tikkontrolla l-konformità</w:t>
      </w:r>
      <w:r>
        <w:rPr>
          <w:rFonts w:ascii="Times New Roman" w:hAnsi="Times New Roman"/>
          <w:noProof/>
          <w:sz w:val="24"/>
          <w:szCs w:val="24"/>
        </w:rPr>
        <w:t xml:space="preserve"> tal-kandidati mal-acquis u biex </w:t>
      </w:r>
      <w:r>
        <w:rPr>
          <w:rFonts w:ascii="Times New Roman" w:hAnsi="Times New Roman"/>
          <w:b/>
          <w:noProof/>
          <w:sz w:val="24"/>
          <w:szCs w:val="24"/>
        </w:rPr>
        <w:t>tipprovdi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ggwidar ċar</w:t>
      </w:r>
      <w:r>
        <w:rPr>
          <w:rFonts w:ascii="Times New Roman" w:hAnsi="Times New Roman"/>
          <w:noProof/>
          <w:sz w:val="24"/>
          <w:szCs w:val="24"/>
        </w:rPr>
        <w:t xml:space="preserve"> dwar prijoritajiet ta’ riforma u dwar kriterji ta’ allinjament speċifiċi kif ukoll aspettattivi għall-passi li jkun imiss fil-proċess. Direzzjoni aktar b’saħħitha u IGCs iffukati mill-ġdid se jżidu l-prevedibbiltà, bi ppjanar aktar ċar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għas-sena ’il quddiem. L-atturi politiċi fil-pajjiżi b’hekk ikollhom indikazzjoni aktar ċara ta’ dak li jkun irid isir biex l-affarijiet jimxu ’l quddiem. Dan se jinkludi indikazzjoni ta’ liema ġabriet / kapitoli jkunu jistgħu jiġu potenzjalment miftuħa jew magħluqa u, fejn ikun relevanti, liema kundizzjonijiet ikunu għad iridu jiġu ssodisfati biex dan jiġri. </w:t>
      </w:r>
    </w:p>
    <w:p>
      <w:pPr>
        <w:widowControl w:val="0"/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L-element ċentrali tal-proċess ta’ adeżjoni bbażat fuq il-mertu huwa l-kundizzjonalità tiegħu </w:t>
      </w:r>
      <w:r>
        <w:rPr>
          <w:rFonts w:ascii="Times New Roman" w:hAnsi="Times New Roman"/>
          <w:noProof/>
          <w:sz w:val="24"/>
          <w:szCs w:val="24"/>
        </w:rPr>
        <w:t xml:space="preserve">Madankollu, sabiex jinkiseb dan, </w:t>
      </w:r>
      <w:r>
        <w:rPr>
          <w:rFonts w:ascii="Times New Roman" w:hAnsi="Times New Roman"/>
          <w:b/>
          <w:noProof/>
          <w:sz w:val="24"/>
          <w:szCs w:val="24"/>
        </w:rPr>
        <w:t>il-kundizzjonijiet iridu jkunu ċar</w:t>
      </w:r>
      <w:r>
        <w:rPr>
          <w:rFonts w:ascii="Times New Roman" w:hAnsi="Times New Roman"/>
          <w:noProof/>
          <w:sz w:val="24"/>
          <w:szCs w:val="24"/>
        </w:rPr>
        <w:t xml:space="preserve"> mill-bidu. Huwa importanti li l-pajjiżi kandidati jkunu jafu l-parametri referenzjarji li abbażi tagħhom titkejjel il-prestazzjoni tagħhom u li l-Istati Membri jkunu jkunu jifhmu ċar dak li jkun eżattament mitlub mill-kandidati. </w:t>
      </w:r>
      <w:r>
        <w:rPr>
          <w:rFonts w:ascii="Times New Roman" w:hAnsi="Times New Roman"/>
          <w:b/>
          <w:noProof/>
          <w:sz w:val="24"/>
          <w:szCs w:val="24"/>
        </w:rPr>
        <w:t>Il-Kummissjoni se tiddefenixxi aħjar il-kundizzjonijiet stabbiliti għall-kandidati</w:t>
      </w:r>
      <w:r>
        <w:rPr>
          <w:rFonts w:ascii="Times New Roman" w:hAnsi="Times New Roman"/>
          <w:noProof/>
          <w:sz w:val="24"/>
          <w:szCs w:val="24"/>
        </w:rPr>
        <w:t xml:space="preserve"> biex dawn ikunu jistgħu jagħmlu progress, b’mod partikolari permezz tar-rapport annwali tagħha. Dawn il-kundizzjonijiet iridu jkunu oġġettivi, preċiżi, iddettaljati, stretti u verifikabbli. Il-Kummissjoni se tuża wkoll indikaturi ta’ partijiet terzi fejn dan ikun relevanti biex tipprovdi lill-Istati Membri l-bażi l-aktar wiesgħa possibbli għad-deċiżjonijiet tagħhom. </w:t>
      </w:r>
    </w:p>
    <w:p>
      <w:pPr>
        <w:spacing w:after="12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t xml:space="preserve">Bl-għoti ta’ </w:t>
      </w:r>
      <w:r>
        <w:rPr>
          <w:rFonts w:ascii="Times New Roman" w:hAnsi="Times New Roman"/>
          <w:b/>
          <w:noProof/>
          <w:sz w:val="24"/>
          <w:szCs w:val="24"/>
        </w:rPr>
        <w:t>inċentivi ċari u tanġibbli li jkunu jolqtu direttament liċ-ċittadini, l-UE tista’ tinkoraġġixxi rieda politika reali</w:t>
      </w:r>
      <w:r>
        <w:rPr>
          <w:rFonts w:ascii="Times New Roman" w:hAnsi="Times New Roman"/>
          <w:noProof/>
          <w:sz w:val="24"/>
          <w:szCs w:val="24"/>
        </w:rPr>
        <w:t xml:space="preserve">, u tippremja r-riżultati li joħorġu mit-talba għar-riformi u l-proċess ta’ bidla politika, ekonomika u soċjetali. </w:t>
      </w:r>
      <w:r>
        <w:rPr>
          <w:rFonts w:ascii="Times New Roman" w:hAnsi="Times New Roman"/>
          <w:b/>
          <w:noProof/>
          <w:sz w:val="24"/>
          <w:szCs w:val="24"/>
        </w:rPr>
        <w:t xml:space="preserve">Jekk il-pajjiżi jagħmlu progress suffiċjenti fil-prijoritajiet ta’ riforma li dwarhom ikun intlaħaq qbil fin-negozjati, dan jenħtieġ li jwassal għal: </w:t>
      </w:r>
    </w:p>
    <w:p>
      <w:pPr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Integrazzjoni aktar mill-qrib</w:t>
      </w:r>
      <w:r>
        <w:rPr>
          <w:rFonts w:ascii="Times New Roman" w:hAnsi="Times New Roman"/>
          <w:noProof/>
          <w:sz w:val="24"/>
          <w:szCs w:val="24"/>
        </w:rPr>
        <w:t xml:space="preserve"> tal-pajjiż mal-Unjoni Ewropea, </w:t>
      </w:r>
      <w:r>
        <w:rPr>
          <w:rFonts w:ascii="Times New Roman" w:hAnsi="Times New Roman"/>
          <w:noProof/>
          <w:sz w:val="24"/>
          <w:szCs w:val="24"/>
          <w:u w:val="single"/>
        </w:rPr>
        <w:t>ħidma għal integrazzjoni aċċellerata f’politiki individwali tal-UE</w:t>
      </w:r>
      <w:r>
        <w:rPr>
          <w:rFonts w:ascii="Times New Roman" w:hAnsi="Times New Roman"/>
          <w:noProof/>
          <w:sz w:val="24"/>
          <w:szCs w:val="24"/>
        </w:rPr>
        <w:t xml:space="preserve">, fis-suq tal-UE u fil-programmi tal-UE, u biex il-pajjiż jitqarreb ftit ftit lejhom, filwaqt li jiġu ggarantiti kundizzjonijiet ekwi. </w:t>
      </w:r>
    </w:p>
    <w:p>
      <w:pPr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Iż-żieda fil-fondi u l-investimenti</w:t>
      </w:r>
      <w:r>
        <w:rPr>
          <w:rFonts w:ascii="Times New Roman" w:hAnsi="Times New Roman"/>
          <w:noProof/>
          <w:sz w:val="24"/>
          <w:szCs w:val="24"/>
        </w:rPr>
        <w:t xml:space="preserve"> – inkluż permezz ta’ appoġġ mill-Istrument għall-Assistenza ta’ Qabel l-Adeżjoni li jkun ibbażat fuq il-prestazzjoni u l-orjentazzjoni lejn ir-riformi kif ukoll kooperazzjoni aktar mill-qrib mal-istituzzjonijuet finanzjarji internazzjonali biex jinġieb l-appoġġ.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Dawn il-miżuri għandhom għax jgħinu, permezz tal-użu tal-Fondi tal-UE, biex joħolqu preferenza Ewropea qawwija li tkun kumpatibbli mad-WTO, filwaqt li tinħoloq ekonomija lokali b’saħħitha. </w:t>
      </w:r>
    </w:p>
    <w:p>
      <w:pPr>
        <w:widowControl w:val="0"/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Filwaqt li jrid jiġi inċentivat il-progress fejn jidħlu r-riformi, u li jiġi ppremjat b’mod aktar tanġibbli, daqstant ieħor jeżisti l-bżonn ta’ </w:t>
      </w:r>
      <w:r>
        <w:rPr>
          <w:rFonts w:ascii="Times New Roman" w:hAnsi="Times New Roman"/>
          <w:b/>
          <w:noProof/>
          <w:sz w:val="24"/>
          <w:szCs w:val="24"/>
        </w:rPr>
        <w:t>miżuri aktar deċiżivi li b’mod proporzjonali jikkastigaw kull staġnar serju jew imtawwal, jew anki kull pass lura</w:t>
      </w:r>
      <w:r>
        <w:rPr>
          <w:rFonts w:ascii="Times New Roman" w:hAnsi="Times New Roman"/>
          <w:noProof/>
          <w:sz w:val="24"/>
          <w:szCs w:val="24"/>
        </w:rPr>
        <w:t>, fl-implimentazzjoni tar-riformi u fl-issoddisfar tar-rekwiżiti tal-proċess tal-adeżjoni.</w:t>
      </w:r>
    </w:p>
    <w:p>
      <w:pPr>
        <w:widowControl w:val="0"/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Tali deċiżjonijiet li jwaqqfu jew anki li jreġġgħu lura l-proċess jenħtieġ li jkunu bbażati fuq </w:t>
      </w:r>
      <w:r>
        <w:rPr>
          <w:rFonts w:ascii="Times New Roman" w:hAnsi="Times New Roman"/>
          <w:b/>
          <w:noProof/>
          <w:sz w:val="24"/>
          <w:szCs w:val="24"/>
        </w:rPr>
        <w:t>l-evalwazzjoni annwali mill-Kummissjoni</w:t>
      </w:r>
      <w:r>
        <w:rPr>
          <w:rFonts w:ascii="Times New Roman" w:hAnsi="Times New Roman"/>
          <w:noProof/>
          <w:sz w:val="24"/>
          <w:szCs w:val="24"/>
        </w:rPr>
        <w:t xml:space="preserve">, fil-pakket dwar it-tkabbir tagħha, tal-bilanċ kumplessiv fin-negozjati tal-adeżjoni u l-punt sa liema r-riformi fundamentali, b’mod partikolari fejn jidħol l-istat tad-dritt, ikunu qegħdin jiġu implimentati, l-Istati Membri se jkomplu jkunu jistgħu jagħtu kontribut għal dan il-proċess billi jindikaw lill-Kummissjoni kull staġnar jew kull pass lura serju fil-proċess ta’ riforma. </w:t>
      </w:r>
    </w:p>
    <w:p>
      <w:pPr>
        <w:widowControl w:val="0"/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F’każijiet serji, il-Kummissjoni tkun tista’ tagħmel proposti f’kull ħin waħedha, jew inkella meta jkun hemm talba mmotivata kif suppost minn xi Stat Membru sabiex tiġi żgurata reazzjoni ta’ malajr għas-sitwazzjoni, permezz ta’, kull fejn ikun relevanti, proċeduri simplifikati, inkluż b’votazzjoni b’maġġoranza kwalifikata inversa.   </w:t>
      </w:r>
    </w:p>
    <w:p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br w:type="page"/>
      </w:r>
    </w:p>
    <w:p>
      <w:pPr>
        <w:widowControl w:val="0"/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L-UE tkun tista’ tindirizza problemi potenzjali f’diversi modi: </w:t>
      </w:r>
    </w:p>
    <w:p>
      <w:pPr>
        <w:widowControl w:val="0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L-Istati Membri jistgħu jiddeċiedu li </w:t>
      </w:r>
      <w:r>
        <w:rPr>
          <w:rFonts w:ascii="Times New Roman" w:hAnsi="Times New Roman"/>
          <w:noProof/>
          <w:sz w:val="24"/>
          <w:szCs w:val="24"/>
          <w:u w:val="single"/>
        </w:rPr>
        <w:t>n-negozjati</w:t>
      </w:r>
      <w:r>
        <w:rPr>
          <w:rFonts w:ascii="Times New Roman" w:hAnsi="Times New Roman"/>
          <w:noProof/>
          <w:sz w:val="24"/>
          <w:szCs w:val="24"/>
        </w:rPr>
        <w:t xml:space="preserve"> jkunu jistgħu </w:t>
      </w:r>
      <w:r>
        <w:rPr>
          <w:rFonts w:ascii="Times New Roman" w:hAnsi="Times New Roman"/>
          <w:noProof/>
          <w:sz w:val="24"/>
          <w:szCs w:val="24"/>
          <w:u w:val="single"/>
        </w:rPr>
        <w:t>jitwaqqfu b’mod temporanju</w:t>
      </w:r>
      <w:r>
        <w:rPr>
          <w:rFonts w:ascii="Times New Roman" w:hAnsi="Times New Roman"/>
          <w:noProof/>
          <w:sz w:val="24"/>
          <w:szCs w:val="24"/>
        </w:rPr>
        <w:t xml:space="preserve"> f’ċerti oqsma, jew fil-każijiet l-aktar serji, </w:t>
      </w:r>
      <w:r>
        <w:rPr>
          <w:rFonts w:ascii="Times New Roman" w:hAnsi="Times New Roman"/>
          <w:noProof/>
          <w:sz w:val="24"/>
          <w:szCs w:val="24"/>
          <w:u w:val="single"/>
        </w:rPr>
        <w:t>sospiżi</w:t>
      </w:r>
      <w:r>
        <w:rPr>
          <w:rFonts w:ascii="Times New Roman" w:hAnsi="Times New Roman"/>
          <w:noProof/>
          <w:sz w:val="24"/>
          <w:szCs w:val="24"/>
        </w:rPr>
        <w:t xml:space="preserve"> b’mod kumplessiv. </w:t>
      </w:r>
      <w:r>
        <w:rPr>
          <w:rFonts w:ascii="Times New Roman" w:hAnsi="Times New Roman"/>
          <w:noProof/>
          <w:sz w:val="24"/>
          <w:szCs w:val="24"/>
          <w:u w:val="single"/>
        </w:rPr>
        <w:t>Kapitoli li jkunu ngħalqu jkunu jistgħu jerġgħu jinfetħu</w:t>
      </w:r>
      <w:r>
        <w:rPr>
          <w:rFonts w:ascii="Times New Roman" w:hAnsi="Times New Roman"/>
          <w:noProof/>
          <w:sz w:val="24"/>
          <w:szCs w:val="24"/>
        </w:rPr>
        <w:t>, jew impostati mill-ġdid, jekk ikun hemm bżonn rievalwazzjoni ta’ xi kwistjonijiet.</w:t>
      </w:r>
    </w:p>
    <w:p>
      <w:pPr>
        <w:widowControl w:val="0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L-ambitu u l-intensità tal-iffinanzjar mill-UE jkunu jistgħu jiġu aġġustati għal livell aktar baxx, ħlief għall-appoġġ lis-soċjetà ċivili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</w:p>
    <w:p>
      <w:pPr>
        <w:widowControl w:val="0"/>
        <w:numPr>
          <w:ilvl w:val="0"/>
          <w:numId w:val="24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Il-benefiċċji ta’ integrazzjoni aktar mill-qrib</w:t>
      </w:r>
      <w:r>
        <w:rPr>
          <w:rFonts w:ascii="Times New Roman" w:hAnsi="Times New Roman"/>
          <w:noProof/>
          <w:sz w:val="24"/>
          <w:szCs w:val="24"/>
        </w:rPr>
        <w:t xml:space="preserve">, pereż. l-aċċess għal programmi tal-UE, jew konċessjonijiet unilaterali għal aċċess għas-suq </w:t>
      </w:r>
      <w:r>
        <w:rPr>
          <w:rFonts w:ascii="Times New Roman" w:hAnsi="Times New Roman"/>
          <w:noProof/>
          <w:sz w:val="24"/>
          <w:szCs w:val="24"/>
          <w:u w:val="single"/>
        </w:rPr>
        <w:t>jkunu jistgħu jitwaqqfu temporanjament jew inkella mneħħija</w:t>
      </w:r>
      <w:r>
        <w:rPr>
          <w:rFonts w:ascii="Times New Roman" w:hAnsi="Times New Roman"/>
          <w:noProof/>
          <w:sz w:val="24"/>
          <w:szCs w:val="24"/>
        </w:rPr>
        <w:t>.</w:t>
      </w:r>
    </w:p>
    <w:p>
      <w:pPr>
        <w:widowControl w:val="0"/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t xml:space="preserve">Il-prevedibbiltà u l-kundizzjonalità jittejbu wkoll permezz ta’ </w:t>
      </w:r>
      <w:r>
        <w:rPr>
          <w:rFonts w:ascii="Times New Roman" w:hAnsi="Times New Roman"/>
          <w:b/>
          <w:noProof/>
          <w:sz w:val="24"/>
          <w:szCs w:val="24"/>
        </w:rPr>
        <w:t>trasparenza akbar</w:t>
      </w:r>
      <w:r>
        <w:rPr>
          <w:rFonts w:ascii="Times New Roman" w:hAnsi="Times New Roman"/>
          <w:noProof/>
          <w:sz w:val="24"/>
          <w:szCs w:val="24"/>
        </w:rPr>
        <w:t>. Sabiex tiġi ggarantita s-sostenibbiltà tar-riformi u biex tiġi ffaċilitata s-sorveljanza tal-implimentazzjoni, ir-riformi kruċjali kollha fil-pajjiż jenħtieġ li jsiru b’mod għal kollox trasparenti u inklussiv, bl-involviment ta’ partijiet kruċjali. Min-naħa tagħha, l-Unjoni Ewropea jenħtieġ li tirsisti biex il-proċess ikun aktar trasparenti, bil-pubblikazzjoni usa’ ta’ dokumenti kruċjali.</w:t>
      </w:r>
      <w:r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</w:p>
    <w:p>
      <w:pPr>
        <w:pStyle w:val="Briefingtext"/>
        <w:spacing w:after="120"/>
        <w:rPr>
          <w:rFonts w:ascii="Times New Roman" w:eastAsia="Calibri" w:hAnsi="Times New Roman" w:cs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Il-Kummissjoni se tkompli wkoll l-attivitajiet tagħha ta’ komunikazzjoni u informazzjoni, inkluż fi Stati Membri tal-UE, fejn ikun jiddependi l-aktar mill-Istati Membri li jinfurmaw liċ-ċittadini tagħhom u li jipprovdulhom il-fatti dwar l-opportunitajiet u l-isfidi strateġiċi tal-proċess. </w:t>
      </w:r>
    </w:p>
    <w:p>
      <w:pPr>
        <w:pStyle w:val="Briefingtext"/>
        <w:spacing w:after="12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Tabella li tippreżenta l-ġabriet proposti tal-kapitoli tinsab mehmuża fl-anness. Il-Kapitolu 34 </w:t>
      </w:r>
      <w:r>
        <w:rPr>
          <w:rFonts w:ascii="Times New Roman" w:hAnsi="Times New Roman"/>
          <w:i/>
          <w:noProof/>
          <w:sz w:val="24"/>
        </w:rPr>
        <w:t>“L-istituzzjonijiet”</w:t>
      </w:r>
      <w:r>
        <w:rPr>
          <w:rFonts w:ascii="Times New Roman" w:hAnsi="Times New Roman"/>
          <w:noProof/>
          <w:sz w:val="24"/>
        </w:rPr>
        <w:t xml:space="preserve"> u l-kapitolu 35 </w:t>
      </w:r>
      <w:r>
        <w:rPr>
          <w:rFonts w:ascii="Times New Roman" w:hAnsi="Times New Roman"/>
          <w:i/>
          <w:noProof/>
          <w:sz w:val="24"/>
        </w:rPr>
        <w:t>“Kwistjonijiet oħra”</w:t>
      </w:r>
      <w:r>
        <w:rPr>
          <w:rFonts w:ascii="Times New Roman" w:hAnsi="Times New Roman"/>
          <w:noProof/>
          <w:sz w:val="24"/>
        </w:rPr>
        <w:t xml:space="preserve"> jiġu pproċessati separatament. </w:t>
      </w:r>
      <w:r>
        <w:rPr>
          <w:rFonts w:ascii="Times New Roman" w:hAnsi="Times New Roman"/>
          <w:noProof/>
          <w:sz w:val="24"/>
        </w:rPr>
        <w:br w:type="page"/>
      </w:r>
    </w:p>
    <w:p>
      <w:pPr>
        <w:pageBreakBefore/>
        <w:spacing w:after="120" w:line="240" w:lineRule="auto"/>
        <w:jc w:val="both"/>
        <w:rPr>
          <w:rFonts w:ascii="Times New Roman" w:hAnsi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w:t>Anness tekniku: ġabriet ta’ kapitoli tan-negozjati</w:t>
      </w:r>
    </w:p>
    <w:p>
      <w:pPr>
        <w:spacing w:after="12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56"/>
        <w:gridCol w:w="4630"/>
      </w:tblGrid>
      <w:tr>
        <w:tc>
          <w:tcPr>
            <w:tcW w:w="4656" w:type="dxa"/>
          </w:tcPr>
          <w:p>
            <w:pPr>
              <w:numPr>
                <w:ilvl w:val="0"/>
                <w:numId w:val="20"/>
              </w:numPr>
              <w:spacing w:after="120"/>
              <w:ind w:left="284" w:hanging="284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Prinċipji fundamentali </w:t>
            </w:r>
          </w:p>
        </w:tc>
        <w:tc>
          <w:tcPr>
            <w:tcW w:w="4630" w:type="dxa"/>
          </w:tcPr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23 - Il-ġudikatura u d-drittijiet fundamentali 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24 - Il-Ġustizja, il-Libertà u s-Sigurtà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Il-kriterji ekonomiċi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Il-funzjonament tal-istituzzjonijiet demokratiċi 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Ir-riforma fl-amministrazzjoni pubblika 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5 - L-akkwist pubbliku 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18 - L-istatistika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32 - Il-kontroll finanzjarju</w:t>
            </w:r>
          </w:p>
        </w:tc>
      </w:tr>
      <w:tr>
        <w:tc>
          <w:tcPr>
            <w:tcW w:w="4656" w:type="dxa"/>
          </w:tcPr>
          <w:p>
            <w:pPr>
              <w:numPr>
                <w:ilvl w:val="0"/>
                <w:numId w:val="20"/>
              </w:numPr>
              <w:spacing w:after="120"/>
              <w:ind w:left="284" w:hanging="284"/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Is-Suq Intern</w:t>
            </w:r>
          </w:p>
        </w:tc>
        <w:tc>
          <w:tcPr>
            <w:tcW w:w="4630" w:type="dxa"/>
          </w:tcPr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1 - Il-movement liberu tal-merkanzija 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2 - Il-liberta’ tal-moviment għall-ħaddiema 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3 - Id-dritt ta’ stabbiliment u l-libertà li jiġu pprovduti s-servizzi 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4 - Il-movement liberu tal-kapital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6 - Id-dritt soċjetarju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7 - Il-liġi dwar il-proprjetà intellettwali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8 - Il-politika dwar il-kompetizzjoni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9 - Is-servizzi finanzjarji 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28 - Il-protezzjoni tal-konsumatur u tas-saħħa</w:t>
            </w:r>
          </w:p>
        </w:tc>
      </w:tr>
      <w:tr>
        <w:tc>
          <w:tcPr>
            <w:tcW w:w="4656" w:type="dxa"/>
          </w:tcPr>
          <w:p>
            <w:pPr>
              <w:numPr>
                <w:ilvl w:val="0"/>
                <w:numId w:val="20"/>
              </w:numPr>
              <w:spacing w:after="120"/>
              <w:ind w:left="284" w:hanging="284"/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Il-kompetittività u t-tkabbir inklussiv</w:t>
            </w:r>
          </w:p>
        </w:tc>
        <w:tc>
          <w:tcPr>
            <w:tcW w:w="4630" w:type="dxa"/>
          </w:tcPr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10 - Is-soċjetà informatika u l-media 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16 - It-tassazzjoni 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17 - Il-politika ekonomika u monetarja 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19 - Il-politika soċjali u l-impjiegi 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20 - Il-politika imprenditorjali u industrijali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25 - Ix-xjenza u r-riċerka 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26 - L-edukazzjoni u l-kultura</w:t>
            </w:r>
          </w:p>
          <w:p>
            <w:pPr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29 - L-unjoni dognali</w:t>
            </w:r>
          </w:p>
        </w:tc>
      </w:tr>
      <w:tr>
        <w:tc>
          <w:tcPr>
            <w:tcW w:w="4656" w:type="dxa"/>
          </w:tcPr>
          <w:p>
            <w:pPr>
              <w:numPr>
                <w:ilvl w:val="0"/>
                <w:numId w:val="20"/>
              </w:numPr>
              <w:spacing w:after="120"/>
              <w:ind w:left="284" w:hanging="284"/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L-aġenda ekoloġika u l-konnettività sostenibbli</w:t>
            </w:r>
          </w:p>
        </w:tc>
        <w:tc>
          <w:tcPr>
            <w:tcW w:w="4630" w:type="dxa"/>
          </w:tcPr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14 - Il-politika dwar it-trasport 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15 - L-enerġija 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21 - In-netwerks trans-Ewropej </w:t>
            </w:r>
          </w:p>
          <w:p>
            <w:pPr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27 - L-ambjent u t-tibdil fil-klima</w:t>
            </w:r>
          </w:p>
        </w:tc>
      </w:tr>
      <w:tr>
        <w:tc>
          <w:tcPr>
            <w:tcW w:w="4656" w:type="dxa"/>
          </w:tcPr>
          <w:p>
            <w:pPr>
              <w:numPr>
                <w:ilvl w:val="0"/>
                <w:numId w:val="20"/>
              </w:numPr>
              <w:spacing w:after="120"/>
              <w:ind w:left="284" w:hanging="284"/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Ir-riżorsi, l-agrikoltura u l-koeżjoni</w:t>
            </w:r>
          </w:p>
        </w:tc>
        <w:tc>
          <w:tcPr>
            <w:tcW w:w="4630" w:type="dxa"/>
          </w:tcPr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11 - L-agrikoltura u l-iżvilupp rurali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12 - Il-politika dwar is-sigurtà tal-ikel, dik veterinarja u dik fitosanitarja 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13 - Is-sajd </w:t>
            </w:r>
          </w:p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22 - Il-politika reġjonali u l-koordinazzjoni ta’ strumenti strutturali </w:t>
            </w:r>
          </w:p>
          <w:p>
            <w:pPr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33 - Dispożizzjonijiet finanzjarji u baġitarji</w:t>
            </w:r>
          </w:p>
        </w:tc>
      </w:tr>
      <w:tr>
        <w:tc>
          <w:tcPr>
            <w:tcW w:w="4656" w:type="dxa"/>
          </w:tcPr>
          <w:p>
            <w:pPr>
              <w:numPr>
                <w:ilvl w:val="0"/>
                <w:numId w:val="20"/>
              </w:numPr>
              <w:spacing w:after="120"/>
              <w:ind w:left="284" w:hanging="284"/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Ir-relazzjonijiet esterni</w:t>
            </w:r>
          </w:p>
        </w:tc>
        <w:tc>
          <w:tcPr>
            <w:tcW w:w="4630" w:type="dxa"/>
          </w:tcPr>
          <w:p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30 - Ir-relazzjonijiet esterni </w:t>
            </w:r>
          </w:p>
          <w:p>
            <w:pPr>
              <w:rPr>
                <w:rFonts w:ascii="Times New Roman" w:hAnsi="Times New Roman" w:cs="Times New Roman"/>
                <w:b/>
                <w:noProof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31 - Il-politika barranija, ta’ sigurta u tad-difiża</w:t>
            </w:r>
          </w:p>
        </w:tc>
      </w:tr>
    </w:tbl>
    <w:p>
      <w:pPr>
        <w:spacing w:after="120" w:line="240" w:lineRule="auto"/>
        <w:rPr>
          <w:noProof/>
          <w:sz w:val="24"/>
          <w:szCs w:val="24"/>
        </w:rPr>
      </w:pPr>
    </w:p>
    <w:p>
      <w:pPr>
        <w:spacing w:before="100" w:beforeAutospacing="1" w:after="100" w:afterAutospacing="1"/>
        <w:rPr>
          <w:noProof/>
          <w:color w:val="1F497D"/>
          <w:sz w:val="24"/>
          <w:szCs w:val="24"/>
        </w:rPr>
      </w:pPr>
      <w:r>
        <w:rPr>
          <w:noProof/>
          <w:color w:val="1F497D"/>
          <w:sz w:val="24"/>
          <w:szCs w:val="24"/>
        </w:rPr>
        <w:t xml:space="preserve"> </w:t>
      </w:r>
    </w:p>
    <w:p>
      <w:pPr>
        <w:rPr>
          <w:noProof/>
          <w:sz w:val="24"/>
          <w:szCs w:val="24"/>
        </w:rPr>
      </w:pPr>
    </w:p>
    <w:sectPr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992441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>
        <w:pPr>
          <w:pStyle w:val="Foot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  <w:footnote w:id="2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Perspettiva kredibbli għat-tkabbir u involviment akbar tal-UE mal-Balkani tal-Punent, COM(2018) 65 final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16E"/>
    <w:multiLevelType w:val="hybridMultilevel"/>
    <w:tmpl w:val="A1EA29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C7712D"/>
    <w:multiLevelType w:val="hybridMultilevel"/>
    <w:tmpl w:val="87149E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52AB7"/>
    <w:multiLevelType w:val="hybridMultilevel"/>
    <w:tmpl w:val="DD443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D110A"/>
    <w:multiLevelType w:val="hybridMultilevel"/>
    <w:tmpl w:val="BD9224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93B20"/>
    <w:multiLevelType w:val="hybridMultilevel"/>
    <w:tmpl w:val="64243D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20FF1"/>
    <w:multiLevelType w:val="hybridMultilevel"/>
    <w:tmpl w:val="45261496"/>
    <w:lvl w:ilvl="0" w:tplc="1D1648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17F54"/>
    <w:multiLevelType w:val="hybridMultilevel"/>
    <w:tmpl w:val="117AE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71763A"/>
    <w:multiLevelType w:val="hybridMultilevel"/>
    <w:tmpl w:val="945C378E"/>
    <w:lvl w:ilvl="0" w:tplc="4AC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DD343D"/>
    <w:multiLevelType w:val="hybridMultilevel"/>
    <w:tmpl w:val="50A4FC54"/>
    <w:lvl w:ilvl="0" w:tplc="BA480F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3514C"/>
    <w:multiLevelType w:val="multilevel"/>
    <w:tmpl w:val="224C14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E6345CF"/>
    <w:multiLevelType w:val="hybridMultilevel"/>
    <w:tmpl w:val="D7961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BA2BFA"/>
    <w:multiLevelType w:val="hybridMultilevel"/>
    <w:tmpl w:val="77883D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C4FCB"/>
    <w:multiLevelType w:val="hybridMultilevel"/>
    <w:tmpl w:val="D21C0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401E6"/>
    <w:multiLevelType w:val="hybridMultilevel"/>
    <w:tmpl w:val="257417F8"/>
    <w:lvl w:ilvl="0" w:tplc="1C9268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868FC"/>
    <w:multiLevelType w:val="hybridMultilevel"/>
    <w:tmpl w:val="E196F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9E686E"/>
    <w:multiLevelType w:val="hybridMultilevel"/>
    <w:tmpl w:val="CF38284C"/>
    <w:lvl w:ilvl="0" w:tplc="1D1648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97028"/>
    <w:multiLevelType w:val="hybridMultilevel"/>
    <w:tmpl w:val="91784AC0"/>
    <w:lvl w:ilvl="0" w:tplc="1D1648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12096"/>
    <w:multiLevelType w:val="hybridMultilevel"/>
    <w:tmpl w:val="95B81AB6"/>
    <w:lvl w:ilvl="0" w:tplc="1C9268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E47A4B"/>
    <w:multiLevelType w:val="hybridMultilevel"/>
    <w:tmpl w:val="D4765D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B3521"/>
    <w:multiLevelType w:val="hybridMultilevel"/>
    <w:tmpl w:val="016497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DC2FE5"/>
    <w:multiLevelType w:val="hybridMultilevel"/>
    <w:tmpl w:val="190A17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5D077E"/>
    <w:multiLevelType w:val="hybridMultilevel"/>
    <w:tmpl w:val="D4765D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D17E87"/>
    <w:multiLevelType w:val="hybridMultilevel"/>
    <w:tmpl w:val="14B6008A"/>
    <w:lvl w:ilvl="0" w:tplc="6128C8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E142F"/>
    <w:multiLevelType w:val="hybridMultilevel"/>
    <w:tmpl w:val="A68496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4D2DC3"/>
    <w:multiLevelType w:val="hybridMultilevel"/>
    <w:tmpl w:val="A37C74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C1E0A"/>
    <w:multiLevelType w:val="hybridMultilevel"/>
    <w:tmpl w:val="219A8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C9792E"/>
    <w:multiLevelType w:val="hybridMultilevel"/>
    <w:tmpl w:val="6AA844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1B4A79"/>
    <w:multiLevelType w:val="hybridMultilevel"/>
    <w:tmpl w:val="B9A684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15782E"/>
    <w:multiLevelType w:val="hybridMultilevel"/>
    <w:tmpl w:val="8514C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C71342"/>
    <w:multiLevelType w:val="hybridMultilevel"/>
    <w:tmpl w:val="DCFE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E11540"/>
    <w:multiLevelType w:val="hybridMultilevel"/>
    <w:tmpl w:val="42A890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2730A"/>
    <w:multiLevelType w:val="hybridMultilevel"/>
    <w:tmpl w:val="190E7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31"/>
  </w:num>
  <w:num w:numId="4">
    <w:abstractNumId w:val="28"/>
  </w:num>
  <w:num w:numId="5">
    <w:abstractNumId w:val="12"/>
  </w:num>
  <w:num w:numId="6">
    <w:abstractNumId w:val="16"/>
  </w:num>
  <w:num w:numId="7">
    <w:abstractNumId w:val="17"/>
  </w:num>
  <w:num w:numId="8">
    <w:abstractNumId w:val="5"/>
  </w:num>
  <w:num w:numId="9">
    <w:abstractNumId w:val="13"/>
  </w:num>
  <w:num w:numId="10">
    <w:abstractNumId w:val="7"/>
  </w:num>
  <w:num w:numId="11">
    <w:abstractNumId w:val="1"/>
  </w:num>
  <w:num w:numId="12">
    <w:abstractNumId w:val="11"/>
  </w:num>
  <w:num w:numId="13">
    <w:abstractNumId w:val="8"/>
  </w:num>
  <w:num w:numId="14">
    <w:abstractNumId w:val="19"/>
  </w:num>
  <w:num w:numId="15">
    <w:abstractNumId w:val="21"/>
  </w:num>
  <w:num w:numId="16">
    <w:abstractNumId w:val="4"/>
  </w:num>
  <w:num w:numId="17">
    <w:abstractNumId w:val="9"/>
  </w:num>
  <w:num w:numId="18">
    <w:abstractNumId w:val="30"/>
  </w:num>
  <w:num w:numId="19">
    <w:abstractNumId w:val="10"/>
  </w:num>
  <w:num w:numId="20">
    <w:abstractNumId w:val="22"/>
  </w:num>
  <w:num w:numId="21">
    <w:abstractNumId w:val="0"/>
  </w:num>
  <w:num w:numId="22">
    <w:abstractNumId w:val="23"/>
  </w:num>
  <w:num w:numId="23">
    <w:abstractNumId w:val="26"/>
  </w:num>
  <w:num w:numId="24">
    <w:abstractNumId w:val="6"/>
  </w:num>
  <w:num w:numId="25">
    <w:abstractNumId w:val="24"/>
  </w:num>
  <w:num w:numId="26">
    <w:abstractNumId w:val="14"/>
  </w:num>
  <w:num w:numId="27">
    <w:abstractNumId w:val="29"/>
  </w:num>
  <w:num w:numId="28">
    <w:abstractNumId w:val="27"/>
  </w:num>
  <w:num w:numId="29">
    <w:abstractNumId w:val="15"/>
  </w:num>
  <w:num w:numId="30">
    <w:abstractNumId w:val="18"/>
  </w:num>
  <w:num w:numId="31">
    <w:abstractNumId w:val="3"/>
  </w:num>
  <w:num w:numId="32">
    <w:abstractNumId w:val="20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hideSpellingErrors/>
  <w:hideGrammaticalErrors/>
  <w:revisionView w:markup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376B863C-DC8F-4A9F-A2AE-3B6095E58DFB"/>
    <w:docVar w:name="LW_COVERPAGE_TYPE" w:val="1"/>
    <w:docVar w:name="LW_CROSSREFERENCE" w:val="&lt;UNUSED&gt;"/>
    <w:docVar w:name="LW_DocType" w:val="NORMAL"/>
    <w:docVar w:name="LW_EMISSION" w:val="5.2.2020"/>
    <w:docVar w:name="LW_EMISSION_ISODATE" w:val="2020-02-05"/>
    <w:docVar w:name="LW_EMISSION_LOCATION" w:val="BRX"/>
    <w:docVar w:name="LW_EMISSION_PREFIX" w:val="Brussell, "/>
    <w:docVar w:name="LW_EMISSION_SUFFIX" w:val=" "/>
    <w:docVar w:name="LW_ID_DOCTYPE_NONLW" w:val="CP-014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0) 57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It-titjib tal-pro\u267?ess tal-ade\u380?joni - Perspettiva kredibbli tal-UE g\u295?all-Balkani tal-Punent"/>
    <w:docVar w:name="LW_TYPE.DOC.CP" w:val="KOMUNIKAZZJONI TAL-KUMMISSJONI LILL-PARLAMENT EWROPEW, LILL-KUNSILL, LILL-KUMITAT EKONOMIKU U SO\u266?JALI EWROPEW U LILL-KUMITAT TAR-RE\u288?JUNI"/>
    <w:docVar w:name="LW_TYPE.DOC.CP.USERTEXT" w:val="&lt;EMPTY&gt;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FootnoteText">
    <w:name w:val="footnote text"/>
    <w:aliases w:val="Fußnote,Footnote Text Char Char Char,Footnote Text Char Char,single space,Fußnotentextf,Footnote text,fn,Schriftart: 9 pt,Schriftart: 10 pt,Schriftart: 8 pt,WB-Fußnotentext,footnote text Carattere,Geneva 9,Font: Geneva 9"/>
    <w:basedOn w:val="Normal"/>
    <w:link w:val="Foot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 Char,Footnote Text Char Char Char Char,Footnote Text Char Char Char1,single space Char,Fußnotentextf Char,Footnote text Char,fn Char,Schriftart: 9 pt Char,Schriftart: 10 pt Char,Schriftart: 8 pt Char,WB-Fußnoten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aliases w:val="ftref,BVI fnr,(Footnote Reference), BVI fnr,Footnote symbol,Footnotes refss,Footnote Reference Superscript,SUPERS,Footnote,Footnote reference number,note TESI,EN Footnote Reference,Voetnootverwijzing,Times 10 Point,Ref"/>
    <w:basedOn w:val="DefaultParagraphFont"/>
    <w:uiPriority w:val="99"/>
    <w:unhideWhenUsed/>
    <w:qFormat/>
    <w:rPr>
      <w:vertAlign w:val="superscript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iefingtext">
    <w:name w:val="Briefing text"/>
    <w:basedOn w:val="Normal"/>
    <w:link w:val="BriefingtextChar"/>
    <w:p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riefingtextChar">
    <w:name w:val="Briefing text Char"/>
    <w:link w:val="Briefingtext"/>
    <w:rPr>
      <w:rFonts w:ascii="Arial" w:eastAsia="Times New Roman" w:hAnsi="Arial" w:cs="Arial"/>
      <w:szCs w:val="24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  <w:lang w:val="mt-MT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Pr>
      <w:rFonts w:ascii="Times New Roman" w:hAnsi="Times New Roman" w:cs="Times New Roman"/>
      <w:sz w:val="28"/>
    </w:rPr>
  </w:style>
  <w:style w:type="character" w:customStyle="1" w:styleId="FootnoteTextChar1">
    <w:name w:val="Footnote Text Char1"/>
    <w:basedOn w:val="DefaultParagraphFont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FootnoteText">
    <w:name w:val="footnote text"/>
    <w:aliases w:val="Fußnote,Footnote Text Char Char Char,Footnote Text Char Char,single space,Fußnotentextf,Footnote text,fn,Schriftart: 9 pt,Schriftart: 10 pt,Schriftart: 8 pt,WB-Fußnotentext,footnote text Carattere,Geneva 9,Font: Geneva 9"/>
    <w:basedOn w:val="Normal"/>
    <w:link w:val="Foot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 Char,Footnote Text Char Char Char Char,Footnote Text Char Char Char1,single space Char,Fußnotentextf Char,Footnote text Char,fn Char,Schriftart: 9 pt Char,Schriftart: 10 pt Char,Schriftart: 8 pt Char,WB-Fußnoten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aliases w:val="ftref,BVI fnr,(Footnote Reference), BVI fnr,Footnote symbol,Footnotes refss,Footnote Reference Superscript,SUPERS,Footnote,Footnote reference number,note TESI,EN Footnote Reference,Voetnootverwijzing,Times 10 Point,Ref"/>
    <w:basedOn w:val="DefaultParagraphFont"/>
    <w:uiPriority w:val="99"/>
    <w:unhideWhenUsed/>
    <w:qFormat/>
    <w:rPr>
      <w:vertAlign w:val="superscript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iefingtext">
    <w:name w:val="Briefing text"/>
    <w:basedOn w:val="Normal"/>
    <w:link w:val="BriefingtextChar"/>
    <w:pPr>
      <w:spacing w:after="24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BriefingtextChar">
    <w:name w:val="Briefing text Char"/>
    <w:link w:val="Briefingtext"/>
    <w:rPr>
      <w:rFonts w:ascii="Arial" w:eastAsia="Times New Roman" w:hAnsi="Arial" w:cs="Arial"/>
      <w:szCs w:val="24"/>
    </w:r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  <w:lang w:val="mt-MT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Pr>
      <w:rFonts w:ascii="Times New Roman" w:hAnsi="Times New Roman" w:cs="Times New Roman"/>
      <w:sz w:val="28"/>
    </w:rPr>
  </w:style>
  <w:style w:type="character" w:customStyle="1" w:styleId="FootnoteTextChar1">
    <w:name w:val="Footnote Text Char1"/>
    <w:basedOn w:val="DefaultParagraphFon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78FBA-6183-4EC4-93BC-30C48766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2989</Words>
  <Characters>20989</Characters>
  <Application>Microsoft Office Word</Application>
  <DocSecurity>0</DocSecurity>
  <Lines>333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2020-02-11T14:57:00Z</dcterms:created>
  <dcterms:modified xsi:type="dcterms:W3CDTF">2020-02-17T10:43:00Z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CP-014</vt:lpwstr>
  </property>
  <property fmtid="{D5CDD505-2E9C-101B-9397-08002B2CF9AE}" pid="7" name="Last edited using">
    <vt:lpwstr>LW 7.0, Build 20190717</vt:lpwstr>
  </property>
  <property fmtid="{D5CDD505-2E9C-101B-9397-08002B2CF9AE}" pid="8" name="Created using">
    <vt:lpwstr>LW 7.0, Build 20190717</vt:lpwstr>
  </property>
</Properties>
</file>