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BFD" w:rsidRPr="00BC51C9" w:rsidRDefault="00BC51C9" w:rsidP="00BC51C9">
      <w:pPr>
        <w:pStyle w:val="Pagedecouverture"/>
        <w:rPr>
          <w:noProof/>
          <w:szCs w:val="24"/>
        </w:rPr>
      </w:pPr>
      <w:bookmarkStart w:id="0" w:name="LW_BM_COVERPAGE"/>
      <w:r w:rsidRPr="00BC51C9">
        <w:rPr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5F7DAF48-9111-474D-BBCB-37338A3DB254" style="width:450pt;height:511.2pt">
            <v:imagedata r:id="rId8" o:title=""/>
          </v:shape>
        </w:pict>
      </w:r>
    </w:p>
    <w:bookmarkEnd w:id="0"/>
    <w:p w:rsidR="00B94BFD" w:rsidRPr="00BC51C9" w:rsidRDefault="00B94BFD" w:rsidP="00BC51C9">
      <w:pPr>
        <w:spacing w:after="120" w:line="240" w:lineRule="auto"/>
        <w:rPr>
          <w:rFonts w:ascii="Times New Roman" w:hAnsi="Times New Roman" w:cs="Times New Roman"/>
          <w:noProof/>
          <w:sz w:val="24"/>
          <w:szCs w:val="24"/>
          <w:lang w:val="en-GB"/>
        </w:rPr>
        <w:sectPr w:rsidR="00B94BFD" w:rsidRPr="00BC51C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:rsidR="00B94BFD" w:rsidRPr="00BC51C9" w:rsidRDefault="00BC51C9" w:rsidP="00BC51C9">
      <w:pPr>
        <w:pStyle w:val="Body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 xml:space="preserve">Komunikazzjoni tal-Kummissjoni dwar </w:t>
      </w:r>
    </w:p>
    <w:p w:rsidR="00B94BFD" w:rsidRPr="00BC51C9" w:rsidRDefault="00BC51C9" w:rsidP="00BC51C9">
      <w:pPr>
        <w:pStyle w:val="Body"/>
        <w:spacing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Appoġġ lill-Balkani tal-Punent fil-ġlieda kontra l-COVID-19 u l-irkupru wara l-pandemija </w:t>
      </w:r>
    </w:p>
    <w:p w:rsidR="00B94BFD" w:rsidRPr="00BC51C9" w:rsidRDefault="00B94BFD" w:rsidP="00BC51C9">
      <w:pPr>
        <w:pStyle w:val="Body"/>
        <w:spacing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</w:p>
    <w:p w:rsidR="00B94BFD" w:rsidRPr="00BC51C9" w:rsidRDefault="00BC51C9" w:rsidP="00BC51C9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BC51C9">
        <w:rPr>
          <w:rFonts w:ascii="Times New Roman" w:hAnsi="Times New Roman"/>
          <w:b/>
          <w:bCs/>
          <w:noProof/>
          <w:sz w:val="24"/>
          <w:szCs w:val="24"/>
        </w:rPr>
        <w:t xml:space="preserve">Introduzzjoni </w:t>
      </w:r>
    </w:p>
    <w:p w:rsidR="00B94BFD" w:rsidRPr="00BC51C9" w:rsidRDefault="00B94BFD" w:rsidP="00BC51C9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</w:p>
    <w:p w:rsidR="00B94BFD" w:rsidRPr="00BC51C9" w:rsidRDefault="00BC51C9" w:rsidP="00BC51C9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C51C9">
        <w:rPr>
          <w:rFonts w:ascii="Times New Roman" w:hAnsi="Times New Roman" w:cs="Times New Roman"/>
          <w:noProof/>
          <w:sz w:val="24"/>
          <w:szCs w:val="24"/>
        </w:rPr>
        <w:t>Il-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Balkani tal-Punent huma parti integrali mill-Ewropa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u prijorità ġeostrateġika għall-Unjoni Ewropea. Il-perspettiva Ewropea tar-reġjun kollu ġiet konfermata mill-ġdid f’Marzu 2020, meta l-Istati Membri approvaw il-proposta tal-Kummissjoni għal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metodoloġija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msaħħa</w:t>
      </w:r>
      <w:r w:rsidRPr="00BC51C9">
        <w:rPr>
          <w:rFonts w:ascii="Times New Roman" w:eastAsia="Times New Roman" w:hAnsi="Times New Roman" w:cs="Times New Roman"/>
          <w:b/>
          <w:bCs/>
          <w:noProof/>
          <w:sz w:val="24"/>
          <w:szCs w:val="24"/>
          <w:vertAlign w:val="superscript"/>
          <w:lang w:val="en-US"/>
        </w:rPr>
        <w:footnoteReference w:id="2"/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għall-proċess tal-adeżjoni u ddeċidew li jiftħu in-negozjati tal-adeżjoni mar-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Repubblika tal-Albanija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u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r-Repubblika tal-Maċedonja ta’ Fuq</w:t>
      </w:r>
      <w:r w:rsidRPr="00BC51C9">
        <w:rPr>
          <w:rFonts w:ascii="Times New Roman" w:hAnsi="Times New Roman" w:cs="Times New Roman"/>
          <w:noProof/>
          <w:sz w:val="24"/>
          <w:szCs w:val="24"/>
        </w:rPr>
        <w:t>.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Huwa ta’ importanza ewlenija għall-Unjoni Ewropea li tkompli trawwem l-istabbiltà u l-prosperità ta’ dan ir-reġjun, u tibni fuq l-interessi strateġiċi komuni tagħna. </w:t>
      </w:r>
    </w:p>
    <w:p w:rsidR="00B94BFD" w:rsidRPr="00BC51C9" w:rsidRDefault="00BC51C9" w:rsidP="00BC51C9">
      <w:pPr>
        <w:pStyle w:val="FootnoteText"/>
        <w:spacing w:after="120"/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BC51C9">
        <w:rPr>
          <w:rFonts w:ascii="Times New Roman" w:hAnsi="Times New Roman"/>
          <w:noProof/>
          <w:sz w:val="24"/>
          <w:szCs w:val="24"/>
        </w:rPr>
        <w:t>Minkejja l-miżuri determinati li l-imsieħba tal-Balkani tal-Punent ħadu huma stess, il-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p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andemija tal-COVID-19</w:t>
      </w:r>
      <w:r w:rsidRPr="00BC51C9">
        <w:rPr>
          <w:rFonts w:ascii="Times New Roman" w:hAnsi="Times New Roman"/>
          <w:noProof/>
          <w:sz w:val="24"/>
          <w:szCs w:val="24"/>
        </w:rPr>
        <w:t xml:space="preserve">, flimkien mal-impatt immedjat tagħha fuq il-bniedem, 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qed ikollha effett ta’ tfixkil fuq l-ekonomiji tar-reġjun u fuq il-ħajja tan-nies</w:t>
      </w:r>
      <w:r w:rsidRPr="00BC51C9">
        <w:rPr>
          <w:rFonts w:ascii="Times New Roman" w:hAnsi="Times New Roman"/>
          <w:noProof/>
          <w:sz w:val="24"/>
          <w:szCs w:val="24"/>
        </w:rPr>
        <w:t>. Dan jirrappreżenta piż bla preċedent fuq is-sistemi tas-saħħa u l-protezzjoni soċjali tagħhom. Elu</w:t>
      </w:r>
      <w:r w:rsidRPr="00BC51C9">
        <w:rPr>
          <w:rFonts w:ascii="Times New Roman" w:hAnsi="Times New Roman"/>
          <w:noProof/>
          <w:sz w:val="24"/>
          <w:szCs w:val="24"/>
        </w:rPr>
        <w:t>f ta’ ċittadini huma f’riskju li jitilfu l-impjieg tagħhom, u miżuri temporanji ta’ appoġġ mill-gvern (benefiċċji tal-qgħad, differimenti/rinunzji għat-taxxa u l-kontribuzzjonijiet tas-sigurtà soċjali, eċċ.) għandhom impatt fiskali importanti. Il-gvernijie</w:t>
      </w:r>
      <w:r w:rsidRPr="00BC51C9">
        <w:rPr>
          <w:rFonts w:ascii="Times New Roman" w:hAnsi="Times New Roman"/>
          <w:noProof/>
          <w:sz w:val="24"/>
          <w:szCs w:val="24"/>
        </w:rPr>
        <w:t xml:space="preserve">t għandhom ukoll jespandu rapidament il-kopertura tas-sistemi ta’ protezzjoni soċjali. Il-pandemija affettwat ukoll l-isforzi komuni relatati mal-migrazzjoni. </w:t>
      </w:r>
    </w:p>
    <w:p w:rsidR="00B94BFD" w:rsidRPr="00BC51C9" w:rsidRDefault="00BC51C9" w:rsidP="00BC51C9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Filwaqt li l-UE nnifisha hija affettwata b’mod qawwi mill-pandemija,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għandha responsabbiltà u in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teress partikolari li tmexxi r-rispons globali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u tipprovdi assistenza lil sħab fil-bżonn, aktar u aktar fil-viċinat immedjat tagħha. Bħala parti mill-isforzi internazzjonali tagħha, l-UE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qed tipprovdi appoġġ essenzjali u uniku lill-Balkani tal-Punent</w:t>
      </w:r>
      <w:r w:rsidRPr="00BC51C9">
        <w:rPr>
          <w:rFonts w:ascii="Times New Roman" w:hAnsi="Times New Roman" w:cs="Times New Roman"/>
          <w:noProof/>
          <w:sz w:val="24"/>
          <w:szCs w:val="24"/>
        </w:rPr>
        <w:t>. L-UE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qed tiżgura appoġġ finanzjarju ta’ aktar minn EUR 3.3 biljun għall-pajjiżi fir-reġjun biex jindirizzaw il-kriżi tas-saħħa immedjata u l-ħtiġijiet umanitarji li jirriżultaw, kif ukoll impatt fit-tul u strutturali fuq is-soċjetajiet u l-ekonomiji tagħhom. M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inħabba l-perspettiva Ewropea tagħhom, qiegħda wkoll tittratta lill-Balkani tal-Punent bħala sħab privileġġjati billi tagħtihom aċċess għal ħafna inizjattivi u strumenti riservati għall-Istati Membri tal-UE. </w:t>
      </w:r>
    </w:p>
    <w:p w:rsidR="00B94BFD" w:rsidRPr="00BC51C9" w:rsidRDefault="00BC51C9" w:rsidP="00BC51C9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C51C9">
        <w:rPr>
          <w:rFonts w:ascii="Times New Roman" w:hAnsi="Times New Roman" w:cs="Times New Roman"/>
          <w:noProof/>
          <w:sz w:val="24"/>
          <w:szCs w:val="24"/>
        </w:rPr>
        <w:t>Il-mexxejja tal-UE u dawk tar-reġjun ser jiltaq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għu fit-6 ta’ Mejju 2020 biex jirriflettu dwar l-isfidi li qed jiffaċċjaw flimkien. Biex tikkontribwixxi għal dawn id-diskussjonijiet, din il-Komunikazzjoni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tistabbilixxi s-solidarjetà tal-Unjoni Ewropea mal-Balkani tal-Punent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hekk kif dawn jindirizzaw l-i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mpatt immedjat tal-COVID-19, u tistabbilixxi l-oqsma ta’ kooperazzjoni reċiproka. Hija tħares ’il quddiem għal appoġġ aktar fit-tul mill-UE għall-irkupru ekonomiku, filwaqt li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tistabbilixxi x-xena għal pjan ekonomiku u ta’ investiment aktar dettaljat għar-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reġjun, li se jiġi ppreżentat mill-Kummissjoni 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aktar tard din is-sena. </w:t>
      </w:r>
      <w:r w:rsidRPr="00BC51C9">
        <w:rPr>
          <w:rFonts w:ascii="Times New Roman" w:hAnsi="Times New Roman" w:cs="Times New Roman"/>
          <w:noProof/>
          <w:sz w:val="24"/>
          <w:szCs w:val="24"/>
        </w:rPr>
        <w:t>Hija tistenna wkoll aktar impenn u appoġġ intensifikat tal-UE biex titwettaq il-perspettiva Ewropea tar-reġjun billi jingħata appoġġ lis-sħab kollha biex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jiġu indirizzati r-riformi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demo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kratiċi fundamentali, l-istat tad-dritt u r-riformi ekonomiċi u legali meħtieġa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b’aktar ħeġġa, kif previst fil-metodoloġija msaħħa.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B94BFD" w:rsidRPr="00BC51C9" w:rsidRDefault="00B94BFD" w:rsidP="00BC51C9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B94BFD" w:rsidRPr="00BC51C9" w:rsidRDefault="00B94BFD" w:rsidP="00BC51C9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B94BFD" w:rsidRPr="00BC51C9" w:rsidRDefault="00BC51C9" w:rsidP="00BC51C9">
      <w:pPr>
        <w:pStyle w:val="ListParagraph"/>
        <w:keepNext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783" w:hanging="482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BC51C9">
        <w:rPr>
          <w:rFonts w:ascii="Times New Roman" w:hAnsi="Times New Roman"/>
          <w:b/>
          <w:bCs/>
          <w:noProof/>
          <w:sz w:val="24"/>
          <w:szCs w:val="24"/>
        </w:rPr>
        <w:t xml:space="preserve">Appoġġ tal-UE lill-Balkani tal-Punent fil-ġlieda kontra l-COVID-19 </w:t>
      </w:r>
    </w:p>
    <w:p w:rsidR="00B94BFD" w:rsidRPr="00BC51C9" w:rsidRDefault="00BC51C9" w:rsidP="00BC51C9">
      <w:pPr>
        <w:pStyle w:val="FootnoteText"/>
        <w:spacing w:after="120"/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BC51C9">
        <w:rPr>
          <w:rFonts w:ascii="Times New Roman" w:hAnsi="Times New Roman"/>
          <w:noProof/>
          <w:sz w:val="24"/>
          <w:szCs w:val="24"/>
        </w:rPr>
        <w:t>Fit-tweġiba tagħha għall-kriżi, l-UE ddeċidiet li tip</w:t>
      </w:r>
      <w:r w:rsidRPr="00BC51C9">
        <w:rPr>
          <w:rFonts w:ascii="Times New Roman" w:hAnsi="Times New Roman"/>
          <w:noProof/>
          <w:sz w:val="24"/>
          <w:szCs w:val="24"/>
        </w:rPr>
        <w:t>provdi appoġġ finanzjarju sostanzjali, iżda wkoll li tinkludi, sa fejn ikun l-aktar possibbli, il-Balkani tal-Punent fir-rispons tagħha stess. Filwaqt li l-appoġġ ġie estiż ukoll minn sħab oħrajn tar-reġjun, proċeduri flessibbli u deċiżjonijiet f’waqthom w</w:t>
      </w:r>
      <w:r w:rsidRPr="00BC51C9">
        <w:rPr>
          <w:rFonts w:ascii="Times New Roman" w:hAnsi="Times New Roman"/>
          <w:noProof/>
          <w:sz w:val="24"/>
          <w:szCs w:val="24"/>
        </w:rPr>
        <w:t>asslu biex l-UE tkun għal darb’oħra l-aktar sieħeb effettiv u affidabbli tar-reġjun.</w:t>
      </w:r>
    </w:p>
    <w:p w:rsidR="00B94BFD" w:rsidRPr="00BC51C9" w:rsidRDefault="00BC51C9" w:rsidP="00BC51C9">
      <w:pPr>
        <w:pStyle w:val="FootnoteText"/>
        <w:spacing w:after="120"/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BC51C9">
        <w:rPr>
          <w:rFonts w:ascii="Times New Roman" w:hAnsi="Times New Roman"/>
          <w:noProof/>
          <w:sz w:val="24"/>
          <w:szCs w:val="24"/>
        </w:rPr>
        <w:t xml:space="preserve">L-UE mmobilizzat 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 xml:space="preserve">pakkett ta’ aktar minn EUR 3.3 biljun </w:t>
      </w:r>
      <w:r w:rsidRPr="00BC51C9">
        <w:rPr>
          <w:rFonts w:ascii="Times New Roman" w:hAnsi="Times New Roman"/>
          <w:bCs/>
          <w:noProof/>
          <w:sz w:val="24"/>
          <w:szCs w:val="24"/>
        </w:rPr>
        <w:t>għal-benefiċċju taċ-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ċ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ittadini</w:t>
      </w:r>
      <w:r w:rsidRPr="00BC51C9">
        <w:rPr>
          <w:rFonts w:ascii="Times New Roman" w:hAnsi="Times New Roman"/>
          <w:bCs/>
          <w:noProof/>
          <w:sz w:val="24"/>
          <w:szCs w:val="24"/>
        </w:rPr>
        <w:t xml:space="preserve"> tal-Balkani tal-Punent.</w:t>
      </w:r>
      <w:r w:rsidRPr="00BC51C9">
        <w:rPr>
          <w:rFonts w:ascii="Times New Roman" w:eastAsia="Times New Roman" w:hAnsi="Times New Roman"/>
          <w:b/>
          <w:bCs/>
          <w:noProof/>
          <w:sz w:val="24"/>
          <w:szCs w:val="24"/>
          <w:vertAlign w:val="superscript"/>
          <w:lang w:val="en-US"/>
        </w:rPr>
        <w:footnoteReference w:id="3"/>
      </w:r>
      <w:r w:rsidRPr="00BC51C9">
        <w:rPr>
          <w:rFonts w:ascii="Times New Roman" w:hAnsi="Times New Roman"/>
          <w:noProof/>
          <w:sz w:val="24"/>
          <w:szCs w:val="24"/>
        </w:rPr>
        <w:t xml:space="preserve">. </w:t>
      </w:r>
      <w:r w:rsidRPr="00BC51C9">
        <w:rPr>
          <w:rFonts w:ascii="Times New Roman" w:hAnsi="Times New Roman"/>
          <w:noProof/>
          <w:sz w:val="24"/>
          <w:szCs w:val="24"/>
        </w:rPr>
        <w:t xml:space="preserve">Dan jinkludi riallokazzjonijiet minn 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 xml:space="preserve">Strument 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għall-Assistenza ta' Qabel l-Adeżjoni</w:t>
      </w:r>
      <w:r w:rsidRPr="00BC51C9">
        <w:rPr>
          <w:rFonts w:ascii="Times New Roman" w:hAnsi="Times New Roman"/>
          <w:noProof/>
          <w:sz w:val="24"/>
          <w:szCs w:val="24"/>
        </w:rPr>
        <w:t xml:space="preserve"> </w:t>
      </w:r>
      <w:r w:rsidRPr="00BC51C9">
        <w:rPr>
          <w:rFonts w:ascii="Times New Roman" w:eastAsia="Times New Roman" w:hAnsi="Times New Roman"/>
          <w:b/>
          <w:bCs/>
          <w:noProof/>
          <w:sz w:val="24"/>
          <w:szCs w:val="24"/>
          <w:vertAlign w:val="superscript"/>
          <w:lang w:val="en-US"/>
        </w:rPr>
        <w:footnoteReference w:id="4"/>
      </w:r>
      <w:r w:rsidRPr="00BC51C9">
        <w:rPr>
          <w:rFonts w:ascii="Times New Roman" w:hAnsi="Times New Roman"/>
          <w:noProof/>
          <w:sz w:val="24"/>
          <w:szCs w:val="24"/>
        </w:rPr>
        <w:t xml:space="preserve"> 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ta’ EUR 38 miljun</w:t>
      </w:r>
      <w:r w:rsidRPr="00BC51C9">
        <w:rPr>
          <w:rFonts w:ascii="Times New Roman" w:hAnsi="Times New Roman"/>
          <w:noProof/>
          <w:sz w:val="24"/>
          <w:szCs w:val="24"/>
        </w:rPr>
        <w:t xml:space="preserve"> ta’ appoġġ immedjat għas-settur tas-saħħa, b’mod partikolari permezz ta’ twassil ta’ provvisti essenzjali li jsalvaw il-ħajjiet bħal tagħmir ta' protezzjoni personali, testijiet u ventilaturi</w:t>
      </w:r>
      <w:r w:rsidRPr="00BC51C9">
        <w:rPr>
          <w:rFonts w:ascii="Times New Roman" w:eastAsia="Times New Roman" w:hAnsi="Times New Roman"/>
          <w:noProof/>
          <w:sz w:val="24"/>
          <w:szCs w:val="24"/>
          <w:vertAlign w:val="superscript"/>
          <w:lang w:val="en-US"/>
        </w:rPr>
        <w:footnoteReference w:id="5"/>
      </w:r>
      <w:r w:rsidRPr="00BC51C9">
        <w:rPr>
          <w:rFonts w:ascii="Times New Roman" w:hAnsi="Times New Roman"/>
          <w:noProof/>
          <w:sz w:val="24"/>
          <w:szCs w:val="24"/>
        </w:rPr>
        <w:t xml:space="preserve">, 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 xml:space="preserve">EUR 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389 miljun</w:t>
      </w:r>
      <w:r w:rsidRPr="00BC51C9">
        <w:rPr>
          <w:rFonts w:ascii="Times New Roman" w:hAnsi="Times New Roman"/>
          <w:noProof/>
          <w:sz w:val="24"/>
          <w:szCs w:val="24"/>
        </w:rPr>
        <w:t xml:space="preserve"> biex jindirizzaw il-bżonnijiet ta’ 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rkupru soċjali u ekonomiku</w:t>
      </w:r>
      <w:r w:rsidRPr="00BC51C9">
        <w:rPr>
          <w:rFonts w:ascii="Times New Roman" w:hAnsi="Times New Roman"/>
          <w:noProof/>
          <w:sz w:val="24"/>
          <w:szCs w:val="24"/>
        </w:rPr>
        <w:t xml:space="preserve"> u pakkett ta’ 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riattivazzjoni tal-ekonomija ulterjuri ta’ EUR 455 miljun</w:t>
      </w:r>
      <w:r w:rsidRPr="00BC51C9">
        <w:rPr>
          <w:rFonts w:ascii="Times New Roman" w:hAnsi="Times New Roman"/>
          <w:noProof/>
          <w:sz w:val="24"/>
          <w:szCs w:val="24"/>
        </w:rPr>
        <w:t xml:space="preserve"> għar-reġjun, f’kooperazzjoni mill-qrib mal-Istituzzjonijiet Finanzjarji Internazzjonali, kif ukoll proposta</w:t>
      </w:r>
      <w:r w:rsidRPr="00BC51C9">
        <w:rPr>
          <w:rFonts w:ascii="Times New Roman" w:eastAsia="Times New Roman" w:hAnsi="Times New Roman"/>
          <w:noProof/>
          <w:sz w:val="24"/>
          <w:szCs w:val="24"/>
          <w:vertAlign w:val="superscript"/>
          <w:lang w:val="en-US"/>
        </w:rPr>
        <w:footnoteReference w:id="6"/>
      </w:r>
      <w:r w:rsidRPr="00BC51C9">
        <w:rPr>
          <w:rFonts w:ascii="Times New Roman" w:hAnsi="Times New Roman"/>
          <w:noProof/>
          <w:sz w:val="24"/>
          <w:szCs w:val="24"/>
        </w:rPr>
        <w:t xml:space="preserve"> għ</w:t>
      </w:r>
      <w:r w:rsidRPr="00BC51C9">
        <w:rPr>
          <w:rFonts w:ascii="Times New Roman" w:hAnsi="Times New Roman"/>
          <w:noProof/>
          <w:sz w:val="24"/>
          <w:szCs w:val="24"/>
        </w:rPr>
        <w:t xml:space="preserve">al 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Assistenza Makro-Finanzjarja ta’ EUR 750 miljun u pakkett ta’ EUR 1.7 biljun</w:t>
      </w:r>
      <w:r w:rsidRPr="00BC51C9">
        <w:rPr>
          <w:rFonts w:ascii="Times New Roman" w:hAnsi="Times New Roman"/>
          <w:noProof/>
          <w:sz w:val="24"/>
          <w:szCs w:val="24"/>
        </w:rPr>
        <w:t xml:space="preserve"> ta’ assistenza mill-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Bank Ewropew tal-Investiment</w:t>
      </w:r>
      <w:r w:rsidRPr="00BC51C9">
        <w:rPr>
          <w:rFonts w:ascii="Times New Roman" w:hAnsi="Times New Roman"/>
          <w:noProof/>
          <w:sz w:val="24"/>
          <w:szCs w:val="24"/>
        </w:rPr>
        <w:t>.</w:t>
      </w:r>
      <w:r w:rsidRPr="00BC51C9">
        <w:rPr>
          <w:rFonts w:ascii="Times New Roman" w:hAnsi="Times New Roman"/>
          <w:noProof/>
          <w:sz w:val="24"/>
          <w:szCs w:val="24"/>
        </w:rPr>
        <w:t xml:space="preserve"> L-UE qed tipprovdi wkoll 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assistenza umanitarja immedjata għal rifuġjati vulnerabbli u migranti li jammontaw għal EUR 4.5 milju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n</w:t>
      </w:r>
      <w:r w:rsidRPr="00BC51C9">
        <w:rPr>
          <w:rFonts w:ascii="Times New Roman" w:hAnsi="Times New Roman"/>
          <w:noProof/>
          <w:sz w:val="24"/>
          <w:szCs w:val="24"/>
        </w:rPr>
        <w:t xml:space="preserve"> għall-protezzjoni, appoġġ lil minorenni mhux akkumpanjati u kura tas-saħħa, inkluż stat ta’ tħejjija għall-COVID-19 u 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EUR 8 miljuni</w:t>
      </w:r>
      <w:r w:rsidRPr="00BC51C9">
        <w:rPr>
          <w:rFonts w:ascii="Times New Roman" w:hAnsi="Times New Roman"/>
          <w:noProof/>
          <w:sz w:val="24"/>
          <w:szCs w:val="24"/>
        </w:rPr>
        <w:t xml:space="preserve"> ta’ appoġġ ta’ emerġenza lill-migranti u r-rifuġjati maqbuda fil-Balkani tal-Punent mill-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Istrument li jikkontribwixxi għal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l-Istabbiltà u l-Paċi</w:t>
      </w:r>
      <w:r w:rsidRPr="00BC51C9">
        <w:rPr>
          <w:rFonts w:ascii="Times New Roman" w:hAnsi="Times New Roman"/>
          <w:noProof/>
          <w:sz w:val="24"/>
          <w:szCs w:val="24"/>
        </w:rPr>
        <w:t>. Barra minn hekk, il-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Fond ta’ Solidarjetà</w:t>
      </w:r>
      <w:r w:rsidRPr="00BC51C9">
        <w:rPr>
          <w:rFonts w:ascii="Times New Roman" w:hAnsi="Times New Roman"/>
          <w:noProof/>
          <w:sz w:val="24"/>
          <w:szCs w:val="24"/>
        </w:rPr>
        <w:t xml:space="preserve"> tal-UE, miftuħ għal dawk il-pajjiżi tal-Balkani tal-Punent li bdew jinnegozjaw l-adeżjoni tagħhom, issa jkopri wkoll il-kriżijiet tas-saħħa pubblika.</w:t>
      </w:r>
    </w:p>
    <w:p w:rsidR="00B94BFD" w:rsidRPr="00BC51C9" w:rsidRDefault="00BC51C9" w:rsidP="00BC51C9">
      <w:pPr>
        <w:pStyle w:val="FootnoteText"/>
        <w:spacing w:after="120"/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BC51C9">
        <w:rPr>
          <w:rFonts w:ascii="Times New Roman" w:hAnsi="Times New Roman"/>
          <w:noProof/>
          <w:sz w:val="24"/>
          <w:szCs w:val="24"/>
        </w:rPr>
        <w:t>Parti importanti tal-appoġġ ekonomiku tal-</w:t>
      </w:r>
      <w:r w:rsidRPr="00BC51C9">
        <w:rPr>
          <w:rFonts w:ascii="Times New Roman" w:hAnsi="Times New Roman"/>
          <w:noProof/>
          <w:sz w:val="24"/>
          <w:szCs w:val="24"/>
        </w:rPr>
        <w:t xml:space="preserve">UE se 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jgħin lis-settur privat jindirizza l-isfidi ta’ likwidità u finanzjarji</w:t>
      </w:r>
      <w:r w:rsidRPr="00BC51C9">
        <w:rPr>
          <w:rFonts w:ascii="Times New Roman" w:hAnsi="Times New Roman"/>
          <w:noProof/>
          <w:sz w:val="24"/>
          <w:szCs w:val="24"/>
        </w:rPr>
        <w:t xml:space="preserve"> billi jimmobilizza skemi ta’ garanzija ffinanzjati mill-UE, f’kooperazzjoni mal-Istituzzjonijiet Finanzjarji Internazzjonali. </w:t>
      </w:r>
    </w:p>
    <w:p w:rsidR="00B94BFD" w:rsidRPr="00BC51C9" w:rsidRDefault="00BC51C9" w:rsidP="00BC51C9">
      <w:pPr>
        <w:pStyle w:val="FootnoteText"/>
        <w:spacing w:after="120"/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BC51C9">
        <w:rPr>
          <w:rFonts w:ascii="Times New Roman" w:hAnsi="Times New Roman"/>
          <w:noProof/>
          <w:sz w:val="24"/>
          <w:szCs w:val="24"/>
        </w:rPr>
        <w:t xml:space="preserve">Ir-rispons tal-UE jsegwi 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“l-approċċ tat-Tim Ewropa”</w:t>
      </w:r>
      <w:r w:rsidRPr="00BC51C9">
        <w:rPr>
          <w:rFonts w:ascii="Times New Roman" w:eastAsia="Times New Roman" w:hAnsi="Times New Roman"/>
          <w:b/>
          <w:bCs/>
          <w:noProof/>
          <w:sz w:val="24"/>
          <w:szCs w:val="24"/>
          <w:vertAlign w:val="superscript"/>
          <w:lang w:val="en-US"/>
        </w:rPr>
        <w:footnoteReference w:id="7"/>
      </w:r>
      <w:r w:rsidRPr="00BC51C9">
        <w:rPr>
          <w:rFonts w:ascii="Times New Roman" w:hAnsi="Times New Roman"/>
          <w:noProof/>
          <w:sz w:val="24"/>
          <w:szCs w:val="24"/>
        </w:rPr>
        <w:t>:</w:t>
      </w:r>
      <w:r w:rsidRPr="00BC51C9">
        <w:rPr>
          <w:rFonts w:ascii="Times New Roman" w:hAnsi="Times New Roman"/>
          <w:noProof/>
          <w:sz w:val="24"/>
          <w:szCs w:val="24"/>
        </w:rPr>
        <w:t xml:space="preserve"> l-appoġġ tagħna fil-pront u mmirat jgħaqqad ir-riżorsi mill-istituzzjonijiet tal-UE, l-Istati Membri u l-istituzzjonijiet finanzjarji, b’mod partikolari l-Bank Ewropew tal-Investiment u l-Bank Ewropew għar-Rikostruzzjoni u l-Iżvilupp. Flimkien mas-sħab </w:t>
      </w:r>
      <w:r w:rsidRPr="00BC51C9">
        <w:rPr>
          <w:rFonts w:ascii="Times New Roman" w:hAnsi="Times New Roman"/>
          <w:noProof/>
          <w:sz w:val="24"/>
          <w:szCs w:val="24"/>
        </w:rPr>
        <w:t>tagħna, qed niżguraw li l-finanzjament sostanzjali tal-UE diġà allokat lilhom jiġi mmirat biex jgħinhom jindirizzaw l-impatt tal-pandemija. B’mod parallel, xi Stati Membri tal-UE qed jipprovdu wkoll appoġġ bilaterali, kemm jekk finanzjarju kif ukoll donazz</w:t>
      </w:r>
      <w:r w:rsidRPr="00BC51C9">
        <w:rPr>
          <w:rFonts w:ascii="Times New Roman" w:hAnsi="Times New Roman"/>
          <w:noProof/>
          <w:sz w:val="24"/>
          <w:szCs w:val="24"/>
        </w:rPr>
        <w:t>jonijiet ta’ provvisti</w:t>
      </w:r>
    </w:p>
    <w:p w:rsidR="00B94BFD" w:rsidRPr="00BC51C9" w:rsidRDefault="00BC51C9" w:rsidP="00BC51C9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B’riżultat tat-tifqigħa tal-COVID-19, il-Balkani tal-Punent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attivaw ukoll il-Mekkaniżmu tal-Unjoni għall-Protezzjoni Ċivili (UCPM)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u diġà bdew jirċievu assistenza mill-Istati Membri tal-UCPM u l-Istati Parteċipanti.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Is-Serbja, il-Maċ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edonja ta’ Fuq u l-Montenegro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bħala Stati parteċipanti fil-Mekkaniżmu, jistgħu jikkontribwixxu u jitolbu l-appoġġ tar-rescEU, inkluż il-ħżin ta’ tagħmir u kontromiżuri mediċi.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Ċittadini mill-Balkani tal-Punent li nqabdu barra l-pajjiż kienu fost il-persuni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rimpatrijati lejn l-Ewropa grazzi għal titjiriet organizzati u kofinanzjati mill-UCPM. L-awtoritajiet tal-protezzjoni ċivili tal-Balkani tal-Punent se jkomplu jipparteċipaw fit-taħriġ, l-eżerċizzji u l-iskambju ta’ esperti tal-UCPM. L-UE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tapprezza wkoll l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-appoġġ siewi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li taw il-Balkani tal-Punent lill-UE u lill-ġirien immedjati tagħhom, f’termini ta’ persunal u tagħmir mediku. Dan jirrifletti s-solidarjetà u l-valuri fundamentali li l-UE hija mibnija fuqhom.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B94BFD" w:rsidRPr="00BC51C9" w:rsidRDefault="00BC51C9" w:rsidP="00BC51C9">
      <w:pPr>
        <w:pStyle w:val="FootnoteText"/>
        <w:spacing w:after="120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BC51C9">
        <w:rPr>
          <w:rFonts w:ascii="Times New Roman" w:hAnsi="Times New Roman"/>
          <w:noProof/>
          <w:sz w:val="24"/>
          <w:szCs w:val="24"/>
        </w:rPr>
        <w:t xml:space="preserve">Il-pandemija li għaddejja bħalissa turi b’mod ċar kif l-UE u l-Balkani tal-Punent qed 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jindirizzaw flimkien l-isfidi komuni</w:t>
      </w:r>
      <w:r w:rsidRPr="00BC51C9">
        <w:rPr>
          <w:rFonts w:ascii="Times New Roman" w:hAnsi="Times New Roman"/>
          <w:noProof/>
          <w:sz w:val="24"/>
          <w:szCs w:val="24"/>
        </w:rPr>
        <w:t xml:space="preserve">. </w:t>
      </w:r>
      <w:r w:rsidRPr="00BC51C9">
        <w:rPr>
          <w:rFonts w:ascii="Times New Roman" w:hAnsi="Times New Roman"/>
          <w:noProof/>
          <w:sz w:val="24"/>
          <w:szCs w:val="24"/>
        </w:rPr>
        <w:t xml:space="preserve">Dan jinkludi 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akkwist konġunt ta’ tagħmir mediku</w:t>
      </w:r>
      <w:r w:rsidRPr="00BC51C9">
        <w:rPr>
          <w:rFonts w:ascii="Times New Roman" w:hAnsi="Times New Roman"/>
          <w:noProof/>
          <w:sz w:val="24"/>
          <w:szCs w:val="24"/>
        </w:rPr>
        <w:t xml:space="preserve"> li jeżenta r-reġjun mill-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iskema ta’ awtorizzazzjoni tal-esportazzjoni</w:t>
      </w:r>
      <w:r w:rsidRPr="00BC51C9">
        <w:rPr>
          <w:rFonts w:ascii="Times New Roman" w:hAnsi="Times New Roman"/>
          <w:noProof/>
          <w:sz w:val="24"/>
          <w:szCs w:val="24"/>
        </w:rPr>
        <w:t xml:space="preserve"> tal-UE għal ta</w:t>
      </w:r>
      <w:r w:rsidRPr="00BC51C9">
        <w:rPr>
          <w:rFonts w:ascii="Times New Roman" w:hAnsi="Times New Roman"/>
          <w:noProof/>
          <w:sz w:val="24"/>
          <w:szCs w:val="24"/>
        </w:rPr>
        <w:t>għmir ta' protezzjoni personali</w:t>
      </w:r>
      <w:r w:rsidRPr="00BC51C9">
        <w:rPr>
          <w:rFonts w:ascii="Times New Roman" w:eastAsia="Times New Roman" w:hAnsi="Times New Roman"/>
          <w:noProof/>
          <w:sz w:val="24"/>
          <w:szCs w:val="24"/>
          <w:vertAlign w:val="superscript"/>
          <w:lang w:val="en-US"/>
        </w:rPr>
        <w:footnoteReference w:id="8"/>
      </w:r>
      <w:r w:rsidRPr="00BC51C9">
        <w:rPr>
          <w:rFonts w:ascii="Times New Roman" w:hAnsi="Times New Roman"/>
          <w:noProof/>
          <w:sz w:val="24"/>
          <w:szCs w:val="24"/>
        </w:rPr>
        <w:t xml:space="preserve"> u 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l-forniment ta’ materjal ta’ ttestjar tal-UE</w:t>
      </w:r>
      <w:r w:rsidRPr="00BC51C9">
        <w:rPr>
          <w:rFonts w:ascii="Times New Roman" w:hAnsi="Times New Roman"/>
          <w:noProof/>
          <w:sz w:val="24"/>
          <w:szCs w:val="24"/>
        </w:rPr>
        <w:t xml:space="preserve"> żviluppat miċ-Ċentru Konġunt tar-Riċerka biex jiżgura l-funzjonament korrett tat-testijiet tal-coronavirus fil-Balkani tal-Punent.</w:t>
      </w:r>
      <w:r w:rsidRPr="00BC51C9">
        <w:rPr>
          <w:rFonts w:ascii="Times New Roman" w:hAnsi="Times New Roman"/>
          <w:noProof/>
          <w:sz w:val="24"/>
          <w:szCs w:val="24"/>
        </w:rPr>
        <w:t xml:space="preserve"> </w:t>
      </w:r>
      <w:r w:rsidRPr="00BC51C9">
        <w:rPr>
          <w:rFonts w:ascii="Times New Roman" w:hAnsi="Times New Roman"/>
          <w:noProof/>
          <w:sz w:val="24"/>
          <w:szCs w:val="24"/>
        </w:rPr>
        <w:t>Il-partijiet ikkonċernati madwar ir-reġjun hu</w:t>
      </w:r>
      <w:r w:rsidRPr="00BC51C9">
        <w:rPr>
          <w:rFonts w:ascii="Times New Roman" w:hAnsi="Times New Roman"/>
          <w:noProof/>
          <w:sz w:val="24"/>
          <w:szCs w:val="24"/>
        </w:rPr>
        <w:t>ma integrati b’mod sħiħ fl-isforzi tar-</w:t>
      </w:r>
      <w:r w:rsidRPr="00BC51C9">
        <w:rPr>
          <w:rFonts w:ascii="Times New Roman" w:hAnsi="Times New Roman"/>
          <w:b/>
          <w:noProof/>
          <w:sz w:val="24"/>
          <w:szCs w:val="24"/>
        </w:rPr>
        <w:t>riċerka u l-innovazzjoni</w:t>
      </w:r>
      <w:r w:rsidRPr="00BC51C9">
        <w:rPr>
          <w:rFonts w:ascii="Times New Roman" w:hAnsi="Times New Roman"/>
          <w:noProof/>
          <w:sz w:val="24"/>
          <w:szCs w:val="24"/>
        </w:rPr>
        <w:t xml:space="preserve"> Ewropea tal-COVID-19. </w:t>
      </w:r>
      <w:r w:rsidRPr="00BC51C9">
        <w:rPr>
          <w:rFonts w:ascii="Times New Roman" w:hAnsi="Times New Roman"/>
          <w:noProof/>
          <w:sz w:val="24"/>
          <w:szCs w:val="24"/>
        </w:rPr>
        <w:t>Ir-reġjun kollu qed jibbenefika wkoll minn assistenza teknika u skambju ta’ informazzjoni ffaċilitati miċ-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Ċ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entru Ewropew għall-Prevenzjoni u l-Kontroll tal-Mard</w:t>
      </w:r>
      <w:r w:rsidRPr="00BC51C9">
        <w:rPr>
          <w:rFonts w:ascii="Times New Roman" w:hAnsi="Times New Roman"/>
          <w:noProof/>
          <w:sz w:val="24"/>
          <w:szCs w:val="24"/>
        </w:rPr>
        <w:t xml:space="preserve">, filwaqt </w:t>
      </w:r>
      <w:r w:rsidRPr="00BC51C9">
        <w:rPr>
          <w:rFonts w:ascii="Times New Roman" w:hAnsi="Times New Roman"/>
          <w:noProof/>
          <w:sz w:val="24"/>
          <w:szCs w:val="24"/>
        </w:rPr>
        <w:t>li l-pajjiżi kandidati fil-Balkani tal-Punent ġew mistiedna bħala osservaturi fil-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Kumitat għas-Sigurtà tas-Saħħa tal-UE</w:t>
      </w:r>
      <w:r w:rsidRPr="00BC51C9">
        <w:rPr>
          <w:rFonts w:ascii="Times New Roman" w:hAnsi="Times New Roman"/>
          <w:noProof/>
          <w:sz w:val="24"/>
          <w:szCs w:val="24"/>
        </w:rPr>
        <w:t xml:space="preserve"> u jingħataw aċċess għas-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Sistema ta’ Twissija Bikrija u ta’ Reazzjoni</w:t>
      </w:r>
      <w:r w:rsidRPr="00BC51C9">
        <w:rPr>
          <w:rFonts w:ascii="Times New Roman" w:hAnsi="Times New Roman"/>
          <w:noProof/>
          <w:sz w:val="24"/>
          <w:szCs w:val="24"/>
        </w:rPr>
        <w:t xml:space="preserve"> relatata.</w:t>
      </w:r>
    </w:p>
    <w:p w:rsidR="00B94BFD" w:rsidRPr="00BC51C9" w:rsidRDefault="00BC51C9" w:rsidP="00BC51C9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C51C9">
        <w:rPr>
          <w:rFonts w:ascii="Times New Roman" w:hAnsi="Times New Roman" w:cs="Times New Roman"/>
          <w:noProof/>
          <w:sz w:val="24"/>
          <w:szCs w:val="24"/>
        </w:rPr>
        <w:t>Il-proposta konġunta tas-Segretarjat Permanenti tal-Komu</w:t>
      </w:r>
      <w:r w:rsidRPr="00BC51C9">
        <w:rPr>
          <w:rFonts w:ascii="Times New Roman" w:hAnsi="Times New Roman" w:cs="Times New Roman"/>
          <w:noProof/>
          <w:sz w:val="24"/>
          <w:szCs w:val="24"/>
        </w:rPr>
        <w:t>nità tat-Trasport u s-CEFTA żgurat li l-kunċett ta’ “korsiji ta’ prijorità” ġie estiż għall-Balkani tal-Punent li jiżgura l-fluss rapidu ta’ oġġetti essenzjali fir-reġjun. Il-Kummissjoni hija lesta li tassoċja r-reġjun mill-qrib mal-implimentazzjoni tal-“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P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jan Direzzjonali Ewropew Konġunt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biex jitneħħew il-miżuri ta’ konteniment tal-COVID-19”. Lil hinn minn din l-emerġenza sanitarja u r-restrizzjonijiet relatati tagħha fuq il-moviment ta’ merkanzija u passiġġieri, il-Kummissjoni hija wkoll impenjata fit-tul </w:t>
      </w:r>
      <w:r w:rsidRPr="00BC51C9">
        <w:rPr>
          <w:rFonts w:ascii="Times New Roman" w:hAnsi="Times New Roman" w:cs="Times New Roman"/>
          <w:noProof/>
          <w:sz w:val="24"/>
          <w:szCs w:val="24"/>
        </w:rPr>
        <w:t>biex tikkontribwixxi għal konnettività aħjar għall-Balkani tal-Punent, filwaqt li tindirizza l-konġestjonijiet strutturali fil-fruntieri UE/Balkani tal-Punent. Il-Kummissjoni ħarġet ukoll Gwida</w:t>
      </w:r>
      <w:r w:rsidRPr="00BC51C9">
        <w:rPr>
          <w:rStyle w:val="FootnoteReference"/>
          <w:rFonts w:ascii="Times New Roman" w:hAnsi="Times New Roman" w:cs="Times New Roman"/>
          <w:noProof/>
          <w:sz w:val="24"/>
          <w:szCs w:val="24"/>
        </w:rPr>
        <w:footnoteReference w:id="9"/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dwar kif għandha tiġi implimentata l-introduzzjoni ta’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restri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zzjonijiet fuq l-ivvjaġġar temporanju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li japplikaw għall-ivvjaġġar kollu mhux essenzjali minn pajjiżi terzi lejn l-UE, inkluż dwar it-trattament ta’ dawk imġiegħla jibqgħu fl-UE għal żmien itwal milli huma awtorizzati.</w:t>
      </w:r>
    </w:p>
    <w:p w:rsidR="00B94BFD" w:rsidRPr="00BC51C9" w:rsidRDefault="00BC51C9" w:rsidP="00BC51C9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1" w:name="_GoBack"/>
      <w:bookmarkEnd w:id="1"/>
      <w:r w:rsidRPr="00BC51C9">
        <w:rPr>
          <w:rFonts w:ascii="Times New Roman" w:hAnsi="Times New Roman" w:cs="Times New Roman"/>
          <w:noProof/>
          <w:sz w:val="24"/>
          <w:szCs w:val="24"/>
        </w:rPr>
        <w:t>Din il-kooperazzjoni bejn l-UE u l-B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alkani tal-Punent u l-appoġġ tal-UE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imorru ferm lil hinn minn dak li kwalunkwe sieħeb ieħor ipprovda lir-reġjun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li jirrifletti l-importanza strateġika tar-reġjun. L-istituzzjonijiet tal-UE kienu involuti f’kampanji intensivi ta’ komunikazzjoni, li jkopru l</w:t>
      </w:r>
      <w:r w:rsidRPr="00BC51C9">
        <w:rPr>
          <w:rFonts w:ascii="Times New Roman" w:hAnsi="Times New Roman" w:cs="Times New Roman"/>
          <w:noProof/>
          <w:sz w:val="24"/>
          <w:szCs w:val="24"/>
        </w:rPr>
        <w:t>-għoti ta’ assistenza mill-UE, kif ukoll pubblikazzjoni ta’ editorjali ta’ opinjoni mal-Istati Membri tal-UE fuq il-post, appoġġ tal-kampanji “ibqa’ d-dar” u kontribuzzjoni għat-tixrid ta’ informazzjoni fattwali dwar il-COVID-19.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BC51C9">
        <w:rPr>
          <w:rFonts w:ascii="Times New Roman" w:hAnsi="Times New Roman" w:cs="Times New Roman"/>
          <w:noProof/>
          <w:sz w:val="24"/>
          <w:szCs w:val="24"/>
        </w:rPr>
        <w:t>F’dan ir-rigward, tentatti</w:t>
      </w:r>
      <w:r w:rsidRPr="00BC51C9">
        <w:rPr>
          <w:rFonts w:ascii="Times New Roman" w:hAnsi="Times New Roman" w:cs="Times New Roman"/>
          <w:noProof/>
          <w:sz w:val="24"/>
          <w:szCs w:val="24"/>
        </w:rPr>
        <w:t>vi biex jiġu miżrappreżentati l-oriġini tal-kriżi u l-isforzi biex tiġi indirizzata għandhom jiġu indirizzati pubblikament u b’mod qawwi, filwaqt li tiżdied il-kooperazzjoni biex tiġi rispettata l-libertà tal-espressjoni u l-libertà tal-midja.</w:t>
      </w:r>
    </w:p>
    <w:p w:rsidR="00B94BFD" w:rsidRPr="00BC51C9" w:rsidRDefault="00B94BFD" w:rsidP="00BC51C9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B94BFD" w:rsidRPr="00BC51C9" w:rsidRDefault="00BC51C9" w:rsidP="00BC51C9">
      <w:pPr>
        <w:pStyle w:val="ListParagraph"/>
        <w:keepNext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783" w:hanging="482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BC51C9">
        <w:rPr>
          <w:rFonts w:ascii="Times New Roman" w:hAnsi="Times New Roman"/>
          <w:b/>
          <w:bCs/>
          <w:noProof/>
          <w:sz w:val="24"/>
          <w:szCs w:val="24"/>
        </w:rPr>
        <w:t xml:space="preserve">Lil hinn mill-COVID-19 — Pjan ta’ Investiment u Ekonomiku għall-irkupru </w:t>
      </w:r>
    </w:p>
    <w:p w:rsidR="00B94BFD" w:rsidRPr="00BC51C9" w:rsidRDefault="00BC51C9" w:rsidP="00BC51C9">
      <w:pPr>
        <w:pStyle w:val="FootnoteText"/>
        <w:spacing w:after="120"/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BC51C9">
        <w:rPr>
          <w:rFonts w:ascii="Times New Roman" w:hAnsi="Times New Roman"/>
          <w:noProof/>
          <w:sz w:val="24"/>
          <w:szCs w:val="24"/>
        </w:rPr>
        <w:t xml:space="preserve">Il-Balkani tal-Punent ser jeħtieġu appoġġ kontinwu 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biex jiġi indirizzat l-impatt tal-kriżi tal-COVID-19</w:t>
      </w:r>
      <w:r w:rsidRPr="00BC51C9">
        <w:rPr>
          <w:rFonts w:ascii="Times New Roman" w:hAnsi="Times New Roman"/>
          <w:noProof/>
          <w:sz w:val="24"/>
          <w:szCs w:val="24"/>
        </w:rPr>
        <w:t>.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Pr="00BC51C9">
        <w:rPr>
          <w:rFonts w:ascii="Times New Roman" w:hAnsi="Times New Roman"/>
          <w:noProof/>
          <w:sz w:val="24"/>
          <w:szCs w:val="24"/>
        </w:rPr>
        <w:t>Ladarba jittaffew il-miżuri immedjati għat-trażżin tal-pandemija tal-COVID-19,</w:t>
      </w:r>
      <w:r w:rsidRPr="00BC51C9">
        <w:rPr>
          <w:rFonts w:ascii="Times New Roman" w:hAnsi="Times New Roman"/>
          <w:noProof/>
          <w:sz w:val="24"/>
          <w:szCs w:val="24"/>
        </w:rPr>
        <w:t xml:space="preserve"> ser tibda fażi ġdida ta’ kooperazzjoni mill-qrib sabiex jiġi indirizzat l-impatt soċjoekonomiku diffiċli tal-kriżi. Il-Kummissjoni Ewropea din is-sena se tressaq </w:t>
      </w:r>
      <w:r w:rsidRPr="00BC51C9">
        <w:rPr>
          <w:rFonts w:ascii="Times New Roman" w:hAnsi="Times New Roman"/>
          <w:b/>
          <w:bCs/>
          <w:noProof/>
          <w:sz w:val="24"/>
          <w:szCs w:val="24"/>
        </w:rPr>
        <w:t>Pjan Ekonomiku u ta’ Investiment għar-reġjun</w:t>
      </w:r>
      <w:r w:rsidRPr="00BC51C9">
        <w:rPr>
          <w:rFonts w:ascii="Times New Roman" w:hAnsi="Times New Roman"/>
          <w:noProof/>
          <w:sz w:val="24"/>
          <w:szCs w:val="24"/>
        </w:rPr>
        <w:t xml:space="preserve">. </w:t>
      </w:r>
    </w:p>
    <w:p w:rsidR="00B94BFD" w:rsidRPr="00BC51C9" w:rsidRDefault="00BC51C9" w:rsidP="00BC51C9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Il-pjan ser jinkludi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pakkett ta’ investiment s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ostanzjali għar-reġjun</w:t>
      </w:r>
      <w:r w:rsidRPr="00BC51C9">
        <w:rPr>
          <w:rFonts w:ascii="Times New Roman" w:hAnsi="Times New Roman" w:cs="Times New Roman"/>
          <w:noProof/>
          <w:sz w:val="24"/>
          <w:szCs w:val="24"/>
        </w:rPr>
        <w:t>. Għall-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perjodu 2021–2027</w:t>
      </w:r>
      <w:r w:rsidRPr="00BC51C9">
        <w:rPr>
          <w:rFonts w:ascii="Times New Roman" w:hAnsi="Times New Roman" w:cs="Times New Roman"/>
          <w:noProof/>
          <w:sz w:val="24"/>
          <w:szCs w:val="24"/>
        </w:rPr>
        <w:t>, fit-2 ta’ Mejju 2018 il-Kummissjoni pproponiet pakkett totali għall-Istrument ta’ Qabel l-Adeżjoni III ta’ EUR 14.5 biljun, li minnhom il-biċċa l-kbira huma destinati għall-Balkani tal-Punent. Il-Kummissjoni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tipprevedi li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tirdoppja l-għotjiet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permezz tal-Qafas ta’ Investiment tal-Balkani tal-Punent biex tappoġġa l-iżvilupp tas-settur privat, il-konnettività, id-diġitalizzazzjoni, l-aġenda ekoloġika u l-investimenti soċjali. Hija tipprevedi wkoll li jiżdiedu b</w:t>
      </w:r>
      <w:r w:rsidRPr="00BC51C9">
        <w:rPr>
          <w:rFonts w:ascii="Times New Roman" w:hAnsi="Times New Roman" w:cs="Times New Roman"/>
          <w:noProof/>
          <w:sz w:val="24"/>
          <w:szCs w:val="24"/>
        </w:rPr>
        <w:t>’mod sostanzjali l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-garanziji finanzjarji biex jiġi appoġġat l-investiment pubbliku u privat </w:t>
      </w:r>
      <w:r w:rsidRPr="00BC51C9">
        <w:rPr>
          <w:rFonts w:ascii="Times New Roman" w:hAnsi="Times New Roman" w:cs="Times New Roman"/>
          <w:noProof/>
          <w:sz w:val="24"/>
          <w:szCs w:val="24"/>
        </w:rPr>
        <w:t>fir-reġjun permezz tal-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Istrument ta’ Garanzija ddedikat taħt il-Qafas ta’ Investiment tal-Balkani tal-Punent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:rsidR="00B94BFD" w:rsidRPr="00BC51C9" w:rsidRDefault="00BC51C9" w:rsidP="00BC51C9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C51C9">
        <w:rPr>
          <w:rFonts w:ascii="Times New Roman" w:hAnsi="Times New Roman" w:cs="Times New Roman"/>
          <w:noProof/>
          <w:sz w:val="24"/>
          <w:szCs w:val="24"/>
        </w:rPr>
        <w:t>It-Tranżizzjoni ekoloġika u t-Trasformazzjoni diġital</w:t>
      </w:r>
      <w:r w:rsidRPr="00BC51C9">
        <w:rPr>
          <w:rFonts w:ascii="Times New Roman" w:hAnsi="Times New Roman" w:cs="Times New Roman"/>
          <w:noProof/>
          <w:sz w:val="24"/>
          <w:szCs w:val="24"/>
        </w:rPr>
        <w:t>i se jkollhom rwol ċentrali fit-tnedija mill-ġdid u l-immodernizzar tal-ekonomiji tal-Balkani tal-Punent. L-investiment f’teknoloġiji u kapaċitajiet nodfa u diġitali, flimkien ma’ ekonomija ċirkolari, se jgħin biex jinħolqu l-impjiegi u t-tkabbir. Ser jing</w:t>
      </w:r>
      <w:r w:rsidRPr="00BC51C9">
        <w:rPr>
          <w:rFonts w:ascii="Times New Roman" w:hAnsi="Times New Roman" w:cs="Times New Roman"/>
          <w:noProof/>
          <w:sz w:val="24"/>
          <w:szCs w:val="24"/>
        </w:rPr>
        <w:t>ħata wkoll appoġġ biex tittejjeb il-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kompetittività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tal-ekonomiji tal-Balkani tal-Punent,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biex ikunu konnessi aħjar fi ħdan ir-reġjun u mal-UE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, u biex jgħin biex il-Balkani tal-Punent ikunu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adattati għall-era diġitali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BC51C9">
        <w:rPr>
          <w:rFonts w:ascii="Times New Roman" w:hAnsi="Times New Roman" w:cs="Times New Roman"/>
          <w:noProof/>
          <w:sz w:val="24"/>
          <w:szCs w:val="24"/>
        </w:rPr>
        <w:t>Ser jingħata wkoll appoġġ għal ekonomi</w:t>
      </w:r>
      <w:r w:rsidRPr="00BC51C9">
        <w:rPr>
          <w:rFonts w:ascii="Times New Roman" w:hAnsi="Times New Roman" w:cs="Times New Roman"/>
          <w:noProof/>
          <w:sz w:val="24"/>
          <w:szCs w:val="24"/>
        </w:rPr>
        <w:t>ja li taħdem għan-nies, inkluż permezz ta’ kooperazzjoni dwar l-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edukazzjoni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u s-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saħħa</w:t>
      </w:r>
      <w:r w:rsidRPr="00BC51C9">
        <w:rPr>
          <w:rFonts w:ascii="Times New Roman" w:hAnsi="Times New Roman" w:cs="Times New Roman"/>
          <w:noProof/>
          <w:sz w:val="24"/>
          <w:szCs w:val="24"/>
        </w:rPr>
        <w:t>, mhux l-inqas biex tiżdied ir-reżiljenza tas-sistemi tas-saħħa, għall-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protezzjoni soċjali u l-inklużjoni</w:t>
      </w:r>
      <w:r w:rsidRPr="00BC51C9">
        <w:rPr>
          <w:rFonts w:ascii="Times New Roman" w:hAnsi="Times New Roman" w:cs="Times New Roman"/>
          <w:noProof/>
          <w:sz w:val="24"/>
          <w:szCs w:val="24"/>
        </w:rPr>
        <w:t>, l-opportunitajiet indaqs, l-aċċess għas-suq tax-xogħol, speċjalm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ent permezz ta’ żieda fil-politika attiva dwar is-suq tax-xogħol,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kundizzjonijiet tax-xogħol ġusti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fost l-oħrajn permezz tal-appoġġ tat-tisħiħ tad-djalogu soċjali, il-kultura u r-riċerka u l-innovazzjoni.</w:t>
      </w:r>
    </w:p>
    <w:p w:rsidR="00B94BFD" w:rsidRPr="00BC51C9" w:rsidRDefault="00BC51C9" w:rsidP="00BC51C9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C51C9">
        <w:rPr>
          <w:rFonts w:ascii="Times New Roman" w:hAnsi="Times New Roman" w:cs="Times New Roman"/>
          <w:noProof/>
          <w:sz w:val="24"/>
          <w:szCs w:val="24"/>
        </w:rPr>
        <w:t>Ser issir enfasi qawwija fuq il-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konnessjonijiet tat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-trasport u l-enerġija</w:t>
      </w:r>
      <w:r w:rsidRPr="00BC51C9">
        <w:rPr>
          <w:rFonts w:ascii="Times New Roman" w:hAnsi="Times New Roman" w:cs="Times New Roman"/>
          <w:noProof/>
          <w:sz w:val="24"/>
          <w:szCs w:val="24"/>
        </w:rPr>
        <w:t>, li huma kruċjali għall-iżvilupp ekonomiku kemm tar-reġjun kif ukoll tal-UE. Din is-sena, l-UE biħsiebha tipproponi pakkett ta’ EUR 135 miljun</w:t>
      </w:r>
      <w:r w:rsidRPr="00BC51C9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</w:rPr>
        <w:footnoteReference w:id="10"/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biex tiffinanzja sitt proġetti addizzjonali ta’ investiment fl-infrastruttura taħt l-aġen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da tal-konnettività għall-Balkani tal-Punent. B’dan il-finanzjament,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l-UE se taqbeż il-garanzija li għamlet fl-2015 biex tipprovdi EUR 1 biljun f’għotjiet tal-UE lill-aġenda ta’ konnettività sal-2020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li min-naħa tagħha se timmobilizza kważi EUR 4 biljuni g</w:t>
      </w:r>
      <w:r w:rsidRPr="00BC51C9">
        <w:rPr>
          <w:rFonts w:ascii="Times New Roman" w:hAnsi="Times New Roman" w:cs="Times New Roman"/>
          <w:noProof/>
          <w:sz w:val="24"/>
          <w:szCs w:val="24"/>
        </w:rPr>
        <w:t>ħal 45 investimenti ta’ infrastruttura li jgħaqqdu r-reġjun mal-assi prijoritarji tan-Netwerk Trans-Ewropew (TEN-T) u fi Proġetti tal-Komunità tal-Enerġija ta’ Interess Reċiproku. Il-kooperazzjoni reġjonali attiva fil-kuntest tal-Komunità tal-Enerġija u l-</w:t>
      </w:r>
      <w:r w:rsidRPr="00BC51C9">
        <w:rPr>
          <w:rFonts w:ascii="Times New Roman" w:hAnsi="Times New Roman" w:cs="Times New Roman"/>
          <w:noProof/>
          <w:sz w:val="24"/>
          <w:szCs w:val="24"/>
        </w:rPr>
        <w:t>inizjattiva tal-Ewropa tax-Xlokk dwar il-Konnettività tal-Enerġija hija bażi tajba biex jiġi aċċellerat l-investiment f’dawn il-konnessjonijiet tal-enerġija kif ukoll fi proġetti ta’ enerġija rinnovabbli u ta’ effiċjenza enerġetika.</w:t>
      </w:r>
    </w:p>
    <w:p w:rsidR="00B94BFD" w:rsidRPr="00BC51C9" w:rsidRDefault="00BC51C9" w:rsidP="00BC51C9">
      <w:pPr>
        <w:pStyle w:val="Body"/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L-UE se tkompli tagħti </w:t>
      </w:r>
      <w:r w:rsidRPr="00BC51C9">
        <w:rPr>
          <w:rFonts w:ascii="Times New Roman" w:hAnsi="Times New Roman" w:cs="Times New Roman"/>
          <w:noProof/>
          <w:sz w:val="24"/>
          <w:szCs w:val="24"/>
        </w:rPr>
        <w:t>attenzjoni partikolari lill-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isfidi affaċċjati miż-żgħażagħ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, speċjalment dwar il-prospett tal-impjiegi, l-inugwaljanza u ż-żamma ta’ talent żagħżugħ fir-reġjun biex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jiġi indirizzat l-eżodu tal-imħuħ u sfidi demografiċi oħra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li qed jaffaċċja r-reġjun.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Il-fin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anzjament għal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Erasmus + għar-reġjun ġie rduppjat mill-2018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(għal aktar minn EUR 65 miljun), flimkien ma’ enfasi akbar fuq l-edukazzjoni vokazzjonali. L-enfasi fuq il-ħiliet diġitali, kif ukoll fuq ir-riċerka u l-ħiliet intraprenditorjali, ser tkompli tiss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aħħaħ fil-futur bil-ħsieb li ż-żgħażagħ jiġu mgħammra biex isiru ekonomikament ta’ suċċess u jirnexxu fl-era diġitali. </w:t>
      </w:r>
    </w:p>
    <w:p w:rsidR="00B94BFD" w:rsidRPr="00BC51C9" w:rsidRDefault="00BC51C9" w:rsidP="00BC51C9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BC51C9">
        <w:rPr>
          <w:rFonts w:ascii="Times New Roman" w:hAnsi="Times New Roman" w:cs="Times New Roman"/>
          <w:noProof/>
          <w:sz w:val="24"/>
          <w:szCs w:val="24"/>
        </w:rPr>
        <w:t>Il-pandemija tal-COVID-19 uriet l-importanza tal-funzjonament tajjeb tas-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Suq Uniku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tal-UE bħala komponent ewlieni tal-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prosperità u r-reż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iljenza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tagħna.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Bl-istess mod, hija enfasizzat il-livell għoli ta’ interdipendenza soċjoekonomika bejn l-ekonomiji tal-UE u tal-Balkani tal-Punent, u fir-reġjun innifsu. Għalhekk ser ikun kruċjali li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l-ekonomiji tal-Balkani tal-Punent jiġu konnessi b’mod a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ktar effettiv — fir-reġjun u mal-UE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. Dan jeħtieġ impenn akbar mill-imsieħba kollha tal-Balkani tal-Punent biex tiġi approfondita l-integrazzjoni ekonomika reġjonali inklużiva u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jiġi żviluppat suq reġjonali komuni</w:t>
      </w:r>
      <w:r w:rsidRPr="00BC51C9">
        <w:rPr>
          <w:rFonts w:ascii="Times New Roman" w:hAnsi="Times New Roman" w:cs="Times New Roman"/>
          <w:noProof/>
          <w:sz w:val="24"/>
          <w:szCs w:val="24"/>
        </w:rPr>
        <w:t>, kif maqbul, abbażi tal-</w:t>
      </w:r>
      <w:r w:rsidRPr="00BC51C9">
        <w:rPr>
          <w:rFonts w:ascii="Times New Roman" w:hAnsi="Times New Roman" w:cs="Times New Roman"/>
          <w:i/>
          <w:iCs/>
          <w:noProof/>
          <w:sz w:val="24"/>
          <w:szCs w:val="24"/>
        </w:rPr>
        <w:t>acquis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tal-UE, u ji</w:t>
      </w:r>
      <w:r w:rsidRPr="00BC51C9">
        <w:rPr>
          <w:rFonts w:ascii="Times New Roman" w:hAnsi="Times New Roman" w:cs="Times New Roman"/>
          <w:noProof/>
          <w:sz w:val="24"/>
          <w:szCs w:val="24"/>
        </w:rPr>
        <w:t>ġ</w:t>
      </w:r>
      <w:r w:rsidRPr="00BC51C9">
        <w:rPr>
          <w:rFonts w:ascii="Times New Roman" w:hAnsi="Times New Roman" w:cs="Times New Roman"/>
          <w:noProof/>
          <w:sz w:val="24"/>
          <w:szCs w:val="24"/>
        </w:rPr>
        <w:t>u rispettati l-impenji tal-UE li wkoll jagħmlu r-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reġjun żona ta’ investiment aktar attraenti</w:t>
      </w:r>
      <w:r w:rsidRPr="00BC51C9">
        <w:rPr>
          <w:rFonts w:ascii="Times New Roman" w:hAnsi="Times New Roman" w:cs="Times New Roman"/>
          <w:noProof/>
          <w:sz w:val="24"/>
          <w:szCs w:val="24"/>
        </w:rPr>
        <w:t>.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:rsidR="00B94BFD" w:rsidRPr="00BC51C9" w:rsidRDefault="00BC51C9" w:rsidP="00BC51C9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C51C9">
        <w:rPr>
          <w:rFonts w:ascii="Times New Roman" w:hAnsi="Times New Roman" w:cs="Times New Roman"/>
          <w:noProof/>
          <w:sz w:val="24"/>
          <w:szCs w:val="24"/>
        </w:rPr>
        <w:t>L-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organizzazzjonijiet reġjonali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— il-Kunsill Reġjonali ta’ Kooperazzjoni, il-Komunità tat-Trasport, il-Komunità tal-Enerġija u ż-Żona ta’ Kummerċ Ħieles tal-Ewr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opa Ċentrali — huma strumentali f’dan ir-rigward. </w:t>
      </w:r>
      <w:r w:rsidRPr="00BC51C9">
        <w:rPr>
          <w:rFonts w:ascii="Times New Roman" w:hAnsi="Times New Roman" w:cs="Times New Roman"/>
          <w:noProof/>
          <w:sz w:val="24"/>
          <w:szCs w:val="24"/>
        </w:rPr>
        <w:t>Il-proġetti ffinanzjati mill-UE kellhom ukoll rwol ewlieni fit-tnaqqis tal-ostakli għall-kummerċ.</w:t>
      </w:r>
      <w:r w:rsidRPr="00BC51C9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val="en-US"/>
        </w:rPr>
        <w:footnoteReference w:id="11"/>
      </w:r>
    </w:p>
    <w:p w:rsidR="00B94BFD" w:rsidRPr="00BC51C9" w:rsidRDefault="00BC51C9" w:rsidP="00BC51C9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Dawn il-miżuri ta’ appoġġ kollha għandhom l-istess objettivi: </w:t>
      </w:r>
      <w:r w:rsidRPr="00BC51C9">
        <w:rPr>
          <w:rFonts w:ascii="Times New Roman" w:hAnsi="Times New Roman" w:cs="Times New Roman"/>
          <w:noProof/>
          <w:sz w:val="24"/>
          <w:szCs w:val="24"/>
        </w:rPr>
        <w:t>li jittrasformaw lill-Balkani tal-Punent f’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ek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onomiji tas-suq li jiffunzjonaw kapaċi li jintegraw bis-sħiħ fis-suq uniku tal-UE</w:t>
      </w:r>
      <w:r w:rsidRPr="00BC51C9">
        <w:rPr>
          <w:rFonts w:ascii="Times New Roman" w:hAnsi="Times New Roman" w:cs="Times New Roman"/>
          <w:noProof/>
          <w:sz w:val="24"/>
          <w:szCs w:val="24"/>
        </w:rPr>
        <w:t>, li jtejbu l-klima tan-negozju u tal-investiment, u b’hekk jikkontribwixxu għal żieda fil-flussi kummerċjali fi ħdan ir-reġjun u mal-UE</w:t>
      </w:r>
      <w:r w:rsidRPr="00BC51C9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val="en-US"/>
        </w:rPr>
        <w:footnoteReference w:id="12"/>
      </w:r>
      <w:r w:rsidRPr="00BC51C9">
        <w:rPr>
          <w:rFonts w:ascii="Times New Roman" w:hAnsi="Times New Roman" w:cs="Times New Roman"/>
          <w:noProof/>
          <w:sz w:val="24"/>
          <w:szCs w:val="24"/>
        </w:rPr>
        <w:t>, biex jinħolqu impjiegi u opportunita</w:t>
      </w:r>
      <w:r w:rsidRPr="00BC51C9">
        <w:rPr>
          <w:rFonts w:ascii="Times New Roman" w:hAnsi="Times New Roman" w:cs="Times New Roman"/>
          <w:noProof/>
          <w:sz w:val="24"/>
          <w:szCs w:val="24"/>
        </w:rPr>
        <w:t>jiet, u b’hekk jitnaqqas l-eżodu ta’ mħuħ mir-reġjun.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Il-kriżi attwali għalhekk ma għandhiex tneħħi l-attenzjoni minn dgħufijiet strutturali ewlenin, bħal qgħad għoli (b’mod partikolari fost iż-żgħażagħ), parteċipazzjoni baxxa fis-suq tax-xogħol (b’mod par</w:t>
      </w:r>
      <w:r w:rsidRPr="00BC51C9">
        <w:rPr>
          <w:rFonts w:ascii="Times New Roman" w:hAnsi="Times New Roman" w:cs="Times New Roman"/>
          <w:noProof/>
          <w:sz w:val="24"/>
          <w:szCs w:val="24"/>
        </w:rPr>
        <w:t>tikolari għan-nisa); nuqqas ta’ qbil bejn il-ħiliet u l-ħtiġijiet tas-suq tax-xogħol; protezzjoni soċjali insuffiċjenti; produttività agrikola baxxa u kompetittività u provvista tal-enerġija mhux diversifikata u effiċjenza enerġetika baxxa. Id-djalogu Ekon</w:t>
      </w:r>
      <w:r w:rsidRPr="00BC51C9">
        <w:rPr>
          <w:rFonts w:ascii="Times New Roman" w:hAnsi="Times New Roman" w:cs="Times New Roman"/>
          <w:noProof/>
          <w:sz w:val="24"/>
          <w:szCs w:val="24"/>
        </w:rPr>
        <w:t>omiku u Finanzjarju stabbilit sew, ibbażat fuq il-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Programmi ta’ Riforma Ekonomika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tas-sħab, jibqa’ qafas importanti biex jiġu ggwidati u appoġġati r-riformi makroekonomiċi u strutturali.   </w:t>
      </w:r>
    </w:p>
    <w:p w:rsidR="00B94BFD" w:rsidRPr="00BC51C9" w:rsidRDefault="00BC51C9" w:rsidP="00BC51C9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C51C9">
        <w:rPr>
          <w:rFonts w:ascii="Times New Roman" w:hAnsi="Times New Roman" w:cs="Times New Roman"/>
          <w:noProof/>
          <w:sz w:val="24"/>
          <w:szCs w:val="24"/>
        </w:rPr>
        <w:t>L-għan tal-Pjan Ekonomiku u ta’ Investiment se jkun li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jixpruna l-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irkupru fit-tul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, jagħti spinta lit-tkabbir ekonomiku u jappoġġja r-riformi meħtieġa biex isir progress fil-mixja lejn l-UE. Il-pjan Ekonomiku u ta’ Investiment se jkun ispirat minn u allinjat mal-prijoritajiet stabbiliti mill-Kummissjoni Ewropea għall-ħidma tagħha stess 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fil-perjodu 2019–2024. </w:t>
      </w:r>
    </w:p>
    <w:p w:rsidR="00B94BFD" w:rsidRPr="00BC51C9" w:rsidRDefault="00B94BFD" w:rsidP="00BC51C9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B94BFD" w:rsidRPr="00BC51C9" w:rsidRDefault="00BC51C9" w:rsidP="00BC51C9">
      <w:pPr>
        <w:pStyle w:val="ListParagraph"/>
        <w:keepNext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783" w:hanging="482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BC51C9">
        <w:rPr>
          <w:rFonts w:ascii="Times New Roman" w:hAnsi="Times New Roman"/>
          <w:b/>
          <w:bCs/>
          <w:noProof/>
          <w:sz w:val="24"/>
          <w:szCs w:val="24"/>
        </w:rPr>
        <w:t xml:space="preserve">Nindirizzaw ir-riformi fundamentali </w:t>
      </w:r>
    </w:p>
    <w:p w:rsidR="00B94BFD" w:rsidRPr="00BC51C9" w:rsidRDefault="00BC51C9" w:rsidP="00BC51C9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L-irkupru mill-kriżi attwali se jaħdem biss jekk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il-pajjiżi jkomplu jwettqu l-impenji tagħhom ta’ riforma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u jipproduċu riżultati tanġibbli fl-implimentazzjoni tagħhom. Dan huwa essenzjali biex jirrealizzaw il-perspettiva Ewropea tagħhom. Minbarra r-riformi ekonomiċi kontinwi, dan jirrikjedi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enfasi aktar qawwija fuq l-istat tad-dritt, il-funzjonament tal-istit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uzzjonijiet demokratiċi u l-amministrazzjoni pubblika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:rsidR="00B94BFD" w:rsidRPr="00BC51C9" w:rsidRDefault="00BC51C9" w:rsidP="00BC51C9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It-tisħiħ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tal-istat tad-dritt fl-aspetti kollha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 huwa kruċjali. Huwa jeħtieġ ġudikatura indipendenti u effiċjenti, riżultati robusti fil-ġlieda kontra l-korruzzjoni, il-kriminalità organizzata u t-ter</w:t>
      </w:r>
      <w:r w:rsidRPr="00BC51C9">
        <w:rPr>
          <w:rFonts w:ascii="Times New Roman" w:hAnsi="Times New Roman" w:cs="Times New Roman"/>
          <w:noProof/>
          <w:sz w:val="24"/>
          <w:szCs w:val="24"/>
        </w:rPr>
        <w:t>roriżmu, u l-protezzjoni effettiva tad-drittijiet fundamentali inkluż il-libertà tal-espressjoni u tal-midja. B’mod aktar speċifiku, huwa tal-akbar importanza li l-miżuri ta’ emerġenza meħuda matul il-kriżi ma jkunux għad-detriment ta’ prinċipji u valuri f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undamentali u li tali miżuri jibqgħu proporzjonati, marbuta biż-żmien u soġġetti għal sorveljanza demokratika. </w:t>
      </w:r>
    </w:p>
    <w:p w:rsidR="00B94BFD" w:rsidRPr="00BC51C9" w:rsidRDefault="00BC51C9" w:rsidP="00BC51C9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BC51C9">
        <w:rPr>
          <w:rFonts w:ascii="Times New Roman" w:hAnsi="Times New Roman" w:cs="Times New Roman"/>
          <w:noProof/>
          <w:sz w:val="24"/>
          <w:szCs w:val="24"/>
        </w:rPr>
        <w:t>Filwaqt li tibni fuq il-kooperazzjoni estensiva li diġà teżisti, huwa essenzjali li jiġi żgurat impenn attiv kontinwu permezz ta’ azzjonijiet ko</w:t>
      </w:r>
      <w:r w:rsidRPr="00BC51C9">
        <w:rPr>
          <w:rFonts w:ascii="Times New Roman" w:hAnsi="Times New Roman" w:cs="Times New Roman"/>
          <w:noProof/>
          <w:sz w:val="24"/>
          <w:szCs w:val="24"/>
        </w:rPr>
        <w:t>nġunti u maqbula b’mod reċiproku dwar is-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sigurtà</w:t>
      </w:r>
      <w:r w:rsidRPr="00BC51C9">
        <w:rPr>
          <w:rFonts w:ascii="Times New Roman" w:hAnsi="Times New Roman" w:cs="Times New Roman"/>
          <w:noProof/>
          <w:sz w:val="24"/>
          <w:szCs w:val="24"/>
        </w:rPr>
        <w:t>, inkluż kontra r-riskji tal-ħasil tal-flus u l-finanzjament tat-terroriżmu, u dwar il-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migrazzjoni u l-ġestjoni tal-fruntieri</w:t>
      </w:r>
      <w:r w:rsidRPr="00BC51C9">
        <w:rPr>
          <w:rFonts w:ascii="Times New Roman" w:hAnsi="Times New Roman" w:cs="Times New Roman"/>
          <w:noProof/>
          <w:sz w:val="24"/>
          <w:szCs w:val="24"/>
        </w:rPr>
        <w:t>.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Istituzzjonijiet demokratiċi aktar b’saħħithom u proċessi demokratiċi aktar inklu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żivi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jibqgħu prijoritajiet ewlenin. 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Ir-riforma tal-amministrazzjoni pubblika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 hija essenzjali għat-titjib tal-governanza fil-livelli kollha.</w:t>
      </w: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BC51C9">
        <w:rPr>
          <w:rFonts w:ascii="Times New Roman" w:hAnsi="Times New Roman" w:cs="Times New Roman"/>
          <w:noProof/>
          <w:sz w:val="24"/>
          <w:szCs w:val="24"/>
        </w:rPr>
        <w:t>Din tinkludi żieda fit-trasparenza u l-obbligu ta’ rendikont, ġestjoni finanzjarja pubblika soda u amministrazzjonij</w:t>
      </w:r>
      <w:r w:rsidRPr="00BC51C9">
        <w:rPr>
          <w:rFonts w:ascii="Times New Roman" w:hAnsi="Times New Roman" w:cs="Times New Roman"/>
          <w:noProof/>
          <w:sz w:val="24"/>
          <w:szCs w:val="24"/>
        </w:rPr>
        <w:t>iet aktar professjonali. Flimkien, dawn ta’ hawn fuq jifformaw il-pedament għal irkupru ekonomiku sostnut.</w:t>
      </w:r>
    </w:p>
    <w:p w:rsidR="00B94BFD" w:rsidRPr="00BC51C9" w:rsidRDefault="00BC51C9" w:rsidP="00BC51C9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Il-Kummissjoni tibqa’ impenjata bis-sħiħ li tappoġġa lir-reġjun fl-indirizzar ta’ dawn ir-riformi. Aktar miżuri se jiġu ppreżentati f’Komunikazzjoni 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tal-Kummissjoni aktar tard din is-sena.  </w:t>
      </w:r>
    </w:p>
    <w:p w:rsidR="00B94BFD" w:rsidRPr="00BC51C9" w:rsidRDefault="00BC51C9" w:rsidP="00BC51C9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Il-kriżi COVID-19 hija test għas-solidarjetà u r-riżoluzzjoni tagħna, iżda wkoll turija b’saħħitha li qed naħdmu aktar flimkien bħala Ewropej b’destin komuni. </w:t>
      </w:r>
      <w:r w:rsidRPr="00BC51C9">
        <w:rPr>
          <w:rFonts w:ascii="Times New Roman" w:hAnsi="Times New Roman" w:cs="Times New Roman"/>
          <w:noProof/>
          <w:sz w:val="24"/>
          <w:szCs w:val="24"/>
        </w:rPr>
        <w:t>F’dan ir-rigward, aħna nirrikonoxxu li s-sħab tal-Balka</w:t>
      </w:r>
      <w:r w:rsidRPr="00BC51C9">
        <w:rPr>
          <w:rFonts w:ascii="Times New Roman" w:hAnsi="Times New Roman" w:cs="Times New Roman"/>
          <w:noProof/>
          <w:sz w:val="24"/>
          <w:szCs w:val="24"/>
        </w:rPr>
        <w:t xml:space="preserve">ni tal-Punent se jkollhom isibu posthom fir-riflessjoni li jmiss tagħna dwar il-futur tal-Ewropa. </w:t>
      </w:r>
      <w:r w:rsidRPr="00BC51C9">
        <w:rPr>
          <w:rFonts w:ascii="Times New Roman" w:hAnsi="Times New Roman" w:cs="Times New Roman"/>
          <w:noProof/>
          <w:sz w:val="24"/>
          <w:szCs w:val="24"/>
        </w:rPr>
        <w:t>Flimkien ser negħlbu din il-kriżi u nirkupraw. U flimkien se nkomplu nsaħħu l-kooperazzjoni tagħna biex ngħinu lill-imsieħba tagħna li jissodisfaw ir-rekwiżit</w:t>
      </w:r>
      <w:r w:rsidRPr="00BC51C9">
        <w:rPr>
          <w:rFonts w:ascii="Times New Roman" w:hAnsi="Times New Roman" w:cs="Times New Roman"/>
          <w:noProof/>
          <w:sz w:val="24"/>
          <w:szCs w:val="24"/>
        </w:rPr>
        <w:t>i tas-sħubija fl-UE.</w:t>
      </w:r>
    </w:p>
    <w:p w:rsidR="00B94BFD" w:rsidRPr="00BC51C9" w:rsidRDefault="00B94BFD" w:rsidP="00BC51C9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B94BFD" w:rsidRPr="00BC51C9" w:rsidRDefault="00BC51C9" w:rsidP="00BC51C9">
      <w:pPr>
        <w:pStyle w:val="Body"/>
        <w:spacing w:after="12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C51C9">
        <w:rPr>
          <w:rFonts w:ascii="Times New Roman" w:hAnsi="Times New Roman" w:cs="Times New Roman"/>
          <w:b/>
          <w:bCs/>
          <w:noProof/>
          <w:sz w:val="24"/>
          <w:szCs w:val="24"/>
        </w:rPr>
        <w:t>**</w:t>
      </w:r>
    </w:p>
    <w:p w:rsidR="00B94BFD" w:rsidRPr="00BC51C9" w:rsidRDefault="00B94BFD" w:rsidP="00BC51C9">
      <w:pPr>
        <w:spacing w:after="120" w:line="240" w:lineRule="auto"/>
        <w:rPr>
          <w:rFonts w:ascii="Times New Roman" w:hAnsi="Times New Roman" w:cs="Times New Roman"/>
          <w:b/>
          <w:noProof/>
          <w:sz w:val="24"/>
          <w:szCs w:val="24"/>
          <w:lang w:val="en-GB"/>
        </w:rPr>
      </w:pPr>
    </w:p>
    <w:sectPr w:rsidR="00B94BFD" w:rsidRPr="00BC51C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BFD" w:rsidRDefault="00BC51C9">
      <w:pPr>
        <w:spacing w:after="0" w:line="240" w:lineRule="auto"/>
      </w:pPr>
      <w:r>
        <w:separator/>
      </w:r>
    </w:p>
  </w:endnote>
  <w:endnote w:type="continuationSeparator" w:id="0">
    <w:p w:rsidR="00B94BFD" w:rsidRDefault="00BC51C9">
      <w:pPr>
        <w:spacing w:after="0" w:line="240" w:lineRule="auto"/>
      </w:pPr>
      <w:r>
        <w:continuationSeparator/>
      </w:r>
    </w:p>
  </w:endnote>
  <w:endnote w:type="continuationNotice" w:id="1">
    <w:p w:rsidR="00B94BFD" w:rsidRDefault="00B94B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BFD" w:rsidRDefault="00B94B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BFD" w:rsidRDefault="00BC51C9">
    <w:pPr>
      <w:pStyle w:val="FooterCoverPage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MT</w:t>
    </w:r>
    <w:r>
      <w:rPr>
        <w:rFonts w:ascii="Arial" w:hAnsi="Arial" w:cs="Arial"/>
        <w:b/>
        <w:sz w:val="48"/>
      </w:rPr>
      <w:tab/>
    </w:r>
    <w:r>
      <w:rPr>
        <w:rFonts w:ascii="Arial" w:hAnsi="Arial" w:cs="Arial"/>
        <w:b/>
        <w:sz w:val="48"/>
      </w:rPr>
      <w:tab/>
    </w:r>
    <w:r>
      <w:tab/>
    </w:r>
    <w:r>
      <w:rPr>
        <w:rFonts w:ascii="Arial" w:hAnsi="Arial" w:cs="Arial"/>
        <w:b/>
        <w:sz w:val="48"/>
      </w:rPr>
      <w:t>MT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BFD" w:rsidRDefault="00B94BFD">
    <w:pPr>
      <w:pStyle w:val="FooterCover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BFD" w:rsidRDefault="00B94BFD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BFD" w:rsidRDefault="00BC51C9">
    <w:pPr>
      <w:pStyle w:val="Footer"/>
      <w:tabs>
        <w:tab w:val="clear" w:pos="9360"/>
        <w:tab w:val="right" w:pos="9046"/>
      </w:tabs>
      <w:jc w:val="center"/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PAGE 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  <w:noProof/>
      </w:rPr>
      <w:t>3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BFD" w:rsidRDefault="00B94B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BFD" w:rsidRDefault="00BC51C9">
      <w:pPr>
        <w:spacing w:after="0" w:line="240" w:lineRule="auto"/>
      </w:pPr>
      <w:r>
        <w:separator/>
      </w:r>
    </w:p>
  </w:footnote>
  <w:footnote w:type="continuationSeparator" w:id="0">
    <w:p w:rsidR="00B94BFD" w:rsidRDefault="00BC51C9">
      <w:pPr>
        <w:spacing w:after="0" w:line="240" w:lineRule="auto"/>
      </w:pPr>
      <w:r>
        <w:continuationSeparator/>
      </w:r>
    </w:p>
  </w:footnote>
  <w:footnote w:type="continuationNotice" w:id="1">
    <w:p w:rsidR="00B94BFD" w:rsidRDefault="00B94BFD">
      <w:pPr>
        <w:spacing w:after="0" w:line="240" w:lineRule="auto"/>
      </w:pPr>
    </w:p>
  </w:footnote>
  <w:footnote w:id="2">
    <w:p w:rsidR="00B94BFD" w:rsidRDefault="00BC51C9">
      <w:pPr>
        <w:pStyle w:val="FootnoteText"/>
        <w:jc w:val="both"/>
      </w:pPr>
      <w:r>
        <w:rPr>
          <w:rFonts w:ascii="Times New Roman" w:eastAsia="Times New Roman" w:hAnsi="Times New Roman"/>
          <w:b/>
          <w:bCs/>
          <w:vertAlign w:val="superscript"/>
          <w:lang w:val="en-US"/>
        </w:rPr>
        <w:footnoteRef/>
      </w:r>
      <w:r>
        <w:rPr>
          <w:rFonts w:ascii="Times New Roman" w:hAnsi="Times New Roman"/>
        </w:rPr>
        <w:t xml:space="preserve"> Komunikazzjoni tal-Kummissjoni</w:t>
      </w:r>
      <w:r>
        <w:rPr>
          <w:rFonts w:ascii="Times New Roman" w:hAnsi="Times New Roman"/>
          <w:i/>
          <w:iCs/>
        </w:rPr>
        <w:t xml:space="preserve"> “Intejbu l-proċess tal-adeżjoni — Perspettiva kredibbli tal-UE għall-Balkani tal-Punent</w:t>
      </w:r>
      <w:r>
        <w:rPr>
          <w:rFonts w:ascii="Times New Roman" w:hAnsi="Times New Roman"/>
        </w:rPr>
        <w:t xml:space="preserve"> ”</w:t>
      </w:r>
      <w:r>
        <w:t xml:space="preserve"> </w:t>
      </w:r>
      <w:hyperlink r:id="rId1" w:history="1">
        <w:r>
          <w:rPr>
            <w:rStyle w:val="Hyperlink0"/>
            <w:rFonts w:eastAsia="Calibri"/>
          </w:rPr>
          <w:t>COM(2020) 57 final</w:t>
        </w:r>
      </w:hyperlink>
    </w:p>
  </w:footnote>
  <w:footnote w:id="3">
    <w:p w:rsidR="00B94BFD" w:rsidRDefault="00BC51C9">
      <w:pPr>
        <w:pStyle w:val="FootnoteText"/>
      </w:pPr>
      <w:r>
        <w:rPr>
          <w:rFonts w:ascii="Times New Roman" w:eastAsia="Times New Roman" w:hAnsi="Times New Roman"/>
          <w:b/>
          <w:bCs/>
          <w:vertAlign w:val="superscript"/>
          <w:lang w:val="en-US"/>
        </w:rPr>
        <w:footnoteRef/>
      </w:r>
      <w:r>
        <w:rPr>
          <w:rFonts w:ascii="Times New Roman" w:hAnsi="Times New Roman"/>
        </w:rPr>
        <w:t>Finanzjament allokat fil-Programm Indikattiv Pluriennali 2014-2020 eżistenti</w:t>
      </w:r>
    </w:p>
  </w:footnote>
  <w:footnote w:id="4">
    <w:p w:rsidR="00B94BFD" w:rsidRDefault="00BC51C9">
      <w:pPr>
        <w:pStyle w:val="FootnoteText"/>
      </w:pPr>
      <w:r>
        <w:rPr>
          <w:rFonts w:ascii="Times New Roman" w:eastAsia="Times New Roman" w:hAnsi="Times New Roman"/>
          <w:b/>
          <w:bCs/>
          <w:vertAlign w:val="superscript"/>
          <w:lang w:val="en-US"/>
        </w:rPr>
        <w:footnoteRef/>
      </w:r>
      <w:r>
        <w:rPr>
          <w:rFonts w:ascii="Times New Roman" w:hAnsi="Times New Roman"/>
        </w:rPr>
        <w:t>Il-programmi eżistenti ta’ appoġġ tal-IPA qed jiġ</w:t>
      </w:r>
      <w:r>
        <w:rPr>
          <w:rFonts w:ascii="Times New Roman" w:hAnsi="Times New Roman"/>
        </w:rPr>
        <w:t>u adattati u aċċellerati, pereżempju l-assistenza ta’ qabel l-adeżjoni tal-UE għall-iżvilupp rurali (IPARD) u għall-kooperazzjoni transkonfinali bejn l-UE u l-Balkani tal-Punent (REGIO).</w:t>
      </w:r>
    </w:p>
  </w:footnote>
  <w:footnote w:id="5">
    <w:p w:rsidR="00B94BFD" w:rsidRDefault="00BC51C9">
      <w:pPr>
        <w:pStyle w:val="FootnoteText"/>
        <w:jc w:val="both"/>
      </w:pPr>
      <w:r>
        <w:rPr>
          <w:rFonts w:ascii="Times New Roman" w:eastAsia="Times New Roman" w:hAnsi="Times New Roman"/>
          <w:vertAlign w:val="superscript"/>
          <w:lang w:val="en-US"/>
        </w:rPr>
        <w:footnoteRef/>
      </w:r>
      <w:r>
        <w:rPr>
          <w:rFonts w:ascii="Times New Roman" w:hAnsi="Times New Roman"/>
        </w:rPr>
        <w:t>L-UE qed tiffinanzja t-twassil ta’ madwar 95.000 test tal-COVID, 500</w:t>
      </w:r>
      <w:r>
        <w:rPr>
          <w:rFonts w:ascii="Times New Roman" w:hAnsi="Times New Roman"/>
        </w:rPr>
        <w:t xml:space="preserve"> sodda tal-isptar, 450 ventilatur, 100 monitor tal-kura intensiva, 100 kontejner għat-triage, 10 ambulanzi, kif ukoll aktar minn 4.5 miljun biċċa ta’ tagħmir ta’ protezzjoni kif ukoll mijiet ta’ apparat mediku (bħal x-rays, ECGs, scanners, defibrillaturi, </w:t>
      </w:r>
      <w:r>
        <w:rPr>
          <w:rFonts w:ascii="Times New Roman" w:hAnsi="Times New Roman"/>
        </w:rPr>
        <w:t xml:space="preserve">pompi tal-infużjoni) u eluf ta’ provvisti (bħal termometri, kateters, tubi, siringi, maskri). L-UE kopriet ukoll l-ispiża ta’ 16-il titjira fit-tul li ġarrew 750 tunnellata ta’ provvisti mediċi mixtrija minn sorsi oħra. </w:t>
      </w:r>
    </w:p>
  </w:footnote>
  <w:footnote w:id="6">
    <w:p w:rsidR="00B94BFD" w:rsidRDefault="00BC51C9">
      <w:pPr>
        <w:pStyle w:val="FootnoteText"/>
        <w:jc w:val="both"/>
      </w:pPr>
      <w:r>
        <w:rPr>
          <w:rFonts w:ascii="Times New Roman" w:eastAsia="Times New Roman" w:hAnsi="Times New Roman"/>
          <w:vertAlign w:val="superscript"/>
          <w:lang w:val="en-US"/>
        </w:rPr>
        <w:footnoteRef/>
      </w:r>
      <w:r>
        <w:rPr>
          <w:rFonts w:ascii="Times New Roman" w:hAnsi="Times New Roman"/>
        </w:rPr>
        <w:t>2020/0065 (COD) Proposta għal Deċi</w:t>
      </w:r>
      <w:r>
        <w:rPr>
          <w:rFonts w:ascii="Times New Roman" w:hAnsi="Times New Roman"/>
        </w:rPr>
        <w:t>żjoni tal-Parlament Ewropew u tal-Kunsill dwar l-għoti ta’ Assistenza Makrofinanzjarja lil sħab tat-tkabbir u tal-viċinat fil-kuntest tal-kriżi ta’ pandemija tal-COVID-19. 22 ta’ April 2020.</w:t>
      </w:r>
    </w:p>
  </w:footnote>
  <w:footnote w:id="7">
    <w:p w:rsidR="00B94BFD" w:rsidRDefault="00BC51C9">
      <w:pPr>
        <w:pStyle w:val="FootnoteText"/>
        <w:jc w:val="both"/>
      </w:pPr>
      <w:r>
        <w:rPr>
          <w:rFonts w:ascii="Times New Roman" w:eastAsia="Times New Roman" w:hAnsi="Times New Roman"/>
          <w:b/>
          <w:bCs/>
          <w:vertAlign w:val="superscript"/>
          <w:lang w:val="en-US"/>
        </w:rPr>
        <w:footnoteRef/>
      </w:r>
      <w:r>
        <w:rPr>
          <w:rFonts w:ascii="Times New Roman" w:hAnsi="Times New Roman"/>
        </w:rPr>
        <w:t>Komunikazzjoni dwar ir-rispons globali tal-UE għall-COVID-19 (JO</w:t>
      </w:r>
      <w:r>
        <w:rPr>
          <w:rFonts w:ascii="Times New Roman" w:hAnsi="Times New Roman"/>
        </w:rPr>
        <w:t>IN (2020) 11 final) tat-8.4.2020.</w:t>
      </w:r>
    </w:p>
  </w:footnote>
  <w:footnote w:id="8">
    <w:p w:rsidR="00B94BFD" w:rsidRDefault="00BC51C9">
      <w:pPr>
        <w:pStyle w:val="NormalWeb"/>
        <w:jc w:val="both"/>
      </w:pPr>
      <w:r>
        <w:rPr>
          <w:sz w:val="20"/>
          <w:szCs w:val="20"/>
          <w:vertAlign w:val="superscript"/>
          <w:lang w:val="en-US"/>
        </w:rPr>
        <w:footnoteRef/>
      </w:r>
      <w:r>
        <w:t>Ir-Regolament ta’ Implimentazzjoni tal-Kummissjoni (UE) 2020/568 tat-23 ta’ April 2020 li jagħmel l-esportazzjoni ta’ ċerti prodotti soġġetta għall-produzzjoni ta’ awtorizzazzjoni ta’ esportazzjoni (ĠU L129, 24.4.20)</w:t>
      </w:r>
    </w:p>
  </w:footnote>
  <w:footnote w:id="9">
    <w:p w:rsidR="00B94BFD" w:rsidRDefault="00BC51C9">
      <w:pPr>
        <w:pStyle w:val="FootnoteText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C(</w:t>
      </w:r>
      <w:r>
        <w:rPr>
          <w:rFonts w:ascii="Times New Roman" w:hAnsi="Times New Roman"/>
        </w:rPr>
        <w:t>2020) 2050 final.</w:t>
      </w:r>
    </w:p>
  </w:footnote>
  <w:footnote w:id="10">
    <w:p w:rsidR="00B94BFD" w:rsidRDefault="00BC51C9">
      <w:pPr>
        <w:pStyle w:val="FootnoteText"/>
        <w:jc w:val="both"/>
      </w:pPr>
      <w:r>
        <w:rPr>
          <w:rFonts w:ascii="Times New Roman" w:eastAsia="Times New Roman" w:hAnsi="Times New Roman"/>
          <w:vertAlign w:val="superscript"/>
          <w:lang w:val="en-US"/>
        </w:rPr>
        <w:footnoteRef/>
      </w:r>
      <w:r>
        <w:rPr>
          <w:rFonts w:ascii="Times New Roman" w:hAnsi="Times New Roman"/>
        </w:rPr>
        <w:t>Barra minn hekk, EUR 65 miljun se jiġu pprovduti biex jappoġġaw it-tħejjija u l-implimentazzjoni ta’ proġetti skont il-Qafas ta’ Investiment tal-Balkani tal-Punent (WBIF). Dan ser iwassal biex il-Pakkett tal-Konnettività tal-2020 iffinan</w:t>
      </w:r>
      <w:r>
        <w:rPr>
          <w:rFonts w:ascii="Times New Roman" w:hAnsi="Times New Roman"/>
        </w:rPr>
        <w:t>zjat mill-UE jilħaq il-EUR 200 miljun.</w:t>
      </w:r>
    </w:p>
  </w:footnote>
  <w:footnote w:id="11">
    <w:p w:rsidR="00B94BFD" w:rsidRDefault="00BC51C9">
      <w:pPr>
        <w:pStyle w:val="FootnoteText"/>
        <w:jc w:val="both"/>
      </w:pPr>
      <w:r>
        <w:rPr>
          <w:rFonts w:ascii="Times New Roman" w:eastAsia="Times New Roman" w:hAnsi="Times New Roman"/>
          <w:vertAlign w:val="superscript"/>
          <w:lang w:val="en-US"/>
        </w:rPr>
        <w:footnoteRef/>
      </w:r>
      <w:r>
        <w:rPr>
          <w:rFonts w:ascii="Times New Roman" w:hAnsi="Times New Roman"/>
        </w:rPr>
        <w:t>Pereżempju, is-Sistema għall-Iskambju ta’ Data dwar is-Sisa ġiet aġġornata biex tiżgura identifikazzjoni elettronika bikrija tat-trakkijiet li jġorru oġġetti essenzjali, ikkomunikata lill-punti ta’ qsim tal-fruntieri</w:t>
      </w:r>
      <w:r>
        <w:rPr>
          <w:rFonts w:ascii="Times New Roman" w:hAnsi="Times New Roman"/>
        </w:rPr>
        <w:t xml:space="preserve"> sabiex it-trakkijiet ikunu jistgħu jaqsmu l-fruntiera permezz tal-korsiji prijoritarji).</w:t>
      </w:r>
    </w:p>
  </w:footnote>
  <w:footnote w:id="12">
    <w:p w:rsidR="00B94BFD" w:rsidRDefault="00BC51C9">
      <w:pPr>
        <w:pStyle w:val="FootnoteTex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vertAlign w:val="superscript"/>
          <w:lang w:val="en-US"/>
        </w:rPr>
        <w:footnoteRef/>
      </w:r>
      <w:r>
        <w:rPr>
          <w:rFonts w:ascii="Times New Roman" w:hAnsi="Times New Roman"/>
        </w:rPr>
        <w:t>F’dan ir-rigward, fit-3 ta’ April il-Kummissjoni pproponiet li testendi l-Miżuri Kummerċjali Awtonomi mogħtija mill-UE lill-pajjiżi tal-Balkani tal-Punent għal perjo</w:t>
      </w:r>
      <w:r>
        <w:rPr>
          <w:rFonts w:ascii="Times New Roman" w:hAnsi="Times New Roman"/>
        </w:rPr>
        <w:t xml:space="preserve">du ieħor ta’ 5 snin sal-aħħar tal-2025 (COM (2020) 135 final </w:t>
      </w:r>
    </w:p>
    <w:p w:rsidR="00B94BFD" w:rsidRDefault="00BC51C9">
      <w:pPr>
        <w:pStyle w:val="FootnoteText"/>
      </w:pPr>
      <w:r>
        <w:rPr>
          <w:rFonts w:ascii="Times New Roman" w:hAnsi="Times New Roman"/>
        </w:rPr>
        <w:t xml:space="preserve">2020/0051 (COD)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BFD" w:rsidRDefault="00B94B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BFD" w:rsidRDefault="00B94BFD">
    <w:pPr>
      <w:pStyle w:val="HeaderCoverPag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BFD" w:rsidRDefault="00B94BFD">
    <w:pPr>
      <w:pStyle w:val="HeaderCoverPag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BFD" w:rsidRDefault="00B94BF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BFD" w:rsidRDefault="00B94BFD">
    <w:pPr>
      <w:pStyle w:val="Header"/>
      <w:tabs>
        <w:tab w:val="clear" w:pos="9360"/>
        <w:tab w:val="right" w:pos="9046"/>
      </w:tabs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BFD" w:rsidRDefault="00B94B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E503D"/>
    <w:multiLevelType w:val="hybridMultilevel"/>
    <w:tmpl w:val="50DA3C46"/>
    <w:lvl w:ilvl="0" w:tplc="08090013">
      <w:start w:val="1"/>
      <w:numFmt w:val="upperRoman"/>
      <w:lvlText w:val="%1."/>
      <w:lvlJc w:val="right"/>
      <w:pPr>
        <w:ind w:left="780" w:hanging="360"/>
      </w:pPr>
    </w:lvl>
    <w:lvl w:ilvl="1" w:tplc="08090019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98C6320"/>
    <w:multiLevelType w:val="hybridMultilevel"/>
    <w:tmpl w:val="34CCDB36"/>
    <w:lvl w:ilvl="0" w:tplc="18090011">
      <w:start w:val="1"/>
      <w:numFmt w:val="decimal"/>
      <w:lvlText w:val="%1)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B51692"/>
    <w:multiLevelType w:val="hybridMultilevel"/>
    <w:tmpl w:val="6628A694"/>
    <w:lvl w:ilvl="0" w:tplc="08090013">
      <w:start w:val="1"/>
      <w:numFmt w:val="upperRoman"/>
      <w:lvlText w:val="%1."/>
      <w:lvlJc w:val="right"/>
      <w:pPr>
        <w:ind w:left="780" w:hanging="360"/>
      </w:pPr>
    </w:lvl>
    <w:lvl w:ilvl="1" w:tplc="08090019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1B156DC"/>
    <w:multiLevelType w:val="hybridMultilevel"/>
    <w:tmpl w:val="1A942A5A"/>
    <w:lvl w:ilvl="0" w:tplc="080C0001">
      <w:start w:val="1"/>
      <w:numFmt w:val="bullet"/>
      <w:lvlText w:val=""/>
      <w:lvlJc w:val="left"/>
      <w:pPr>
        <w:ind w:left="1035" w:hanging="675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641F9"/>
    <w:multiLevelType w:val="hybridMultilevel"/>
    <w:tmpl w:val="80584BB8"/>
    <w:lvl w:ilvl="0" w:tplc="FDEE4844">
      <w:start w:val="1"/>
      <w:numFmt w:val="bullet"/>
      <w:lvlText w:val="-"/>
      <w:lvlJc w:val="left"/>
      <w:pPr>
        <w:ind w:left="675" w:hanging="675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5B3A38"/>
    <w:multiLevelType w:val="hybridMultilevel"/>
    <w:tmpl w:val="E430A882"/>
    <w:lvl w:ilvl="0" w:tplc="C77EC6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E057F"/>
    <w:multiLevelType w:val="hybridMultilevel"/>
    <w:tmpl w:val="328EB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3502D"/>
    <w:multiLevelType w:val="hybridMultilevel"/>
    <w:tmpl w:val="A41C6E94"/>
    <w:numStyleLink w:val="ImportedStyle1"/>
  </w:abstractNum>
  <w:abstractNum w:abstractNumId="8" w15:restartNumberingAfterBreak="0">
    <w:nsid w:val="2F000009"/>
    <w:multiLevelType w:val="hybridMultilevel"/>
    <w:tmpl w:val="34B116FA"/>
    <w:lvl w:ilvl="0" w:tplc="D922A03E">
      <w:start w:val="1"/>
      <w:numFmt w:val="bullet"/>
      <w:lvlText w:val="Ø"/>
      <w:lvlJc w:val="left"/>
      <w:pPr>
        <w:ind w:left="720" w:hanging="36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1" w:tplc="F696803E">
      <w:start w:val="1"/>
      <w:numFmt w:val="bullet"/>
      <w:lvlText w:val="Ø"/>
      <w:lvlJc w:val="left"/>
      <w:pPr>
        <w:ind w:left="1440" w:hanging="36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2" w:tplc="47F4BE3C">
      <w:start w:val="1"/>
      <w:numFmt w:val="bullet"/>
      <w:lvlText w:val="§"/>
      <w:lvlJc w:val="left"/>
      <w:pPr>
        <w:ind w:left="2160" w:hanging="36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75548F68">
      <w:start w:val="1"/>
      <w:numFmt w:val="bullet"/>
      <w:lvlText w:val="·"/>
      <w:lvlJc w:val="left"/>
      <w:pPr>
        <w:ind w:left="2880" w:hanging="360"/>
        <w:jc w:val="both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4" w:tplc="F760CF84">
      <w:start w:val="1"/>
      <w:numFmt w:val="bullet"/>
      <w:lvlText w:val="o"/>
      <w:lvlJc w:val="left"/>
      <w:pPr>
        <w:ind w:left="3600" w:hanging="360"/>
        <w:jc w:val="both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5" w:tplc="8A2AF56E">
      <w:start w:val="1"/>
      <w:numFmt w:val="bullet"/>
      <w:lvlText w:val="§"/>
      <w:lvlJc w:val="left"/>
      <w:pPr>
        <w:ind w:left="4320" w:hanging="36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2B0CC496">
      <w:start w:val="1"/>
      <w:numFmt w:val="bullet"/>
      <w:lvlText w:val="·"/>
      <w:lvlJc w:val="left"/>
      <w:pPr>
        <w:ind w:left="5040" w:hanging="360"/>
        <w:jc w:val="both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7" w:tplc="437A2DE8">
      <w:start w:val="1"/>
      <w:numFmt w:val="bullet"/>
      <w:lvlText w:val="o"/>
      <w:lvlJc w:val="left"/>
      <w:pPr>
        <w:ind w:left="5760" w:hanging="360"/>
        <w:jc w:val="both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8" w:tplc="8F8A2E6E">
      <w:start w:val="1"/>
      <w:numFmt w:val="bullet"/>
      <w:lvlText w:val="§"/>
      <w:lvlJc w:val="left"/>
      <w:pPr>
        <w:ind w:left="6480" w:hanging="36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9" w15:restartNumberingAfterBreak="0">
    <w:nsid w:val="2F000026"/>
    <w:multiLevelType w:val="hybridMultilevel"/>
    <w:tmpl w:val="43EE3B82"/>
    <w:lvl w:ilvl="0" w:tplc="FEE2DBB8">
      <w:start w:val="15"/>
      <w:numFmt w:val="bullet"/>
      <w:lvlText w:val="-"/>
      <w:lvlJc w:val="left"/>
      <w:pPr>
        <w:ind w:left="720" w:hanging="360"/>
        <w:jc w:val="both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1" w:tplc="B55C1D74">
      <w:start w:val="1"/>
      <w:numFmt w:val="bullet"/>
      <w:lvlText w:val="o"/>
      <w:lvlJc w:val="left"/>
      <w:pPr>
        <w:ind w:left="1440" w:hanging="360"/>
        <w:jc w:val="both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2" w:tplc="4B2C698C">
      <w:start w:val="1"/>
      <w:numFmt w:val="bullet"/>
      <w:lvlText w:val="§"/>
      <w:lvlJc w:val="left"/>
      <w:pPr>
        <w:ind w:left="2160" w:hanging="36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A1FCB008">
      <w:start w:val="1"/>
      <w:numFmt w:val="bullet"/>
      <w:lvlText w:val="·"/>
      <w:lvlJc w:val="left"/>
      <w:pPr>
        <w:ind w:left="2880" w:hanging="360"/>
        <w:jc w:val="both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4" w:tplc="BBB254BA">
      <w:start w:val="1"/>
      <w:numFmt w:val="bullet"/>
      <w:lvlText w:val="o"/>
      <w:lvlJc w:val="left"/>
      <w:pPr>
        <w:ind w:left="3600" w:hanging="360"/>
        <w:jc w:val="both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5" w:tplc="FB045024">
      <w:start w:val="1"/>
      <w:numFmt w:val="bullet"/>
      <w:lvlText w:val="§"/>
      <w:lvlJc w:val="left"/>
      <w:pPr>
        <w:ind w:left="4320" w:hanging="36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F7F4F9F2">
      <w:start w:val="1"/>
      <w:numFmt w:val="bullet"/>
      <w:lvlText w:val="·"/>
      <w:lvlJc w:val="left"/>
      <w:pPr>
        <w:ind w:left="5040" w:hanging="360"/>
        <w:jc w:val="both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7" w:tplc="52F609A0">
      <w:start w:val="1"/>
      <w:numFmt w:val="bullet"/>
      <w:lvlText w:val="o"/>
      <w:lvlJc w:val="left"/>
      <w:pPr>
        <w:ind w:left="5760" w:hanging="360"/>
        <w:jc w:val="both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8" w:tplc="98A47408">
      <w:start w:val="1"/>
      <w:numFmt w:val="bullet"/>
      <w:lvlText w:val="§"/>
      <w:lvlJc w:val="left"/>
      <w:pPr>
        <w:ind w:left="6480" w:hanging="36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10" w15:restartNumberingAfterBreak="0">
    <w:nsid w:val="2F000030"/>
    <w:multiLevelType w:val="hybridMultilevel"/>
    <w:tmpl w:val="1F34BE0E"/>
    <w:lvl w:ilvl="0" w:tplc="246A393C">
      <w:start w:val="1"/>
      <w:numFmt w:val="bullet"/>
      <w:lvlText w:val="Ø"/>
      <w:lvlJc w:val="left"/>
      <w:pPr>
        <w:ind w:left="592" w:hanging="400"/>
        <w:jc w:val="both"/>
      </w:pPr>
      <w:rPr>
        <w:rFonts w:ascii="Wingdings" w:eastAsia="Wingdings" w:hAnsi="Wingdings"/>
        <w:b w:val="0"/>
        <w:w w:val="100"/>
        <w:sz w:val="24"/>
        <w:szCs w:val="24"/>
        <w:u w:val="none"/>
        <w:shd w:val="clear" w:color="auto" w:fill="auto"/>
      </w:rPr>
    </w:lvl>
    <w:lvl w:ilvl="1" w:tplc="118EBD14">
      <w:start w:val="1"/>
      <w:numFmt w:val="bullet"/>
      <w:lvlText w:val="n"/>
      <w:lvlJc w:val="left"/>
      <w:pPr>
        <w:ind w:left="992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2" w:tplc="5104660A">
      <w:start w:val="1"/>
      <w:numFmt w:val="bullet"/>
      <w:lvlText w:val="u"/>
      <w:lvlJc w:val="left"/>
      <w:pPr>
        <w:ind w:left="1392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02E686DC">
      <w:start w:val="1"/>
      <w:numFmt w:val="bullet"/>
      <w:lvlText w:val="Ø"/>
      <w:lvlJc w:val="left"/>
      <w:pPr>
        <w:ind w:left="1792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4" w:tplc="317603B6">
      <w:start w:val="1"/>
      <w:numFmt w:val="bullet"/>
      <w:lvlText w:val="n"/>
      <w:lvlJc w:val="left"/>
      <w:pPr>
        <w:ind w:left="2192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5" w:tplc="DCC88D5E">
      <w:start w:val="1"/>
      <w:numFmt w:val="bullet"/>
      <w:lvlText w:val="u"/>
      <w:lvlJc w:val="left"/>
      <w:pPr>
        <w:ind w:left="2592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C39839E8">
      <w:start w:val="1"/>
      <w:numFmt w:val="bullet"/>
      <w:lvlText w:val="Ø"/>
      <w:lvlJc w:val="left"/>
      <w:pPr>
        <w:ind w:left="2992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7" w:tplc="F3442810">
      <w:start w:val="1"/>
      <w:numFmt w:val="bullet"/>
      <w:lvlText w:val="n"/>
      <w:lvlJc w:val="left"/>
      <w:pPr>
        <w:ind w:left="3392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8" w:tplc="459CFE62">
      <w:start w:val="1"/>
      <w:numFmt w:val="bullet"/>
      <w:lvlText w:val="u"/>
      <w:lvlJc w:val="left"/>
      <w:pPr>
        <w:ind w:left="3792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11" w15:restartNumberingAfterBreak="0">
    <w:nsid w:val="3162379A"/>
    <w:multiLevelType w:val="hybridMultilevel"/>
    <w:tmpl w:val="839A3770"/>
    <w:lvl w:ilvl="0" w:tplc="FDEE48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720EBD"/>
    <w:multiLevelType w:val="hybridMultilevel"/>
    <w:tmpl w:val="215C1B9C"/>
    <w:lvl w:ilvl="0" w:tplc="18090013">
      <w:start w:val="1"/>
      <w:numFmt w:val="upp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751E2"/>
    <w:multiLevelType w:val="hybridMultilevel"/>
    <w:tmpl w:val="29B8FF8C"/>
    <w:lvl w:ilvl="0" w:tplc="FDEE4844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CF7D93"/>
    <w:multiLevelType w:val="hybridMultilevel"/>
    <w:tmpl w:val="C7CEC9F4"/>
    <w:lvl w:ilvl="0" w:tplc="FDEE4844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E902D2"/>
    <w:multiLevelType w:val="hybridMultilevel"/>
    <w:tmpl w:val="C0061EF4"/>
    <w:lvl w:ilvl="0" w:tplc="C680B46C">
      <w:start w:val="15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7C0670"/>
    <w:multiLevelType w:val="hybridMultilevel"/>
    <w:tmpl w:val="5B6A7AE0"/>
    <w:lvl w:ilvl="0" w:tplc="FDEE484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50132"/>
    <w:multiLevelType w:val="hybridMultilevel"/>
    <w:tmpl w:val="2DC07B7E"/>
    <w:lvl w:ilvl="0" w:tplc="FDEE48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962244"/>
    <w:multiLevelType w:val="hybridMultilevel"/>
    <w:tmpl w:val="A41C6E94"/>
    <w:styleLink w:val="ImportedStyle1"/>
    <w:lvl w:ilvl="0" w:tplc="826AB56E">
      <w:start w:val="1"/>
      <w:numFmt w:val="upperRoman"/>
      <w:lvlText w:val="%1."/>
      <w:lvlJc w:val="left"/>
      <w:pPr>
        <w:ind w:left="78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F62A8C">
      <w:start w:val="1"/>
      <w:numFmt w:val="lowerLetter"/>
      <w:lvlText w:val="%2."/>
      <w:lvlJc w:val="left"/>
      <w:pPr>
        <w:ind w:left="15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C6F396">
      <w:start w:val="1"/>
      <w:numFmt w:val="lowerRoman"/>
      <w:lvlText w:val="%3."/>
      <w:lvlJc w:val="left"/>
      <w:pPr>
        <w:ind w:left="22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F852DE">
      <w:start w:val="1"/>
      <w:numFmt w:val="decimal"/>
      <w:lvlText w:val="%4."/>
      <w:lvlJc w:val="left"/>
      <w:pPr>
        <w:ind w:left="29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9C4E04">
      <w:start w:val="1"/>
      <w:numFmt w:val="lowerLetter"/>
      <w:lvlText w:val="%5."/>
      <w:lvlJc w:val="left"/>
      <w:pPr>
        <w:ind w:left="36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3CF178">
      <w:start w:val="1"/>
      <w:numFmt w:val="lowerRoman"/>
      <w:lvlText w:val="%6."/>
      <w:lvlJc w:val="left"/>
      <w:pPr>
        <w:ind w:left="43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501B84">
      <w:start w:val="1"/>
      <w:numFmt w:val="decimal"/>
      <w:lvlText w:val="%7."/>
      <w:lvlJc w:val="left"/>
      <w:pPr>
        <w:ind w:left="51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4A7C1E">
      <w:start w:val="1"/>
      <w:numFmt w:val="lowerLetter"/>
      <w:lvlText w:val="%8."/>
      <w:lvlJc w:val="left"/>
      <w:pPr>
        <w:ind w:left="58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3C45F8">
      <w:start w:val="1"/>
      <w:numFmt w:val="lowerRoman"/>
      <w:lvlText w:val="%9."/>
      <w:lvlJc w:val="left"/>
      <w:pPr>
        <w:ind w:left="654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7A8105DE"/>
    <w:multiLevelType w:val="hybridMultilevel"/>
    <w:tmpl w:val="85989ECE"/>
    <w:lvl w:ilvl="0" w:tplc="FDEE48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5"/>
  </w:num>
  <w:num w:numId="5">
    <w:abstractNumId w:val="0"/>
  </w:num>
  <w:num w:numId="6">
    <w:abstractNumId w:val="6"/>
  </w:num>
  <w:num w:numId="7">
    <w:abstractNumId w:val="14"/>
  </w:num>
  <w:num w:numId="8">
    <w:abstractNumId w:val="12"/>
  </w:num>
  <w:num w:numId="9">
    <w:abstractNumId w:val="2"/>
  </w:num>
  <w:num w:numId="10">
    <w:abstractNumId w:val="17"/>
  </w:num>
  <w:num w:numId="11">
    <w:abstractNumId w:val="16"/>
  </w:num>
  <w:num w:numId="12">
    <w:abstractNumId w:val="3"/>
  </w:num>
  <w:num w:numId="13">
    <w:abstractNumId w:val="4"/>
  </w:num>
  <w:num w:numId="14">
    <w:abstractNumId w:val="1"/>
  </w:num>
  <w:num w:numId="15">
    <w:abstractNumId w:val="13"/>
  </w:num>
  <w:num w:numId="16">
    <w:abstractNumId w:val="11"/>
  </w:num>
  <w:num w:numId="17">
    <w:abstractNumId w:val="19"/>
  </w:num>
  <w:num w:numId="18">
    <w:abstractNumId w:val="5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hideSpellingErrors/>
  <w:hideGrammaticalErrors/>
  <w:activeWritingStyle w:appName="MSWord" w:lang="fr-BE" w:vendorID="64" w:dllVersion="131078" w:nlCheck="1" w:checkStyle="0"/>
  <w:activeWritingStyle w:appName="MSWord" w:lang="en-GB" w:vendorID="64" w:dllVersion="131078" w:nlCheck="1" w:checkStyle="1"/>
  <w:activeWritingStyle w:appName="MSWord" w:lang="en-IE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Status" w:val="Green"/>
    <w:docVar w:name="LW_CORRIGENDUM" w:val="&lt;UNUSED&gt;"/>
    <w:docVar w:name="LW_COVERPAGE_EXISTS" w:val="True"/>
    <w:docVar w:name="LW_COVERPAGE_GUID" w:val="5F7DAF48-9111-474D-BBCB-37338A3DB254"/>
    <w:docVar w:name="LW_COVERPAGE_TYPE" w:val="1"/>
    <w:docVar w:name="LW_CROSSREFERENCE" w:val="&lt;UNUSED&gt;"/>
    <w:docVar w:name="LW_DocType" w:val="NORMAL"/>
    <w:docVar w:name="LW_EMISSION" w:val="29.4.2020"/>
    <w:docVar w:name="LW_EMISSION_ISODATE" w:val="2020-04-29"/>
    <w:docVar w:name="LW_EMISSION_LOCATION" w:val="BRX"/>
    <w:docVar w:name="LW_EMISSION_PREFIX" w:val="Brussell, "/>
    <w:docVar w:name="LW_EMISSION_SUFFIX" w:val=" "/>
    <w:docVar w:name="LW_ID_DOCTYPE_NONLW" w:val="CP-014"/>
    <w:docVar w:name="LW_LANGUE" w:val="MT"/>
    <w:docVar w:name="LW_LEVEL_OF_SENSITIVITY" w:val="Standard treatment"/>
    <w:docVar w:name="LW_NOM.INST" w:val="IL-KUMMISSJONI EWROPEA"/>
    <w:docVar w:name="LW_NOM.INST_JOINTDOC" w:val="&lt;EMPTY&gt;"/>
    <w:docVar w:name="LW_PART_NBR" w:val="1"/>
    <w:docVar w:name="LW_PART_NBR_TOTAL" w:val="1"/>
    <w:docVar w:name="LW_REF.INST.NEW" w:val="COM"/>
    <w:docVar w:name="LW_REF.INST.NEW_ADOPTED" w:val="final"/>
    <w:docVar w:name="LW_REF.INST.NEW_TEXT" w:val="(2020) 315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ITRE.OBJ.CP" w:val="&lt;FMT:Bold&gt;Appo\u289?\u289? lill-Balkani tal-Punent fil-\u289?lieda kontra l-COVID-19 u l-irkupru wara l-pandemija&lt;/FMT&gt;_x000b__x000b__x000b__x000b__x000b__x000b__x000b__x000b__x000b__x000b__x000b__x000b_&lt;FMT:Bold&gt;Il-kontribuzzjoni tal-Kummissjoni qabel il-laqg\u295?a tal-mexxejja UE-Balkani tal-Punent fis-6 ta' Mejju 2020&lt;/FMT&gt;"/>
    <w:docVar w:name="LW_TYPE.DOC.CP" w:val="KOMUNIKAZZJONI TAL-KUMMISSJONI LILL-PARLAMENT EWROPEW, LILL-KUNSILL, LILL-KUMITAT EKONOMIKU U SO\u266?JALI EWROPEW U LILL-KUMITAT TAR-RE\u288?JUNI"/>
    <w:docVar w:name="LW_TYPE.DOC.CP.USERTEXT" w:val="&lt;EMPTY&gt;"/>
  </w:docVars>
  <w:rsids>
    <w:rsidRoot w:val="00B94BFD"/>
    <w:rsid w:val="00B94BFD"/>
    <w:rsid w:val="00BC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147C474A-8815-4954-9360-5A765D8E6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t-M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FooterCoverPage">
    <w:name w:val="Footer Cover Page"/>
    <w:basedOn w:val="Normal"/>
    <w:link w:val="FooterCoverPageChar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 w:cs="Times New Roman"/>
      <w:sz w:val="24"/>
    </w:rPr>
  </w:style>
  <w:style w:type="character" w:customStyle="1" w:styleId="FooterCoverPageChar">
    <w:name w:val="Footer Cover Page Char"/>
    <w:basedOn w:val="DefaultParagraphFont"/>
    <w:link w:val="FooterCoverPage"/>
    <w:rPr>
      <w:rFonts w:ascii="Times New Roman" w:hAnsi="Times New Roman" w:cs="Times New Roman"/>
      <w:sz w:val="24"/>
    </w:rPr>
  </w:style>
  <w:style w:type="paragraph" w:customStyle="1" w:styleId="FooterSensitivity">
    <w:name w:val="Footer Sensitivity"/>
    <w:basedOn w:val="Normal"/>
    <w:link w:val="FooterSensitivityChar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FooterSensitivityChar">
    <w:name w:val="Footer Sensitivity Char"/>
    <w:basedOn w:val="DefaultParagraphFont"/>
    <w:link w:val="FooterSensitivity"/>
    <w:rPr>
      <w:rFonts w:ascii="Times New Roman" w:hAnsi="Times New Roman" w:cs="Times New Roman"/>
      <w:b/>
      <w:sz w:val="32"/>
    </w:rPr>
  </w:style>
  <w:style w:type="paragraph" w:customStyle="1" w:styleId="HeaderCoverPage">
    <w:name w:val="Header Cover Page"/>
    <w:basedOn w:val="Normal"/>
    <w:link w:val="HeaderCoverPageChar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character" w:customStyle="1" w:styleId="HeaderCoverPageChar">
    <w:name w:val="Header Cover Page Char"/>
    <w:basedOn w:val="DefaultParagraphFont"/>
    <w:link w:val="HeaderCoverPage"/>
    <w:rPr>
      <w:rFonts w:ascii="Times New Roman" w:hAnsi="Times New Roman" w:cs="Times New Roman"/>
      <w:sz w:val="24"/>
    </w:rPr>
  </w:style>
  <w:style w:type="paragraph" w:customStyle="1" w:styleId="HeaderSensitivity">
    <w:name w:val="Header Sensitivity"/>
    <w:basedOn w:val="Normal"/>
    <w:link w:val="HeaderSensitivityChar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HeaderSensitivityChar">
    <w:name w:val="Header Sensitivity Char"/>
    <w:basedOn w:val="DefaultParagraphFont"/>
    <w:link w:val="HeaderSensitivity"/>
    <w:rPr>
      <w:rFonts w:ascii="Times New Roman" w:hAnsi="Times New Roman" w:cs="Times New Roman"/>
      <w:b/>
      <w:sz w:val="32"/>
    </w:rPr>
  </w:style>
  <w:style w:type="paragraph" w:customStyle="1" w:styleId="HeaderSensitivityRight">
    <w:name w:val="Header Sensitivity Right"/>
    <w:basedOn w:val="Normal"/>
    <w:link w:val="HeaderSensitivityRightChar"/>
    <w:pPr>
      <w:spacing w:after="120" w:line="240" w:lineRule="auto"/>
      <w:jc w:val="right"/>
    </w:pPr>
    <w:rPr>
      <w:rFonts w:ascii="Times New Roman" w:hAnsi="Times New Roman" w:cs="Times New Roman"/>
      <w:sz w:val="28"/>
    </w:rPr>
  </w:style>
  <w:style w:type="character" w:customStyle="1" w:styleId="HeaderSensitivityRightChar">
    <w:name w:val="Header Sensitivity Right Char"/>
    <w:basedOn w:val="DefaultParagraphFont"/>
    <w:link w:val="HeaderSensitivityRight"/>
    <w:rPr>
      <w:rFonts w:ascii="Times New Roman" w:hAnsi="Times New Roman" w:cs="Times New Roman"/>
      <w:sz w:val="28"/>
    </w:rPr>
  </w:style>
  <w:style w:type="paragraph" w:styleId="ListParagraph">
    <w:name w:val="List Paragraph"/>
    <w:aliases w:val="Table/Figure Heading,Colorful List - Accent 11,Dot pt,F5 List Paragraph,List Paragraph1,No Spacing1,List Paragraph Char Char Char,Indicator Text,Numbered Para 1,Bullet 1,Bullet Points,MAIN CONTENT,List Paragraph11,List Paragraph12,L,Ha"/>
    <w:basedOn w:val="Normal"/>
    <w:link w:val="ListParagraphChar"/>
    <w:qFormat/>
    <w:pPr>
      <w:spacing w:after="0" w:line="240" w:lineRule="auto"/>
      <w:ind w:left="720"/>
    </w:pPr>
    <w:rPr>
      <w:rFonts w:ascii="Calibri" w:eastAsia="Calibri" w:hAnsi="Calibri" w:cs="Times New Roman"/>
      <w:lang w:eastAsia="fr-BE"/>
    </w:rPr>
  </w:style>
  <w:style w:type="paragraph" w:styleId="FootnoteText">
    <w:name w:val="footnote text"/>
    <w:basedOn w:val="Normal"/>
    <w:link w:val="FootnoteTextChar"/>
    <w:uiPriority w:val="99"/>
    <w:unhideWhenUsed/>
    <w:qFormat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BE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Calibri" w:eastAsia="Calibri" w:hAnsi="Calibri" w:cs="Times New Roman"/>
      <w:sz w:val="20"/>
      <w:szCs w:val="20"/>
      <w:lang w:val="mt-MT" w:eastAsia="fr-BE"/>
    </w:rPr>
  </w:style>
  <w:style w:type="character" w:styleId="FootnoteReference">
    <w:name w:val="footnote reference"/>
    <w:aliases w:val="Voetnoot verwijzing,number,Footnote reference number,Footnote symbol,note TESI,-E Fußnotenzeichen,SUPERS,stylish,Footnote Reference_EP-LCA,BVI fnr,Odwołanie przypisu,Footnote Reference2,Footnote Reference Number,E FNZ,Footnote#,n,Nota"/>
    <w:basedOn w:val="DefaultParagraphFont"/>
    <w:link w:val="FootnotesymbolCarZchn"/>
    <w:uiPriority w:val="99"/>
    <w:unhideWhenUsed/>
    <w:qFormat/>
    <w:rPr>
      <w:w w:val="100"/>
      <w:sz w:val="20"/>
      <w:szCs w:val="20"/>
      <w:shd w:val="clear" w:color="auto" w:fill="auto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Pr>
      <w:w w:val="100"/>
      <w:sz w:val="16"/>
      <w:szCs w:val="16"/>
      <w:shd w:val="clear" w:color="auto" w:fill="auto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B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Times New Roman"/>
      <w:sz w:val="20"/>
      <w:szCs w:val="20"/>
      <w:lang w:val="mt-MT" w:eastAsia="fr-BE"/>
    </w:rPr>
  </w:style>
  <w:style w:type="paragraph" w:styleId="NormalWeb">
    <w:name w:val="Normal (Web)"/>
    <w:basedOn w:val="Normal"/>
    <w:unhideWhenUsed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ListParagraphChar">
    <w:name w:val="List Paragraph Char"/>
    <w:aliases w:val="Table/Figure Heading Char,Colorful List - Accent 11 Char,Dot pt Char,F5 List Paragraph Char,List Paragraph1 Char,No Spacing1 Char,List Paragraph Char Char Char Char,Indicator Text Char,Numbered Para 1 Char,Bullet 1 Char,L Char"/>
    <w:basedOn w:val="DefaultParagraphFont"/>
    <w:link w:val="ListParagraph"/>
    <w:uiPriority w:val="34"/>
    <w:qFormat/>
    <w:rPr>
      <w:rFonts w:ascii="Calibri" w:eastAsia="Calibri" w:hAnsi="Calibri" w:cs="Times New Roman"/>
      <w:lang w:val="mt-MT" w:eastAsia="fr-B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Calibri" w:eastAsia="Calibri" w:hAnsi="Calibri" w:cs="Times New Roman"/>
      <w:b/>
      <w:bCs/>
      <w:sz w:val="20"/>
      <w:szCs w:val="20"/>
      <w:lang w:val="mt-MT" w:eastAsia="fr-BE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uiPriority w:val="99"/>
    <w:qFormat/>
    <w:pPr>
      <w:spacing w:after="160" w:line="240" w:lineRule="exact"/>
      <w:jc w:val="both"/>
    </w:pPr>
    <w:rPr>
      <w:sz w:val="20"/>
      <w:szCs w:val="20"/>
      <w:vertAlign w:val="superscript"/>
    </w:rPr>
  </w:style>
  <w:style w:type="paragraph" w:styleId="Revision">
    <w:name w:val="Revision"/>
    <w:hidden/>
    <w:uiPriority w:val="99"/>
    <w:semiHidden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customStyle="1" w:styleId="Body">
    <w:name w:val="Body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9"/>
      </w:numPr>
    </w:pPr>
  </w:style>
  <w:style w:type="character" w:customStyle="1" w:styleId="Hyperlink0">
    <w:name w:val="Hyperlink.0"/>
    <w:basedOn w:val="DefaultParagraphFont"/>
    <w:rPr>
      <w:rFonts w:ascii="Times New Roman" w:eastAsia="Times New Roman" w:hAnsi="Times New Roman" w:cs="Times New Roman"/>
      <w:color w:val="0000FF"/>
      <w:u w:val="single" w:color="0000FF"/>
      <w:lang w:val="mt-MT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notes.xml.rels><?xml version='1.0' encoding='UTF-8' standalone='yes'?>
<Relationships xmlns="http://schemas.openxmlformats.org/package/2006/relationships"><Relationship Id="rId1" Type="http://schemas.openxmlformats.org/officeDocument/2006/relationships/hyperlink" Target="https://ec.europa.eu/neighbourhood-enlargement/sites/near/files/enlargement-methodology_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8D8C9-396F-4B3F-B708-ECE90FFA5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2225</Words>
  <Characters>16383</Characters>
  <Application>Microsoft Office Word</Application>
  <DocSecurity>0</DocSecurity>
  <Lines>234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17</cp:revision>
  <cp:lastPrinted>2020-04-28T19:27:00Z</cp:lastPrinted>
  <dcterms:created xsi:type="dcterms:W3CDTF">2020-04-28T19:14:00Z</dcterms:created>
  <dcterms:modified xsi:type="dcterms:W3CDTF">2020-05-04T12:26:00Z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 of sensitivity">
    <vt:lpwstr>Standard treatment</vt:lpwstr>
  </property>
  <property fmtid="{D5CDD505-2E9C-101B-9397-08002B2CF9AE}" pid="3" name="Part">
    <vt:lpwstr>1</vt:lpwstr>
  </property>
  <property fmtid="{D5CDD505-2E9C-101B-9397-08002B2CF9AE}" pid="4" name="Total parts">
    <vt:lpwstr>1</vt:lpwstr>
  </property>
  <property fmtid="{D5CDD505-2E9C-101B-9397-08002B2CF9AE}" pid="5" name="DocStatus">
    <vt:lpwstr>Green</vt:lpwstr>
  </property>
  <property fmtid="{D5CDD505-2E9C-101B-9397-08002B2CF9AE}" pid="6" name="CPTemplateID">
    <vt:lpwstr>CP-014</vt:lpwstr>
  </property>
  <property fmtid="{D5CDD505-2E9C-101B-9397-08002B2CF9AE}" pid="7" name="Last edited using">
    <vt:lpwstr>LW 7.0.1, Build 20190916</vt:lpwstr>
  </property>
  <property fmtid="{D5CDD505-2E9C-101B-9397-08002B2CF9AE}" pid="8" name="Created using">
    <vt:lpwstr>LW 7.0.1, Build 20190916</vt:lpwstr>
  </property>
  <property name="OP_sanitized" fmtid="{D5CDD505-2E9C-101B-9397-08002B2CF9AE}" pid="9">
    <vt:lpwstr>True</vt:lpwstr>
  </property>
</Properties>
</file>