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1C922F80-C250-4FD5-B441-67F0FDF94784" style="width:450.5pt;height:556.55pt">
            <v:imagedata r:id="rId12" o:title=""/>
          </v:shape>
        </w:pict>
      </w:r>
    </w:p>
    <w:p>
      <w:pPr>
        <w:rPr>
          <w:noProof/>
        </w:rPr>
        <w:sectPr>
          <w:footerReference w:type="defaul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MEMORANDUM TA’ SPJEGAZZJONI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KUNTEST TAL-PROPOSTA</w:t>
      </w:r>
    </w:p>
    <w:p>
      <w:pPr>
        <w:rPr>
          <w:noProof/>
        </w:rPr>
      </w:pPr>
      <w:r>
        <w:rPr>
          <w:noProof/>
        </w:rPr>
        <w:t>Il-pandemija tal-COVID-19 hija kriżi mifruxa u serja tas-saħħa pubblika. Din taffettwa b’mod gravi liċ-ċittadini, lis-soċjetajiet u lill-ekonomiji madwar id-dinja. Il-firxa tal-kriżi tas-saħħa u r-reazzjonijiet ta’ politika biex jikkontrollawha huma bla preċedent. Għaldaqstant, il-qawwa tal-impatt soċjoekonomiku tagħha, b’mod straordinarju, għadna ma nafuhx. Diġà f’dan l-istadju, huwa ċert li dan qed jippreżenta sfidi kbar u mingħajr preċedent għas-sistemi finanzjarji u ekonomiċi tal-Istati Membri. Skont it-tbassir ekonomiku tar-rebbiegħa tal-Kummissjoni</w:t>
      </w:r>
      <w:r>
        <w:rPr>
          <w:rStyle w:val="FootnoteReference"/>
          <w:noProof/>
        </w:rPr>
        <w:footnoteReference w:id="2"/>
      </w:r>
      <w:r>
        <w:rPr>
          <w:noProof/>
        </w:rPr>
        <w:t>, il-PDG tal-UE huwa previst li din is-sena jonqos b’madwar 7,5 % - ferm aktar minn dak tal-kriżi finanzjarja dinjija tal-2009 - u li se jerġà lura għal biss 6 % fl-2021.</w:t>
      </w:r>
    </w:p>
    <w:p>
      <w:pPr>
        <w:rPr>
          <w:noProof/>
        </w:rPr>
      </w:pPr>
      <w:r>
        <w:rPr>
          <w:noProof/>
        </w:rPr>
        <w:t xml:space="preserve">Bi tweġiba, l-Istati Membri adottaw miżuri ekonomiċi u finanzjarji diskrezzjonali eċċezzjonali. Flimkien mal-effett tal-hekk imsejħa “stabbilizzaturi awtomatiċi”, jiġifieri l-pagamenti previsti permezz ta’ sistemi tal-assigurazzjoni kontra l-qgħad u tas-sigurtà soċjali flimkien mat-telf fid-dħul mit-taxxa, dawn il-miżuri għandhom impatt konsiderevoli fuq il-finanzi pubbliċi tagħhom, bid-defiċit aggregat tal-gvernijiet jitla’ minn 0,6 % tal-PDG fl-2019 għal 8,5 % tal-PDG din is-sena, kemm fiż-Żona tal-Euro kif ukoll fl-UE. </w:t>
      </w:r>
    </w:p>
    <w:p>
      <w:pPr>
        <w:rPr>
          <w:noProof/>
        </w:rPr>
      </w:pPr>
      <w:r>
        <w:rPr>
          <w:noProof/>
        </w:rPr>
        <w:t>Il-kriżi tal-pandemija tal-COVID-19 qed ikollha wkoll impatt kbir fuq is-soċjetajiet fid-dinja kollha, b’konsegwenzi soċjali u ekonomiċi dinjija gravi, fejn l-ewwel ma ntlaqtu kienu s-sistemi tas-saħħa. Jenħtieġ li l-istrateġija tagħna ta’ rispons tkun komprensiva, koerenti u integrata, biex tindirizza kemm is-saħħa pubblika kif ukoll l-isfidi soċjoekonomiċi. Il-pajjiżi l-anqas żviluppati huma l-aktar vulnerabbli għall-COVID-19 minħabba s-sistemi tas-saħħa dgħajfa u xejn reżiljenti, u minħabba l-isfidi soċjoekonomiċi u ta’ governanza kumplessi tagħhom. Huwa diġà evidenti li l-COVID-19 se jkollha impatt kbir fuq is-sistemi ekonomiċi u makroekonomiċi fil-pajjiżi sħab tagħna. Il-gvernijiet se jkollhom l-isfida li jżommu l-istabbiltà makroekonomika u li jżommu l-ispazju fiskali biex jipproteġu lil dawk li huma l-aktar vulnerabbli, il-kumpaniji tagħhom, il-ħaddiema tagħhom kif ukoll biex ikomplu jipprovdu s-servizzi soċjali bażiċi.</w:t>
      </w:r>
    </w:p>
    <w:p>
      <w:pPr>
        <w:rPr>
          <w:noProof/>
        </w:rPr>
      </w:pPr>
      <w:r>
        <w:rPr>
          <w:noProof/>
        </w:rPr>
        <w:t xml:space="preserve">Din is-sitwazzjoni eċċezzjonali titlob approċċ koerenti u magħqud fil-livell ta’ Unjoni. </w:t>
      </w:r>
    </w:p>
    <w:p>
      <w:pPr>
        <w:rPr>
          <w:noProof/>
        </w:rPr>
      </w:pPr>
      <w:r>
        <w:rPr>
          <w:noProof/>
        </w:rPr>
        <w:t>Pjan komprensiv għall-irkupru Ewropew se jkun jeħtieġ investiment pubbliku u privat enormi fil-livell Ewropew sabiex tingħata enerġija lill-ekonomija, jinħolqu impjiegi ta’ kwalità għolja u jkun hemm investiment biex tissewwa l-ħsara immedjata li ġab il-Coronavirus. Il-Kummissjoni għaldaqstant tipproponi li tieħu vantaġġ mill-kapaċità kollha tal-baġit tal-UE biex timmobilizza l-investiment u tforni appoġġ finanzjarju fl-ewwel snin kruċjali tal-irkupru abbażi ta’:</w:t>
      </w:r>
    </w:p>
    <w:p>
      <w:pPr>
        <w:rPr>
          <w:noProof/>
        </w:rPr>
      </w:pPr>
      <w:r>
        <w:rPr>
          <w:noProof/>
        </w:rPr>
        <w:t>Strument ta’ Rkupru tal-Unjoni Ewropea bħala miżura eċċezzjonali bbażata fuq</w:t>
      </w:r>
    </w:p>
    <w:p>
      <w:pPr>
        <w:rPr>
          <w:noProof/>
        </w:rPr>
      </w:pPr>
      <w:r>
        <w:rPr>
          <w:noProof/>
        </w:rPr>
        <w:t>L-Artikolu 122 TFUE, li l-finanzjament tiegħu se jkun ibbażat fuq awtorizzazzjoni mogħtija fil-proposta għad-Deċiżjoni dwar ir-Riżorsi Proprji.  Il-fondi se jippermettu l-implimentazzjoni ta’ miżuri b’effett rapidu biex jiġu protetti l-għajxien, tiżdied il-prevenzjoni u jissaħħu r-reżiljenza u l-irkupru b’rispons għall-kriżi.</w:t>
      </w:r>
    </w:p>
    <w:p>
      <w:pPr>
        <w:pStyle w:val="Bullet0"/>
        <w:numPr>
          <w:ilvl w:val="0"/>
          <w:numId w:val="20"/>
        </w:numPr>
        <w:rPr>
          <w:b/>
          <w:noProof/>
          <w:u w:color="000000"/>
          <w:bdr w:val="nil"/>
        </w:rPr>
      </w:pPr>
      <w:r>
        <w:rPr>
          <w:b/>
          <w:noProof/>
          <w:u w:color="000000"/>
          <w:bdr w:val="nil"/>
        </w:rPr>
        <w:t>Qafas Finanzjarju Pluriennali msaħħaħ għall-2021-2027</w:t>
      </w:r>
    </w:p>
    <w:p>
      <w:pPr>
        <w:rPr>
          <w:noProof/>
        </w:rPr>
      </w:pPr>
      <w:r>
        <w:rPr>
          <w:noProof/>
        </w:rPr>
        <w:lastRenderedPageBreak/>
        <w:t>Il-miżuri ta’ rkupru u ta’ reżiljenza fl-Istrument Ewropew ta’ Rkupru se jitwettqu permezz ta’ strumenti ta’ implimentazzjoni li diġà jeżistu f’għadd ta’ programmi speċifiċi tal-Unjoni proposti mill-Kummissjoni fil-qafas finanzjarju pluriennali għall-2021-2027, inklużi:</w:t>
      </w:r>
    </w:p>
    <w:p>
      <w:pPr>
        <w:pStyle w:val="Tiret0"/>
        <w:numPr>
          <w:ilvl w:val="0"/>
          <w:numId w:val="35"/>
        </w:numPr>
        <w:rPr>
          <w:noProof/>
        </w:rPr>
      </w:pPr>
      <w:r>
        <w:rPr>
          <w:noProof/>
        </w:rPr>
        <w:t xml:space="preserve">il-Programm Qafas għar-Riċerka u l-Innovazzjoni u l-Programm ta’ implimentazzjoni speċifiku tiegħu Orizzont Ewropa, </w:t>
      </w:r>
    </w:p>
    <w:p>
      <w:pPr>
        <w:pStyle w:val="Tiret0"/>
        <w:rPr>
          <w:noProof/>
        </w:rPr>
      </w:pPr>
      <w:r>
        <w:rPr>
          <w:noProof/>
        </w:rPr>
        <w:t>l-Istrument ta’ Viċinat, ta’ Kooperazzjoni għall-Iżvilupp u ta’ Kooperazzjoni Internazzjonali</w:t>
      </w:r>
    </w:p>
    <w:p>
      <w:pPr>
        <w:pStyle w:val="Tiret0"/>
        <w:rPr>
          <w:noProof/>
        </w:rPr>
      </w:pPr>
      <w:r>
        <w:rPr>
          <w:noProof/>
        </w:rPr>
        <w:t>il-Fond Agrikolu Ewropew għall-Iżvilupp Rurali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Għaldaqstant huwa meħtieġ li jiġu emendati l-proposti tal-Kummissjoni relatati mal-programmi tal-Unjoni msemmija hawn fuq. 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BAŻI ĠURIDIKA, SUSSIDJARJETÀ U PROPORZJONALITÀ</w:t>
      </w:r>
    </w:p>
    <w:p>
      <w:pPr>
        <w:pStyle w:val="Bullet0"/>
        <w:rPr>
          <w:b/>
          <w:noProof/>
          <w:u w:color="000000"/>
          <w:bdr w:val="nil"/>
        </w:rPr>
      </w:pPr>
      <w:r>
        <w:rPr>
          <w:b/>
          <w:noProof/>
          <w:u w:color="000000"/>
          <w:bdr w:val="nil"/>
        </w:rPr>
        <w:t>Bażi ġuridika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color w:val="000000" w:themeColor="text1"/>
        </w:rPr>
      </w:pPr>
      <w:r>
        <w:rPr>
          <w:noProof/>
        </w:rPr>
        <w:t>L-azzjoni tal-UE hija ġġustifikata bl-Artikoli 43(2), 173(3), 182(1) u (4), 183, 188, 209, 212 tat-Trattat dwar il-Funzjonament tal-Unjoni Ewropea.</w:t>
      </w:r>
    </w:p>
    <w:p>
      <w:pPr>
        <w:pStyle w:val="Bullet0"/>
        <w:rPr>
          <w:b/>
          <w:noProof/>
          <w:u w:color="000000"/>
          <w:bdr w:val="nil"/>
        </w:rPr>
      </w:pPr>
      <w:r>
        <w:rPr>
          <w:b/>
          <w:noProof/>
          <w:u w:color="000000"/>
          <w:bdr w:val="nil"/>
        </w:rPr>
        <w:t>Sussidjarjetà (għall-kompetenza mhux esklużiva)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Il-memorandum ta’ spjegazzjoni tal-[Istrument ta’ Rkupru tal-Unjoni Ewropea] jistipula l-kunsiderazzjonijiet ta’ sussidjarjetà u ta’ proporzjonalità.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Barra minn hekk, il-memoranda ta’ spjegazzjoni tal-proposti tal-Kummissjoni li ġejjin, jistipulaw il-kunsiderazzjonijiet ta’ sussidjarjetà u ta’ proporzjonalità applikabbli għall-programmi kkonċernati:</w:t>
      </w:r>
    </w:p>
    <w:p>
      <w:pPr>
        <w:pStyle w:val="Tiret0"/>
        <w:numPr>
          <w:ilvl w:val="0"/>
          <w:numId w:val="19"/>
        </w:numPr>
        <w:rPr>
          <w:noProof/>
        </w:rPr>
      </w:pPr>
      <w:r>
        <w:rPr>
          <w:noProof/>
        </w:rPr>
        <w:t>COM (2018) 392 għal REGOLAMENT TAL-PARLAMENT EWROPEW U TAL-KUNSILL li jistabbilixxi r-regoli dwar l-appoġġ għall-pjanijiet strateġiċi li jridu jitfasslu mill-Istati Membri skont il-Politika Agrikola Komuni (il-Pjanijiet Strateġiċi tal-PAK) u ffinanzjati mill-Fond Agrikolu Ewropew ta’ Garanzija (FAEG) u mill-Fond Agrikolu Ewropew għall-Iżvilupp Rurali (FAEŻR) u li jħassar ir-Regolament (UE) Nru 1305/2013 tal-Parlament Ewropew u tal-Kunsill u r-Regolament (UE) Nru 1307/2013 tal-Parlament Ewropew u tal-Kunsill, (minn hawn ’il quddiem il-“Proposta tal-Kummissjoni COM (2018) 392”),</w:t>
      </w:r>
    </w:p>
    <w:p>
      <w:pPr>
        <w:pStyle w:val="Tiret0"/>
        <w:rPr>
          <w:noProof/>
        </w:rPr>
      </w:pPr>
      <w:r>
        <w:rPr>
          <w:noProof/>
        </w:rPr>
        <w:t xml:space="preserve">COM (2018) 435: Proposta għal REGOLAMENT TAL-PARLAMENT EWROPEW U TAL-KUNSILL li jistabbilixxi Orizzont Ewropa – il-Programm Qafas għar-Riċerka u l-Innovazzjoni, li jistabbilixxi r-regoli għall-parteċipazzjoni fih u t-tixrid tiegħu (minn hawn ’il quddiem il-“Proposta tal-Kummissjoni COM (2018) 435”), </w:t>
      </w:r>
    </w:p>
    <w:p>
      <w:pPr>
        <w:pStyle w:val="Tiret0"/>
        <w:rPr>
          <w:noProof/>
        </w:rPr>
      </w:pPr>
      <w:r>
        <w:rPr>
          <w:noProof/>
        </w:rPr>
        <w:t>COM (2018) 436 għal DEĊIŻJONI TAL-PARLAMENT EWROPEW U TAL-KUNSILL dwar l-istabbiliment tal-programm speċifiku li jimplimenta Orizzont Ewropa – il-Programm Qafas għar-Riċerka u l-Innovazzjoni (minn hawn ’il quddiem il-“Proposta tal-Kummissjoni COM (2018) 436”),</w:t>
      </w:r>
    </w:p>
    <w:p>
      <w:pPr>
        <w:pStyle w:val="Tiret0"/>
        <w:rPr>
          <w:noProof/>
        </w:rPr>
      </w:pPr>
      <w:r>
        <w:rPr>
          <w:noProof/>
        </w:rPr>
        <w:t>COM (2018) 460: Proposta għal REGOLAMENT TAL-PARLAMENT EWROPEW U TAL-KUNSILL li jistabbilixxi l-Istrument ta’ Viċinat, ta’ Kooperazzjoni għall-Iżvilupp u ta’ Kooperazzjoni Internazzjonali (minn hawn ’il quddiem il-“Proposta tal-Kummissjoni COM (2018) 460”),</w:t>
      </w:r>
    </w:p>
    <w:p>
      <w:pPr>
        <w:pStyle w:val="Bullet0"/>
        <w:rPr>
          <w:b/>
          <w:noProof/>
          <w:u w:color="000000"/>
          <w:bdr w:val="nil"/>
        </w:rPr>
      </w:pPr>
      <w:r>
        <w:rPr>
          <w:b/>
          <w:noProof/>
          <w:u w:color="000000"/>
          <w:bdr w:val="nil"/>
        </w:rPr>
        <w:t>Għażla tal-istrument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color w:val="000000" w:themeColor="text1"/>
        </w:rPr>
      </w:pPr>
      <w:r>
        <w:rPr>
          <w:noProof/>
        </w:rPr>
        <w:lastRenderedPageBreak/>
        <w:t>Din il-proposta temenda l-proposti tal-Kummissjoni COM (2018) 392, COM (2018) 435, COM (2018) 436 u COM (2018) 460.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 xml:space="preserve">RIŻULTATI TAL-EVALWAZZJONIJIET </w:t>
      </w:r>
      <w:r>
        <w:rPr>
          <w:i/>
          <w:noProof/>
        </w:rPr>
        <w:t>EX POST</w:t>
      </w:r>
      <w:r>
        <w:rPr>
          <w:noProof/>
        </w:rPr>
        <w:t>, TAL-KONSULTAZZJONIJIET MAL-PARTIJIET IKKONĊERNATI U TAL-VALUTAZZJONIJIET TAL-IMPATT</w:t>
      </w:r>
    </w:p>
    <w:p>
      <w:pPr>
        <w:pStyle w:val="Bullet0"/>
        <w:rPr>
          <w:b/>
          <w:noProof/>
          <w:u w:color="000000"/>
          <w:bdr w:val="nil"/>
        </w:rPr>
      </w:pPr>
      <w:r>
        <w:rPr>
          <w:b/>
          <w:noProof/>
          <w:u w:color="000000"/>
          <w:bdr w:val="nil"/>
        </w:rPr>
        <w:t>Konsultazzjonijiet mal-partijiet ikkonċernati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color w:val="000000" w:themeColor="text1"/>
        </w:rPr>
      </w:pPr>
      <w:r>
        <w:rPr>
          <w:noProof/>
        </w:rPr>
        <w:t>Il-memorandum ta’ spjegazzjoni tal-proposti inizjali tal-Kummissjoni li ġejjin jiddeskrivu fid-dettall il-konsultazzjonijiet pubbliċi u mal-partijiet ikkonċernati li saru: COM (2018) 392, COM (2018) 435, COM (2018) 436 u COM (2018) 460.</w:t>
      </w:r>
    </w:p>
    <w:p>
      <w:pPr>
        <w:pStyle w:val="Bullet0"/>
        <w:rPr>
          <w:b/>
          <w:noProof/>
          <w:u w:color="000000"/>
          <w:bdr w:val="nil"/>
        </w:rPr>
      </w:pPr>
      <w:r>
        <w:rPr>
          <w:b/>
          <w:noProof/>
          <w:u w:color="000000"/>
          <w:bdr w:val="nil"/>
        </w:rPr>
        <w:t>Evalwazzjonijiet u valutazzjoni tal-impatt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color w:val="000000" w:themeColor="text1"/>
        </w:rPr>
      </w:pPr>
      <w:r>
        <w:rPr>
          <w:noProof/>
        </w:rPr>
        <w:t xml:space="preserve">Il-memorandum ta’ spjegazzjoni tal-proposti inizjali tal-Kummissjoni li ġejjin jiddeskrivi fid-dettall l-eżitu tal-evalwazzjonijiet </w:t>
      </w:r>
      <w:r>
        <w:rPr>
          <w:i/>
          <w:noProof/>
        </w:rPr>
        <w:t>ex post</w:t>
      </w:r>
      <w:r>
        <w:rPr>
          <w:noProof/>
        </w:rPr>
        <w:t xml:space="preserve"> u </w:t>
      </w:r>
      <w:r>
        <w:rPr>
          <w:i/>
          <w:noProof/>
        </w:rPr>
        <w:t>interim</w:t>
      </w:r>
      <w:r>
        <w:rPr>
          <w:noProof/>
        </w:rPr>
        <w:t xml:space="preserve"> li saru b’appoġġ għall-proposti: COM (2018) 392, COM (2018) 435, COM (2018) 436 u COM (2018) 460.</w:t>
      </w:r>
    </w:p>
    <w:p>
      <w:pPr>
        <w:pStyle w:val="ManualHeading1"/>
        <w:rPr>
          <w:noProof/>
        </w:rPr>
      </w:pPr>
      <w:r>
        <w:rPr>
          <w:noProof/>
        </w:rPr>
        <w:t>4.</w:t>
      </w:r>
      <w:r>
        <w:rPr>
          <w:noProof/>
        </w:rPr>
        <w:tab/>
        <w:t>IMPLIKAZZJONIJIET BAĠITARJI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color w:val="000000" w:themeColor="text1"/>
        </w:rPr>
      </w:pPr>
      <w:r>
        <w:rPr>
          <w:noProof/>
        </w:rPr>
        <w:t xml:space="preserve">L-Unjoni se tpoġġi għad-dispożizzjoni t-total ta’ EUR EUR 14 647 miljun għal Orizzont Ewropa – il-Programm Qafas għar-Riċerka u l-Innovazzjoni, it-total ta’ EUR 16 483 miljun għall-Fond Agrikolu Ewropew għall-Iżvilupp Rurali u t-total ta’ EUR 11 448 miljun għaż-żieda fil-garanzija għall-azzjoni esterna permezz tal-Istrument ta’ Viċinat, ta’ Kooperazzjoni għall-Iżvilupp u ta’ Kooperazzjoni Internazzjonali. Il-pajjiżi benefiċjarji elenkati fl-Anness I tal-Istrument għall-Assistenza ta’ Qabel l-Adeżjoni (IPA, Instrument for Pre-Accession Assistance) se jkunu eleġibbli għal din iż-żieda. Il-finanzjament addizzjonali se jkun disponibbli permezz tal-Istrument Ewropew ta’ Rkupru fuq il-bażi tas-setgħa mogħtija fid-Deċiżjoni l-ġdida dwar ir-Riżorsi Proprji.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color w:val="000000" w:themeColor="text1"/>
        </w:rPr>
      </w:pPr>
      <w:r>
        <w:rPr>
          <w:noProof/>
        </w:rPr>
        <w:t>Aktar dettalji dwar l-implikazzjonijiet baġitarji huma mogħtija fid-Dikjarazzjoni Finanzjarja Leġiżlattiva.</w:t>
      </w:r>
    </w:p>
    <w:p>
      <w:pPr>
        <w:pStyle w:val="ManualHeading1"/>
        <w:rPr>
          <w:noProof/>
        </w:rPr>
      </w:pPr>
      <w:r>
        <w:rPr>
          <w:noProof/>
        </w:rPr>
        <w:t>5.</w:t>
      </w:r>
      <w:r>
        <w:rPr>
          <w:noProof/>
        </w:rPr>
        <w:tab/>
        <w:t>ELEMENTI OĦRA</w:t>
      </w:r>
    </w:p>
    <w:p>
      <w:pPr>
        <w:pStyle w:val="Bullet0"/>
        <w:rPr>
          <w:b/>
          <w:noProof/>
          <w:u w:color="000000"/>
          <w:bdr w:val="nil"/>
        </w:rPr>
      </w:pPr>
      <w:r>
        <w:rPr>
          <w:b/>
          <w:noProof/>
          <w:u w:color="000000"/>
          <w:bdr w:val="nil"/>
        </w:rPr>
        <w:t>Spjegazzjoni fid-dettall tad-dispożizzjonijiet speċifiċi tal-proposta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color w:val="000000" w:themeColor="text1"/>
        </w:rPr>
      </w:pPr>
      <w:r>
        <w:rPr>
          <w:noProof/>
        </w:rPr>
        <w:t>Il-proposta tikkonsisti f’modifiki mmirati lejn il-proposti tal-Kummissjoni li ġejjin: COM (2018) 392, COM (2018) 435, COM (2018) 436 u COM (2018) 460.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color w:val="000000" w:themeColor="text1"/>
        </w:rPr>
      </w:pPr>
      <w:r>
        <w:rPr>
          <w:noProof/>
        </w:rPr>
        <w:t xml:space="preserve">L-emendi ewlenin imnedija għandhom l-għan li: </w:t>
      </w:r>
    </w:p>
    <w:p>
      <w:pPr>
        <w:pStyle w:val="Tiret0"/>
        <w:numPr>
          <w:ilvl w:val="0"/>
          <w:numId w:val="10"/>
        </w:numPr>
        <w:rPr>
          <w:noProof/>
        </w:rPr>
      </w:pPr>
      <w:r>
        <w:rPr>
          <w:noProof/>
        </w:rPr>
        <w:t>jippermettu l-implimentazzjoni tal-miżuri stabbiliti fil-proposta għal Regolament li jistabbilixxi l-Istrument ta’ Rkupru tal-Unjoni Ewropea permezz ta’ mekkaniżmi ta’ twassil tal-Programm Qafas għar-Riċerka u l-Innovazzjoni, l-Istrument ta’ Viċinat, ta’ Kooperazzjoni għall-Iżvilupp u ta’ Kooperazzjoni Internazzjonali u l-Fond Agrikolu Ewropew għall-Iżvilupp Rurali;</w:t>
      </w:r>
    </w:p>
    <w:p>
      <w:pPr>
        <w:pStyle w:val="Tiret0"/>
        <w:rPr>
          <w:noProof/>
        </w:rPr>
      </w:pPr>
      <w:r>
        <w:rPr>
          <w:noProof/>
        </w:rPr>
        <w:t>jippermettu l-finanzjament mill-Istrument ta’ Rkupru tal-Unjoni Ewropea bħala dħul assenjat estern skont l-Artikolu 21(5) tar-Regolament Finanzjarju;</w:t>
      </w:r>
    </w:p>
    <w:p>
      <w:pPr>
        <w:pStyle w:val="Tiret0"/>
        <w:rPr>
          <w:noProof/>
        </w:rPr>
      </w:pPr>
      <w:r>
        <w:rPr>
          <w:noProof/>
        </w:rPr>
        <w:lastRenderedPageBreak/>
        <w:t>jiżguraw konformità mal-iskadenzi speċifikati stabbiliti fl-Artikolu 4 tal-proposta għal Regolament li jistabbilixxi l-Istrument ta’ Rkupru tal-Unjoni Ewropea permezz ta’ kontroreferenzjar xieraq;</w:t>
      </w:r>
    </w:p>
    <w:p>
      <w:pPr>
        <w:rPr>
          <w:noProof/>
        </w:rPr>
        <w:sectPr>
          <w:footerReference w:type="default" r:id="rId14"/>
          <w:footerReference w:type="first" r:id="rId15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Rfrenceinterinstitutionnelle"/>
        <w:rPr>
          <w:noProof/>
        </w:rPr>
      </w:pPr>
      <w:r>
        <w:rPr>
          <w:noProof/>
        </w:rPr>
        <w:lastRenderedPageBreak/>
        <w:t>2018/0224 (COD)</w:t>
      </w:r>
    </w:p>
    <w:p>
      <w:pPr>
        <w:pStyle w:val="Statut"/>
        <w:rPr>
          <w:noProof/>
        </w:rPr>
      </w:pPr>
      <w:r>
        <w:rPr>
          <w:noProof/>
        </w:rPr>
        <w:t>Proposta emendata għal</w:t>
      </w:r>
    </w:p>
    <w:p>
      <w:pPr>
        <w:pStyle w:val="Typedudocument"/>
        <w:rPr>
          <w:noProof/>
        </w:rPr>
      </w:pPr>
      <w:r>
        <w:rPr>
          <w:noProof/>
        </w:rPr>
        <w:t>REGOLAMENT TAL-PARLAMENT EWROPEW U TAL-KUNSILL</w:t>
      </w:r>
    </w:p>
    <w:p>
      <w:pPr>
        <w:pStyle w:val="Titreobjet"/>
        <w:rPr>
          <w:noProof/>
        </w:rPr>
      </w:pPr>
      <w:r>
        <w:rPr>
          <w:noProof/>
        </w:rPr>
        <w:t>li jistabbilixxi Orizzont Ewropa – il-Programm Qafas għar-Riċerka u l-Innovazzjoni, li jistabbilixxi r-regoli għall-parteċipazzjoni fih u t-tixrid tiegħu,</w:t>
      </w:r>
      <w:r>
        <w:rPr>
          <w:noProof/>
        </w:rPr>
        <w:br/>
        <w:t xml:space="preserve"> </w:t>
      </w:r>
      <w:r>
        <w:rPr>
          <w:noProof/>
        </w:rPr>
        <w:br/>
        <w:t>DEĊIŻJONI TAL-PARLAMENT EWROPEW U TAL-KUNSILL</w:t>
      </w:r>
      <w:r>
        <w:rPr>
          <w:noProof/>
        </w:rPr>
        <w:br/>
        <w:t>dwar l-istabbiliment tal-programm speċifiku li jimplimenta Orizzont Ewropa – il-Programm Qafas għar-Riċerka u l-Innovazzjoni,</w:t>
      </w:r>
      <w:r>
        <w:rPr>
          <w:noProof/>
        </w:rPr>
        <w:br/>
        <w:t xml:space="preserve">  </w:t>
      </w:r>
      <w:r>
        <w:rPr>
          <w:noProof/>
        </w:rPr>
        <w:br/>
        <w:t>REGOLAMENT TAL-PARLAMENT EWROPEW U TAL-KUNSILL li jistabbilixxi l-Istrument ta’ Viċinat, ta’ Kooperazzjoni għall-Iżvilupp u ta’ Kooperazzjoni Internazzjonali,</w:t>
      </w:r>
      <w:r>
        <w:rPr>
          <w:noProof/>
        </w:rPr>
        <w:br/>
      </w:r>
      <w:r>
        <w:rPr>
          <w:noProof/>
        </w:rPr>
        <w:br/>
        <w:t>REGOLAMENT TAL-PARLAMENT EWROPEW U TAL-KUNSILL li jistabbilixxi r-regoli dwar l-appoġġ għall-pjanijiet strateġiċi li jridu jitfasslu mill-Istati Membri skont il-Politika Agrikola Komuni (il-Pjanijiet Strateġiċi tal-PAK) u ffinanzjati mill-Fond Agrikolu Ewropew ta’ Garanzija (FAEG) u mill-Fond Agrikolu Ewropew għall-Iżvilupp Rurali (FAEŻR) u li jħassar ir-Regolament (UE) Nru 1305/2013 tal-Parlament Ewropew u tal-Kunsill u r-Regolament (UE) Nru 1307/2013 tal-Parlament Ewropew u tal-Kunsill</w:t>
      </w:r>
    </w:p>
    <w:p>
      <w:pPr>
        <w:rPr>
          <w:noProof/>
        </w:rPr>
      </w:pPr>
      <w:r>
        <w:rPr>
          <w:noProof/>
        </w:rPr>
        <w:t xml:space="preserve">Il-Proposti tal-Kummissjoni COM(2018) 435, COM (2018) 436, COM (2018) 460, COM (2018) 392 huma emendati kif ġej: </w:t>
      </w:r>
    </w:p>
    <w:p>
      <w:pPr>
        <w:pStyle w:val="ManualNumPar1"/>
        <w:rPr>
          <w:noProof/>
        </w:rPr>
      </w:pPr>
      <w:r>
        <w:rPr>
          <w:noProof/>
        </w:rPr>
        <w:t>1.</w:t>
      </w:r>
      <w:r>
        <w:rPr>
          <w:noProof/>
        </w:rPr>
        <w:tab/>
        <w:t>Il-Proposta tal-Kummissjoni COM(2018) 435 għal REGOLAMENT TAL-PARLAMENT EWROPEW U TAL-KUNSILL li jistabbilixxi Orizzont Ewropa – il-Programm Qafas għar-Riċerka u l-Innovazzjoni, li jistabbilixxi r-regoli għall-parteċipazzjoni fih u t-tixrid tiegħu huwa emendat kif ġej:</w:t>
      </w:r>
    </w:p>
    <w:p>
      <w:pPr>
        <w:pStyle w:val="Point0"/>
        <w:rPr>
          <w:noProof/>
        </w:rPr>
      </w:pPr>
      <w:r>
        <w:rPr>
          <w:noProof/>
        </w:rPr>
        <w:t>(1)</w:t>
      </w:r>
      <w:r>
        <w:rPr>
          <w:noProof/>
        </w:rPr>
        <w:tab/>
        <w:t xml:space="preserve">Tiddaħħal il-premessa (15a) li ġejja: </w:t>
      </w:r>
    </w:p>
    <w:p>
      <w:pPr>
        <w:pStyle w:val="Text1"/>
        <w:rPr>
          <w:noProof/>
          <w:color w:val="00B050"/>
          <w:sz w:val="22"/>
        </w:rPr>
      </w:pPr>
      <w:r>
        <w:rPr>
          <w:noProof/>
        </w:rPr>
        <w:t xml:space="preserve">“(15a) </w:t>
      </w:r>
      <w:r>
        <w:rPr>
          <w:noProof/>
        </w:rPr>
        <w:tab/>
        <w:t>Skont ir-Regolament [l-Istrument ta’ Rkupru tal-Unjoni Ewropea] u fil-limiti tar-riżorsi allokati fih, il-miżuri ta’ rkupru u ta’ reżiljenza f’dan il-Programm jenħtieġ li jitwettqu sabiex jiġi indirizzat l-impatt mingħajr preċedent tal-kriżi tal-COVID-19.  Dawn ir-riżorsi addizzjonali jenħtieġ li jintużaw b’mod li jiżguraw konformità mal-limiti ta’ żmien previsti fir-Regolament [ERI, European Union Recovery Instrument].;</w:t>
      </w:r>
    </w:p>
    <w:p>
      <w:pPr>
        <w:pStyle w:val="Point0"/>
        <w:rPr>
          <w:noProof/>
        </w:rPr>
      </w:pPr>
      <w:r>
        <w:rPr>
          <w:noProof/>
        </w:rPr>
        <w:t>(2)</w:t>
      </w:r>
      <w:r>
        <w:rPr>
          <w:noProof/>
        </w:rPr>
        <w:tab/>
        <w:t xml:space="preserve">Jiddaħħal l-Artikolu 9a li ġej: </w:t>
      </w:r>
    </w:p>
    <w:p>
      <w:pPr>
        <w:pStyle w:val="Titrearticle"/>
        <w:rPr>
          <w:noProof/>
        </w:rPr>
      </w:pPr>
      <w:r>
        <w:rPr>
          <w:noProof/>
        </w:rPr>
        <w:t>Artikolu 9a</w:t>
      </w:r>
      <w:r>
        <w:rPr>
          <w:noProof/>
        </w:rPr>
        <w:br/>
        <w:t>Riżorsi mill-Istrument ta’ Rkupru tal-Unjoni Ewropea</w:t>
      </w:r>
    </w:p>
    <w:p>
      <w:pPr>
        <w:pStyle w:val="Text1"/>
        <w:rPr>
          <w:noProof/>
        </w:rPr>
      </w:pPr>
      <w:r>
        <w:rPr>
          <w:noProof/>
        </w:rPr>
        <w:t xml:space="preserve">Il-miżuri msemmija fl-Artikolu 2 tar-Regolament [ERI] għandhom jiġu implimentati permezz ta’ dan il-Programm bl-ammonti msemmijin fil-punt (v) tal-Artikolu 3(2)(a) ta’ dan ir-Regolament [ERI], soġġett għall-Artikolu 4(4) u (8) tiegħu.  </w:t>
      </w:r>
    </w:p>
    <w:p>
      <w:pPr>
        <w:pStyle w:val="Text1"/>
        <w:rPr>
          <w:noProof/>
        </w:rPr>
      </w:pPr>
      <w:r>
        <w:rPr>
          <w:noProof/>
        </w:rPr>
        <w:t>Dawn l-ammonti għandhom jikkostitwixxu dħul assenjat estern f’konformità mal-Artikolu 21(5) tar-Regolament Finanzjarju.”</w:t>
      </w:r>
    </w:p>
    <w:p>
      <w:pPr>
        <w:pStyle w:val="ManualNumPar1"/>
        <w:rPr>
          <w:noProof/>
        </w:rPr>
      </w:pPr>
      <w:r>
        <w:rPr>
          <w:noProof/>
        </w:rPr>
        <w:lastRenderedPageBreak/>
        <w:t>2.</w:t>
      </w:r>
      <w:r>
        <w:rPr>
          <w:noProof/>
        </w:rPr>
        <w:tab/>
        <w:t xml:space="preserve">L-Artikolu 4a li ġej jiddaħħal fil-Proposta tal-Kummissoni COM (2018) 436 għal DEĊIŻJONI TAL-PARLAMENT EWROPEW U TAL-KUNSILL dwar l-istabbiliment tal-programm speċifiku li jimplimenta Orizzont Ewropa – il-Programm Qafas għar-Riċerka u l-Innovazzjoni: </w:t>
      </w:r>
    </w:p>
    <w:p>
      <w:pPr>
        <w:pStyle w:val="Titrearticle"/>
        <w:rPr>
          <w:bCs/>
          <w:noProof/>
        </w:rPr>
      </w:pPr>
      <w:r>
        <w:rPr>
          <w:noProof/>
        </w:rPr>
        <w:t>“Artikolu 4a</w:t>
      </w:r>
      <w:r>
        <w:rPr>
          <w:noProof/>
        </w:rPr>
        <w:br/>
        <w:t>Riżorsi mill-Istrument ta’ Rkupru tal-Unjoni Ewropea</w:t>
      </w:r>
    </w:p>
    <w:p>
      <w:pPr>
        <w:pStyle w:val="Text1"/>
        <w:rPr>
          <w:noProof/>
        </w:rPr>
      </w:pPr>
      <w:r>
        <w:rPr>
          <w:noProof/>
        </w:rPr>
        <w:t>F’konformità mal-artikolu 9a tar-Regolament [ir-Regolament dwar il-Programm Qafas] il-miżuri msemmija fl-Artikolu 2 tar-Regolament [ERI] għandhom jiġu implimentati taħt dan il-Programm Speċifiku permezz tal-ammonti msemmijin fil-punt (v) tal-Artikolu 3(2)(a) ta’ dan ir-Regolament [ERI], soġġett għall-Artikolu 4(4) u (8) tiegħu.”</w:t>
      </w:r>
    </w:p>
    <w:p>
      <w:pPr>
        <w:pStyle w:val="ManualNumPar1"/>
        <w:rPr>
          <w:noProof/>
        </w:rPr>
      </w:pPr>
      <w:r>
        <w:rPr>
          <w:noProof/>
        </w:rPr>
        <w:t>3.</w:t>
      </w:r>
      <w:r>
        <w:rPr>
          <w:noProof/>
        </w:rPr>
        <w:tab/>
        <w:t xml:space="preserve">Proposta tal-Kummissjoni COM (2018) 460 għal REGOLAMENT TAL-PARLAMENT EWROPEW U TAL-KUNSILL li jistabbilixxi l-Istrument ta’ Viċinat, ta’ Kooperazzjoni għall-Iżvilupp u ta’ Kooperazzjoni Internazzjonali huwa emendat kif ġej: </w:t>
      </w:r>
    </w:p>
    <w:p>
      <w:pPr>
        <w:pStyle w:val="Point0"/>
        <w:rPr>
          <w:noProof/>
        </w:rPr>
      </w:pPr>
      <w:r>
        <w:rPr>
          <w:noProof/>
        </w:rPr>
        <w:t>(1)</w:t>
      </w:r>
      <w:r>
        <w:rPr>
          <w:noProof/>
        </w:rPr>
        <w:tab/>
        <w:t>Tiddaħħal il-premessa 36a li ġejja:</w:t>
      </w:r>
    </w:p>
    <w:p>
      <w:pPr>
        <w:pStyle w:val="Text1"/>
        <w:rPr>
          <w:noProof/>
        </w:rPr>
      </w:pPr>
      <w:r>
        <w:rPr>
          <w:noProof/>
        </w:rPr>
        <w:t xml:space="preserve">“(36a) Skont ir-Regolament [l-Istrument ta’ Rkupru tal-Unjoni Ewropea] u fil-limiti tar-riżorsi allokati għalih, il-miżuri ta’ rkupru u ta’ reżiljenza taħt l-Istrument ta’ Viċinat, ta’ Kooperazzjoni għall-Iżvilupp u ta’ Kooperazzjoni Internazzjonali jenħtieġ li jitwettqu sabiex jiġi indirizzat l-impatt mingħajr preċedent tal-kriżi tal-COVID-19.  Dawn ir-riżorsi addizzjonali jenħtieġ li jintużaw b’mod li jiżguraw konformità mal-limiti ta’ żmien previsti fir-Regolament [ERI].” </w:t>
      </w:r>
    </w:p>
    <w:p>
      <w:pPr>
        <w:pStyle w:val="Point0"/>
        <w:rPr>
          <w:noProof/>
        </w:rPr>
      </w:pPr>
      <w:r>
        <w:rPr>
          <w:noProof/>
        </w:rPr>
        <w:t>(2)</w:t>
      </w:r>
      <w:r>
        <w:rPr>
          <w:noProof/>
        </w:rPr>
        <w:tab/>
        <w:t>Jiddaħħal l-Artikolu 6a li ġej:</w:t>
      </w:r>
    </w:p>
    <w:p>
      <w:pPr>
        <w:pStyle w:val="Titrearticle"/>
        <w:rPr>
          <w:noProof/>
        </w:rPr>
      </w:pPr>
      <w:r>
        <w:rPr>
          <w:noProof/>
        </w:rPr>
        <w:t>“Artikolu 6a</w:t>
      </w:r>
      <w:r>
        <w:rPr>
          <w:noProof/>
        </w:rPr>
        <w:br/>
        <w:t>Riżorsi mill-Istrument ta’ Rkupru tal-Unjoni Ewropea</w:t>
      </w:r>
    </w:p>
    <w:p>
      <w:pPr>
        <w:pStyle w:val="Point1"/>
        <w:rPr>
          <w:noProof/>
        </w:rPr>
      </w:pPr>
      <w:r>
        <w:rPr>
          <w:noProof/>
        </w:rPr>
        <w:t>(1)</w:t>
      </w:r>
      <w:r>
        <w:rPr>
          <w:noProof/>
        </w:rPr>
        <w:tab/>
        <w:t>Taħt il-Garanzija għall-Azzjoni Esterna, l-ammont imsemmi fit-tieni subparagrafu tal-Artikolu 26(3), għandu jingħata skont il-kundizzjonijiet stabbiliti fl-Artikolu 4(6) tar-Regolament [ERI], ħlief għall-operazzjonijiet ta’ assistenza makrofinanzjarja li għandhom jingħataw kif stabbilit fl-Artikolu 4(7) ta’ dan ir-Regolament [ERI]. Dan l-ammont għandu jappoġġa wkoll l-operazzjonijiet fil-pajjiżi benefiċjarji elenkati fl-Anness I tar-Regolament IPA III.</w:t>
      </w:r>
    </w:p>
    <w:p>
      <w:pPr>
        <w:pStyle w:val="Point1"/>
        <w:rPr>
          <w:noProof/>
        </w:rPr>
      </w:pPr>
      <w:r>
        <w:rPr>
          <w:noProof/>
        </w:rPr>
        <w:t>(2)</w:t>
      </w:r>
      <w:r>
        <w:rPr>
          <w:noProof/>
        </w:rPr>
        <w:tab/>
        <w:t xml:space="preserve">L-ammont imsemmi fil-punt (iii) tal-Artikolu 3(2)(c) tar-Regolament [ERI] għandu jintuża għall-provvediment ta’ Garanzija għall-Azzjoni Esterna skont dan ir-Regolament, flimkien mar-riżorsi msemmija fl-ewwel subparagrafu tal-Artikolu 211(4) tar-Regolament Finanzjarju, u għall-miżuri msemmija fit-tieni sentenza tal-Artikolu 2(2) tar-Regolament [ERI], soġġett għall-Artikolu 4(8) tiegħu. </w:t>
      </w:r>
    </w:p>
    <w:p>
      <w:pPr>
        <w:pStyle w:val="Text2"/>
        <w:rPr>
          <w:b/>
          <w:noProof/>
        </w:rPr>
      </w:pPr>
      <w:r>
        <w:rPr>
          <w:noProof/>
        </w:rPr>
        <w:t>Minbarra r-riżorsi msemmija fit-tieni subparagrafu tal-Artikolu 211(4) tar-Regolament, ammont sal-massimu ta’ EUR 11 285 762 000 għandu jitqies għall-kalkolu tal-proviżjonament li jirriżulta mir-rata ta’ proviżjonament imsemmija fl-Artikolu 211(1) tar-Regolament Finanzjarju</w:t>
      </w:r>
      <w:r>
        <w:rPr>
          <w:b/>
          <w:noProof/>
        </w:rPr>
        <w:t xml:space="preserve">. </w:t>
      </w:r>
    </w:p>
    <w:p>
      <w:pPr>
        <w:pStyle w:val="Text2"/>
        <w:rPr>
          <w:noProof/>
        </w:rPr>
      </w:pPr>
      <w:r>
        <w:rPr>
          <w:noProof/>
        </w:rPr>
        <w:t>L-ammont imsemmi fl-ewwel subparagrafu għandu jkun dħul assenjat estern f’konformità mal-Artikolu 21(5)tar-Regolament Finanzjarju.”</w:t>
      </w:r>
    </w:p>
    <w:p>
      <w:pPr>
        <w:pStyle w:val="Point0"/>
        <w:rPr>
          <w:noProof/>
        </w:rPr>
      </w:pPr>
      <w:r>
        <w:rPr>
          <w:noProof/>
        </w:rPr>
        <w:lastRenderedPageBreak/>
        <w:t>(3)</w:t>
      </w:r>
      <w:r>
        <w:rPr>
          <w:noProof/>
        </w:rPr>
        <w:tab/>
        <w:t>L-Artikolu 26 huwa emendat kif ġej:</w:t>
      </w:r>
    </w:p>
    <w:p>
      <w:pPr>
        <w:pStyle w:val="Point1"/>
        <w:rPr>
          <w:noProof/>
        </w:rPr>
      </w:pPr>
      <w:r>
        <w:rPr>
          <w:noProof/>
        </w:rPr>
        <w:t>(a)</w:t>
      </w:r>
      <w:r>
        <w:rPr>
          <w:noProof/>
        </w:rPr>
        <w:tab/>
        <w:t xml:space="preserve">Il-paragrafu 3 huwa sostitwit b’dan li ġej: </w:t>
      </w:r>
    </w:p>
    <w:p>
      <w:pPr>
        <w:pStyle w:val="Text2"/>
        <w:rPr>
          <w:noProof/>
        </w:rPr>
      </w:pPr>
      <w:r>
        <w:rPr>
          <w:noProof/>
        </w:rPr>
        <w:t xml:space="preserve">“3. Permezz tal-Garanzija għall-Azzjoni Esterna l-Unjoni tista’ tiggarantixxi l-operazzjonijiet iffirmati bejn l-1 ta’ Jannar 2021 u l-31 ta’ Diċembru 2027, sa EUR 130 000 000 000 l-aktar. </w:t>
      </w:r>
    </w:p>
    <w:p>
      <w:pPr>
        <w:pStyle w:val="Text2"/>
        <w:rPr>
          <w:noProof/>
        </w:rPr>
      </w:pPr>
      <w:r>
        <w:rPr>
          <w:noProof/>
        </w:rPr>
        <w:t>Il-massimu ta’ EUR 70 000 000 000 minn dan l-ammont għandu jiġi allokat għall-operazzjonijiet li jimplimentaw il-miżuri msemmijin fit-tieni subparagrafu tal-Artikolu 2(1) tar-Regolament [ERI], u għandu jkun disponibbli biss mid-data msemmija fl-Artikolu 4(3) ta’ dan ir-Regolament.”;</w:t>
      </w:r>
    </w:p>
    <w:p>
      <w:pPr>
        <w:pStyle w:val="Point1"/>
        <w:rPr>
          <w:noProof/>
        </w:rPr>
      </w:pPr>
      <w:r>
        <w:rPr>
          <w:noProof/>
        </w:rPr>
        <w:t>(b)</w:t>
      </w:r>
      <w:r>
        <w:rPr>
          <w:noProof/>
        </w:rPr>
        <w:tab/>
        <w:t xml:space="preserve">Il-paragrafu 6 huwa sostitwit b’li ġej: </w:t>
      </w:r>
    </w:p>
    <w:p>
      <w:pPr>
        <w:pStyle w:val="Text2"/>
        <w:rPr>
          <w:noProof/>
        </w:rPr>
      </w:pPr>
      <w:r>
        <w:rPr>
          <w:noProof/>
        </w:rPr>
        <w:t>“6. L-EFSD+ u l-Garanzija għall-Azzjoni Esterna jistgħu jappoġġaw operazzjonijiet ta’ finanzjament u ta’ investiment f’pajjiżi sħab fiż-żoni ġeografiċi msemmija fl-Artikolu 4(2). Il-proviżjonament tal-Garanzija għall-Azzjoni Esterna għandu jiġi ffinanzjat mill-baġit tal-programmi ġeografiċi rilevanti stabbiliti bl-Artikolu 6(2)(a) mingħajr preġudizzju għall-Artikolu 6a u għandu jiġi ttrasferit fil-fond ta’ proviżjonament komuni. L-EFSD+ u l-Garanzija għall-Azzjoni Esterna jistgħu jappoġġaw ukoll operazzjonijiet fil-pajjiżi benefiċjarji elenkati fl-Anness I tar-Regolament [IPA III]. Il-finanzjament għal dawn l-operazzjonijiet taħt l-EFSD+ u għall-proviżjonament tal-Garanzija għall-Azzjoni Esterna għandu jiġi ffinanzjat permezz tar-Regolament [IPA], mingħajr preġudizzju għall-Artikolu 6a(1) ta’ dan ir-Regolament. Il-proviżjonament tal-Garanzija għall-Azzjoni Esterna għal self lil pajjiżi terzi msemmijin fl-Artikolu 10(2) tar-Regolament EINS għandu jiġi ffinanzjat minn dan ir-Regolament.”;</w:t>
      </w:r>
    </w:p>
    <w:p>
      <w:pPr>
        <w:pStyle w:val="Point0"/>
        <w:rPr>
          <w:noProof/>
        </w:rPr>
      </w:pPr>
      <w:r>
        <w:rPr>
          <w:noProof/>
        </w:rPr>
        <w:t>(4)</w:t>
      </w:r>
      <w:r>
        <w:rPr>
          <w:noProof/>
        </w:rPr>
        <w:tab/>
        <w:t>Fl-Artikolu 39, il-paragrafu 1 huwa sostitwit b’dan li ġej:</w:t>
      </w:r>
    </w:p>
    <w:p>
      <w:pPr>
        <w:pStyle w:val="Text1"/>
        <w:rPr>
          <w:noProof/>
        </w:rPr>
      </w:pPr>
      <w:r>
        <w:rPr>
          <w:noProof/>
        </w:rPr>
        <w:t>“1. Id-Deċiżjoni 466/2014/UE u r-Regolament (KE, Euratom) Nru 480/2009 jitħassru b’effett mill-1 ta’ Jannar 2021. Ir-Regolament (UE) 2017/1601 jitħassar b’effett mill-31 ta’ Diċembru 2021.”</w:t>
      </w:r>
    </w:p>
    <w:p>
      <w:pPr>
        <w:pStyle w:val="ManualNumPar1"/>
        <w:rPr>
          <w:noProof/>
        </w:rPr>
      </w:pPr>
      <w:r>
        <w:rPr>
          <w:noProof/>
        </w:rPr>
        <w:t>4.</w:t>
      </w:r>
      <w:r>
        <w:rPr>
          <w:noProof/>
        </w:rPr>
        <w:tab/>
        <w:t xml:space="preserve">Il-Proposta tal-Kummissjoni COM (2018) 392 għal REGOLAMENT TAL-PARLAMENT EWROPEW U TAL-KUNSILL li jistabbilixxi r-regoli dwar l-appoġġ għall-pjanijiet strateġiċi li jridu jitfasslu mill-Istati Membri skont il-Politika Agrikola Komuni (il-Pjanijiet Strateġiċi tal-PAK) u ffinanzjati mill-Fond Agrikolu Ewropew ta’ Garanzija (FAEG) u mill-Fond Agrikolu Ewropew għall-Iżvilupp Rurali (FAEŻR) u li jħassar ir-Regolament (UE) Nru 1305/2013 tal-Parlament Ewropew u tal-Kunsill u r-Regolament (UE) Nru 1307/2013 tal-Parlament Ewropew u tal-Kunsill, huwa emendat kif ġej: </w:t>
      </w:r>
    </w:p>
    <w:p>
      <w:pPr>
        <w:pStyle w:val="Point0"/>
        <w:rPr>
          <w:noProof/>
        </w:rPr>
      </w:pPr>
      <w:r>
        <w:rPr>
          <w:noProof/>
        </w:rPr>
        <w:t>(1)</w:t>
      </w:r>
      <w:r>
        <w:rPr>
          <w:noProof/>
        </w:rPr>
        <w:tab/>
        <w:t xml:space="preserve">Tiddaħħal il-premessa (71a) ġdida li ġejja: </w:t>
      </w:r>
    </w:p>
    <w:p>
      <w:pPr>
        <w:pStyle w:val="Text1"/>
        <w:rPr>
          <w:noProof/>
        </w:rPr>
      </w:pPr>
      <w:r>
        <w:rPr>
          <w:noProof/>
        </w:rPr>
        <w:t>(71a) F’konformità mar-Regolament [l-Istrument ta’ Rkupru tal-Unjoni Ewropea] u fil-limiti tar-riżorsi allokati fih, il-miżuri ta’ rkupru u ta’ reżiljenza permezz tal-Istrument ta’ Viċinat, ta’ Kooperazzjoni għall-Iżvilupp u ta’ Kooperazzjoni Internazzjonali jenħtieġ li jitwettqu sabiex jiġi indirizzat l-impatt bla preċedent tal-kriżi tal-COVID-19.  Dawn ir-riżorsi addizzjonali jenħtieġ li jintużaw b’mod li jiżguraw konformità mal-limiti ta’ żmien previsti fir-Regolament [ERI].”</w:t>
      </w:r>
    </w:p>
    <w:p>
      <w:pPr>
        <w:pStyle w:val="Point0"/>
        <w:rPr>
          <w:noProof/>
        </w:rPr>
      </w:pPr>
      <w:r>
        <w:rPr>
          <w:noProof/>
        </w:rPr>
        <w:t>(2)</w:t>
      </w:r>
      <w:r>
        <w:rPr>
          <w:noProof/>
        </w:rPr>
        <w:tab/>
        <w:t xml:space="preserve">Jiddaħħal l-Artikolu 84a ġdid li ġej: </w:t>
      </w:r>
    </w:p>
    <w:p>
      <w:pPr>
        <w:pStyle w:val="Titrearticle"/>
        <w:rPr>
          <w:noProof/>
        </w:rPr>
      </w:pPr>
      <w:r>
        <w:rPr>
          <w:noProof/>
        </w:rPr>
        <w:lastRenderedPageBreak/>
        <w:t>Artikolu 84a</w:t>
      </w:r>
      <w:r>
        <w:rPr>
          <w:noProof/>
        </w:rPr>
        <w:br/>
        <w:t>Riżorsi mill-Istrument ta’ Rkupru tal-Unjoni Ewropea</w:t>
      </w:r>
    </w:p>
    <w:p>
      <w:pPr>
        <w:pStyle w:val="Point1"/>
        <w:rPr>
          <w:noProof/>
        </w:rPr>
      </w:pPr>
      <w:r>
        <w:rPr>
          <w:noProof/>
        </w:rPr>
        <w:t>(1)</w:t>
      </w:r>
      <w:r>
        <w:rPr>
          <w:noProof/>
        </w:rPr>
        <w:tab/>
        <w:t>Il-miżuri msemmijin fl-Artikolu 2 tar-Regolament [ERI] għandhom jiġu implimentati permezz tal-FAEŻR u bl-ammont ta’ EUR 16 483 miljun fi prezzijiet kurrenti mill-ammont msemmi fil-punt (vii) tal-Artikolu 3(2)(a) ta’ dan ir-Regolament, soġġett għall-Artikoli 4(3), (4) u (8) tiegħu.</w:t>
      </w:r>
    </w:p>
    <w:p>
      <w:pPr>
        <w:pStyle w:val="Text2"/>
        <w:rPr>
          <w:noProof/>
        </w:rPr>
      </w:pPr>
      <w:r>
        <w:rPr>
          <w:noProof/>
        </w:rPr>
        <w:t>Dan l-ammont għandu jikkostitwixxi dħul assenjat estern f’konformità mal-Artikolu 21(5) tar-Regolament Finanzjarju.</w:t>
      </w:r>
    </w:p>
    <w:p>
      <w:pPr>
        <w:pStyle w:val="Text2"/>
        <w:rPr>
          <w:noProof/>
        </w:rPr>
      </w:pPr>
      <w:r>
        <w:rPr>
          <w:noProof/>
        </w:rPr>
        <w:t>Għandu jkun disponibbli bħala riżorsi addizzjonali għall-impenn baġitarju mill-FAEŻR għas-snin 2022, 2023 u 2024 flimkien mar-riżorsi globali stabbiliti fl-Artikolu 83 kif ġej:</w:t>
      </w:r>
    </w:p>
    <w:p>
      <w:pPr>
        <w:pStyle w:val="Tiret2"/>
        <w:numPr>
          <w:ilvl w:val="0"/>
          <w:numId w:val="14"/>
        </w:numPr>
        <w:rPr>
          <w:rStyle w:val="conf-macro"/>
          <w:noProof/>
        </w:rPr>
      </w:pPr>
      <w:r>
        <w:rPr>
          <w:rStyle w:val="conf-macro"/>
          <w:noProof/>
        </w:rPr>
        <w:t>2022: EUR 8 117 miljun</w:t>
      </w:r>
    </w:p>
    <w:p>
      <w:pPr>
        <w:pStyle w:val="Tiret2"/>
        <w:rPr>
          <w:rStyle w:val="conf-macro"/>
          <w:noProof/>
        </w:rPr>
      </w:pPr>
      <w:r>
        <w:rPr>
          <w:rStyle w:val="conf-macro"/>
          <w:noProof/>
        </w:rPr>
        <w:t>2023: EUR 4 140 miljun;</w:t>
      </w:r>
    </w:p>
    <w:p>
      <w:pPr>
        <w:pStyle w:val="Tiret2"/>
        <w:rPr>
          <w:rStyle w:val="conf-macro"/>
          <w:noProof/>
        </w:rPr>
      </w:pPr>
      <w:r>
        <w:rPr>
          <w:rStyle w:val="conf-macro"/>
          <w:noProof/>
        </w:rPr>
        <w:t>2024: EUR 4 226 miljun.</w:t>
      </w:r>
    </w:p>
    <w:p>
      <w:pPr>
        <w:pStyle w:val="Point1"/>
        <w:rPr>
          <w:noProof/>
        </w:rPr>
      </w:pPr>
      <w:r>
        <w:rPr>
          <w:noProof/>
        </w:rPr>
        <w:t>(2)</w:t>
      </w:r>
      <w:r>
        <w:rPr>
          <w:noProof/>
        </w:rPr>
        <w:tab/>
        <w:t xml:space="preserve">It-tqassim tar-riżorsi addizzjonali msemmija fil-paragrafu 1 għal kull Stat Membru għandu jiġi stabbilit skont l-Artikolu 83(3). </w:t>
      </w:r>
    </w:p>
    <w:p>
      <w:pPr>
        <w:pStyle w:val="Point1"/>
        <w:rPr>
          <w:noProof/>
        </w:rPr>
      </w:pPr>
      <w:r>
        <w:rPr>
          <w:noProof/>
        </w:rPr>
        <w:t>(3)</w:t>
      </w:r>
      <w:r>
        <w:rPr>
          <w:noProof/>
        </w:rPr>
        <w:tab/>
        <w:t xml:space="preserve">Ir-regoli ta’ diżimpenn kif stabbiliti fl-Artikolu 32 tal-[Proposta tal-Kummissjoni għal Regolament tal-Parlament Ewropew u tal-Kunsill dwar il-finanzjament, il-ġestjoni u l-monitoraġġ tal-PAK] għandhom japplikaw għall-impenji baġitarji bbażati fuq ir-riżorsi addizzjonali msemmija fil-paragrafu 1 ta’ dan l-Artikolu. </w:t>
      </w:r>
    </w:p>
    <w:p>
      <w:pPr>
        <w:pStyle w:val="Point1"/>
        <w:rPr>
          <w:noProof/>
        </w:rPr>
      </w:pPr>
      <w:r>
        <w:rPr>
          <w:noProof/>
        </w:rPr>
        <w:t>(4)</w:t>
      </w:r>
      <w:r>
        <w:rPr>
          <w:noProof/>
        </w:rPr>
        <w:tab/>
        <w:t>L-Artikolu 86 ma għandux japplika għar-riżorsi addizzjonali msemmijin fil-paragrafu 1 ta’ dan l-Artikolu.</w:t>
      </w:r>
    </w:p>
    <w:p>
      <w:pPr>
        <w:pStyle w:val="Point1"/>
        <w:rPr>
          <w:noProof/>
        </w:rPr>
      </w:pPr>
      <w:r>
        <w:rPr>
          <w:noProof/>
        </w:rPr>
        <w:t>(5)</w:t>
      </w:r>
      <w:r>
        <w:rPr>
          <w:noProof/>
        </w:rPr>
        <w:tab/>
        <w:t xml:space="preserve">Sa 4 % tar-riżorsi addizzjonali kollha msemmijin fil-paragrafu 1 jistgħu jiġu allokati l-assistenza teknika fuq l-inizjattiva tal-Istati Membri permezz tal-kontribuzzjonijiet tal-FAEŻR għall-Pjanijiet Strateġiċi tal-PAK tal-Istati Membri. </w:t>
      </w:r>
    </w:p>
    <w:p>
      <w:pPr>
        <w:pStyle w:val="Point1"/>
        <w:rPr>
          <w:rStyle w:val="conf-macro"/>
          <w:noProof/>
        </w:rPr>
      </w:pPr>
      <w:r>
        <w:rPr>
          <w:rStyle w:val="conf-macro"/>
          <w:noProof/>
        </w:rPr>
        <w:t>(6)</w:t>
      </w:r>
      <w:r>
        <w:rPr>
          <w:rStyle w:val="conf-macro"/>
          <w:noProof/>
        </w:rPr>
        <w:tab/>
      </w:r>
      <w:r>
        <w:rPr>
          <w:noProof/>
        </w:rPr>
        <w:t>Ir-</w:t>
      </w:r>
      <w:r>
        <w:rPr>
          <w:rStyle w:val="conf-macro"/>
          <w:noProof/>
        </w:rPr>
        <w:t>riżorsi addizzjonal</w:t>
      </w:r>
      <w:r>
        <w:rPr>
          <w:noProof/>
        </w:rPr>
        <w:t>i msemmija fil-paragrafu 1</w:t>
      </w:r>
      <w:r>
        <w:rPr>
          <w:rStyle w:val="conf-macro"/>
          <w:noProof/>
        </w:rPr>
        <w:t xml:space="preserve"> għandhom jintużaw b’objettiv speċifiku ġdid li jikkumplimenta l-objettivi speċifiċi stabbiliti fl-Artikolu 6 biex jiġu appoġġati operazzjonijiet li jħejju għall-irkupru tal-ekonomija.”</w:t>
      </w:r>
    </w:p>
    <w:p>
      <w:pPr>
        <w:rPr>
          <w:noProof/>
        </w:rPr>
      </w:pPr>
    </w:p>
    <w:p>
      <w:pPr>
        <w:rPr>
          <w:noProof/>
        </w:rPr>
      </w:pPr>
    </w:p>
    <w:p>
      <w:pPr>
        <w:rPr>
          <w:noProof/>
        </w:rPr>
        <w:sectPr>
          <w:pgSz w:w="11907" w:h="16840" w:code="9"/>
          <w:pgMar w:top="1134" w:right="1418" w:bottom="1134" w:left="1418" w:header="709" w:footer="709" w:gutter="0"/>
          <w:cols w:space="708"/>
          <w:docGrid w:linePitch="360"/>
        </w:sectPr>
      </w:pPr>
    </w:p>
    <w:p>
      <w:pPr>
        <w:jc w:val="center"/>
        <w:rPr>
          <w:b/>
          <w:noProof/>
          <w:u w:val="single"/>
        </w:rPr>
      </w:pPr>
      <w:r>
        <w:rPr>
          <w:b/>
          <w:noProof/>
          <w:u w:val="single"/>
        </w:rPr>
        <w:lastRenderedPageBreak/>
        <w:t>DIKJARAZZJONI FINANZJARJA LEĠIŻLATTIVA</w:t>
      </w:r>
    </w:p>
    <w:p>
      <w:pPr>
        <w:keepNext/>
        <w:tabs>
          <w:tab w:val="left" w:pos="850"/>
        </w:tabs>
        <w:spacing w:before="360"/>
        <w:ind w:left="850" w:hanging="850"/>
        <w:outlineLvl w:val="0"/>
        <w:rPr>
          <w:b/>
          <w:smallCaps/>
          <w:noProof/>
        </w:rPr>
      </w:pPr>
      <w:r>
        <w:rPr>
          <w:b/>
          <w:smallCaps/>
          <w:noProof/>
        </w:rPr>
        <w:t>1.</w:t>
      </w:r>
      <w:r>
        <w:rPr>
          <w:b/>
          <w:smallCaps/>
          <w:noProof/>
        </w:rPr>
        <w:tab/>
        <w:t xml:space="preserve">QAFAS TAL-PROPOSTA/TAL-INIZJATTIVA </w:t>
      </w:r>
    </w:p>
    <w:p>
      <w:pPr>
        <w:keepNext/>
        <w:tabs>
          <w:tab w:val="left" w:pos="850"/>
        </w:tabs>
        <w:ind w:left="850" w:hanging="850"/>
        <w:outlineLvl w:val="1"/>
        <w:rPr>
          <w:noProof/>
        </w:rPr>
      </w:pPr>
      <w:r>
        <w:rPr>
          <w:b/>
          <w:noProof/>
        </w:rPr>
        <w:tab/>
      </w:r>
      <w:r>
        <w:rPr>
          <w:noProof/>
        </w:rPr>
        <w:t>1.1.</w:t>
      </w:r>
      <w:r>
        <w:rPr>
          <w:noProof/>
        </w:rPr>
        <w:tab/>
        <w:t xml:space="preserve">Titolu tal-proposta/tal-inizjattiva </w:t>
      </w:r>
    </w:p>
    <w:p>
      <w:pPr>
        <w:keepNext/>
        <w:tabs>
          <w:tab w:val="left" w:pos="850"/>
        </w:tabs>
        <w:ind w:left="850" w:hanging="850"/>
        <w:outlineLvl w:val="1"/>
        <w:rPr>
          <w:noProof/>
        </w:rPr>
      </w:pPr>
      <w:r>
        <w:rPr>
          <w:noProof/>
        </w:rPr>
        <w:tab/>
        <w:t>1.2.</w:t>
      </w:r>
      <w:r>
        <w:rPr>
          <w:noProof/>
        </w:rPr>
        <w:tab/>
        <w:t>Qasam/oqsma ta’ politika kkonċernat(i) fl-istruttura ABM/ABB</w:t>
      </w:r>
    </w:p>
    <w:p>
      <w:pPr>
        <w:keepNext/>
        <w:tabs>
          <w:tab w:val="left" w:pos="850"/>
        </w:tabs>
        <w:ind w:left="850" w:hanging="850"/>
        <w:outlineLvl w:val="1"/>
        <w:rPr>
          <w:noProof/>
        </w:rPr>
      </w:pPr>
      <w:r>
        <w:rPr>
          <w:noProof/>
        </w:rPr>
        <w:tab/>
        <w:t>1.3.</w:t>
      </w:r>
      <w:r>
        <w:rPr>
          <w:noProof/>
        </w:rPr>
        <w:tab/>
        <w:t xml:space="preserve">Natura tal-proposta/tal-inizjattiva </w:t>
      </w:r>
    </w:p>
    <w:p>
      <w:pPr>
        <w:keepNext/>
        <w:tabs>
          <w:tab w:val="left" w:pos="850"/>
        </w:tabs>
        <w:ind w:left="850" w:hanging="850"/>
        <w:outlineLvl w:val="1"/>
        <w:rPr>
          <w:noProof/>
        </w:rPr>
      </w:pPr>
      <w:r>
        <w:rPr>
          <w:noProof/>
        </w:rPr>
        <w:tab/>
        <w:t>1.4.</w:t>
      </w:r>
      <w:r>
        <w:rPr>
          <w:noProof/>
        </w:rPr>
        <w:tab/>
        <w:t xml:space="preserve">Objettiv(i) </w:t>
      </w:r>
    </w:p>
    <w:p>
      <w:pPr>
        <w:keepNext/>
        <w:tabs>
          <w:tab w:val="left" w:pos="850"/>
        </w:tabs>
        <w:ind w:left="850" w:hanging="850"/>
        <w:outlineLvl w:val="1"/>
        <w:rPr>
          <w:noProof/>
        </w:rPr>
      </w:pPr>
      <w:r>
        <w:rPr>
          <w:noProof/>
        </w:rPr>
        <w:tab/>
        <w:t>1.5.</w:t>
      </w:r>
      <w:r>
        <w:rPr>
          <w:noProof/>
        </w:rPr>
        <w:tab/>
        <w:t xml:space="preserve">Raġunijiet għall-proposta/għall-inizjattiva </w:t>
      </w:r>
    </w:p>
    <w:p>
      <w:pPr>
        <w:keepNext/>
        <w:tabs>
          <w:tab w:val="left" w:pos="850"/>
        </w:tabs>
        <w:ind w:left="850" w:hanging="850"/>
        <w:outlineLvl w:val="1"/>
        <w:rPr>
          <w:noProof/>
        </w:rPr>
      </w:pPr>
      <w:r>
        <w:rPr>
          <w:noProof/>
        </w:rPr>
        <w:tab/>
        <w:t>1.6.</w:t>
      </w:r>
      <w:r>
        <w:rPr>
          <w:noProof/>
        </w:rPr>
        <w:tab/>
        <w:t xml:space="preserve">Durata u impatt finanzjarju </w:t>
      </w:r>
    </w:p>
    <w:p>
      <w:pPr>
        <w:keepNext/>
        <w:tabs>
          <w:tab w:val="left" w:pos="850"/>
        </w:tabs>
        <w:ind w:left="850" w:hanging="850"/>
        <w:outlineLvl w:val="1"/>
        <w:rPr>
          <w:noProof/>
        </w:rPr>
      </w:pPr>
      <w:r>
        <w:rPr>
          <w:noProof/>
        </w:rPr>
        <w:tab/>
        <w:t>1.7.</w:t>
      </w:r>
      <w:r>
        <w:rPr>
          <w:noProof/>
        </w:rPr>
        <w:tab/>
        <w:t xml:space="preserve">Mod(i) ta’ ġestjoni ppjanat(i) </w:t>
      </w:r>
    </w:p>
    <w:p>
      <w:pPr>
        <w:keepNext/>
        <w:tabs>
          <w:tab w:val="left" w:pos="850"/>
        </w:tabs>
        <w:spacing w:before="360"/>
        <w:ind w:left="850" w:hanging="850"/>
        <w:outlineLvl w:val="0"/>
        <w:rPr>
          <w:b/>
          <w:smallCaps/>
          <w:noProof/>
        </w:rPr>
      </w:pPr>
      <w:r>
        <w:rPr>
          <w:b/>
          <w:smallCaps/>
          <w:noProof/>
        </w:rPr>
        <w:t>2.</w:t>
      </w:r>
      <w:r>
        <w:rPr>
          <w:b/>
          <w:smallCaps/>
          <w:noProof/>
        </w:rPr>
        <w:tab/>
        <w:t xml:space="preserve">MIŻURI TA’ ĠESTJONI </w:t>
      </w:r>
    </w:p>
    <w:p>
      <w:pPr>
        <w:keepNext/>
        <w:tabs>
          <w:tab w:val="left" w:pos="850"/>
        </w:tabs>
        <w:ind w:left="850" w:hanging="850"/>
        <w:outlineLvl w:val="1"/>
        <w:rPr>
          <w:noProof/>
        </w:rPr>
      </w:pPr>
      <w:r>
        <w:rPr>
          <w:noProof/>
        </w:rPr>
        <w:tab/>
        <w:t>2.1.</w:t>
      </w:r>
      <w:r>
        <w:rPr>
          <w:noProof/>
        </w:rPr>
        <w:tab/>
        <w:t xml:space="preserve">Regoli ta’ monitoraġġ u ta’ rappurtar </w:t>
      </w:r>
    </w:p>
    <w:p>
      <w:pPr>
        <w:keepNext/>
        <w:tabs>
          <w:tab w:val="left" w:pos="850"/>
        </w:tabs>
        <w:ind w:left="850" w:hanging="850"/>
        <w:outlineLvl w:val="1"/>
        <w:rPr>
          <w:noProof/>
        </w:rPr>
      </w:pPr>
      <w:r>
        <w:rPr>
          <w:noProof/>
        </w:rPr>
        <w:tab/>
        <w:t>2.2.</w:t>
      </w:r>
      <w:r>
        <w:rPr>
          <w:noProof/>
        </w:rPr>
        <w:tab/>
        <w:t xml:space="preserve">Sistema ta’ ġestjoni u kontroll </w:t>
      </w:r>
    </w:p>
    <w:p>
      <w:pPr>
        <w:keepNext/>
        <w:tabs>
          <w:tab w:val="left" w:pos="850"/>
        </w:tabs>
        <w:ind w:left="850" w:hanging="850"/>
        <w:outlineLvl w:val="1"/>
        <w:rPr>
          <w:noProof/>
        </w:rPr>
      </w:pPr>
      <w:r>
        <w:rPr>
          <w:noProof/>
        </w:rPr>
        <w:tab/>
        <w:t>2.3.</w:t>
      </w:r>
      <w:r>
        <w:rPr>
          <w:noProof/>
        </w:rPr>
        <w:tab/>
        <w:t xml:space="preserve">Miżuri għall-prevenzjoni ta’ frodi u ta’ irregolaritajiet </w:t>
      </w:r>
    </w:p>
    <w:p>
      <w:pPr>
        <w:keepNext/>
        <w:tabs>
          <w:tab w:val="left" w:pos="850"/>
        </w:tabs>
        <w:spacing w:before="360"/>
        <w:ind w:left="850" w:hanging="850"/>
        <w:outlineLvl w:val="0"/>
        <w:rPr>
          <w:b/>
          <w:smallCaps/>
          <w:noProof/>
        </w:rPr>
      </w:pPr>
      <w:r>
        <w:rPr>
          <w:b/>
          <w:smallCaps/>
          <w:noProof/>
        </w:rPr>
        <w:t>3.</w:t>
      </w:r>
      <w:r>
        <w:rPr>
          <w:b/>
          <w:smallCaps/>
          <w:noProof/>
        </w:rPr>
        <w:tab/>
        <w:t xml:space="preserve">IMPATT FINANZJARJU STMAT TAL-PROPOSTA/TAL-INIZJATTIVA </w:t>
      </w:r>
    </w:p>
    <w:p>
      <w:pPr>
        <w:keepNext/>
        <w:tabs>
          <w:tab w:val="left" w:pos="850"/>
        </w:tabs>
        <w:ind w:left="850" w:hanging="850"/>
        <w:outlineLvl w:val="1"/>
        <w:rPr>
          <w:noProof/>
        </w:rPr>
      </w:pPr>
      <w:r>
        <w:rPr>
          <w:noProof/>
        </w:rPr>
        <w:tab/>
        <w:t>3.1.</w:t>
      </w:r>
      <w:r>
        <w:rPr>
          <w:noProof/>
        </w:rPr>
        <w:tab/>
        <w:t xml:space="preserve">Intestatura/i tal-qafas finanzjarju pluriennali u l-linja/i baġitarja/i tan-nefqa affettwata/i </w:t>
      </w:r>
    </w:p>
    <w:p>
      <w:pPr>
        <w:keepNext/>
        <w:tabs>
          <w:tab w:val="left" w:pos="850"/>
        </w:tabs>
        <w:ind w:left="850" w:hanging="850"/>
        <w:outlineLvl w:val="1"/>
        <w:rPr>
          <w:b/>
          <w:noProof/>
        </w:rPr>
      </w:pPr>
      <w:r>
        <w:rPr>
          <w:noProof/>
        </w:rPr>
        <w:tab/>
        <w:t>3.2.</w:t>
      </w:r>
      <w:r>
        <w:rPr>
          <w:noProof/>
        </w:rPr>
        <w:tab/>
        <w:t>Impatt stmat fuq in-nefqa</w:t>
      </w:r>
      <w:r>
        <w:rPr>
          <w:b/>
          <w:noProof/>
        </w:rPr>
        <w:t xml:space="preserve"> </w:t>
      </w:r>
    </w:p>
    <w:p>
      <w:pPr>
        <w:keepNext/>
        <w:tabs>
          <w:tab w:val="left" w:pos="850"/>
        </w:tabs>
        <w:ind w:left="850" w:hanging="850"/>
        <w:outlineLvl w:val="2"/>
        <w:rPr>
          <w:i/>
          <w:noProof/>
        </w:rPr>
      </w:pPr>
      <w:r>
        <w:rPr>
          <w:i/>
          <w:noProof/>
        </w:rPr>
        <w:tab/>
        <w:t>3.2.1.</w:t>
      </w:r>
      <w:r>
        <w:rPr>
          <w:i/>
          <w:noProof/>
        </w:rPr>
        <w:tab/>
        <w:t xml:space="preserve">Sommarju tal-impatt stmat fuq in-nefqa </w:t>
      </w:r>
    </w:p>
    <w:p>
      <w:pPr>
        <w:keepNext/>
        <w:tabs>
          <w:tab w:val="left" w:pos="850"/>
        </w:tabs>
        <w:ind w:left="850" w:hanging="850"/>
        <w:outlineLvl w:val="2"/>
        <w:rPr>
          <w:i/>
          <w:noProof/>
        </w:rPr>
      </w:pPr>
      <w:r>
        <w:rPr>
          <w:i/>
          <w:noProof/>
        </w:rPr>
        <w:tab/>
        <w:t>3.2.2.</w:t>
      </w:r>
      <w:r>
        <w:rPr>
          <w:i/>
          <w:noProof/>
        </w:rPr>
        <w:tab/>
        <w:t xml:space="preserve">Impatt stmat fuq l-approprjazzjonijiet operazzjonali </w:t>
      </w:r>
    </w:p>
    <w:p>
      <w:pPr>
        <w:keepNext/>
        <w:tabs>
          <w:tab w:val="left" w:pos="850"/>
        </w:tabs>
        <w:ind w:left="850" w:hanging="850"/>
        <w:outlineLvl w:val="2"/>
        <w:rPr>
          <w:i/>
          <w:noProof/>
        </w:rPr>
      </w:pPr>
      <w:r>
        <w:rPr>
          <w:i/>
          <w:noProof/>
        </w:rPr>
        <w:tab/>
        <w:t>3.2.3.</w:t>
      </w:r>
      <w:r>
        <w:rPr>
          <w:i/>
          <w:noProof/>
        </w:rPr>
        <w:tab/>
        <w:t>Impatt stmat fuq l-approprjazzjonijiet ta’ natura amministrattiva</w:t>
      </w:r>
    </w:p>
    <w:p>
      <w:pPr>
        <w:keepNext/>
        <w:tabs>
          <w:tab w:val="left" w:pos="850"/>
        </w:tabs>
        <w:ind w:left="850" w:hanging="850"/>
        <w:outlineLvl w:val="2"/>
        <w:rPr>
          <w:i/>
          <w:noProof/>
        </w:rPr>
      </w:pPr>
      <w:r>
        <w:rPr>
          <w:i/>
          <w:noProof/>
        </w:rPr>
        <w:tab/>
        <w:t>3.2.4.</w:t>
      </w:r>
      <w:r>
        <w:rPr>
          <w:i/>
          <w:noProof/>
        </w:rPr>
        <w:tab/>
        <w:t>Konformità mal-qafas finanzjarju pluriennali attwali</w:t>
      </w:r>
    </w:p>
    <w:p>
      <w:pPr>
        <w:keepNext/>
        <w:tabs>
          <w:tab w:val="left" w:pos="850"/>
        </w:tabs>
        <w:ind w:left="850" w:hanging="850"/>
        <w:outlineLvl w:val="2"/>
        <w:rPr>
          <w:i/>
          <w:noProof/>
        </w:rPr>
      </w:pPr>
      <w:r>
        <w:rPr>
          <w:i/>
          <w:noProof/>
        </w:rPr>
        <w:tab/>
        <w:t>3.2.5.</w:t>
      </w:r>
      <w:r>
        <w:rPr>
          <w:i/>
          <w:noProof/>
        </w:rPr>
        <w:tab/>
        <w:t xml:space="preserve">Kontribuzzjonijiet minn terzi </w:t>
      </w:r>
    </w:p>
    <w:p>
      <w:pPr>
        <w:rPr>
          <w:noProof/>
        </w:rPr>
      </w:pPr>
      <w:r>
        <w:rPr>
          <w:noProof/>
        </w:rPr>
        <w:tab/>
        <w:t>3.3.</w:t>
      </w:r>
      <w:r>
        <w:rPr>
          <w:noProof/>
        </w:rPr>
        <w:tab/>
        <w:t>Impatt stmat fuq id-dħul</w:t>
      </w:r>
    </w:p>
    <w:p>
      <w:pPr>
        <w:spacing w:before="0" w:after="200" w:line="276" w:lineRule="auto"/>
        <w:jc w:val="left"/>
        <w:rPr>
          <w:noProof/>
        </w:rPr>
      </w:pPr>
      <w:r>
        <w:rPr>
          <w:noProof/>
        </w:rPr>
        <w:br w:type="page"/>
      </w:r>
    </w:p>
    <w:p>
      <w:pPr>
        <w:jc w:val="center"/>
        <w:rPr>
          <w:b/>
          <w:noProof/>
          <w:u w:val="single"/>
        </w:rPr>
      </w:pPr>
      <w:r>
        <w:rPr>
          <w:b/>
          <w:noProof/>
          <w:u w:val="single"/>
        </w:rPr>
        <w:lastRenderedPageBreak/>
        <w:t>DIKJARAZZJONI FINANZJARJA LEĠIŻLATTIVA</w:t>
      </w:r>
    </w:p>
    <w:p>
      <w:pPr>
        <w:keepNext/>
        <w:spacing w:before="360"/>
        <w:outlineLvl w:val="0"/>
        <w:rPr>
          <w:rFonts w:eastAsiaTheme="majorEastAsia"/>
          <w:b/>
          <w:bCs/>
          <w:smallCaps/>
          <w:noProof/>
          <w:szCs w:val="28"/>
        </w:rPr>
      </w:pPr>
      <w:r>
        <w:rPr>
          <w:b/>
          <w:bCs/>
          <w:smallCaps/>
          <w:noProof/>
          <w:szCs w:val="28"/>
        </w:rPr>
        <w:t xml:space="preserve">QAFAS TAL-PROPOSTA/TAL-INIZJATTIVA </w:t>
      </w:r>
    </w:p>
    <w:p>
      <w:pPr>
        <w:keepNext/>
        <w:outlineLvl w:val="1"/>
        <w:rPr>
          <w:rFonts w:eastAsiaTheme="majorEastAsia"/>
          <w:b/>
          <w:bCs/>
          <w:noProof/>
          <w:szCs w:val="26"/>
        </w:rPr>
      </w:pPr>
      <w:r>
        <w:rPr>
          <w:b/>
          <w:bCs/>
          <w:noProof/>
          <w:szCs w:val="26"/>
        </w:rPr>
        <w:t xml:space="preserve">Titolu tal-proposta/tal-inizjattiva </w:t>
      </w:r>
    </w:p>
    <w:p>
      <w:pPr>
        <w:ind w:left="850"/>
        <w:rPr>
          <w:noProof/>
          <w:color w:val="0000FF"/>
        </w:rPr>
      </w:pPr>
      <w:r>
        <w:rPr>
          <w:noProof/>
          <w:color w:val="0000FF"/>
        </w:rPr>
        <w:t>Proposti emendati għal REGOLAMENT TAL-PARLAMENT EWROPEW U TAL-KUNSILL li jistabbilixxi Orizzont Ewropa – il-Programm Qafas għar-Riċerka u l-Innovazzjoni u li jistabbilixxi r-regoli għall-parteċipazzjoni fih u t-tixrid tiegħu (COM(2018) 435); DEĊIŻJONI TAL-PARLAMENT EWROPEW U TAL-KUNSILL dwar l-istabbiliment tal-programm speċifiku li jimplimenta Orizzont Ewropa – il-Programm Qafas għar-Riċerka u l-Innovazzjoni (COM(2018)436); REGOLAMENT TAL-PARLAMENT EWROPEW U TAL-KUNSILL li jistabbilixxi r-regoli dwar l-appoġġ għall-pjanijiet strateġiċi li jridu jitfasslu mill-Istati Membri skont il-Politika Agrikola Komuni (il-Pjanijiet Strateġiċi tal-PAK) (COM (2018) 392 ); REGOLAMENT TAL-PARLAMENT EWROPEW U TAL-KUNSILL li jistabbilixxi l-Istrument ta’ Viċinat, ta’ Kooperazzjoni għall-Iżvilupp u ta’ Kooperazzjoni Internazzjonali</w:t>
      </w:r>
    </w:p>
    <w:p>
      <w:pPr>
        <w:keepNext/>
        <w:outlineLvl w:val="1"/>
        <w:rPr>
          <w:rFonts w:eastAsiaTheme="majorEastAsia"/>
          <w:b/>
          <w:bCs/>
          <w:noProof/>
          <w:szCs w:val="26"/>
        </w:rPr>
      </w:pPr>
      <w:r>
        <w:rPr>
          <w:b/>
          <w:bCs/>
          <w:noProof/>
          <w:szCs w:val="26"/>
        </w:rPr>
        <w:t>Qasam/oqsma ta’ politika kkonċernat(i) (Cluster ta’ programmi)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</w:rPr>
      </w:pPr>
      <w:r>
        <w:rPr>
          <w:noProof/>
          <w:color w:val="0000FF"/>
        </w:rPr>
        <w:t>01 Riċerka u Innovazzjoni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  <w:color w:val="0000FF"/>
        </w:rPr>
      </w:pPr>
      <w:r>
        <w:rPr>
          <w:noProof/>
          <w:color w:val="0000FF"/>
        </w:rPr>
        <w:t>15 Azzjoni Esterna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  <w:color w:val="0000FF"/>
        </w:rPr>
      </w:pPr>
      <w:r>
        <w:rPr>
          <w:noProof/>
          <w:color w:val="0000FF"/>
        </w:rPr>
        <w:t xml:space="preserve">08 Agrikoltura u Politika Marittima </w:t>
      </w:r>
    </w:p>
    <w:p>
      <w:pPr>
        <w:keepNext/>
        <w:outlineLvl w:val="1"/>
        <w:rPr>
          <w:rFonts w:eastAsiaTheme="majorEastAsia"/>
          <w:b/>
          <w:noProof/>
          <w:szCs w:val="24"/>
        </w:rPr>
      </w:pPr>
      <w:r>
        <w:rPr>
          <w:b/>
          <w:bCs/>
          <w:noProof/>
          <w:szCs w:val="26"/>
        </w:rPr>
        <w:t xml:space="preserve">Il-proposta/l-inizjattiva hija dwar: </w:t>
      </w:r>
    </w:p>
    <w:p>
      <w:pPr>
        <w:ind w:left="850"/>
        <w:rPr>
          <w:b/>
          <w:noProof/>
          <w:sz w:val="22"/>
        </w:rPr>
      </w:pPr>
      <w:r>
        <w:rPr>
          <w:noProof/>
          <w:sz w:val="22"/>
        </w:rPr>
        <w:sym w:font="Wingdings" w:char="F0A8"/>
      </w:r>
      <w:r>
        <w:rPr>
          <w:b/>
          <w:i/>
          <w:noProof/>
          <w:sz w:val="22"/>
        </w:rPr>
        <w:t xml:space="preserve"> </w:t>
      </w:r>
      <w:r>
        <w:rPr>
          <w:b/>
          <w:noProof/>
        </w:rPr>
        <w:t>azzjoni ġdida</w:t>
      </w:r>
      <w:r>
        <w:rPr>
          <w:b/>
          <w:noProof/>
          <w:sz w:val="22"/>
        </w:rPr>
        <w:t xml:space="preserve"> </w:t>
      </w:r>
    </w:p>
    <w:p>
      <w:pPr>
        <w:ind w:left="850"/>
        <w:rPr>
          <w:noProof/>
          <w:sz w:val="22"/>
        </w:rPr>
      </w:pPr>
      <w:r>
        <w:rPr>
          <w:noProof/>
          <w:sz w:val="22"/>
        </w:rPr>
        <w:sym w:font="Wingdings" w:char="F0A8"/>
      </w:r>
      <w:r>
        <w:rPr>
          <w:i/>
          <w:noProof/>
          <w:sz w:val="22"/>
        </w:rPr>
        <w:t xml:space="preserve"> </w:t>
      </w:r>
      <w:r>
        <w:rPr>
          <w:b/>
          <w:noProof/>
        </w:rPr>
        <w:t>azzjoni ġdida li ssegwi proġett pilota/azzjoni preparatorja</w:t>
      </w:r>
      <w:r>
        <w:rPr>
          <w:rStyle w:val="FootnoteReference"/>
          <w:noProof/>
        </w:rPr>
        <w:footnoteReference w:id="3"/>
      </w:r>
      <w:r>
        <w:rPr>
          <w:noProof/>
          <w:sz w:val="22"/>
        </w:rPr>
        <w:t xml:space="preserve"> </w:t>
      </w:r>
    </w:p>
    <w:p>
      <w:pPr>
        <w:ind w:left="850"/>
        <w:rPr>
          <w:noProof/>
          <w:sz w:val="22"/>
        </w:rPr>
      </w:pPr>
      <w:r>
        <w:rPr>
          <w:noProof/>
          <w:sz w:val="22"/>
        </w:rPr>
        <w:sym w:font="Wingdings" w:char="F0A8"/>
      </w:r>
      <w:r>
        <w:rPr>
          <w:i/>
          <w:noProof/>
          <w:sz w:val="22"/>
        </w:rPr>
        <w:t xml:space="preserve"> </w:t>
      </w:r>
      <w:r>
        <w:rPr>
          <w:b/>
          <w:noProof/>
        </w:rPr>
        <w:t>l-estensjoni ta’ azzjoni eżistenti</w:t>
      </w:r>
      <w:r>
        <w:rPr>
          <w:noProof/>
          <w:sz w:val="22"/>
        </w:rPr>
        <w:t xml:space="preserve"> </w:t>
      </w:r>
    </w:p>
    <w:p>
      <w:pPr>
        <w:ind w:left="850"/>
        <w:rPr>
          <w:noProof/>
        </w:rPr>
      </w:pPr>
      <w:r>
        <w:rPr>
          <w:noProof/>
          <w:sz w:val="22"/>
        </w:rPr>
        <w:t>X</w:t>
      </w:r>
      <w:r>
        <w:rPr>
          <w:i/>
          <w:noProof/>
          <w:sz w:val="22"/>
        </w:rPr>
        <w:t xml:space="preserve"> </w:t>
      </w:r>
      <w:r>
        <w:rPr>
          <w:b/>
          <w:noProof/>
        </w:rPr>
        <w:t>fużjoni jew ridirezzjonar ta’ azzjoni waħda jew aktar lejn azzjoni oħra jew azzjoni ġdida</w:t>
      </w:r>
      <w:r>
        <w:rPr>
          <w:noProof/>
        </w:rPr>
        <w:t xml:space="preserve"> </w:t>
      </w:r>
    </w:p>
    <w:p>
      <w:pPr>
        <w:keepNext/>
        <w:outlineLvl w:val="1"/>
        <w:rPr>
          <w:rFonts w:eastAsiaTheme="majorEastAsia"/>
          <w:b/>
          <w:noProof/>
          <w:szCs w:val="24"/>
        </w:rPr>
      </w:pPr>
      <w:r>
        <w:rPr>
          <w:b/>
          <w:bCs/>
          <w:noProof/>
          <w:szCs w:val="26"/>
        </w:rPr>
        <w:t xml:space="preserve">Raġunijiet għall-proposta/għall-inizjattiva </w:t>
      </w:r>
    </w:p>
    <w:p>
      <w:pPr>
        <w:keepNext/>
        <w:outlineLvl w:val="2"/>
        <w:rPr>
          <w:rFonts w:eastAsiaTheme="majorEastAsia"/>
          <w:bCs/>
          <w:i/>
          <w:noProof/>
        </w:rPr>
      </w:pPr>
      <w:r>
        <w:rPr>
          <w:bCs/>
          <w:i/>
          <w:noProof/>
        </w:rPr>
        <w:t>Rekwiżit(i) li jrid(u) jiġi/u ssodisfat(i) fuq terminu qasir jew twil, inkluża kronoloġija dettaljata għat-tnedija tal-implimentazzjoni tal-inizjattiva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  <w:color w:val="0000FF"/>
        </w:rPr>
      </w:pPr>
      <w:r>
        <w:rPr>
          <w:noProof/>
          <w:color w:val="0000FF"/>
        </w:rPr>
        <w:t xml:space="preserve">Dawn l-emendi mmirati ta’ Orizzont Ewropa – il-Qafas, il-Programm Speċifiku għar-Riċerka u l-Innovazzjoni u l-Istrument ta’ Viċinat, ta’ Kooperazzjoni għall-Iżvilupp u ta’ Kooperazzjoni Internazzjonali (NDICI, Neighbourhood, Development and International Cooperation Instrument) u tal-interventi tal-FAEŻR skont il-Pjanijiet Strateġiċi tal-PAK huma proposti fil-qafas tal-proposta riveduta tal-QFP, flimkien mal-Istrument ta’ Rkupru tal-Unjoni Ewropea (EURI, European Union Recovery Instrument). Dan l-istrument il-ġdid se jipprovdi fondi għal dawn il-programmi għal perjodu ta’ żmien limitat aktar mil-limiti massimi stabbiliti għall-approprjazzjonijiet ta’ impenn u ta’ pagament mill-QFP, bħala dħul assenjat estern skont it-tifsira tal-Artikolu 21 tar-Regolament Finanzjarju.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  <w:color w:val="0000FF"/>
        </w:rPr>
      </w:pPr>
      <w:r>
        <w:rPr>
          <w:noProof/>
          <w:color w:val="0000FF"/>
        </w:rPr>
        <w:lastRenderedPageBreak/>
        <w:t>Bħala regola ġenerali, l-appoġġ finanzjarju u l-azzjonijiet rilevanti mwettqa mill-Kummissjoni jenħtieġ li jseħħu sa tmiem l-2024, u fir-rigward tal-appoġġ finanzjarju mhux ripagabbli, mill-inqas 60 % tat-total għandu jittieħed sa tmiem l-2022. Għaldaqstant is-snin li jifdal wara l-2024, sa tmiem il-QFP, jenħtieġ li jintużaw mill-Kummissjoni biex titrawwem l-implimentazzjoni tal-azzjonijiet rilevanti fuq il-post u biex jinkiseb l-irkupru mistenni fis-setturi ekonomiċi u soċjali rilevanti, filwaqt li jiġu promossi r-reżiljenza u l-konverġenza.</w:t>
      </w:r>
    </w:p>
    <w:p>
      <w:pPr>
        <w:ind w:left="850"/>
        <w:rPr>
          <w:noProof/>
          <w:color w:val="0000FF"/>
        </w:rPr>
      </w:pPr>
    </w:p>
    <w:p>
      <w:pPr>
        <w:keepNext/>
        <w:outlineLvl w:val="2"/>
        <w:rPr>
          <w:rFonts w:eastAsiaTheme="majorEastAsia"/>
          <w:bCs/>
          <w:i/>
          <w:noProof/>
        </w:rPr>
      </w:pPr>
      <w:r>
        <w:rPr>
          <w:bCs/>
          <w:i/>
          <w:noProof/>
        </w:rPr>
        <w:t>Il-valur miżjud tal-involviment tal-Unjoni (dan jista’ jirriżulta minn fatturi differenti, eż. il-gwadanji mill-koordinazzjoni, iċ-ċertezza tad-dritt, effettività akbar jew il-komplementarjetajiet). Għall-finijiet ta’ dan il-punt, “il-valur miżjud tal-involviment tal-Unjoni” huwa l-valur li jirriżulta mill-intervent tal-Unjoni li jkun addizzjonali għall-valur illi kieku kien jinħoloq mill-Istati Membri weħidhom.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</w:rPr>
      </w:pPr>
      <w:r>
        <w:rPr>
          <w:noProof/>
        </w:rPr>
        <w:t>(1)</w:t>
      </w:r>
      <w:r>
        <w:rPr>
          <w:noProof/>
        </w:rPr>
        <w:tab/>
        <w:t xml:space="preserve">Sabiex jitrażżan it-tixrid tal-marda tal-Coronavirus (“COVID-19”), li fil-11 ta’ Marzu 2020 ġiet iddikjarata pandemija mill-Organizzazzjoni Dinjija tas-Saħħa, l-Istati Membri u l-pajjiżi terzi adottaw ġabra ta’ miżuri bla preċedent. Dawn il-miżuri kkawżaw tfixkil sinifikanti għall-attivitajiet ekonomiċi. B’mod partikolari, dawn il-miżuri fixklu l-katini tal-provvista u l-produzzjoni u kkawżaw assenzi mix-xogħol. B’mod aktar ġenerali, dawn il-miżuri diġà wasslu għal deterjorament sever tas-sitwazzjoni finanzjarja ta’ ħafna negozji fl-Unjoni u f’pajjiżi terzi.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</w:rPr>
      </w:pPr>
      <w:r>
        <w:rPr>
          <w:noProof/>
        </w:rPr>
        <w:t>(2)</w:t>
      </w:r>
      <w:r>
        <w:rPr>
          <w:noProof/>
        </w:rPr>
        <w:tab/>
        <w:t>Il-kriżi nfirxet malajr fit-territorju tal-Unjoni u f’pajjiżi terzi. Tnaqqis qawwi fit-tkabbir fl-Unjoni issa huwa previst għall-2020 u jista’ jdum għaddej sal-2021. Peress li r-riskji tal-irkupru mhumiex l-istess fi Stati Membri differenti, id-diverġenza bejn l-ekonomiji nazzjonali tiżdied. Il-kapaċità fiskali differenti tal-Istati Membri, li jipprovdu appoġġ finanzjarju fejn huwa meħtieġ l-aktar għall-irkupru u d-diverġenza ta’ miżuri nazzjonali, tipperikola s-suq uniku.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</w:rPr>
      </w:pPr>
      <w:r>
        <w:rPr>
          <w:noProof/>
        </w:rPr>
        <w:t>(3)</w:t>
      </w:r>
      <w:r>
        <w:rPr>
          <w:noProof/>
        </w:rPr>
        <w:tab/>
        <w:t>Ġabra komprensiva ta’ miżuri għall-irkupru ekonomiku hija meħtieġa u se tkun teħtieġ ammonti sostanzjali ta’ investiment pubbliku u privat fil-livell Ewropew sabiex tingħata enerġija lill-ekonomija, jinħolqu impjiegi ta’ kwalità għolja u jkun hemm investiment biex tissewwa l-ħsara immedjata li ġabet il-pandemija tal-COVID-19.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</w:rPr>
      </w:pPr>
      <w:r>
        <w:rPr>
          <w:noProof/>
        </w:rPr>
        <w:t>(4)</w:t>
      </w:r>
      <w:r>
        <w:rPr>
          <w:noProof/>
        </w:rPr>
        <w:tab/>
        <w:t xml:space="preserve">Din is-sitwazzjoni eċċezzjonali titlob approċċ koerenti u unifikat fil-livell tal-Unjoni biex jiġi evitat aktar deterjorament tal-ekonomija u biex tingħata spinta lill-irkupru bbilanċjat tal-attività ekonomika, biex jiġu żgurati kontinwità u żieda fl-investimenti għat-tranżizzjoni ekoloġika u diġitali. Għaldaqstant, f’dan il-kuntest, huwa meħtieġ li jiġi stabbilit Strument ta’ Rkupru tal-UE biex jindirizza l-konsegwenzi tal-pandemija tal-COVID-19 jew il-ħtieġa ta’ finanzjament immedjat biex jiġi evitat li titfaċċa.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</w:rPr>
      </w:pPr>
      <w:r>
        <w:rPr>
          <w:noProof/>
        </w:rPr>
        <w:t>(5) Skont din il-loġika, l-istrument jenħtieġ li jsaħħaħ l-appoġġ, permezz ta’ Orizzont Ewropa, għal attivitajiet ta’ riċerka u innovazzjoni relatati mas-saħħa u mal-klima. Dan se jikkontribwixxi biex tissaħħaħ it-tħejjija biex jiġu indirizzati b’mod effettiv u rapidu l-emerġenzi u l-investiment f’soluzzjonijiet immexxija mix-xjenza kif ukoll biex tiġi żgurata konsistenza mal-għanijiet tal-Patt Ekoloġiku Ewropew.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</w:rPr>
      </w:pPr>
      <w:r>
        <w:rPr>
          <w:noProof/>
        </w:rPr>
        <w:t xml:space="preserve">(6) Ir-relazzjonijiet kummerċjali u ekonomiċi mal-pajjiżi ġirien u dawk li qed jiżviluppaw, inklużi l-Balkani tal-Punent, il-pajjiżi tal-Viċinat Ewropew u l-pajjiżi Afrikani, huma ta’ rilevanza kbira għall-ekonomija fl-Unjoni. Għal din ir-raġuni, u f’konformità mar-rwol u r-responsabbiltà globali tal-Unjoni kif ukoll il-valuri tagħha, </w:t>
      </w:r>
      <w:r>
        <w:rPr>
          <w:noProof/>
        </w:rPr>
        <w:lastRenderedPageBreak/>
        <w:t>ir-riżorsi finanzjarji mill-Istrument ta’ Rkupru permezz tal-NDICI jenħtieġ li jintużaw ukoll biex jipprovdu appoġġ għall-isforzi ta’ dawn il-pajjiżi biex jiġġieldu l-impatt tal-pandemija tal-COVID-19 u biex jirkupraw minnha.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</w:rPr>
      </w:pPr>
      <w:r>
        <w:rPr>
          <w:noProof/>
        </w:rPr>
        <w:t>(7) L-istrument jenħtieġ li jsaħħaħ ukoll l-appoġġ, permezz tal-Fond Agrikolu Ewropew għall-Iżvilupp Rurali (FAEŻR), billi jagħmel disponibbli għall-Istati Membri riżorsi addizzjonali eċċezzjonali biex tingħata assistenza lis-setturi tal-biedja u tal-ikel li ntlaqtu sew, biex jinstabu soluzzjonijiet għall-kriżijiet fil-kuntest tat-tifqigħa tal-COVID-19, u biex jitħejja l-irkupru tal-ekonomija.</w:t>
      </w:r>
    </w:p>
    <w:p>
      <w:pPr>
        <w:ind w:left="720"/>
        <w:rPr>
          <w:noProof/>
        </w:rPr>
      </w:pPr>
    </w:p>
    <w:p>
      <w:pPr>
        <w:keepNext/>
        <w:outlineLvl w:val="2"/>
        <w:rPr>
          <w:rFonts w:eastAsiaTheme="majorEastAsia"/>
          <w:bCs/>
          <w:i/>
          <w:noProof/>
        </w:rPr>
      </w:pPr>
      <w:r>
        <w:rPr>
          <w:bCs/>
          <w:i/>
          <w:noProof/>
        </w:rPr>
        <w:t>Tagħlimiet miksuba minn esperjenzi simili fl-imgħoddi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  <w:color w:val="0000FF"/>
          <w:highlight w:val="yellow"/>
        </w:rPr>
      </w:pPr>
      <w:r>
        <w:rPr>
          <w:noProof/>
          <w:color w:val="0000FF"/>
        </w:rPr>
        <w:t>Għar-relazzjonijiet esterni, ir-rapport ta’ rieżami ta’ nofs it-terminu tal-Istrument ta’ Finanzjament Estern</w:t>
      </w:r>
      <w:r>
        <w:rPr>
          <w:rStyle w:val="FootnoteReference"/>
          <w:noProof/>
        </w:rPr>
        <w:footnoteReference w:id="4"/>
      </w:r>
      <w:r>
        <w:rPr>
          <w:noProof/>
          <w:color w:val="0000FF"/>
        </w:rPr>
        <w:t xml:space="preserve"> jikkonkludi li fil-kuntest attwali ta’ diversi kriżijiet u kunflitti, jeħtieġ li l-qafas finanzjarju pluriennali tal-UE jkun kapaċi jaġġusta malajr għall-prijoritajiet li qed jinbidlu u għal sitwazzjonijiet mhux previsti biex jinkisbu r-riżultati fil-prattika. Bl-istess mod, l-istrumenti jeħtieġu biżżejjed flessibbiltà finanzjarja kif ukoll tipi oħra ta’ flessibbiltà għall-azzjoni esterna biex jirrispondu għall-ħafna sfidi li qed tiffaċċja l-UE fuq livell dinji. Jenħtieġ li l-flessibbiltà tinbena f’livelli differenti. Dan ifisser li tibda tinbena mill-baġit, li għandu jinkludi aktar riżervi sostanzjali, għall-programmazzjoni pluriennali, u aktar simplifikazzjoni fil-livell tal-implimentazzjoni sabiex jiżdiedu l-effiċjenza u l-effettività. Din il-proposta tirreaġixxi għal din il-konklużjoni billi żżid id-disponibbiltà ta’ riżorsi addizzjonali, biex tiġi indirizzata l-kriżi mhux prevista kkawżata mill-pandemija tal-COVID-19.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  <w:color w:val="0000FF"/>
        </w:rPr>
      </w:pPr>
      <w:r>
        <w:rPr>
          <w:noProof/>
          <w:color w:val="0000FF"/>
        </w:rPr>
        <w:t>Ir-Riċerka u l-inovazzjoni, u b’mod partikolari l-programm Ewropew ewlieni Orizzont Ewropa, jagħtu riżultati li jirriwardaw il-prijoritajiet taċ-ċittadini, jagħtu spinta lill-produttività u l-kompetittività tal-Unjoni, u huma kruċjali għaż-żamma tal-mudell u l-valuri soċjoekonomiċi tagħna, u b’hekk jippermettu soluzzjonijiet li jindirizzaw l-isfidi f’mod iktar sistemiku. Fiċ-ċirkostanzi straordinarji attwali, l-Ewropa teħtieġ soluzzjonijiet malajr immexxija mir-R&amp;I u fehim xjentifiku aktar profond tal-mard li jittieħed. It-tisħiħ jippermetti investimenti b’saħħithom tar-R&amp;I f’miżuri protettivi affordabbli u innovattivi, fil-viroloġija, fit-tilqim, fit-trattamenti u fid-dijanjostika, u biex is-sejbiet tar-riċerka jissarrfu f’miżuri ta’ politika tas-saħħa pubblika. Huwa essenzjali li jiġu ddedikati aktar riżorsi għar-R&amp;I fil-klima biex tiġi appoġġata l-kompetittività tal-industrija tal-UE fis-setturi ekonomiċi relatati u biex jiġi żgurat irkupru konformi mal-għanijiet tal-Patt Ekoloġiku Ewropew. L-investimenti fir-R&amp;I jistgħu jgħinu biex jiġu indirizzati ż-żidiet drammatiċi fl-emissjonijiet u d-degradazzjoni tan-natura li jħallu impatt kbir fuq is-saħħa (eż. il-mard żoonotiku). It-tisħiħ ikun ta’ appoġġ għall-kumpaniji li jużaw ir-R&amp;I biex gradwalment ineħħu l-fjuwils fossili u jinvestu f’teknoloġiji fixkiela f’oqsma tal-EGD. Dan jipprovdi mezzi finanzjarji u espansjoni għal innovazzjonijiet emerġenti u rivoluzzjonarji min-naħa tal-SMEs, negozji ġodda u l-kumpaniji b’kapitalizzazzjoni medja. Il-proposta tikkumplimenta miżuri speċifiċi oħra li diġà ttieħdu li jipprovdu għajnuna lis-settur agrikolu. Ittieħdu miżuri regolatorji, bħall-adattament tar-regoli dwar l-għajnuna mill-Istat, jew l-iffaċilitar tad-disponibbiltà tal-ħaddiem staġjonali.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  <w:color w:val="0000FF"/>
        </w:rPr>
      </w:pPr>
      <w:r>
        <w:rPr>
          <w:noProof/>
          <w:color w:val="0000FF"/>
        </w:rPr>
        <w:t>Il-Kummissjoni adattat ukoll ir-regoli u introduċiet bidliet fiż-żewġ fondi apposta għall-arikolura, il-FAEG u l-FAEŻR, biex jipprovdu flessibilità eċċezzjonali għall-</w:t>
      </w:r>
      <w:r>
        <w:rPr>
          <w:noProof/>
          <w:color w:val="0000FF"/>
        </w:rPr>
        <w:lastRenderedPageBreak/>
        <w:t>użu tal-Fondi Strutturali u ta’ Investiment Ewropej bħala reazzjoni għat-tifqigħa tal-COVID-19 (l-Inizjattiva ta’ Investiment fir-Rispons għall-Coronavirus) kif ukoll il-miżuri l-oħra kollha mmirati li jindirizzaw is-sitwazzjoni attwali bla preċedent. Il-miżuri huma konsistenti mal-proposta tal-Kummissjoni għal Strument ta’ Rkupru tal-Unjoni Ewropea stabbilit bir-Regolament propost (UE) XXX/XX.</w:t>
      </w:r>
    </w:p>
    <w:p>
      <w:pPr>
        <w:ind w:left="850"/>
        <w:rPr>
          <w:noProof/>
          <w:color w:val="0000FF"/>
        </w:rPr>
      </w:pPr>
    </w:p>
    <w:p>
      <w:pPr>
        <w:keepNext/>
        <w:outlineLvl w:val="2"/>
        <w:rPr>
          <w:rFonts w:eastAsiaTheme="majorEastAsia"/>
          <w:bCs/>
          <w:i/>
          <w:noProof/>
        </w:rPr>
      </w:pPr>
      <w:r>
        <w:rPr>
          <w:bCs/>
          <w:i/>
          <w:noProof/>
        </w:rPr>
        <w:t>Kompatibbiltà u sinerġija possibbli ma’ strumenti xierqa oħra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</w:rPr>
      </w:pPr>
      <w:r>
        <w:rPr>
          <w:noProof/>
          <w:color w:val="0000FF"/>
        </w:rPr>
        <w:t>Apparti s-sinerġiji li diġà huma elenkati għal Orizzont Ewropa, l-NDICI u l-interventi tal-FAEŻR skont il-Pjanijiet Strateġiċi tal-PAK fil-proposti rispettivi tal-Kummissjoni preċedenti tal-2018, din l-inizjattiva speċifika fil-kuntest tal-proposta riveduta tal-QFP tistabbilixxi sinerġiji b’saħħithom bejn dawn il-programmi u l-Istrument il-ġdid ta’ Rkupru tal-Unjoni Ewropea, stabbilit bir-Regolament propost (UE) XXX/XX. Dan tal-aħħar se jippermetti li jiġu pprovduti fondi għal dawn il-programmi settorjali għal perjodu ta’ żmien limitat aktar mil-limiti massimi tal-QFP bħala riżultat tal-komplementarjetà tal-objettivi u l-funzjonament ta’ dawn l-istrumenti u fid-dawl tar-raġuni u l-valur miżjud ippreżentati fit-taqsima 1.4.2. ta’ hawn fuq.</w:t>
      </w:r>
    </w:p>
    <w:p>
      <w:pPr>
        <w:ind w:left="720"/>
        <w:rPr>
          <w:noProof/>
        </w:rPr>
      </w:pPr>
    </w:p>
    <w:p>
      <w:pPr>
        <w:ind w:left="850"/>
        <w:rPr>
          <w:noProof/>
          <w:color w:val="0000FF"/>
        </w:rPr>
      </w:pPr>
    </w:p>
    <w:p>
      <w:pPr>
        <w:ind w:left="850"/>
        <w:rPr>
          <w:noProof/>
        </w:rPr>
      </w:pPr>
    </w:p>
    <w:p>
      <w:pPr>
        <w:keepNext/>
        <w:outlineLvl w:val="1"/>
        <w:rPr>
          <w:rFonts w:eastAsiaTheme="majorEastAsia"/>
          <w:b/>
          <w:noProof/>
          <w:szCs w:val="24"/>
        </w:rPr>
      </w:pPr>
      <w:r>
        <w:rPr>
          <w:noProof/>
        </w:rPr>
        <w:br w:type="page"/>
      </w:r>
      <w:r>
        <w:rPr>
          <w:b/>
          <w:bCs/>
          <w:noProof/>
          <w:szCs w:val="26"/>
        </w:rPr>
        <w:lastRenderedPageBreak/>
        <w:t xml:space="preserve">Durata u impatt finanzjarju </w:t>
      </w:r>
    </w:p>
    <w:p>
      <w:pPr>
        <w:ind w:left="850"/>
        <w:rPr>
          <w:noProof/>
        </w:rPr>
      </w:pPr>
      <w:r>
        <w:rPr>
          <w:noProof/>
        </w:rPr>
        <w:sym w:font="Wingdings" w:char="F0A8"/>
      </w:r>
      <w:r>
        <w:rPr>
          <w:b/>
          <w:i/>
          <w:noProof/>
        </w:rPr>
        <w:t xml:space="preserve"> </w:t>
      </w:r>
      <w:r>
        <w:rPr>
          <w:b/>
          <w:noProof/>
        </w:rPr>
        <w:t xml:space="preserve">durata limitata </w:t>
      </w:r>
    </w:p>
    <w:p>
      <w:pPr>
        <w:rPr>
          <w:rFonts w:eastAsia="Times New Roman"/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 xml:space="preserve">Fis-seħħ mill-[JJ/XX]SSSS sa [JJ/XX]SSSS </w:t>
      </w:r>
    </w:p>
    <w:p>
      <w:pPr>
        <w:rPr>
          <w:rFonts w:eastAsia="Times New Roman"/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 xml:space="preserve">Impatt finanzjarju minn SSSS sa SSSS għall-approprjazzjonijiet ta’ impenn u minn SSSS sa SSSS għall-approprjazzjonijiet ta’ pagament. </w:t>
      </w:r>
    </w:p>
    <w:p>
      <w:pPr>
        <w:ind w:left="850"/>
        <w:rPr>
          <w:noProof/>
        </w:rPr>
      </w:pPr>
      <w:r>
        <w:rPr>
          <w:noProof/>
        </w:rPr>
        <w:t>X</w:t>
      </w:r>
      <w:r>
        <w:rPr>
          <w:b/>
          <w:i/>
          <w:noProof/>
        </w:rPr>
        <w:t xml:space="preserve"> </w:t>
      </w:r>
      <w:r>
        <w:rPr>
          <w:b/>
          <w:noProof/>
        </w:rPr>
        <w:t>durata illimitata</w:t>
      </w:r>
    </w:p>
    <w:p>
      <w:pPr>
        <w:rPr>
          <w:rFonts w:eastAsia="Times New Roman"/>
          <w:noProof/>
        </w:rPr>
      </w:pPr>
      <w:r>
        <w:rPr>
          <w:noProof/>
        </w:rPr>
        <w:t>Implimentazzjoni b’perjodu ta’ bidu tat-tħaddim mill-2021 ’l quddiem,</w:t>
      </w:r>
    </w:p>
    <w:p>
      <w:pPr>
        <w:rPr>
          <w:rFonts w:eastAsia="Times New Roman"/>
          <w:noProof/>
        </w:rPr>
      </w:pPr>
      <w:r>
        <w:rPr>
          <w:noProof/>
        </w:rPr>
        <w:t>segwit minn tħaddim fuq skala sħiħa.</w:t>
      </w:r>
    </w:p>
    <w:p>
      <w:pPr>
        <w:keepNext/>
        <w:outlineLvl w:val="1"/>
        <w:rPr>
          <w:rFonts w:eastAsiaTheme="majorEastAsia"/>
          <w:b/>
          <w:bCs/>
          <w:noProof/>
          <w:szCs w:val="26"/>
        </w:rPr>
      </w:pPr>
      <w:r>
        <w:rPr>
          <w:b/>
          <w:bCs/>
          <w:noProof/>
          <w:szCs w:val="26"/>
        </w:rPr>
        <w:t>Mod(i) ta’ ġestjoni ppjanat(i)</w:t>
      </w:r>
      <w:r>
        <w:rPr>
          <w:rStyle w:val="FootnoteReference"/>
          <w:noProof/>
        </w:rPr>
        <w:footnoteReference w:id="5"/>
      </w:r>
      <w:r>
        <w:rPr>
          <w:b/>
          <w:bCs/>
          <w:noProof/>
          <w:szCs w:val="26"/>
          <w:vertAlign w:val="superscript"/>
        </w:rPr>
        <w:t xml:space="preserve"> </w:t>
      </w:r>
    </w:p>
    <w:p>
      <w:pPr>
        <w:ind w:left="850"/>
        <w:rPr>
          <w:noProof/>
        </w:rPr>
      </w:pPr>
      <w:r>
        <w:rPr>
          <w:noProof/>
        </w:rPr>
        <w:t>X</w:t>
      </w:r>
      <w:r>
        <w:rPr>
          <w:i/>
          <w:noProof/>
        </w:rPr>
        <w:t xml:space="preserve"> </w:t>
      </w:r>
      <w:r>
        <w:rPr>
          <w:b/>
          <w:noProof/>
        </w:rPr>
        <w:t>Ġestjoni diretta</w:t>
      </w:r>
      <w:r>
        <w:rPr>
          <w:noProof/>
        </w:rPr>
        <w:t xml:space="preserve"> mill-Kummissjoni</w:t>
      </w:r>
    </w:p>
    <w:p>
      <w:pPr>
        <w:rPr>
          <w:rFonts w:eastAsia="Times New Roman" w:cs="EUAlbertina"/>
          <w:noProof/>
        </w:rPr>
      </w:pPr>
      <w:r>
        <w:rPr>
          <w:noProof/>
        </w:rPr>
        <w:t xml:space="preserve">X mid-dipartimenti tagħha, inkluż mill-persunal tagħha fid-delegazzjonijiet tal-Unjoni; </w:t>
      </w:r>
    </w:p>
    <w:p>
      <w:pPr>
        <w:rPr>
          <w:rFonts w:eastAsia="Times New Roman"/>
          <w:noProof/>
        </w:rPr>
      </w:pPr>
      <w:r>
        <w:rPr>
          <w:noProof/>
        </w:rPr>
        <w:t>X</w:t>
      </w:r>
      <w:r>
        <w:rPr>
          <w:noProof/>
        </w:rPr>
        <w:tab/>
        <w:t xml:space="preserve">mill-aġenziji eżekuttivi </w:t>
      </w:r>
    </w:p>
    <w:p>
      <w:pPr>
        <w:ind w:left="850"/>
        <w:rPr>
          <w:noProof/>
        </w:rPr>
      </w:pPr>
      <w:r>
        <w:rPr>
          <w:noProof/>
        </w:rPr>
        <w:sym w:font="Wingdings" w:char="F0A8"/>
      </w:r>
      <w:r>
        <w:rPr>
          <w:b/>
          <w:i/>
          <w:noProof/>
        </w:rPr>
        <w:t xml:space="preserve"> </w:t>
      </w:r>
      <w:r>
        <w:rPr>
          <w:b/>
          <w:noProof/>
        </w:rPr>
        <w:t>Ġestjoni kondiviża</w:t>
      </w:r>
      <w:r>
        <w:rPr>
          <w:noProof/>
        </w:rPr>
        <w:t xml:space="preserve"> mal-Istati Membri </w:t>
      </w:r>
    </w:p>
    <w:p>
      <w:pPr>
        <w:ind w:left="850"/>
        <w:rPr>
          <w:noProof/>
        </w:rPr>
      </w:pPr>
      <w:r>
        <w:rPr>
          <w:noProof/>
        </w:rPr>
        <w:t xml:space="preserve">X </w:t>
      </w:r>
      <w:r>
        <w:rPr>
          <w:b/>
          <w:noProof/>
        </w:rPr>
        <w:t>Ġestjoni indiretta</w:t>
      </w:r>
      <w:r>
        <w:rPr>
          <w:noProof/>
        </w:rPr>
        <w:t xml:space="preserve"> billi l-kompiti tal-implimentazzjoni baġitarja jiġu nkarigati lil:</w:t>
      </w:r>
    </w:p>
    <w:p>
      <w:pPr>
        <w:rPr>
          <w:rFonts w:eastAsia="Times New Roman"/>
          <w:noProof/>
        </w:rPr>
      </w:pPr>
      <w:r>
        <w:rPr>
          <w:noProof/>
        </w:rPr>
        <w:t>X lill-pajjiżi terzi jew lill-korpi nnominati minnhom;</w:t>
      </w:r>
    </w:p>
    <w:p>
      <w:pPr>
        <w:rPr>
          <w:rFonts w:eastAsia="Times New Roman"/>
          <w:noProof/>
        </w:rPr>
      </w:pPr>
      <w:r>
        <w:rPr>
          <w:noProof/>
        </w:rPr>
        <w:t>X l-organizzazzjonijiet internazzjonali u l-aġenziji tagħhom (iridu jiġu speċifikati);</w:t>
      </w:r>
    </w:p>
    <w:p>
      <w:pPr>
        <w:rPr>
          <w:rFonts w:eastAsia="Times New Roman"/>
          <w:noProof/>
        </w:rPr>
      </w:pPr>
      <w:r>
        <w:rPr>
          <w:noProof/>
        </w:rPr>
        <w:t>X il-BEI u l-Fond Ewropew tal-Investiment;</w:t>
      </w:r>
    </w:p>
    <w:p>
      <w:pPr>
        <w:rPr>
          <w:rFonts w:eastAsia="Times New Roman"/>
          <w:noProof/>
        </w:rPr>
      </w:pPr>
      <w:r>
        <w:rPr>
          <w:noProof/>
        </w:rPr>
        <w:t>X korpi msemmijin fl-Artikoli 70 u 71 tar-Regolament Finanzjarju;</w:t>
      </w:r>
    </w:p>
    <w:p>
      <w:pPr>
        <w:rPr>
          <w:rFonts w:eastAsia="Times New Roman"/>
          <w:noProof/>
        </w:rPr>
      </w:pPr>
      <w:r>
        <w:rPr>
          <w:noProof/>
        </w:rPr>
        <w:t>X korpi rregolati bil-liġi pubblika;</w:t>
      </w:r>
    </w:p>
    <w:p>
      <w:pPr>
        <w:rPr>
          <w:rFonts w:eastAsia="Times New Roman"/>
          <w:noProof/>
        </w:rPr>
      </w:pPr>
      <w:r>
        <w:rPr>
          <w:noProof/>
        </w:rPr>
        <w:t>X korpi amministrati mid-dritt privat b’missjoni ta’ servizz pubbliku sal-punt li jipprovdu garanziji finanzjarji adegwati;</w:t>
      </w:r>
    </w:p>
    <w:p>
      <w:pPr>
        <w:rPr>
          <w:rFonts w:eastAsia="Times New Roman"/>
          <w:noProof/>
        </w:rPr>
      </w:pPr>
      <w:r>
        <w:rPr>
          <w:noProof/>
        </w:rPr>
        <w:t>X korpi rregolati mid-dritt privat ta’ Stat Membru li jkunu fdati bl-implimentazzjoni ta’ sħubija pubblika-privata u li jipprovdu garanziji finanzjarji adegwati;</w:t>
      </w:r>
    </w:p>
    <w:p>
      <w:pPr>
        <w:rPr>
          <w:rFonts w:eastAsia="Times New Roman"/>
          <w:noProof/>
        </w:rPr>
      </w:pPr>
      <w:r>
        <w:rPr>
          <w:noProof/>
        </w:rPr>
        <w:t>X persuni fdati bl-implimentazzjoni ta’ azzjonijiet speċifiċi fil-PESK skont it-Titolu V tat-TUE, u identifikati fl-att bażiku rilevanti.</w:t>
      </w:r>
    </w:p>
    <w:p>
      <w:pPr>
        <w:rPr>
          <w:noProof/>
        </w:rPr>
      </w:pPr>
      <w:r>
        <w:rPr>
          <w:noProof/>
        </w:rPr>
        <w:t>Kummenti: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  <w:r>
        <w:rPr>
          <w:noProof/>
        </w:rPr>
        <w:t>Il-Kummissjoni tista’ tiddeċiedi li tiddelega parti mill-implimentazzjoni tat-tisħiħ ta’ Orizzont Ewropa lil aġenzija eżekuttiva, f’konformità mal-mod ta’ ġestjoni deċiż għall-attivitajiet li se jiġu msaħħa.</w:t>
      </w:r>
    </w:p>
    <w:p>
      <w:pPr>
        <w:rPr>
          <w:noProof/>
        </w:rPr>
      </w:pPr>
    </w:p>
    <w:p>
      <w:pPr>
        <w:rPr>
          <w:noProof/>
        </w:rPr>
        <w:sectPr>
          <w:pgSz w:w="11907" w:h="16840" w:code="9"/>
          <w:pgMar w:top="1134" w:right="1418" w:bottom="1134" w:left="1418" w:header="709" w:footer="709" w:gutter="0"/>
          <w:cols w:space="708"/>
          <w:docGrid w:linePitch="360"/>
        </w:sectPr>
      </w:pPr>
    </w:p>
    <w:p>
      <w:pPr>
        <w:keepNext/>
        <w:spacing w:before="360"/>
        <w:outlineLvl w:val="0"/>
        <w:rPr>
          <w:rFonts w:eastAsiaTheme="majorEastAsia"/>
          <w:b/>
          <w:smallCaps/>
          <w:noProof/>
          <w:szCs w:val="24"/>
        </w:rPr>
      </w:pPr>
      <w:r>
        <w:rPr>
          <w:b/>
          <w:bCs/>
          <w:smallCaps/>
          <w:noProof/>
          <w:szCs w:val="28"/>
        </w:rPr>
        <w:lastRenderedPageBreak/>
        <w:t xml:space="preserve">MIŻURI TA’ ĠESTJONI </w:t>
      </w:r>
    </w:p>
    <w:p>
      <w:pPr>
        <w:keepNext/>
        <w:outlineLvl w:val="1"/>
        <w:rPr>
          <w:rFonts w:eastAsiaTheme="majorEastAsia"/>
          <w:b/>
          <w:bCs/>
          <w:noProof/>
          <w:szCs w:val="26"/>
        </w:rPr>
      </w:pPr>
      <w:r>
        <w:rPr>
          <w:b/>
          <w:bCs/>
          <w:noProof/>
          <w:szCs w:val="26"/>
        </w:rPr>
        <w:t xml:space="preserve">Regoli ta’ monitoraġġ u ta’ rappurtar </w:t>
      </w:r>
    </w:p>
    <w:p>
      <w:pPr>
        <w:ind w:left="850"/>
        <w:rPr>
          <w:i/>
          <w:noProof/>
          <w:sz w:val="20"/>
          <w:szCs w:val="20"/>
        </w:rPr>
      </w:pPr>
      <w:r>
        <w:rPr>
          <w:i/>
          <w:noProof/>
          <w:sz w:val="20"/>
          <w:szCs w:val="20"/>
        </w:rPr>
        <w:t>Speċifika l-frekwenza u l-kundizzjonijiet.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</w:rPr>
      </w:pPr>
      <w:r>
        <w:rPr>
          <w:noProof/>
          <w:color w:val="0000FF"/>
        </w:rPr>
        <w:t>Ara d-dikjarazzjonijiet finanzjarji leġiżlattivi tal-proposti tal-Kummissjoni: COM(2018) 460 final, COM(2018) 435 final, COM(2018) 436 final, (COM(2018) 392) final</w:t>
      </w:r>
    </w:p>
    <w:p>
      <w:pPr>
        <w:keepNext/>
        <w:outlineLvl w:val="1"/>
        <w:rPr>
          <w:rFonts w:eastAsiaTheme="majorEastAsia"/>
          <w:b/>
          <w:noProof/>
          <w:szCs w:val="24"/>
        </w:rPr>
      </w:pPr>
      <w:r>
        <w:rPr>
          <w:b/>
          <w:bCs/>
          <w:noProof/>
          <w:szCs w:val="26"/>
        </w:rPr>
        <w:t xml:space="preserve">Sistema/i ta’ ġestjoni u ta’ kontroll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  <w:color w:val="0000FF"/>
        </w:rPr>
      </w:pPr>
      <w:r>
        <w:rPr>
          <w:noProof/>
          <w:color w:val="0000FF"/>
        </w:rPr>
        <w:t>Ara d-dikjarazzjonijiet finanzjarji leġiżlattivi tal-proposti tal-Kummissjoni: COM(2018) 460 final, COM(2018) 435 final, COM(2018) 436 final, (COM(2018) 392) final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</w:rPr>
      </w:pPr>
    </w:p>
    <w:p>
      <w:pPr>
        <w:keepNext/>
        <w:outlineLvl w:val="1"/>
        <w:rPr>
          <w:rFonts w:eastAsiaTheme="majorEastAsia"/>
          <w:b/>
          <w:noProof/>
          <w:szCs w:val="24"/>
        </w:rPr>
      </w:pPr>
      <w:r>
        <w:rPr>
          <w:b/>
          <w:bCs/>
          <w:noProof/>
          <w:szCs w:val="26"/>
        </w:rPr>
        <w:t xml:space="preserve">Miżuri għall-prevenzjoni ta’ frodi u ta’ irregolaritajiet </w:t>
      </w:r>
    </w:p>
    <w:p>
      <w:pPr>
        <w:ind w:left="850"/>
        <w:rPr>
          <w:i/>
          <w:noProof/>
          <w:sz w:val="20"/>
          <w:szCs w:val="20"/>
        </w:rPr>
      </w:pPr>
      <w:r>
        <w:rPr>
          <w:i/>
          <w:noProof/>
          <w:sz w:val="20"/>
          <w:szCs w:val="20"/>
        </w:rPr>
        <w:t>Speċifika l-miżuri ta’ prevenzjoni u ta’ protezzjoni eżistenti jew previsti, pereż. mill-Istrateġija Kontra l-Frodi.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  <w:color w:val="0000FF"/>
        </w:rPr>
      </w:pPr>
      <w:r>
        <w:rPr>
          <w:noProof/>
          <w:color w:val="0000FF"/>
        </w:rPr>
        <w:t>Ara d-dikjarazzjonijiet finanzjarji leġiżlattivi tal-proposti tal-Kummissjoni: COM(2018) 460 final, COM(2018) 435 final, COM(2018) 436 final, (COM(2018) 392) final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0"/>
        <w:rPr>
          <w:noProof/>
        </w:rPr>
      </w:pPr>
    </w:p>
    <w:p>
      <w:pPr>
        <w:keepNext/>
        <w:spacing w:before="360"/>
        <w:outlineLvl w:val="0"/>
        <w:rPr>
          <w:rFonts w:eastAsiaTheme="majorEastAsia"/>
          <w:b/>
          <w:smallCaps/>
          <w:noProof/>
          <w:szCs w:val="24"/>
        </w:rPr>
      </w:pPr>
      <w:r>
        <w:rPr>
          <w:b/>
          <w:bCs/>
          <w:smallCaps/>
          <w:noProof/>
          <w:color w:val="0000FF"/>
          <w:szCs w:val="28"/>
        </w:rPr>
        <w:t xml:space="preserve"> </w:t>
      </w:r>
      <w:r>
        <w:rPr>
          <w:b/>
          <w:bCs/>
          <w:smallCaps/>
          <w:noProof/>
          <w:szCs w:val="28"/>
        </w:rPr>
        <w:t xml:space="preserve">IMPATT FINANZJARJU STMAT TAL-PROPOSTA/TAL-INIZJATTIVA </w:t>
      </w:r>
    </w:p>
    <w:p>
      <w:pPr>
        <w:keepNext/>
        <w:outlineLvl w:val="1"/>
        <w:rPr>
          <w:rFonts w:eastAsiaTheme="majorEastAsia"/>
          <w:b/>
          <w:bCs/>
          <w:noProof/>
          <w:szCs w:val="26"/>
        </w:rPr>
      </w:pPr>
      <w:r>
        <w:rPr>
          <w:b/>
          <w:bCs/>
          <w:noProof/>
          <w:szCs w:val="26"/>
        </w:rPr>
        <w:t xml:space="preserve">Intestaturi tal-qafas finanzjarju pluriennali u linja/i baġitarja/i ta’ nfiq ġdid propost </w:t>
      </w:r>
    </w:p>
    <w:tbl>
      <w:tblPr>
        <w:tblW w:w="105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960"/>
        <w:gridCol w:w="1080"/>
        <w:gridCol w:w="1044"/>
        <w:gridCol w:w="1134"/>
        <w:gridCol w:w="814"/>
        <w:gridCol w:w="1448"/>
      </w:tblGrid>
      <w:tr>
        <w:tc>
          <w:tcPr>
            <w:tcW w:w="1080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18"/>
              </w:rPr>
            </w:pPr>
          </w:p>
        </w:tc>
        <w:tc>
          <w:tcPr>
            <w:tcW w:w="3960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/>
              <w:jc w:val="center"/>
              <w:rPr>
                <w:noProof/>
                <w:sz w:val="18"/>
              </w:rPr>
            </w:pPr>
          </w:p>
        </w:tc>
        <w:tc>
          <w:tcPr>
            <w:tcW w:w="4440" w:type="dxa"/>
            <w:gridSpan w:val="4"/>
            <w:vAlign w:val="center"/>
          </w:tcPr>
          <w:p>
            <w:pPr>
              <w:spacing w:before="60" w:after="60"/>
              <w:jc w:val="center"/>
              <w:rPr>
                <w:noProof/>
                <w:sz w:val="20"/>
              </w:rPr>
            </w:pPr>
          </w:p>
        </w:tc>
      </w:tr>
      <w:tr>
        <w:tc>
          <w:tcPr>
            <w:tcW w:w="1080" w:type="dxa"/>
            <w:vAlign w:val="center"/>
          </w:tcPr>
          <w:p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  <w:sz w:val="18"/>
              </w:rPr>
              <w:t>Intestatura tal-qafas finanzjarju pluriennali</w:t>
            </w:r>
          </w:p>
        </w:tc>
        <w:tc>
          <w:tcPr>
            <w:tcW w:w="3960" w:type="dxa"/>
            <w:vAlign w:val="center"/>
          </w:tcPr>
          <w:p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  <w:sz w:val="20"/>
              </w:rPr>
              <w:t>Linja Baġitarja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  <w:sz w:val="18"/>
              </w:rPr>
              <w:t xml:space="preserve">Type of </w:t>
            </w:r>
            <w:r>
              <w:rPr>
                <w:noProof/>
                <w:sz w:val="22"/>
              </w:rPr>
              <w:br/>
            </w:r>
            <w:r>
              <w:rPr>
                <w:noProof/>
                <w:sz w:val="18"/>
              </w:rPr>
              <w:t>nefqa</w:t>
            </w:r>
          </w:p>
        </w:tc>
        <w:tc>
          <w:tcPr>
            <w:tcW w:w="4440" w:type="dxa"/>
            <w:gridSpan w:val="4"/>
            <w:vAlign w:val="center"/>
          </w:tcPr>
          <w:p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  <w:sz w:val="20"/>
              </w:rPr>
              <w:t xml:space="preserve">Kontribuzzjoni 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960" w:type="dxa"/>
            <w:vAlign w:val="center"/>
          </w:tcPr>
          <w:p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Intestatura 1. Suq Uniku, Innovazzjoni u Diġitali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szCs w:val="18"/>
              </w:rPr>
              <w:t>Diff./mhux diff</w:t>
            </w:r>
            <w:r>
              <w:rPr>
                <w:rStyle w:val="FootnoteReference"/>
                <w:noProof/>
              </w:rPr>
              <w:footnoteReference w:id="6"/>
            </w:r>
            <w:r>
              <w:rPr>
                <w:noProof/>
              </w:rPr>
              <w:t>.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  <w:sz w:val="18"/>
                <w:szCs w:val="18"/>
              </w:rPr>
              <w:t>mill-pajjiżi tal-EFTA</w:t>
            </w:r>
            <w:r>
              <w:rPr>
                <w:rStyle w:val="FootnoteReference"/>
                <w:noProof/>
              </w:rPr>
              <w:footnoteReference w:id="7"/>
            </w:r>
          </w:p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  <w:sz w:val="18"/>
                <w:szCs w:val="18"/>
              </w:rPr>
              <w:t>mill-pajjiżi kandidati</w:t>
            </w:r>
            <w:r>
              <w:rPr>
                <w:rStyle w:val="FootnoteReference"/>
                <w:noProof/>
              </w:rPr>
              <w:footnoteReference w:id="8"/>
            </w:r>
          </w:p>
          <w:p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minn pajjiżi terzi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skont it-tifsira tal-Artikolu [21(2)(b)] tar-Regolament Finanzjarju 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color w:val="0000FF"/>
              </w:rPr>
            </w:pPr>
            <w:r>
              <w:rPr>
                <w:noProof/>
                <w:color w:val="0000FF"/>
              </w:rPr>
              <w:t>1</w:t>
            </w:r>
          </w:p>
        </w:tc>
        <w:tc>
          <w:tcPr>
            <w:tcW w:w="3960" w:type="dxa"/>
            <w:vAlign w:val="center"/>
          </w:tcPr>
          <w:p>
            <w:pPr>
              <w:spacing w:before="60"/>
              <w:rPr>
                <w:noProof/>
                <w:color w:val="0000FF"/>
                <w:sz w:val="22"/>
              </w:rPr>
            </w:pPr>
            <w:r>
              <w:rPr>
                <w:noProof/>
                <w:color w:val="0000FF"/>
                <w:sz w:val="22"/>
              </w:rPr>
              <w:t>01 01 01 01, 01 01 01 02, 01 01 01 03, 01 01 01 61, 01 01 01 62, 01 01 01 62, 01 01 01 63, 01 01 01 64 Nefqa ta’ appoġġ għal “Orizzont Ewropa”, inklużi l-kontribuzzjonijiet lill-Aġenziji Eżekuttivi li jimplimentaw il-programm</w:t>
            </w:r>
          </w:p>
          <w:p>
            <w:pPr>
              <w:rPr>
                <w:noProof/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Mhux Diff.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22"/>
              </w:rPr>
              <w:t>IVA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22"/>
              </w:rPr>
              <w:t>IVA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22"/>
              </w:rPr>
              <w:t>IVA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22"/>
              </w:rPr>
              <w:t>LE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color w:val="0000FF"/>
              </w:rPr>
            </w:pPr>
            <w:r>
              <w:rPr>
                <w:noProof/>
                <w:color w:val="0000FF"/>
              </w:rPr>
              <w:t>1</w:t>
            </w:r>
          </w:p>
        </w:tc>
        <w:tc>
          <w:tcPr>
            <w:tcW w:w="3960" w:type="dxa"/>
            <w:vAlign w:val="center"/>
          </w:tcPr>
          <w:p>
            <w:pPr>
              <w:spacing w:before="60"/>
              <w:rPr>
                <w:noProof/>
                <w:color w:val="0000FF"/>
                <w:sz w:val="22"/>
              </w:rPr>
            </w:pPr>
            <w:r>
              <w:rPr>
                <w:noProof/>
                <w:color w:val="0000FF"/>
                <w:sz w:val="22"/>
              </w:rPr>
              <w:t>01 02 02 10 Cluster “Saħħa”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22"/>
              </w:rPr>
              <w:t>Diff.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22"/>
              </w:rPr>
              <w:t>IVA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22"/>
              </w:rPr>
              <w:t>IVA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22"/>
              </w:rPr>
              <w:t>IVA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22"/>
              </w:rPr>
              <w:t>LE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color w:val="0000FF"/>
              </w:rPr>
            </w:pPr>
            <w:r>
              <w:rPr>
                <w:noProof/>
                <w:color w:val="0000FF"/>
              </w:rPr>
              <w:lastRenderedPageBreak/>
              <w:t>1</w:t>
            </w:r>
          </w:p>
        </w:tc>
        <w:tc>
          <w:tcPr>
            <w:tcW w:w="3960" w:type="dxa"/>
            <w:vAlign w:val="center"/>
          </w:tcPr>
          <w:p>
            <w:pPr>
              <w:spacing w:before="60"/>
              <w:rPr>
                <w:noProof/>
                <w:color w:val="0000FF"/>
                <w:sz w:val="22"/>
              </w:rPr>
            </w:pPr>
            <w:r>
              <w:rPr>
                <w:noProof/>
                <w:color w:val="0000FF"/>
                <w:sz w:val="22"/>
              </w:rPr>
              <w:t>01 02 02 40 Cluster “Diġitali, Industrija u Spazju”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22"/>
              </w:rPr>
              <w:t>Diff.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22"/>
              </w:rPr>
              <w:t>IVA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22"/>
              </w:rPr>
              <w:t>IVA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22"/>
              </w:rPr>
              <w:t>IVA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22"/>
              </w:rPr>
              <w:t>LE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color w:val="0000FF"/>
              </w:rPr>
            </w:pPr>
            <w:r>
              <w:rPr>
                <w:noProof/>
                <w:color w:val="0000FF"/>
              </w:rPr>
              <w:t>1</w:t>
            </w:r>
          </w:p>
        </w:tc>
        <w:tc>
          <w:tcPr>
            <w:tcW w:w="3960" w:type="dxa"/>
            <w:vAlign w:val="center"/>
          </w:tcPr>
          <w:p>
            <w:pPr>
              <w:spacing w:before="60"/>
              <w:rPr>
                <w:noProof/>
                <w:color w:val="0000FF"/>
                <w:sz w:val="22"/>
              </w:rPr>
            </w:pPr>
            <w:r>
              <w:rPr>
                <w:noProof/>
                <w:color w:val="0000FF"/>
                <w:sz w:val="22"/>
              </w:rPr>
              <w:t>01 02 02 50 Cluster “Klima, Enerġija u Mobilità”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22"/>
              </w:rPr>
              <w:t>Diff.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22"/>
              </w:rPr>
              <w:t>IVA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22"/>
              </w:rPr>
              <w:t>IVA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22"/>
              </w:rPr>
              <w:t>IVA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22"/>
              </w:rPr>
              <w:t>LE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color w:val="0000FF"/>
              </w:rPr>
            </w:pPr>
            <w:r>
              <w:rPr>
                <w:noProof/>
                <w:color w:val="0000FF"/>
              </w:rPr>
              <w:t>1</w:t>
            </w:r>
          </w:p>
        </w:tc>
        <w:tc>
          <w:tcPr>
            <w:tcW w:w="3960" w:type="dxa"/>
            <w:vAlign w:val="center"/>
          </w:tcPr>
          <w:p>
            <w:pPr>
              <w:spacing w:before="60"/>
              <w:rPr>
                <w:noProof/>
                <w:color w:val="0000FF"/>
                <w:sz w:val="22"/>
              </w:rPr>
            </w:pPr>
            <w:r>
              <w:rPr>
                <w:noProof/>
                <w:color w:val="0000FF"/>
                <w:sz w:val="22"/>
              </w:rPr>
              <w:t>01 02 03 01 Kunsill Ewropew tal-Innovazzjoni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22"/>
              </w:rPr>
              <w:t>Diff.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22"/>
              </w:rPr>
              <w:t>IVA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22"/>
              </w:rPr>
              <w:t>IVA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22"/>
              </w:rPr>
              <w:t>IVA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22"/>
              </w:rPr>
              <w:t>LE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960" w:type="dxa"/>
            <w:vAlign w:val="center"/>
          </w:tcPr>
          <w:p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Intestatura 3. Riżorsi naturali u ambjent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Diff./mhux diff</w:t>
            </w:r>
            <w:r>
              <w:rPr>
                <w:rStyle w:val="FootnoteReference"/>
                <w:noProof/>
              </w:rPr>
              <w:footnoteReference w:id="9"/>
            </w:r>
            <w:r>
              <w:rPr>
                <w:noProof/>
              </w:rPr>
              <w:t>.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  <w:sz w:val="18"/>
                <w:szCs w:val="18"/>
              </w:rPr>
              <w:t>mill-pajjiżi tal-EFTA</w:t>
            </w:r>
            <w:r>
              <w:rPr>
                <w:rStyle w:val="FootnoteReference"/>
                <w:noProof/>
              </w:rPr>
              <w:footnoteReference w:id="10"/>
            </w:r>
          </w:p>
          <w:p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  <w:sz w:val="18"/>
                <w:szCs w:val="18"/>
              </w:rPr>
              <w:t>mill-pajjiżi kandidati</w:t>
            </w:r>
            <w:r>
              <w:rPr>
                <w:rStyle w:val="FootnoteReference"/>
                <w:noProof/>
              </w:rPr>
              <w:footnoteReference w:id="11"/>
            </w:r>
          </w:p>
          <w:p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minn pajjiżi terzi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skont it-tifsira tal-Artikolu [21(2)(b)] tar-Regolament Finanzjarju 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960" w:type="dxa"/>
            <w:vAlign w:val="center"/>
          </w:tcPr>
          <w:p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08 01 02 Nefqa ta’ appoġġ għall-Fond Agrikolu Ewropew għall-Iżvilupp Rurali (FAEŻR)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22"/>
              </w:rPr>
              <w:t>Mhux Diff.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22"/>
              </w:rPr>
              <w:t>LE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22"/>
              </w:rPr>
              <w:t>LE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22"/>
              </w:rPr>
              <w:t>LE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22"/>
              </w:rPr>
              <w:t>LE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960" w:type="dxa"/>
            <w:vAlign w:val="center"/>
          </w:tcPr>
          <w:p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08 03 01 03 Tipi ta’ interventi għall-iżvilupp rurali fil-Pjanijiet Strateġiċi tal-PAK iffinanzjati mill-EURI  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22"/>
              </w:rPr>
              <w:t>Diff.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22"/>
              </w:rPr>
              <w:t>LE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22"/>
              </w:rPr>
              <w:t>LE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22"/>
              </w:rPr>
              <w:t>LE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22"/>
              </w:rPr>
              <w:t>LE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3960" w:type="dxa"/>
            <w:vAlign w:val="center"/>
          </w:tcPr>
          <w:p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08 03 02 FAEŻR – Assistenza teknika operazzjonali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Diff.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LE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LE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LE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LE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3960" w:type="dxa"/>
            <w:vAlign w:val="center"/>
          </w:tcPr>
          <w:p>
            <w:pPr>
              <w:rPr>
                <w:b/>
                <w:noProof/>
              </w:rPr>
            </w:pPr>
            <w:r>
              <w:rPr>
                <w:b/>
                <w:noProof/>
                <w:sz w:val="20"/>
              </w:rPr>
              <w:t>Intestatura 6. Il-Viċinat u d-Dinja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  <w:sz w:val="18"/>
                <w:szCs w:val="18"/>
              </w:rPr>
              <w:t>Diff./mhux diff</w:t>
            </w:r>
            <w:r>
              <w:rPr>
                <w:rStyle w:val="FootnoteReference"/>
                <w:noProof/>
              </w:rPr>
              <w:footnoteReference w:id="12"/>
            </w:r>
            <w:r>
              <w:rPr>
                <w:noProof/>
              </w:rPr>
              <w:t>.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  <w:sz w:val="18"/>
                <w:szCs w:val="18"/>
              </w:rPr>
              <w:t>mill-pajjiżi tal-EFTA</w:t>
            </w:r>
            <w:r>
              <w:rPr>
                <w:rStyle w:val="FootnoteReference"/>
                <w:noProof/>
              </w:rPr>
              <w:footnoteReference w:id="13"/>
            </w:r>
          </w:p>
          <w:p>
            <w:pPr>
              <w:spacing w:before="0" w:after="0"/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  <w:sz w:val="18"/>
                <w:szCs w:val="18"/>
              </w:rPr>
              <w:t>mill-pajjiżi kandidati</w:t>
            </w:r>
            <w:r>
              <w:rPr>
                <w:rStyle w:val="FootnoteReference"/>
                <w:noProof/>
              </w:rPr>
              <w:footnoteReference w:id="14"/>
            </w:r>
          </w:p>
          <w:p>
            <w:pPr>
              <w:spacing w:before="0" w:after="0"/>
              <w:jc w:val="center"/>
              <w:rPr>
                <w:noProof/>
                <w:sz w:val="18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minn pajjiżi terzi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  <w:sz w:val="16"/>
              </w:rPr>
              <w:t xml:space="preserve">skont it-tifsira tal-Artikolu [21(2)(b)] tar-Regolament Finanzjarju 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color w:val="0000FF"/>
              </w:rPr>
            </w:pPr>
            <w:r>
              <w:rPr>
                <w:noProof/>
                <w:color w:val="0000FF"/>
              </w:rPr>
              <w:t>6</w:t>
            </w:r>
          </w:p>
        </w:tc>
        <w:tc>
          <w:tcPr>
            <w:tcW w:w="3960" w:type="dxa"/>
            <w:vAlign w:val="center"/>
          </w:tcPr>
          <w:p>
            <w:pPr>
              <w:spacing w:before="60"/>
              <w:rPr>
                <w:noProof/>
                <w:color w:val="0000FF"/>
                <w:sz w:val="22"/>
              </w:rPr>
            </w:pPr>
            <w:r>
              <w:rPr>
                <w:noProof/>
                <w:color w:val="0000FF"/>
                <w:sz w:val="22"/>
              </w:rPr>
              <w:t>15 01 01 Nefqa ta’ appoġġ għall-Istrument ta’ Viċinat, ta’ Kooperazzjoni għall-Iżvilupp u ta’ Kooperazzjoni Internazzjonali</w:t>
            </w:r>
          </w:p>
          <w:p>
            <w:pPr>
              <w:spacing w:after="60"/>
              <w:rPr>
                <w:noProof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color w:val="0000FF"/>
              </w:rPr>
            </w:pPr>
            <w:r>
              <w:rPr>
                <w:noProof/>
                <w:sz w:val="22"/>
              </w:rPr>
              <w:t>Mhux Diff.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  <w:sz w:val="22"/>
              </w:rPr>
              <w:t>LE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  <w:sz w:val="22"/>
              </w:rPr>
              <w:t>LE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  <w:sz w:val="22"/>
              </w:rPr>
              <w:t>LE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  <w:sz w:val="22"/>
              </w:rPr>
              <w:t>LE</w:t>
            </w:r>
          </w:p>
        </w:tc>
      </w:tr>
      <w:tr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color w:val="0000FF"/>
              </w:rPr>
            </w:pPr>
            <w:r>
              <w:rPr>
                <w:noProof/>
                <w:color w:val="0000FF"/>
              </w:rPr>
              <w:t>6</w:t>
            </w:r>
          </w:p>
        </w:tc>
        <w:tc>
          <w:tcPr>
            <w:tcW w:w="3960" w:type="dxa"/>
            <w:vAlign w:val="center"/>
          </w:tcPr>
          <w:p>
            <w:pPr>
              <w:spacing w:before="60"/>
              <w:rPr>
                <w:noProof/>
                <w:color w:val="0000FF"/>
                <w:sz w:val="22"/>
              </w:rPr>
            </w:pPr>
            <w:r>
              <w:rPr>
                <w:noProof/>
                <w:color w:val="0000FF"/>
                <w:sz w:val="22"/>
              </w:rPr>
              <w:t>15 02 01 07 Il-proviżjonament tal-Garanzija għall-Azzjoni Esterna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Diff.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IVA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IVA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IVA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LE</w:t>
            </w:r>
          </w:p>
        </w:tc>
      </w:tr>
    </w:tbl>
    <w:p>
      <w:pPr>
        <w:rPr>
          <w:noProof/>
        </w:rPr>
        <w:sectPr>
          <w:pgSz w:w="11907" w:h="16840" w:code="1"/>
          <w:pgMar w:top="1134" w:right="1418" w:bottom="1134" w:left="1418" w:header="709" w:footer="709" w:gutter="0"/>
          <w:cols w:space="708"/>
          <w:docGrid w:linePitch="360"/>
        </w:sectPr>
      </w:pPr>
    </w:p>
    <w:p>
      <w:pPr>
        <w:keepNext/>
        <w:outlineLvl w:val="1"/>
        <w:rPr>
          <w:rFonts w:eastAsiaTheme="majorEastAsia"/>
          <w:b/>
          <w:noProof/>
          <w:szCs w:val="24"/>
        </w:rPr>
      </w:pPr>
      <w:r>
        <w:rPr>
          <w:b/>
          <w:bCs/>
          <w:noProof/>
          <w:szCs w:val="26"/>
        </w:rPr>
        <w:lastRenderedPageBreak/>
        <w:t xml:space="preserve">Impatt stmat fuq in-nefqa </w:t>
      </w:r>
    </w:p>
    <w:p>
      <w:pPr>
        <w:keepNext/>
        <w:outlineLvl w:val="2"/>
        <w:rPr>
          <w:rFonts w:eastAsiaTheme="majorEastAsia"/>
          <w:bCs/>
          <w:i/>
          <w:noProof/>
          <w:u w:val="single"/>
        </w:rPr>
      </w:pPr>
      <w:r>
        <w:rPr>
          <w:bCs/>
          <w:i/>
          <w:noProof/>
        </w:rPr>
        <w:t xml:space="preserve">Sommarju tal-impatt stmat fuq in-nefqa </w:t>
      </w:r>
    </w:p>
    <w:p>
      <w:pPr>
        <w:jc w:val="right"/>
        <w:rPr>
          <w:noProof/>
          <w:sz w:val="20"/>
        </w:rPr>
      </w:pPr>
      <w:r>
        <w:rPr>
          <w:noProof/>
          <w:sz w:val="20"/>
        </w:rPr>
        <w:t>Miljuni ta’ EUR (sa tliet punti deċimali)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1080"/>
        <w:gridCol w:w="7817"/>
      </w:tblGrid>
      <w:tr>
        <w:trPr>
          <w:jc w:val="center"/>
        </w:trPr>
        <w:tc>
          <w:tcPr>
            <w:tcW w:w="4744" w:type="dxa"/>
            <w:shd w:val="clear" w:color="auto" w:fill="auto"/>
            <w:vAlign w:val="center"/>
          </w:tcPr>
          <w:p>
            <w:pPr>
              <w:spacing w:before="60" w:after="6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2"/>
              </w:rPr>
              <w:t xml:space="preserve">L-intestatura tal-qafas finanzjarju </w:t>
            </w:r>
            <w:r>
              <w:rPr>
                <w:noProof/>
                <w:sz w:val="22"/>
              </w:rPr>
              <w:br/>
            </w:r>
            <w:r>
              <w:rPr>
                <w:b/>
                <w:noProof/>
                <w:sz w:val="22"/>
              </w:rPr>
              <w:t xml:space="preserve">pluriennali 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/>
              <w:jc w:val="center"/>
              <w:rPr>
                <w:noProof/>
              </w:rPr>
            </w:pPr>
            <w:r>
              <w:rPr>
                <w:b/>
                <w:noProof/>
                <w:sz w:val="22"/>
              </w:rPr>
              <w:t>&lt; 1, 3 u 6 &gt;</w:t>
            </w:r>
          </w:p>
        </w:tc>
        <w:tc>
          <w:tcPr>
            <w:tcW w:w="7817" w:type="dxa"/>
            <w:vAlign w:val="center"/>
          </w:tcPr>
          <w:p>
            <w:pPr>
              <w:spacing w:before="60" w:after="60"/>
              <w:jc w:val="left"/>
              <w:rPr>
                <w:noProof/>
              </w:rPr>
            </w:pPr>
            <w:r>
              <w:rPr>
                <w:noProof/>
                <w:color w:val="0000FF"/>
                <w:sz w:val="22"/>
              </w:rPr>
              <w:t xml:space="preserve"> </w:t>
            </w:r>
            <w:r>
              <w:rPr>
                <w:noProof/>
                <w:sz w:val="22"/>
              </w:rPr>
              <w:t>[Intestatura 1 – Suq Uniku, Innovazzjoni u Diġitali, Intestatura 3 – Riżorsi Naturali u Ambjent, Intestatura 6 – Il-Viċinat u d-Dinja]</w:t>
            </w:r>
          </w:p>
        </w:tc>
      </w:tr>
    </w:tbl>
    <w:p>
      <w:pPr>
        <w:rPr>
          <w:i/>
          <w:iCs/>
          <w:noProof/>
        </w:rPr>
      </w:pPr>
    </w:p>
    <w:p>
      <w:pPr>
        <w:rPr>
          <w:i/>
          <w:noProof/>
        </w:rPr>
      </w:pPr>
      <w:r>
        <w:rPr>
          <w:i/>
          <w:iCs/>
          <w:noProof/>
        </w:rPr>
        <w:t>Apparti l-pakkett finanzjarju definit</w:t>
      </w:r>
      <w:r>
        <w:rPr>
          <w:i/>
          <w:noProof/>
        </w:rPr>
        <w:t xml:space="preserve"> fl-Artikolu 9 tar-Regolament propost COM(2018) 435 (“</w:t>
      </w:r>
      <w:r>
        <w:rPr>
          <w:i/>
          <w:iCs/>
          <w:noProof/>
        </w:rPr>
        <w:t>Orizzont Ewropa, ir-Regolament dwar il-Programm Qafas”) u l-Artikolu 4 tad-Deċiżjoni proposta dwar il-Programm Speċifiku Orizzont Ewropa, EUR 14 647 miljun (bil-prezzijiet kurrenti) se jkunu disponibbli bħala dħul assenjat estern, skont it-tifsira tal-Artikolu 21(5) tar-Regolament Finanzjarju bħala finanzjament mill-Istrument ta’ Rkupru tal-Unjoni Ewropea. Minn dan l-ammont, sa EUR 689,160 miljun jistgħu jiġu ddedikati għan-nefqa amministrattiva, inklużi l-ispejjeż għall-persunal estern.</w:t>
      </w:r>
    </w:p>
    <w:p>
      <w:pPr>
        <w:rPr>
          <w:i/>
          <w:noProof/>
        </w:rPr>
      </w:pPr>
      <w:r>
        <w:rPr>
          <w:i/>
          <w:noProof/>
        </w:rPr>
        <w:t>It-tqassim indikattiv tan-nefqa minn dħul assenjat estern huwa kif ġej:</w:t>
      </w:r>
    </w:p>
    <w:p>
      <w:pPr>
        <w:rPr>
          <w:i/>
          <w:noProof/>
        </w:rPr>
      </w:pPr>
    </w:p>
    <w:p>
      <w:pPr>
        <w:rPr>
          <w:i/>
          <w:noProof/>
        </w:rPr>
      </w:pPr>
    </w:p>
    <w:tbl>
      <w:tblPr>
        <w:tblW w:w="14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388"/>
        <w:gridCol w:w="540"/>
        <w:gridCol w:w="1049"/>
        <w:gridCol w:w="990"/>
        <w:gridCol w:w="990"/>
        <w:gridCol w:w="976"/>
        <w:gridCol w:w="1004"/>
        <w:gridCol w:w="990"/>
        <w:gridCol w:w="990"/>
        <w:gridCol w:w="1033"/>
        <w:gridCol w:w="1127"/>
      </w:tblGrid>
      <w:tr>
        <w:tc>
          <w:tcPr>
            <w:tcW w:w="3510" w:type="dxa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  <w:sz w:val="22"/>
              </w:rPr>
              <w:t>[Orizzont Ewropa]</w:t>
            </w:r>
          </w:p>
        </w:tc>
        <w:tc>
          <w:tcPr>
            <w:tcW w:w="1388" w:type="dxa"/>
          </w:tcPr>
          <w:p>
            <w:pPr>
              <w:rPr>
                <w:noProof/>
                <w:sz w:val="20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2023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2024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2026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2027</w:t>
            </w:r>
          </w:p>
        </w:tc>
        <w:tc>
          <w:tcPr>
            <w:tcW w:w="1033" w:type="dxa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i/>
                <w:noProof/>
                <w:sz w:val="20"/>
              </w:rPr>
              <w:t>Wara l-2027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TOTAL</w:t>
            </w:r>
          </w:p>
        </w:tc>
      </w:tr>
      <w:t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Nefqa operazzjonali minn dħul assenjat estern tal-EURI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Impenji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14"/>
              </w:rPr>
              <w:t>(1)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4 919,020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4 739,320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2 558,890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1 740,610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i/>
                <w:noProof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13 957,840</w:t>
            </w:r>
          </w:p>
        </w:tc>
      </w:tr>
      <w:t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Pagamenti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14"/>
              </w:rPr>
              <w:t>(2)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433,668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3 479,853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2 708,187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2 475,285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1 978,160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1 860,712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909,443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112,532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13 957,840</w:t>
            </w:r>
          </w:p>
        </w:tc>
      </w:tr>
      <w:t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Nefqa ta’ appoġġ amministrattiv mid-dħul assenjat estern tal-EURI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18"/>
              </w:rPr>
              <w:t>Impenji = Pagamenti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14"/>
              </w:rPr>
              <w:t>(3)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126,980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197,680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132,110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106,390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  <w:szCs w:val="18"/>
              </w:rPr>
              <w:t>51,000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  <w:szCs w:val="18"/>
              </w:rPr>
              <w:t>37,000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  <w:szCs w:val="18"/>
              </w:rPr>
              <w:t>38,000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689,160</w:t>
            </w:r>
          </w:p>
        </w:tc>
      </w:tr>
      <w:t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Dħul assenjat estern totali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Impenji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14"/>
              </w:rPr>
              <w:t>=1+3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5 046,000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4 937,000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2 691,000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1 847,000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  <w:szCs w:val="18"/>
              </w:rPr>
              <w:t>51,000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  <w:szCs w:val="18"/>
              </w:rPr>
              <w:t>37,000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  <w:szCs w:val="18"/>
              </w:rPr>
              <w:t>38,000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i/>
                <w:noProof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14 647,000</w:t>
            </w:r>
          </w:p>
        </w:tc>
      </w:tr>
      <w:t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Pagamenti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=2+3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560,648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3 677,533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2 840,297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2 581,675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2 029,160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1 897,712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947,443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112,532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14 647,000</w:t>
            </w:r>
          </w:p>
        </w:tc>
      </w:tr>
    </w:tbl>
    <w:p>
      <w:pPr>
        <w:rPr>
          <w:i/>
          <w:noProof/>
        </w:rPr>
      </w:pPr>
    </w:p>
    <w:p>
      <w:pPr>
        <w:rPr>
          <w:i/>
          <w:noProof/>
        </w:rPr>
      </w:pPr>
      <w:r>
        <w:rPr>
          <w:i/>
          <w:iCs/>
          <w:noProof/>
        </w:rPr>
        <w:lastRenderedPageBreak/>
        <w:t>Apparti l-pakkett finanzjarju definit</w:t>
      </w:r>
      <w:r>
        <w:rPr>
          <w:i/>
          <w:noProof/>
        </w:rPr>
        <w:t xml:space="preserve"> fl-Artikolu 83 tar-Regolament propost COM(2018) 392 (l-interventi tal-FAEŻR skont il-Pjanijiet Strateġiċi tal-PAK)</w:t>
      </w:r>
      <w:r>
        <w:rPr>
          <w:i/>
          <w:iCs/>
          <w:noProof/>
        </w:rPr>
        <w:t>, EUR 16 483 miljun (bil-prezzijiet kurrenti) se jkun disponibbli bħala dħul assenjat estern għas-snin 2022-2024</w:t>
      </w:r>
      <w:r>
        <w:rPr>
          <w:rStyle w:val="FootnoteReference"/>
          <w:i/>
          <w:iCs/>
          <w:noProof/>
        </w:rPr>
        <w:footnoteReference w:id="15"/>
      </w:r>
      <w:r>
        <w:rPr>
          <w:i/>
          <w:iCs/>
          <w:noProof/>
        </w:rPr>
        <w:t>, skont it-tifsira tal-Artikolu 21(5) tar-Regolament Finanzjarju bħala finanzjament mill-Istrument ta’ Rkupru tal-Unjoni Ewropea</w:t>
      </w:r>
      <w:r>
        <w:rPr>
          <w:i/>
          <w:noProof/>
        </w:rPr>
        <w:t>.</w:t>
      </w:r>
      <w:r>
        <w:rPr>
          <w:i/>
          <w:iCs/>
          <w:noProof/>
        </w:rPr>
        <w:t xml:space="preserve"> Minn dan l-ammont, sa EUR 6,000 miljun jistgħu jiġu ddedikati għan-nefqa amministrattiva, inklużi l-ispejjeż għall-persunal estern. L-Assistenza teknika operazzjonali hija inkluża fl-ammont għan-nefqa operazzjonali u se tkun ikkalkulata meta t-tqassim tar-riżorsi addizzjonali msemmija fil-paragrafu 1 għal kull Stat Membru, jiġi stabbilit f’konforimità mal-Artikolu 83(3) ta’ COM(2018) 392.</w:t>
      </w:r>
    </w:p>
    <w:p>
      <w:pPr>
        <w:rPr>
          <w:i/>
          <w:noProof/>
        </w:rPr>
      </w:pPr>
      <w:r>
        <w:rPr>
          <w:i/>
          <w:noProof/>
        </w:rPr>
        <w:t>It-tqassim indikattiv tan-nefqa minn dħul assenjat estern huwa kif ġej:</w:t>
      </w: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388"/>
        <w:gridCol w:w="540"/>
        <w:gridCol w:w="990"/>
        <w:gridCol w:w="990"/>
        <w:gridCol w:w="990"/>
        <w:gridCol w:w="976"/>
        <w:gridCol w:w="1004"/>
        <w:gridCol w:w="990"/>
        <w:gridCol w:w="990"/>
        <w:gridCol w:w="1033"/>
        <w:gridCol w:w="1127"/>
      </w:tblGrid>
      <w:tr>
        <w:tc>
          <w:tcPr>
            <w:tcW w:w="3652" w:type="dxa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  <w:sz w:val="22"/>
              </w:rPr>
              <w:t>[FAEŻR]</w:t>
            </w:r>
          </w:p>
        </w:tc>
        <w:tc>
          <w:tcPr>
            <w:tcW w:w="1388" w:type="dxa"/>
          </w:tcPr>
          <w:p>
            <w:pPr>
              <w:rPr>
                <w:noProof/>
                <w:sz w:val="20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2021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2022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2023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2024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2025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2026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2027</w:t>
            </w:r>
          </w:p>
        </w:tc>
        <w:tc>
          <w:tcPr>
            <w:tcW w:w="1033" w:type="dxa"/>
          </w:tcPr>
          <w:p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w:t>Wara l-2027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TOTAL</w:t>
            </w:r>
          </w:p>
        </w:tc>
      </w:tr>
      <w:t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Nefqa operazzjonali iffinanzjata minn dħul assenjat estern tal-EURI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Impenji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14"/>
                <w:szCs w:val="14"/>
              </w:rPr>
              <w:t>(1)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8 116,000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4 139,000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4 222,000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i/>
                <w:noProof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16 477,000</w:t>
            </w:r>
          </w:p>
        </w:tc>
      </w:tr>
      <w:t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Pagamenti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14"/>
                <w:szCs w:val="14"/>
              </w:rPr>
              <w:t>(2)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2 029,000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3 875,350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4 938,950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3 531,000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1 680,500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422,200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16 477,000</w:t>
            </w:r>
          </w:p>
        </w:tc>
      </w:tr>
      <w:t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FAEŻR – Assistenza teknika operazzjonali (kontribuzzjoni mid-dħul assenjat estern tal-EURI)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Impenji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(1)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p.m.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p.m.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p.m.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p.m.</w:t>
            </w:r>
          </w:p>
        </w:tc>
      </w:tr>
      <w:t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Pagamenti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(2)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p.m.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p.m.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p.m.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p.m.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p.m.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p.m.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p.m.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p.m.</w:t>
            </w:r>
          </w:p>
        </w:tc>
      </w:tr>
      <w:t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Nefqa ta’ appoġġ amministrattiv (kontribuzzjoni mid-dħul assenjat estern tal-EURI)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w:t>Impenji = Pagamenti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14"/>
                <w:szCs w:val="14"/>
              </w:rPr>
              <w:t>(3)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1,000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1,000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1,000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6,000</w:t>
            </w:r>
          </w:p>
        </w:tc>
      </w:tr>
      <w:t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Dħul assenjat estern totali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Impenji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14"/>
                <w:szCs w:val="14"/>
              </w:rPr>
              <w:t>=1+3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8 117,000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4 140,000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4 223,000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1,000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i/>
                <w:noProof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16 483,000</w:t>
            </w:r>
          </w:p>
        </w:tc>
      </w:tr>
      <w:t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Pagamenti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noProof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=2+3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2 030,000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3 876,350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4 939,950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3 532,000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1 681,500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423,200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16 483,000</w:t>
            </w:r>
          </w:p>
        </w:tc>
      </w:tr>
    </w:tbl>
    <w:p>
      <w:pPr>
        <w:rPr>
          <w:i/>
          <w:noProof/>
        </w:rPr>
      </w:pPr>
      <w:r>
        <w:rPr>
          <w:i/>
          <w:iCs/>
          <w:noProof/>
        </w:rPr>
        <w:t>Apparti l-pakkett finanzjarju definit fl-Artikolu 6 tar-Regolament</w:t>
      </w:r>
      <w:r>
        <w:rPr>
          <w:noProof/>
        </w:rPr>
        <w:t xml:space="preserve"> </w:t>
      </w:r>
      <w:r>
        <w:rPr>
          <w:noProof/>
          <w:color w:val="0000FF"/>
        </w:rPr>
        <w:t xml:space="preserve">COM(2018) 460 final, </w:t>
      </w:r>
      <w:r>
        <w:rPr>
          <w:i/>
          <w:iCs/>
          <w:noProof/>
        </w:rPr>
        <w:t xml:space="preserve"> (“NDICI”), EUR 11 448,070 miljun (bil-prezzijiet kurrenti) se jkunu disponibbli bħala dħul assenjat estern, skont it-tifsira tal-Artikolu 21(5) tar-Regolament Finanzjarju bħala finanzjament mill-Istrument ta’ Rkupru tal-Unjoni Ewropea. Minn dan l-ammont, sa EUR 162,308 miljun jistgħu jiġu ddedikati għan-nefqa amministrattiva, inklużi l-ispejjeż għall-persunal estern.</w:t>
      </w:r>
    </w:p>
    <w:p>
      <w:pPr>
        <w:rPr>
          <w:noProof/>
          <w:color w:val="0000FF"/>
        </w:rPr>
      </w:pPr>
    </w:p>
    <w:p>
      <w:pPr>
        <w:rPr>
          <w:i/>
          <w:noProof/>
        </w:rPr>
      </w:pPr>
      <w:r>
        <w:rPr>
          <w:i/>
          <w:noProof/>
        </w:rPr>
        <w:t>It-tqassim indikattiv tan-nefqa minn dħul assenjat estern huwa kif ġej:</w:t>
      </w:r>
    </w:p>
    <w:p>
      <w:pPr>
        <w:rPr>
          <w:i/>
          <w:noProof/>
        </w:rPr>
      </w:pPr>
    </w:p>
    <w:tbl>
      <w:tblPr>
        <w:tblW w:w="13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388"/>
        <w:gridCol w:w="540"/>
        <w:gridCol w:w="990"/>
        <w:gridCol w:w="990"/>
        <w:gridCol w:w="990"/>
        <w:gridCol w:w="976"/>
        <w:gridCol w:w="1004"/>
        <w:gridCol w:w="990"/>
        <w:gridCol w:w="990"/>
        <w:gridCol w:w="1127"/>
      </w:tblGrid>
      <w:tr>
        <w:tc>
          <w:tcPr>
            <w:tcW w:w="3652" w:type="dxa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  <w:sz w:val="22"/>
              </w:rPr>
              <w:t>[Garanzija għall-Azzjoni Esterna - NDICI]</w:t>
            </w:r>
          </w:p>
        </w:tc>
        <w:tc>
          <w:tcPr>
            <w:tcW w:w="1388" w:type="dxa"/>
          </w:tcPr>
          <w:p>
            <w:pPr>
              <w:rPr>
                <w:noProof/>
                <w:sz w:val="20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2023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2024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2026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2027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TOTAL</w:t>
            </w:r>
          </w:p>
        </w:tc>
      </w:tr>
      <w:t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Nefqa operazzjonali minn dħul assenjat estern tal-EURI</w:t>
            </w:r>
          </w:p>
          <w:p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Impenji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14"/>
              </w:rPr>
              <w:t>(1)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3 265,383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3 331,093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2 274,063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2 320,063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27,383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33,389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34,389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11 285,762 </w:t>
            </w:r>
          </w:p>
        </w:tc>
      </w:tr>
      <w:t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Pagamenti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14"/>
              </w:rPr>
              <w:t>(2)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23,133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1 883,383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1 883,383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1 883,383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1 883,383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1 888,389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1 840,709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11 285,762 </w:t>
            </w:r>
          </w:p>
        </w:tc>
      </w:tr>
      <w:t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Nefqa ta’ appoġġ amministrattiv mid-dħul assenjat estern tal-EURI</w:t>
            </w:r>
          </w:p>
          <w:p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18"/>
              </w:rPr>
              <w:t>Impenji = Pagamenti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14"/>
              </w:rPr>
              <w:t>(3)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24,617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24,617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24,617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24,617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24,617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19,611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19,611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162,308 </w:t>
            </w:r>
          </w:p>
        </w:tc>
      </w:tr>
      <w:t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Dħul assenjat estern totali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Impenji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14"/>
              </w:rPr>
              <w:t>=1+3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3 290,000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3 355,710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2 298,680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2 344,680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52,000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53,000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54,000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11 448,070 </w:t>
            </w:r>
          </w:p>
        </w:tc>
      </w:tr>
      <w:t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Pagamenti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=2+3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47,750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1 908,000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1 908,000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1 908,000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1 908,000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1 908,000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1 860,320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11 448,070 </w:t>
            </w:r>
          </w:p>
        </w:tc>
      </w:tr>
    </w:tbl>
    <w:p>
      <w:pPr>
        <w:rPr>
          <w:noProof/>
        </w:rPr>
      </w:pPr>
    </w:p>
    <w:p>
      <w:pPr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1080"/>
        <w:gridCol w:w="7817"/>
      </w:tblGrid>
      <w:tr>
        <w:trPr>
          <w:jc w:val="center"/>
        </w:trPr>
        <w:tc>
          <w:tcPr>
            <w:tcW w:w="4744" w:type="dxa"/>
            <w:shd w:val="thinDiagStripe" w:color="C0C0C0" w:fill="auto"/>
            <w:vAlign w:val="center"/>
          </w:tcPr>
          <w:p>
            <w:pPr>
              <w:spacing w:before="60" w:after="60"/>
              <w:jc w:val="center"/>
              <w:rPr>
                <w:b/>
                <w:noProof/>
              </w:rPr>
            </w:pPr>
            <w:r>
              <w:rPr>
                <w:noProof/>
              </w:rPr>
              <w:br w:type="page"/>
            </w:r>
            <w:r>
              <w:rPr>
                <w:b/>
                <w:noProof/>
                <w:sz w:val="22"/>
              </w:rPr>
              <w:t xml:space="preserve">L-intestatura tal-qafas finanzjarju </w:t>
            </w:r>
            <w:r>
              <w:rPr>
                <w:noProof/>
                <w:sz w:val="22"/>
              </w:rPr>
              <w:br/>
            </w:r>
            <w:r>
              <w:rPr>
                <w:b/>
                <w:noProof/>
                <w:sz w:val="22"/>
              </w:rPr>
              <w:t xml:space="preserve">pluriennali </w:t>
            </w:r>
          </w:p>
        </w:tc>
        <w:tc>
          <w:tcPr>
            <w:tcW w:w="1080" w:type="dxa"/>
            <w:shd w:val="thinDiagStripe" w:color="C0C0C0" w:fill="auto"/>
            <w:vAlign w:val="center"/>
          </w:tcPr>
          <w:p>
            <w:pPr>
              <w:spacing w:before="60" w:after="60"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7817" w:type="dxa"/>
            <w:vAlign w:val="center"/>
          </w:tcPr>
          <w:p>
            <w:pPr>
              <w:spacing w:before="60" w:after="60"/>
              <w:rPr>
                <w:noProof/>
              </w:rPr>
            </w:pPr>
            <w:r>
              <w:rPr>
                <w:noProof/>
                <w:sz w:val="22"/>
              </w:rPr>
              <w:t>“Nefqa amministrattiva”</w:t>
            </w:r>
          </w:p>
        </w:tc>
      </w:tr>
    </w:tbl>
    <w:p>
      <w:pPr>
        <w:jc w:val="left"/>
        <w:rPr>
          <w:noProof/>
          <w:color w:val="0000FF"/>
        </w:rPr>
      </w:pPr>
    </w:p>
    <w:p>
      <w:pPr>
        <w:jc w:val="left"/>
        <w:rPr>
          <w:noProof/>
        </w:rPr>
      </w:pPr>
    </w:p>
    <w:p>
      <w:pPr>
        <w:jc w:val="right"/>
        <w:rPr>
          <w:noProof/>
          <w:sz w:val="20"/>
        </w:rPr>
      </w:pPr>
      <w:r>
        <w:rPr>
          <w:noProof/>
          <w:sz w:val="20"/>
        </w:rPr>
        <w:t>Miljuni ta’ EUR (sa tliet punti deċimali)</w:t>
      </w:r>
    </w:p>
    <w:tbl>
      <w:tblPr>
        <w:tblW w:w="13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9"/>
        <w:gridCol w:w="2046"/>
        <w:gridCol w:w="868"/>
        <w:gridCol w:w="868"/>
        <w:gridCol w:w="868"/>
        <w:gridCol w:w="868"/>
        <w:gridCol w:w="868"/>
        <w:gridCol w:w="868"/>
        <w:gridCol w:w="868"/>
        <w:gridCol w:w="1291"/>
      </w:tblGrid>
      <w:tr>
        <w:trPr>
          <w:jc w:val="center"/>
        </w:trPr>
        <w:tc>
          <w:tcPr>
            <w:tcW w:w="6245" w:type="dxa"/>
            <w:gridSpan w:val="2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2021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2022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2023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2024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2025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2026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2027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TOTAL</w:t>
            </w:r>
          </w:p>
        </w:tc>
      </w:tr>
      <w:tr>
        <w:trPr>
          <w:trHeight w:val="313"/>
          <w:jc w:val="center"/>
        </w:trPr>
        <w:tc>
          <w:tcPr>
            <w:tcW w:w="6245" w:type="dxa"/>
            <w:gridSpan w:val="2"/>
            <w:vAlign w:val="center"/>
          </w:tcPr>
          <w:p>
            <w:pPr>
              <w:spacing w:before="20" w:after="20"/>
              <w:rPr>
                <w:noProof/>
              </w:rPr>
            </w:pPr>
            <w:r>
              <w:rPr>
                <w:noProof/>
                <w:sz w:val="22"/>
              </w:rPr>
              <w:t xml:space="preserve">Riżorsi umani 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</w:tr>
      <w:tr>
        <w:trPr>
          <w:trHeight w:val="351"/>
          <w:jc w:val="center"/>
        </w:trPr>
        <w:tc>
          <w:tcPr>
            <w:tcW w:w="6245" w:type="dxa"/>
            <w:gridSpan w:val="2"/>
            <w:vAlign w:val="center"/>
          </w:tcPr>
          <w:p>
            <w:pPr>
              <w:spacing w:before="20" w:after="20"/>
              <w:rPr>
                <w:noProof/>
              </w:rPr>
            </w:pPr>
            <w:r>
              <w:rPr>
                <w:noProof/>
                <w:sz w:val="22"/>
              </w:rPr>
              <w:lastRenderedPageBreak/>
              <w:t xml:space="preserve">Infiq amministrattiv ieħor 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</w:p>
        </w:tc>
      </w:tr>
      <w:tr>
        <w:trPr>
          <w:trHeight w:val="351"/>
          <w:jc w:val="center"/>
        </w:trPr>
        <w:tc>
          <w:tcPr>
            <w:tcW w:w="4199" w:type="dxa"/>
            <w:vAlign w:val="center"/>
          </w:tcPr>
          <w:p>
            <w:pPr>
              <w:spacing w:before="20" w:after="20"/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TOTAL tal-approprjazzjonijiet skont l-INTESTATURA 7 tal-qafas finanzjarju pluriennali</w:t>
            </w:r>
          </w:p>
        </w:tc>
        <w:tc>
          <w:tcPr>
            <w:tcW w:w="2046" w:type="dxa"/>
            <w:vAlign w:val="center"/>
          </w:tcPr>
          <w:p>
            <w:pPr>
              <w:spacing w:before="20" w:after="20"/>
              <w:rPr>
                <w:noProof/>
                <w:sz w:val="22"/>
              </w:rPr>
            </w:pPr>
            <w:r>
              <w:rPr>
                <w:noProof/>
                <w:sz w:val="18"/>
              </w:rPr>
              <w:t>(Total ta’ impenji = Total ta’ pagamenti)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-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-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-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-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-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-</w:t>
            </w:r>
          </w:p>
        </w:tc>
        <w:tc>
          <w:tcPr>
            <w:tcW w:w="868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-</w:t>
            </w:r>
          </w:p>
        </w:tc>
        <w:tc>
          <w:tcPr>
            <w:tcW w:w="1291" w:type="dxa"/>
            <w:vAlign w:val="center"/>
          </w:tcPr>
          <w:p>
            <w:pPr>
              <w:spacing w:before="20" w:after="20"/>
              <w:jc w:val="right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-</w:t>
            </w:r>
          </w:p>
        </w:tc>
      </w:tr>
    </w:tbl>
    <w:p>
      <w:pPr>
        <w:rPr>
          <w:noProof/>
        </w:rPr>
        <w:sectPr>
          <w:headerReference w:type="default" r:id="rId16"/>
          <w:footerReference w:type="default" r:id="rId17"/>
          <w:headerReference w:type="first" r:id="rId18"/>
          <w:footerReference w:type="first" r:id="rId19"/>
          <w:pgSz w:w="16840" w:h="11907" w:orient="landscape" w:code="9"/>
          <w:pgMar w:top="1134" w:right="1418" w:bottom="1134" w:left="1418" w:header="709" w:footer="709" w:gutter="0"/>
          <w:cols w:space="708"/>
          <w:docGrid w:linePitch="360"/>
        </w:sectPr>
      </w:pPr>
    </w:p>
    <w:p>
      <w:pPr>
        <w:keepNext/>
        <w:outlineLvl w:val="2"/>
        <w:rPr>
          <w:rFonts w:eastAsiaTheme="majorEastAsia"/>
          <w:i/>
          <w:noProof/>
          <w:szCs w:val="24"/>
        </w:rPr>
      </w:pPr>
      <w:r>
        <w:rPr>
          <w:bCs/>
          <w:i/>
          <w:noProof/>
        </w:rPr>
        <w:lastRenderedPageBreak/>
        <w:t>Sommarju tal-impatt stmat fuq l-approprjazzjonijiet ta’ natura amministrattiva</w:t>
      </w:r>
    </w:p>
    <w:p>
      <w:pPr>
        <w:rPr>
          <w:rFonts w:eastAsia="Times New Roman"/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 xml:space="preserve">Il-proposta/l-inizjattiva ma tirrikjedix l-użu ta’ approprjazzjonijiet ta’ natura amministrattiva </w:t>
      </w:r>
    </w:p>
    <w:p>
      <w:pPr>
        <w:rPr>
          <w:rFonts w:eastAsia="Times New Roman"/>
          <w:noProof/>
        </w:rPr>
      </w:pPr>
      <w:r>
        <w:rPr>
          <w:noProof/>
        </w:rPr>
        <w:t>X</w:t>
      </w:r>
      <w:r>
        <w:rPr>
          <w:noProof/>
        </w:rPr>
        <w:tab/>
        <w:t>Il-proposta/l-inizjattiva tirrikjedi l-użu ta’ approprjazzjonijiet ta’ natura amministrattiva, kif spjegat hawn taħt:</w:t>
      </w:r>
    </w:p>
    <w:p>
      <w:pPr>
        <w:rPr>
          <w:noProof/>
          <w:sz w:val="20"/>
        </w:rPr>
      </w:pPr>
      <w:r>
        <w:rPr>
          <w:noProof/>
          <w:sz w:val="20"/>
        </w:rPr>
        <w:t>Miljuni ta’ EUR (sa tliet punti deċimali)</w:t>
      </w:r>
    </w:p>
    <w:tbl>
      <w:tblPr>
        <w:tblW w:w="10620" w:type="dxa"/>
        <w:tblInd w:w="-6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trHeight w:val="585"/>
        </w:trPr>
        <w:tc>
          <w:tcPr>
            <w:tcW w:w="1980" w:type="dxa"/>
            <w:vAlign w:val="center"/>
          </w:tcPr>
          <w:p>
            <w:pPr>
              <w:spacing w:before="60" w:after="60" w:line="200" w:lineRule="exact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Snin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20"/>
              </w:rPr>
              <w:t>2021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20"/>
              </w:rPr>
              <w:t>2022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20"/>
              </w:rPr>
              <w:t>2023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20"/>
              </w:rPr>
              <w:t>2024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2025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2026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2027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20"/>
              </w:rPr>
              <w:t>TOTAL</w:t>
            </w:r>
          </w:p>
        </w:tc>
      </w:tr>
    </w:tbl>
    <w:p>
      <w:pPr>
        <w:spacing w:line="200" w:lineRule="exact"/>
        <w:rPr>
          <w:noProof/>
          <w:sz w:val="16"/>
          <w:szCs w:val="16"/>
        </w:rPr>
      </w:pPr>
    </w:p>
    <w:tbl>
      <w:tblPr>
        <w:tblW w:w="10620" w:type="dxa"/>
        <w:tblInd w:w="-6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trHeight w:val="585"/>
        </w:trPr>
        <w:tc>
          <w:tcPr>
            <w:tcW w:w="1980" w:type="dxa"/>
            <w:shd w:val="clear" w:color="auto" w:fill="CCCCCC"/>
            <w:vAlign w:val="center"/>
          </w:tcPr>
          <w:p>
            <w:pPr>
              <w:spacing w:before="60" w:after="60" w:line="200" w:lineRule="exact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HEADING 7</w:t>
            </w:r>
            <w:r>
              <w:rPr>
                <w:noProof/>
                <w:sz w:val="22"/>
              </w:rPr>
              <w:br/>
            </w:r>
            <w:r>
              <w:rPr>
                <w:b/>
                <w:noProof/>
                <w:sz w:val="16"/>
              </w:rPr>
              <w:t>tal-qafas finanzjarju pluriennali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</w:p>
        </w:tc>
      </w:tr>
      <w:tr>
        <w:trPr>
          <w:trHeight w:val="585"/>
        </w:trPr>
        <w:tc>
          <w:tcPr>
            <w:tcW w:w="1980" w:type="dxa"/>
            <w:vAlign w:val="center"/>
          </w:tcPr>
          <w:p>
            <w:pPr>
              <w:spacing w:before="60" w:after="60" w:line="200" w:lineRule="exact"/>
              <w:ind w:left="72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 xml:space="preserve">Riżorsi umani 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</w:p>
        </w:tc>
      </w:tr>
      <w:tr>
        <w:trPr>
          <w:trHeight w:val="585"/>
        </w:trPr>
        <w:tc>
          <w:tcPr>
            <w:tcW w:w="1980" w:type="dxa"/>
            <w:vAlign w:val="center"/>
          </w:tcPr>
          <w:p>
            <w:pPr>
              <w:spacing w:before="60" w:after="60" w:line="200" w:lineRule="exact"/>
              <w:ind w:left="72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w:t xml:space="preserve">Infiq amministrattiv ieħor 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b/>
                <w:noProof/>
                <w:sz w:val="16"/>
                <w:szCs w:val="16"/>
              </w:rPr>
            </w:pPr>
          </w:p>
        </w:tc>
      </w:tr>
      <w:tr>
        <w:trPr>
          <w:trHeight w:val="585"/>
        </w:trPr>
        <w:tc>
          <w:tcPr>
            <w:tcW w:w="1980" w:type="dxa"/>
            <w:shd w:val="clear" w:color="auto" w:fill="CCCCCC"/>
            <w:vAlign w:val="center"/>
          </w:tcPr>
          <w:p>
            <w:pPr>
              <w:spacing w:before="60" w:after="60" w:line="200" w:lineRule="exact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>Subtotal HEADING 7</w:t>
            </w:r>
            <w:r>
              <w:rPr>
                <w:noProof/>
                <w:sz w:val="22"/>
              </w:rPr>
              <w:br/>
            </w:r>
            <w:r>
              <w:rPr>
                <w:b/>
                <w:noProof/>
                <w:sz w:val="16"/>
              </w:rPr>
              <w:t>tal-qafas finanzjarju pluriennali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-</w:t>
            </w:r>
          </w:p>
        </w:tc>
      </w:tr>
    </w:tbl>
    <w:p>
      <w:pPr>
        <w:spacing w:line="200" w:lineRule="exact"/>
        <w:rPr>
          <w:noProof/>
          <w:sz w:val="16"/>
          <w:szCs w:val="16"/>
        </w:rPr>
      </w:pPr>
    </w:p>
    <w:tbl>
      <w:tblPr>
        <w:tblW w:w="10620" w:type="dxa"/>
        <w:tblInd w:w="-6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trHeight w:val="585"/>
        </w:trPr>
        <w:tc>
          <w:tcPr>
            <w:tcW w:w="1980" w:type="dxa"/>
            <w:shd w:val="clear" w:color="auto" w:fill="CCCCCC"/>
            <w:vAlign w:val="center"/>
          </w:tcPr>
          <w:p>
            <w:pPr>
              <w:spacing w:before="60" w:after="60" w:line="200" w:lineRule="exact"/>
              <w:jc w:val="center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Barra mill-INTESTATURA 7</w:t>
            </w:r>
            <w:r>
              <w:rPr>
                <w:rStyle w:val="FootnoteReference"/>
                <w:noProof/>
              </w:rPr>
              <w:footnoteReference w:id="16"/>
            </w:r>
            <w:r>
              <w:rPr>
                <w:noProof/>
                <w:sz w:val="22"/>
              </w:rPr>
              <w:br/>
            </w:r>
            <w:r>
              <w:rPr>
                <w:b/>
                <w:noProof/>
                <w:sz w:val="16"/>
                <w:szCs w:val="16"/>
              </w:rPr>
              <w:t xml:space="preserve">tal-qafas finanzjarju pluriennali </w:t>
            </w:r>
          </w:p>
          <w:p>
            <w:pPr>
              <w:spacing w:before="0" w:after="0" w:line="200" w:lineRule="exact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</w:p>
        </w:tc>
      </w:tr>
      <w:tr>
        <w:trPr>
          <w:trHeight w:val="585"/>
        </w:trPr>
        <w:tc>
          <w:tcPr>
            <w:tcW w:w="1980" w:type="dxa"/>
            <w:vAlign w:val="center"/>
          </w:tcPr>
          <w:p>
            <w:pPr>
              <w:spacing w:before="60" w:after="60" w:line="200" w:lineRule="exact"/>
              <w:ind w:left="72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Riżorsi umani - dħul assenjat estern (riċerka) 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6,000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6,000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6,000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4,800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2,400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1,600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1,200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28,000</w:t>
            </w:r>
          </w:p>
        </w:tc>
      </w:tr>
      <w:tr>
        <w:trPr>
          <w:trHeight w:val="585"/>
        </w:trPr>
        <w:tc>
          <w:tcPr>
            <w:tcW w:w="1980" w:type="dxa"/>
            <w:vAlign w:val="center"/>
          </w:tcPr>
          <w:p>
            <w:pPr>
              <w:spacing w:before="60" w:after="60" w:line="200" w:lineRule="exact"/>
              <w:ind w:left="72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Other expenditure </w:t>
            </w:r>
            <w:r>
              <w:rPr>
                <w:noProof/>
                <w:sz w:val="22"/>
              </w:rPr>
              <w:br/>
            </w:r>
            <w:r>
              <w:rPr>
                <w:noProof/>
                <w:sz w:val="16"/>
                <w:szCs w:val="16"/>
              </w:rPr>
              <w:t xml:space="preserve">ta’ natura amministrattiva - dħul assenjat estern (riċerka) 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120,980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191,680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126,110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101,590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48,600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35,400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36,800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</w:p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661,160</w:t>
            </w:r>
          </w:p>
        </w:tc>
      </w:tr>
      <w:tr>
        <w:trPr>
          <w:trHeight w:val="585"/>
        </w:trPr>
        <w:tc>
          <w:tcPr>
            <w:tcW w:w="1980" w:type="dxa"/>
            <w:vAlign w:val="center"/>
          </w:tcPr>
          <w:p>
            <w:pPr>
              <w:spacing w:before="60" w:after="60" w:line="200" w:lineRule="exact"/>
              <w:ind w:left="72"/>
              <w:jc w:val="left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Subtotal tad-dħul assenjat estern (riċerka)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8"/>
                <w:szCs w:val="18"/>
              </w:rPr>
              <w:t>126,980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8"/>
                <w:szCs w:val="18"/>
              </w:rPr>
              <w:t>197,680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8"/>
                <w:szCs w:val="18"/>
              </w:rPr>
              <w:t>132,110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8"/>
                <w:szCs w:val="18"/>
              </w:rPr>
              <w:t>106,390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8"/>
                <w:szCs w:val="18"/>
              </w:rPr>
              <w:t>51,000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8"/>
                <w:szCs w:val="18"/>
              </w:rPr>
              <w:t>37,000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8"/>
                <w:szCs w:val="18"/>
              </w:rPr>
              <w:t>38,000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8"/>
                <w:szCs w:val="18"/>
              </w:rPr>
              <w:t>689,160</w:t>
            </w:r>
          </w:p>
        </w:tc>
      </w:tr>
      <w:tr>
        <w:trPr>
          <w:trHeight w:val="585"/>
        </w:trPr>
        <w:tc>
          <w:tcPr>
            <w:tcW w:w="1980" w:type="dxa"/>
            <w:vAlign w:val="center"/>
          </w:tcPr>
          <w:p>
            <w:pPr>
              <w:spacing w:before="60" w:after="60" w:line="200" w:lineRule="exact"/>
              <w:ind w:left="72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Riżorsi umani - dħul assenjat estern (mhux ta’ riċerka) - NDICI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16,440 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16,440 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16,440 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16,440 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16,440 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11,434 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11,434 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 105,068 </w:t>
            </w:r>
          </w:p>
        </w:tc>
      </w:tr>
      <w:tr>
        <w:trPr>
          <w:trHeight w:val="585"/>
        </w:trPr>
        <w:tc>
          <w:tcPr>
            <w:tcW w:w="1980" w:type="dxa"/>
            <w:vAlign w:val="center"/>
          </w:tcPr>
          <w:p>
            <w:pPr>
              <w:spacing w:before="60" w:after="60" w:line="200" w:lineRule="exact"/>
              <w:ind w:left="72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Other expenditure </w:t>
            </w:r>
            <w:r>
              <w:rPr>
                <w:noProof/>
                <w:sz w:val="22"/>
              </w:rPr>
              <w:br/>
            </w:r>
            <w:r>
              <w:rPr>
                <w:noProof/>
                <w:sz w:val="16"/>
                <w:szCs w:val="16"/>
              </w:rPr>
              <w:t>ta’ natura amministrattiva - dħul assenjat estern (mhux ta’ riċerka) - NDICI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8,177 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8,177 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8,177 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8,177 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8,177 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8,177 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8,177 </w:t>
            </w:r>
          </w:p>
        </w:tc>
        <w:tc>
          <w:tcPr>
            <w:tcW w:w="1080" w:type="dxa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57,240 </w:t>
            </w:r>
          </w:p>
        </w:tc>
      </w:tr>
      <w:tr>
        <w:trPr>
          <w:trHeight w:val="585"/>
        </w:trPr>
        <w:tc>
          <w:tcPr>
            <w:tcW w:w="1980" w:type="dxa"/>
            <w:vAlign w:val="center"/>
          </w:tcPr>
          <w:p>
            <w:pPr>
              <w:spacing w:before="60" w:after="60" w:line="200" w:lineRule="exact"/>
              <w:ind w:left="72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Riżorsi umani - dħul assenjat estern (mhux ta’ riċerka) - FAEŻR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0,000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0,720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0,720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0,720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0,720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0,720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0,000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3,600</w:t>
            </w:r>
          </w:p>
        </w:tc>
      </w:tr>
      <w:tr>
        <w:trPr>
          <w:trHeight w:val="585"/>
        </w:trPr>
        <w:tc>
          <w:tcPr>
            <w:tcW w:w="1980" w:type="dxa"/>
            <w:vAlign w:val="center"/>
          </w:tcPr>
          <w:p>
            <w:pPr>
              <w:spacing w:before="60" w:after="60" w:line="200" w:lineRule="exact"/>
              <w:ind w:left="72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Other expenditure </w:t>
            </w:r>
            <w:r>
              <w:rPr>
                <w:noProof/>
                <w:sz w:val="22"/>
              </w:rPr>
              <w:br/>
            </w:r>
            <w:r>
              <w:rPr>
                <w:noProof/>
                <w:sz w:val="16"/>
                <w:szCs w:val="16"/>
              </w:rPr>
              <w:t xml:space="preserve">ta’ natura amministrattiva - dħul assenjat estern (mhux ta’ riċerka) - </w:t>
            </w:r>
            <w:r>
              <w:rPr>
                <w:noProof/>
                <w:sz w:val="16"/>
                <w:szCs w:val="16"/>
              </w:rPr>
              <w:lastRenderedPageBreak/>
              <w:t>FAEŻR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lastRenderedPageBreak/>
              <w:t>0,000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0,280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0,280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0,280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0,280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0,280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1,000</w:t>
            </w:r>
          </w:p>
        </w:tc>
        <w:tc>
          <w:tcPr>
            <w:tcW w:w="1080" w:type="dxa"/>
            <w:vAlign w:val="center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2,400</w:t>
            </w:r>
          </w:p>
        </w:tc>
      </w:tr>
      <w:tr>
        <w:trPr>
          <w:trHeight w:val="585"/>
        </w:trPr>
        <w:tc>
          <w:tcPr>
            <w:tcW w:w="1980" w:type="dxa"/>
            <w:vAlign w:val="center"/>
          </w:tcPr>
          <w:p>
            <w:pPr>
              <w:spacing w:before="60" w:after="60" w:line="200" w:lineRule="exact"/>
              <w:ind w:left="72"/>
              <w:jc w:val="left"/>
              <w:rPr>
                <w:noProof/>
                <w:sz w:val="16"/>
              </w:rPr>
            </w:pPr>
            <w:r>
              <w:rPr>
                <w:noProof/>
                <w:sz w:val="16"/>
              </w:rPr>
              <w:lastRenderedPageBreak/>
              <w:t>Subtotal tad-dħul assenjat estern (mhux ta’ riċerka)</w:t>
            </w:r>
          </w:p>
        </w:tc>
        <w:tc>
          <w:tcPr>
            <w:tcW w:w="1080" w:type="dxa"/>
            <w:vAlign w:val="bottom"/>
          </w:tcPr>
          <w:p>
            <w:pPr>
              <w:spacing w:before="60" w:after="60" w:line="200" w:lineRule="exact"/>
              <w:rPr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22"/>
              </w:rPr>
              <w:t>24,617</w:t>
            </w:r>
          </w:p>
        </w:tc>
        <w:tc>
          <w:tcPr>
            <w:tcW w:w="1080" w:type="dxa"/>
            <w:vAlign w:val="bottom"/>
          </w:tcPr>
          <w:p>
            <w:pPr>
              <w:spacing w:before="60" w:after="60" w:line="200" w:lineRule="exact"/>
              <w:rPr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22"/>
              </w:rPr>
              <w:t>25,617</w:t>
            </w:r>
          </w:p>
        </w:tc>
        <w:tc>
          <w:tcPr>
            <w:tcW w:w="1080" w:type="dxa"/>
            <w:vAlign w:val="bottom"/>
          </w:tcPr>
          <w:p>
            <w:pPr>
              <w:spacing w:before="60" w:after="60" w:line="200" w:lineRule="exact"/>
              <w:rPr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22"/>
              </w:rPr>
              <w:t>25,617</w:t>
            </w:r>
          </w:p>
        </w:tc>
        <w:tc>
          <w:tcPr>
            <w:tcW w:w="1080" w:type="dxa"/>
            <w:vAlign w:val="bottom"/>
          </w:tcPr>
          <w:p>
            <w:pPr>
              <w:spacing w:before="60" w:after="60" w:line="200" w:lineRule="exact"/>
              <w:rPr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22"/>
              </w:rPr>
              <w:t>25,617</w:t>
            </w:r>
          </w:p>
        </w:tc>
        <w:tc>
          <w:tcPr>
            <w:tcW w:w="1080" w:type="dxa"/>
            <w:vAlign w:val="bottom"/>
          </w:tcPr>
          <w:p>
            <w:pPr>
              <w:spacing w:before="60" w:after="60" w:line="200" w:lineRule="exact"/>
              <w:rPr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22"/>
              </w:rPr>
              <w:t>25,617</w:t>
            </w:r>
          </w:p>
        </w:tc>
        <w:tc>
          <w:tcPr>
            <w:tcW w:w="1080" w:type="dxa"/>
            <w:vAlign w:val="bottom"/>
          </w:tcPr>
          <w:p>
            <w:pPr>
              <w:spacing w:before="60" w:after="60" w:line="200" w:lineRule="exact"/>
              <w:rPr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22"/>
              </w:rPr>
              <w:t>20,611</w:t>
            </w:r>
          </w:p>
        </w:tc>
        <w:tc>
          <w:tcPr>
            <w:tcW w:w="1080" w:type="dxa"/>
            <w:vAlign w:val="bottom"/>
          </w:tcPr>
          <w:p>
            <w:pPr>
              <w:spacing w:before="60" w:after="60" w:line="200" w:lineRule="exact"/>
              <w:rPr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22"/>
              </w:rPr>
              <w:t>20,611</w:t>
            </w:r>
          </w:p>
        </w:tc>
        <w:tc>
          <w:tcPr>
            <w:tcW w:w="1080" w:type="dxa"/>
            <w:vAlign w:val="bottom"/>
          </w:tcPr>
          <w:p>
            <w:pPr>
              <w:spacing w:before="60" w:after="60" w:line="200" w:lineRule="exact"/>
              <w:rPr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22"/>
              </w:rPr>
              <w:t>168,307</w:t>
            </w:r>
          </w:p>
        </w:tc>
      </w:tr>
      <w:tr>
        <w:trPr>
          <w:trHeight w:val="585"/>
        </w:trPr>
        <w:tc>
          <w:tcPr>
            <w:tcW w:w="1980" w:type="dxa"/>
            <w:shd w:val="clear" w:color="auto" w:fill="CCCCCC"/>
            <w:vAlign w:val="center"/>
          </w:tcPr>
          <w:p>
            <w:pPr>
              <w:spacing w:before="60" w:after="60" w:line="200" w:lineRule="exact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t xml:space="preserve">Subtotal </w:t>
            </w:r>
            <w:r>
              <w:rPr>
                <w:noProof/>
                <w:sz w:val="22"/>
              </w:rPr>
              <w:br/>
            </w:r>
            <w:r>
              <w:rPr>
                <w:b/>
                <w:noProof/>
                <w:sz w:val="16"/>
              </w:rPr>
              <w:t>barra mill-INTESTATURA 7</w:t>
            </w:r>
            <w:r>
              <w:rPr>
                <w:noProof/>
                <w:sz w:val="22"/>
              </w:rPr>
              <w:br/>
            </w:r>
            <w:r>
              <w:rPr>
                <w:b/>
                <w:noProof/>
                <w:sz w:val="16"/>
              </w:rPr>
              <w:t xml:space="preserve">of the multiannual financial framework </w:t>
            </w:r>
          </w:p>
        </w:tc>
        <w:tc>
          <w:tcPr>
            <w:tcW w:w="1080" w:type="dxa"/>
            <w:vAlign w:val="bottom"/>
          </w:tcPr>
          <w:p>
            <w:pPr>
              <w:spacing w:before="60" w:after="60" w:line="200" w:lineRule="exact"/>
              <w:jc w:val="right"/>
              <w:rPr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22"/>
              </w:rPr>
              <w:t>151,597</w:t>
            </w:r>
          </w:p>
        </w:tc>
        <w:tc>
          <w:tcPr>
            <w:tcW w:w="1080" w:type="dxa"/>
            <w:vAlign w:val="bottom"/>
          </w:tcPr>
          <w:p>
            <w:pPr>
              <w:spacing w:before="60" w:after="60" w:line="200" w:lineRule="exact"/>
              <w:rPr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22"/>
              </w:rPr>
              <w:t>223,297</w:t>
            </w:r>
          </w:p>
        </w:tc>
        <w:tc>
          <w:tcPr>
            <w:tcW w:w="1080" w:type="dxa"/>
            <w:vAlign w:val="bottom"/>
          </w:tcPr>
          <w:p>
            <w:pPr>
              <w:spacing w:before="60" w:after="60" w:line="200" w:lineRule="exact"/>
              <w:rPr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22"/>
              </w:rPr>
              <w:t>157,727</w:t>
            </w:r>
          </w:p>
        </w:tc>
        <w:tc>
          <w:tcPr>
            <w:tcW w:w="1080" w:type="dxa"/>
            <w:vAlign w:val="bottom"/>
          </w:tcPr>
          <w:p>
            <w:pPr>
              <w:spacing w:before="60" w:after="60" w:line="200" w:lineRule="exact"/>
              <w:rPr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22"/>
              </w:rPr>
              <w:t>132,007</w:t>
            </w:r>
          </w:p>
        </w:tc>
        <w:tc>
          <w:tcPr>
            <w:tcW w:w="1080" w:type="dxa"/>
            <w:vAlign w:val="bottom"/>
          </w:tcPr>
          <w:p>
            <w:pPr>
              <w:spacing w:before="60" w:after="60" w:line="200" w:lineRule="exact"/>
              <w:rPr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22"/>
              </w:rPr>
              <w:t>76,617</w:t>
            </w:r>
          </w:p>
        </w:tc>
        <w:tc>
          <w:tcPr>
            <w:tcW w:w="1080" w:type="dxa"/>
            <w:vAlign w:val="bottom"/>
          </w:tcPr>
          <w:p>
            <w:pPr>
              <w:spacing w:before="60" w:after="60" w:line="200" w:lineRule="exact"/>
              <w:rPr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22"/>
              </w:rPr>
              <w:t>57,611</w:t>
            </w:r>
          </w:p>
        </w:tc>
        <w:tc>
          <w:tcPr>
            <w:tcW w:w="1080" w:type="dxa"/>
            <w:vAlign w:val="bottom"/>
          </w:tcPr>
          <w:p>
            <w:pPr>
              <w:spacing w:before="60" w:after="60" w:line="200" w:lineRule="exact"/>
              <w:jc w:val="right"/>
              <w:rPr>
                <w:b/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22"/>
              </w:rPr>
              <w:t>58,611</w:t>
            </w:r>
          </w:p>
        </w:tc>
        <w:tc>
          <w:tcPr>
            <w:tcW w:w="1080" w:type="dxa"/>
            <w:vAlign w:val="bottom"/>
          </w:tcPr>
          <w:p>
            <w:pPr>
              <w:spacing w:before="60" w:after="60" w:line="200" w:lineRule="exact"/>
              <w:rPr>
                <w:b/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22"/>
              </w:rPr>
              <w:t>857,467</w:t>
            </w:r>
          </w:p>
        </w:tc>
      </w:tr>
    </w:tbl>
    <w:p>
      <w:pPr>
        <w:spacing w:line="200" w:lineRule="exact"/>
        <w:rPr>
          <w:noProof/>
          <w:sz w:val="16"/>
          <w:szCs w:val="16"/>
        </w:rPr>
      </w:pPr>
    </w:p>
    <w:p>
      <w:pPr>
        <w:rPr>
          <w:noProof/>
          <w:sz w:val="18"/>
          <w:szCs w:val="18"/>
        </w:rPr>
      </w:pPr>
      <w:r>
        <w:rPr>
          <w:noProof/>
          <w:sz w:val="18"/>
          <w:szCs w:val="18"/>
        </w:rPr>
        <w:t>L-approprjazzjonijiet meħtieġa għar-riżorsi umani u għal infiq ieħor ta’ natura amministrattiva se jiġu koperti mill-approprjazzjonijiet tad-DĠ li diġà jkunu assenjati għall-ġestjoni tal-azzjoni u/jew li diġà jkunu ġew riassenjati fid-DĠ, flimkien, jekk ikun meħtieġ, ma’ kwalunkwe allokazzjoni addizzjonali li tista’ tingħata lid-DĠ tal-ġestjoni skont il-proċedura annwali ta’ allokazzjoni u fid-dawl tal-limitazzjonijiet baġitarji. Persunal addizzjonali se jkun biss persunal estern u se jiġi ffinanzjat biss minn dħul assenjat.</w:t>
      </w:r>
    </w:p>
    <w:p>
      <w:pPr>
        <w:keepNext/>
        <w:outlineLvl w:val="3"/>
        <w:rPr>
          <w:rFonts w:eastAsiaTheme="majorEastAsia"/>
          <w:iCs/>
          <w:noProof/>
          <w:szCs w:val="24"/>
        </w:rPr>
      </w:pPr>
      <w:r>
        <w:rPr>
          <w:noProof/>
        </w:rPr>
        <w:t>Rekwiżiti stmati tar-riżorsi umani</w:t>
      </w:r>
    </w:p>
    <w:p>
      <w:pPr>
        <w:rPr>
          <w:rFonts w:eastAsia="Times New Roman"/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 xml:space="preserve">Il-proposta/l-inizjattiva ma tirrikjedix l-użu ta’ riżorsi umani. </w:t>
      </w:r>
    </w:p>
    <w:p>
      <w:pPr>
        <w:rPr>
          <w:rFonts w:eastAsia="Times New Roman"/>
          <w:noProof/>
        </w:rPr>
      </w:pPr>
      <w:r>
        <w:rPr>
          <w:noProof/>
        </w:rPr>
        <w:sym w:font="Wingdings" w:char="F0FE"/>
      </w:r>
      <w:r>
        <w:rPr>
          <w:noProof/>
        </w:rPr>
        <w:tab/>
        <w:t>Il-proposta/l-inizjattiva tirrikjedi l-użu ta’ riżorsi umani, kif spjegat hawn taħt:</w:t>
      </w:r>
    </w:p>
    <w:p>
      <w:pPr>
        <w:spacing w:after="60"/>
        <w:jc w:val="right"/>
        <w:rPr>
          <w:i/>
          <w:noProof/>
          <w:sz w:val="20"/>
        </w:rPr>
      </w:pPr>
      <w:r>
        <w:rPr>
          <w:i/>
          <w:noProof/>
          <w:sz w:val="20"/>
        </w:rPr>
        <w:t>L-istima trid tiġi espressa f’unitajiet ekwivalenti għall-full-time</w:t>
      </w:r>
    </w:p>
    <w:tbl>
      <w:tblPr>
        <w:tblW w:w="5717" w:type="pct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565"/>
        <w:gridCol w:w="990"/>
        <w:gridCol w:w="1134"/>
        <w:gridCol w:w="990"/>
        <w:gridCol w:w="1134"/>
        <w:gridCol w:w="1132"/>
        <w:gridCol w:w="994"/>
        <w:gridCol w:w="1119"/>
      </w:tblGrid>
      <w:tr>
        <w:trPr>
          <w:trHeight w:val="289"/>
        </w:trPr>
        <w:tc>
          <w:tcPr>
            <w:tcW w:w="1472" w:type="pct"/>
            <w:gridSpan w:val="2"/>
            <w:vAlign w:val="center"/>
          </w:tcPr>
          <w:p>
            <w:pPr>
              <w:spacing w:before="40" w:after="40"/>
              <w:jc w:val="center"/>
              <w:rPr>
                <w:i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Snin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="20" w:after="20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20"/>
              </w:rPr>
              <w:t>2021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="20" w:after="2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2022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="20" w:after="2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2023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="20" w:after="20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2024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2025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2026</w:t>
            </w: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2027</w:t>
            </w:r>
          </w:p>
        </w:tc>
      </w:tr>
      <w:tr>
        <w:trPr>
          <w:trHeight w:val="289"/>
        </w:trPr>
        <w:tc>
          <w:tcPr>
            <w:tcW w:w="5000" w:type="pct"/>
            <w:gridSpan w:val="9"/>
          </w:tcPr>
          <w:p>
            <w:pPr>
              <w:jc w:val="left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sym w:font="Wingdings" w:char="F09F"/>
            </w:r>
            <w:r>
              <w:rPr>
                <w:b/>
                <w:noProof/>
                <w:sz w:val="16"/>
              </w:rPr>
              <w:t xml:space="preserve"> Pożizzjonijiet fil-pjan ta’ stabbiliment (uffiċjali u persunal temporanju)</w:t>
            </w:r>
          </w:p>
        </w:tc>
      </w:tr>
      <w:tr>
        <w:trPr>
          <w:trHeight w:val="289"/>
        </w:trPr>
        <w:tc>
          <w:tcPr>
            <w:tcW w:w="1472" w:type="pct"/>
            <w:gridSpan w:val="2"/>
          </w:tcPr>
          <w:p>
            <w:pPr>
              <w:spacing w:beforeLines="20" w:before="48" w:afterLines="20" w:after="48"/>
              <w:ind w:left="134"/>
              <w:jc w:val="left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Kwartieri Ġenerali u Uffiċċji tar-Rappreżentanza tal-Kummissjoni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trHeight w:val="289"/>
        </w:trPr>
        <w:tc>
          <w:tcPr>
            <w:tcW w:w="1472" w:type="pct"/>
            <w:gridSpan w:val="2"/>
          </w:tcPr>
          <w:p>
            <w:pPr>
              <w:spacing w:beforeLines="20" w:before="48" w:afterLines="20" w:after="48"/>
              <w:ind w:left="134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Id-Delegazzjonijiet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trHeight w:val="289"/>
        </w:trPr>
        <w:tc>
          <w:tcPr>
            <w:tcW w:w="1472" w:type="pct"/>
            <w:gridSpan w:val="2"/>
          </w:tcPr>
          <w:p>
            <w:pPr>
              <w:spacing w:beforeLines="20" w:before="48" w:afterLines="20" w:after="48"/>
              <w:ind w:left="134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Ir-Riċerka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trHeight w:val="293"/>
        </w:trPr>
        <w:tc>
          <w:tcPr>
            <w:tcW w:w="5000" w:type="pct"/>
            <w:gridSpan w:val="9"/>
          </w:tcPr>
          <w:p>
            <w:pPr>
              <w:spacing w:before="60" w:after="60"/>
              <w:jc w:val="left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</w:rPr>
              <w:sym w:font="Wingdings" w:char="F09F"/>
            </w:r>
            <w:r>
              <w:rPr>
                <w:b/>
                <w:noProof/>
                <w:sz w:val="16"/>
                <w:szCs w:val="16"/>
              </w:rPr>
              <w:t xml:space="preserve"> Persunal estern (f’unità Ekwivalenti għall-Full-Time: FTE) - AC, AL, END, INT u JED</w:t>
            </w:r>
            <w:r>
              <w:rPr>
                <w:noProof/>
                <w:sz w:val="16"/>
                <w:szCs w:val="16"/>
              </w:rPr>
              <w:t xml:space="preserve"> </w:t>
            </w:r>
            <w:r>
              <w:rPr>
                <w:rStyle w:val="FootnoteReference"/>
                <w:noProof/>
              </w:rPr>
              <w:footnoteReference w:id="17"/>
            </w:r>
          </w:p>
          <w:p>
            <w:pPr>
              <w:spacing w:before="0" w:after="0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Intestatura 7</w:t>
            </w:r>
          </w:p>
        </w:tc>
      </w:tr>
      <w:tr>
        <w:trPr>
          <w:trHeight w:val="485"/>
        </w:trPr>
        <w:tc>
          <w:tcPr>
            <w:tcW w:w="735" w:type="pct"/>
            <w:vMerge w:val="restart"/>
            <w:vAlign w:val="center"/>
          </w:tcPr>
          <w:p>
            <w:pPr>
              <w:spacing w:beforeLines="20" w:before="48" w:afterLines="20" w:after="48"/>
              <w:ind w:left="136"/>
              <w:jc w:val="left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Iffinanzjat mill-INTESTATURA 7 tal-qafas finanzjarju pluriennali</w:t>
            </w:r>
            <w:r>
              <w:rPr>
                <w:b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737" w:type="pct"/>
            <w:vAlign w:val="center"/>
          </w:tcPr>
          <w:p>
            <w:pPr>
              <w:spacing w:beforeLines="20" w:before="48" w:afterLines="20" w:after="48"/>
              <w:ind w:left="136"/>
              <w:jc w:val="left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 fil-Kwartieri Ġenerali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trHeight w:val="289"/>
        </w:trPr>
        <w:tc>
          <w:tcPr>
            <w:tcW w:w="735" w:type="pct"/>
            <w:vMerge/>
            <w:vAlign w:val="center"/>
          </w:tcPr>
          <w:p>
            <w:pPr>
              <w:spacing w:beforeLines="20" w:before="48" w:afterLines="20" w:after="48"/>
              <w:ind w:left="136"/>
              <w:jc w:val="left"/>
              <w:rPr>
                <w:noProof/>
                <w:sz w:val="16"/>
                <w:szCs w:val="16"/>
              </w:rPr>
            </w:pPr>
          </w:p>
        </w:tc>
        <w:tc>
          <w:tcPr>
            <w:tcW w:w="737" w:type="pct"/>
            <w:vAlign w:val="center"/>
          </w:tcPr>
          <w:p>
            <w:pPr>
              <w:spacing w:beforeLines="20" w:before="48" w:afterLines="20" w:after="48"/>
              <w:ind w:left="136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- fid-Delegazzjonijiet 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trHeight w:val="370"/>
        </w:trPr>
        <w:tc>
          <w:tcPr>
            <w:tcW w:w="735" w:type="pct"/>
            <w:vMerge w:val="restart"/>
            <w:vAlign w:val="center"/>
          </w:tcPr>
          <w:p>
            <w:pPr>
              <w:spacing w:beforeLines="20" w:before="48" w:afterLines="20" w:after="48"/>
              <w:ind w:left="136"/>
              <w:jc w:val="left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Iffinanzjat mill-pakkett tal-programm</w:t>
            </w:r>
            <w:r>
              <w:rPr>
                <w:b/>
                <w:noProof/>
                <w:sz w:val="16"/>
                <w:szCs w:val="16"/>
              </w:rPr>
              <w:t xml:space="preserve"> </w:t>
            </w:r>
            <w:r>
              <w:rPr>
                <w:rStyle w:val="FootnoteReference"/>
                <w:noProof/>
              </w:rPr>
              <w:footnoteReference w:id="18"/>
            </w:r>
          </w:p>
        </w:tc>
        <w:tc>
          <w:tcPr>
            <w:tcW w:w="73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ind w:left="136"/>
              <w:jc w:val="left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- fil-kwartieri ġenerali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trHeight w:val="289"/>
        </w:trPr>
        <w:tc>
          <w:tcPr>
            <w:tcW w:w="735" w:type="pct"/>
            <w:vMerge/>
          </w:tcPr>
          <w:p>
            <w:pPr>
              <w:spacing w:beforeLines="20" w:before="48" w:afterLines="20" w:after="48"/>
              <w:ind w:left="136"/>
              <w:jc w:val="left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ind w:left="136"/>
              <w:jc w:val="left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- fid-Delegazzjonijiet 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trHeight w:val="289"/>
        </w:trPr>
        <w:tc>
          <w:tcPr>
            <w:tcW w:w="1472" w:type="pct"/>
            <w:gridSpan w:val="2"/>
          </w:tcPr>
          <w:p>
            <w:pPr>
              <w:spacing w:beforeLines="20" w:before="48" w:afterLines="20" w:after="48"/>
              <w:ind w:left="136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Oħrajn: dħul assenjat estern (riċerka)</w:t>
            </w:r>
            <w:r>
              <w:rPr>
                <w:rStyle w:val="FootnoteReference"/>
                <w:noProof/>
                <w:sz w:val="16"/>
                <w:szCs w:val="16"/>
              </w:rPr>
              <w:footnoteReference w:id="19"/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46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75</w:t>
            </w:r>
          </w:p>
        </w:tc>
        <w:tc>
          <w:tcPr>
            <w:tcW w:w="53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75</w:t>
            </w:r>
          </w:p>
        </w:tc>
        <w:tc>
          <w:tcPr>
            <w:tcW w:w="46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75</w:t>
            </w:r>
          </w:p>
        </w:tc>
        <w:tc>
          <w:tcPr>
            <w:tcW w:w="53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60</w:t>
            </w:r>
          </w:p>
        </w:tc>
        <w:tc>
          <w:tcPr>
            <w:tcW w:w="53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30</w:t>
            </w:r>
          </w:p>
        </w:tc>
        <w:tc>
          <w:tcPr>
            <w:tcW w:w="468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52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15</w:t>
            </w:r>
          </w:p>
        </w:tc>
      </w:tr>
      <w:tr>
        <w:trPr>
          <w:trHeight w:val="289"/>
        </w:trPr>
        <w:tc>
          <w:tcPr>
            <w:tcW w:w="1472" w:type="pct"/>
            <w:gridSpan w:val="2"/>
            <w:tcBorders>
              <w:bottom w:val="double" w:sz="4" w:space="0" w:color="auto"/>
            </w:tcBorders>
          </w:tcPr>
          <w:p>
            <w:pPr>
              <w:spacing w:beforeLines="20" w:before="48" w:afterLines="20" w:after="48"/>
              <w:ind w:left="134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Oħrajn: dħul assenjat estern (mhux ta’ riċerka) - NDICI</w:t>
            </w:r>
          </w:p>
        </w:tc>
        <w:tc>
          <w:tcPr>
            <w:tcW w:w="46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150</w:t>
            </w:r>
          </w:p>
        </w:tc>
        <w:tc>
          <w:tcPr>
            <w:tcW w:w="53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150</w:t>
            </w:r>
          </w:p>
        </w:tc>
        <w:tc>
          <w:tcPr>
            <w:tcW w:w="46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150</w:t>
            </w:r>
          </w:p>
        </w:tc>
        <w:tc>
          <w:tcPr>
            <w:tcW w:w="53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150</w:t>
            </w:r>
          </w:p>
        </w:tc>
        <w:tc>
          <w:tcPr>
            <w:tcW w:w="53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150</w:t>
            </w:r>
          </w:p>
        </w:tc>
        <w:tc>
          <w:tcPr>
            <w:tcW w:w="468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105</w:t>
            </w:r>
          </w:p>
        </w:tc>
        <w:tc>
          <w:tcPr>
            <w:tcW w:w="52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105</w:t>
            </w:r>
          </w:p>
        </w:tc>
      </w:tr>
      <w:tr>
        <w:trPr>
          <w:trHeight w:val="289"/>
        </w:trPr>
        <w:tc>
          <w:tcPr>
            <w:tcW w:w="1472" w:type="pct"/>
            <w:gridSpan w:val="2"/>
            <w:tcBorders>
              <w:bottom w:val="double" w:sz="4" w:space="0" w:color="auto"/>
            </w:tcBorders>
          </w:tcPr>
          <w:p>
            <w:pPr>
              <w:spacing w:beforeLines="20" w:before="48" w:afterLines="20" w:after="48"/>
              <w:ind w:left="134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Oħrajn: dħul assenjat estern (mhux ta’ riċerka) - FAEŻR </w:t>
            </w:r>
          </w:p>
        </w:tc>
        <w:tc>
          <w:tcPr>
            <w:tcW w:w="46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</w:t>
            </w:r>
          </w:p>
        </w:tc>
        <w:tc>
          <w:tcPr>
            <w:tcW w:w="53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46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53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533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468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52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>
            <w:pPr>
              <w:spacing w:beforeLines="20" w:before="48" w:afterLines="20" w:after="48"/>
              <w:jc w:val="center"/>
              <w:rPr>
                <w:noProof/>
                <w:sz w:val="16"/>
                <w:szCs w:val="16"/>
              </w:rPr>
            </w:pPr>
          </w:p>
        </w:tc>
      </w:tr>
      <w:tr>
        <w:trPr>
          <w:trHeight w:val="289"/>
        </w:trPr>
        <w:tc>
          <w:tcPr>
            <w:tcW w:w="1472" w:type="pct"/>
            <w:gridSpan w:val="2"/>
            <w:tcBorders>
              <w:top w:val="double" w:sz="4" w:space="0" w:color="auto"/>
            </w:tcBorders>
          </w:tcPr>
          <w:p>
            <w:pPr>
              <w:spacing w:beforeLines="20" w:before="48" w:afterLines="20" w:after="48"/>
              <w:ind w:left="136"/>
              <w:jc w:val="left"/>
              <w:rPr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TOTAL</w:t>
            </w:r>
          </w:p>
        </w:tc>
        <w:tc>
          <w:tcPr>
            <w:tcW w:w="466" w:type="pct"/>
            <w:tcBorders>
              <w:top w:val="double" w:sz="4" w:space="0" w:color="auto"/>
            </w:tcBorders>
            <w:shd w:val="clear" w:color="auto" w:fill="auto"/>
          </w:tcPr>
          <w:p>
            <w:pPr>
              <w:spacing w:beforeLines="20" w:before="48" w:afterLines="20" w:after="48"/>
              <w:rPr>
                <w:b/>
                <w:noProof/>
                <w:sz w:val="16"/>
                <w:szCs w:val="16"/>
              </w:rPr>
            </w:pPr>
            <w:r>
              <w:rPr>
                <w:noProof/>
              </w:rPr>
              <w:t>225</w:t>
            </w:r>
          </w:p>
        </w:tc>
        <w:tc>
          <w:tcPr>
            <w:tcW w:w="534" w:type="pct"/>
            <w:tcBorders>
              <w:top w:val="double" w:sz="4" w:space="0" w:color="auto"/>
            </w:tcBorders>
            <w:shd w:val="clear" w:color="auto" w:fill="auto"/>
          </w:tcPr>
          <w:p>
            <w:pPr>
              <w:spacing w:beforeLines="20" w:before="48" w:afterLines="20" w:after="48"/>
              <w:rPr>
                <w:b/>
                <w:noProof/>
                <w:sz w:val="16"/>
                <w:szCs w:val="16"/>
              </w:rPr>
            </w:pPr>
            <w:r>
              <w:rPr>
                <w:noProof/>
              </w:rPr>
              <w:t>234</w:t>
            </w:r>
          </w:p>
        </w:tc>
        <w:tc>
          <w:tcPr>
            <w:tcW w:w="466" w:type="pct"/>
            <w:tcBorders>
              <w:top w:val="double" w:sz="4" w:space="0" w:color="auto"/>
            </w:tcBorders>
            <w:shd w:val="clear" w:color="auto" w:fill="auto"/>
          </w:tcPr>
          <w:p>
            <w:pPr>
              <w:spacing w:beforeLines="20" w:before="48" w:afterLines="20" w:after="48"/>
              <w:rPr>
                <w:b/>
                <w:noProof/>
                <w:sz w:val="16"/>
                <w:szCs w:val="16"/>
              </w:rPr>
            </w:pPr>
            <w:r>
              <w:rPr>
                <w:noProof/>
              </w:rPr>
              <w:t>234</w:t>
            </w:r>
          </w:p>
        </w:tc>
        <w:tc>
          <w:tcPr>
            <w:tcW w:w="534" w:type="pct"/>
            <w:tcBorders>
              <w:top w:val="double" w:sz="4" w:space="0" w:color="auto"/>
            </w:tcBorders>
            <w:shd w:val="clear" w:color="auto" w:fill="auto"/>
          </w:tcPr>
          <w:p>
            <w:pPr>
              <w:spacing w:beforeLines="20" w:before="48" w:afterLines="20" w:after="48"/>
              <w:rPr>
                <w:b/>
                <w:noProof/>
                <w:sz w:val="16"/>
                <w:szCs w:val="16"/>
              </w:rPr>
            </w:pPr>
            <w:r>
              <w:rPr>
                <w:noProof/>
              </w:rPr>
              <w:t>219</w:t>
            </w:r>
          </w:p>
        </w:tc>
        <w:tc>
          <w:tcPr>
            <w:tcW w:w="533" w:type="pct"/>
            <w:tcBorders>
              <w:top w:val="double" w:sz="4" w:space="0" w:color="auto"/>
            </w:tcBorders>
            <w:shd w:val="clear" w:color="auto" w:fill="auto"/>
          </w:tcPr>
          <w:p>
            <w:pPr>
              <w:spacing w:beforeLines="20" w:before="48" w:afterLines="20" w:after="48"/>
              <w:rPr>
                <w:b/>
                <w:noProof/>
                <w:sz w:val="16"/>
                <w:szCs w:val="16"/>
              </w:rPr>
            </w:pPr>
            <w:r>
              <w:rPr>
                <w:noProof/>
              </w:rPr>
              <w:t>189</w:t>
            </w:r>
          </w:p>
        </w:tc>
        <w:tc>
          <w:tcPr>
            <w:tcW w:w="468" w:type="pct"/>
            <w:tcBorders>
              <w:top w:val="double" w:sz="4" w:space="0" w:color="auto"/>
            </w:tcBorders>
            <w:shd w:val="clear" w:color="auto" w:fill="auto"/>
          </w:tcPr>
          <w:p>
            <w:pPr>
              <w:spacing w:beforeLines="20" w:before="48" w:afterLines="20" w:after="48"/>
              <w:rPr>
                <w:b/>
                <w:noProof/>
                <w:sz w:val="16"/>
                <w:szCs w:val="16"/>
              </w:rPr>
            </w:pPr>
            <w:r>
              <w:rPr>
                <w:noProof/>
              </w:rPr>
              <w:t>134</w:t>
            </w:r>
          </w:p>
        </w:tc>
        <w:tc>
          <w:tcPr>
            <w:tcW w:w="527" w:type="pct"/>
            <w:tcBorders>
              <w:top w:val="double" w:sz="4" w:space="0" w:color="auto"/>
            </w:tcBorders>
            <w:shd w:val="clear" w:color="auto" w:fill="auto"/>
          </w:tcPr>
          <w:p>
            <w:pPr>
              <w:spacing w:beforeLines="20" w:before="48" w:afterLines="20" w:after="48"/>
              <w:rPr>
                <w:b/>
                <w:noProof/>
                <w:sz w:val="16"/>
                <w:szCs w:val="16"/>
              </w:rPr>
            </w:pPr>
            <w:r>
              <w:rPr>
                <w:noProof/>
              </w:rPr>
              <w:t>120</w:t>
            </w:r>
          </w:p>
        </w:tc>
      </w:tr>
    </w:tbl>
    <w:p>
      <w:pPr>
        <w:ind w:left="850"/>
        <w:rPr>
          <w:noProof/>
          <w:sz w:val="18"/>
          <w:szCs w:val="18"/>
        </w:rPr>
      </w:pPr>
      <w:r>
        <w:rPr>
          <w:noProof/>
          <w:sz w:val="18"/>
          <w:szCs w:val="18"/>
        </w:rPr>
        <w:lastRenderedPageBreak/>
        <w:t>Ir-riżorsi umani meħtieġa se jiġu koperti mill-persunal tad-DĠ li diġà jkun assenjat għall-ġestjoni tal-azzjoni u/jew li diġà jkun ġie riassenjat fid-DĠ, flimkien, jekk ikun meħtieġ, ma’ kwalunkwe allokazzjoni addizzjonali li tista’ tingħata lid-DĠ tal-ġestjoni skont il-proċedura annwali ta’ allokazzjoni u fid-dawl tal-limitazzjonijiet baġitarji.</w:t>
      </w:r>
      <w:r>
        <w:rPr>
          <w:noProof/>
        </w:rPr>
        <w:t xml:space="preserve"> </w:t>
      </w:r>
      <w:r>
        <w:rPr>
          <w:noProof/>
          <w:sz w:val="18"/>
          <w:szCs w:val="18"/>
        </w:rPr>
        <w:t>Persunal addizzjonali se jkun biss persunal estern u se jiġi ffinanzjat biss minn dħul assenjat.</w:t>
      </w:r>
    </w:p>
    <w:p>
      <w:pPr>
        <w:rPr>
          <w:noProof/>
          <w:sz w:val="20"/>
        </w:rPr>
      </w:pPr>
      <w:r>
        <w:rPr>
          <w:noProof/>
          <w:sz w:val="20"/>
        </w:rPr>
        <w:t>Deskrizzjoni tal-kompiti li jridu jsiru:</w:t>
      </w:r>
    </w:p>
    <w:tbl>
      <w:tblPr>
        <w:tblW w:w="10632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7392"/>
      </w:tblGrid>
      <w:tr>
        <w:tc>
          <w:tcPr>
            <w:tcW w:w="3240" w:type="dxa"/>
          </w:tcPr>
          <w:p>
            <w:pPr>
              <w:spacing w:before="60" w:after="6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Persunal estern</w:t>
            </w:r>
          </w:p>
        </w:tc>
        <w:tc>
          <w:tcPr>
            <w:tcW w:w="7392" w:type="dxa"/>
          </w:tcPr>
          <w:p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Il-persunal estern jassisiti lill-uffiċjali u lill-aġenti temporanji biex jikkontribwixxu għall-implimentazzjoni tal-miżuri msemmijin fir-Regolament dwar l-ERI u li għandhom jiġu implimentati skont il-programmi relevanti. </w:t>
            </w:r>
          </w:p>
        </w:tc>
      </w:tr>
    </w:tbl>
    <w:p>
      <w:pPr>
        <w:rPr>
          <w:noProof/>
        </w:rPr>
        <w:sectPr>
          <w:headerReference w:type="default" r:id="rId20"/>
          <w:footerReference w:type="default" r:id="rId21"/>
          <w:headerReference w:type="first" r:id="rId22"/>
          <w:footerReference w:type="first" r:id="rId23"/>
          <w:pgSz w:w="11907" w:h="16840"/>
          <w:pgMar w:top="1134" w:right="1418" w:bottom="1134" w:left="1418" w:header="709" w:footer="709" w:gutter="0"/>
          <w:cols w:space="708"/>
          <w:docGrid w:linePitch="360"/>
        </w:sectPr>
      </w:pPr>
    </w:p>
    <w:p>
      <w:pPr>
        <w:rPr>
          <w:noProof/>
        </w:rPr>
      </w:pPr>
    </w:p>
    <w:p>
      <w:pPr>
        <w:keepNext/>
        <w:outlineLvl w:val="1"/>
        <w:rPr>
          <w:rFonts w:eastAsiaTheme="majorEastAsia"/>
          <w:b/>
          <w:noProof/>
          <w:szCs w:val="24"/>
        </w:rPr>
      </w:pPr>
      <w:r>
        <w:rPr>
          <w:b/>
          <w:bCs/>
          <w:noProof/>
          <w:szCs w:val="26"/>
        </w:rPr>
        <w:t xml:space="preserve">Impatt stmat fuq id-dħul </w:t>
      </w:r>
    </w:p>
    <w:p>
      <w:pPr>
        <w:rPr>
          <w:rFonts w:eastAsia="Times New Roman"/>
          <w:noProof/>
        </w:rPr>
      </w:pPr>
      <w:r>
        <w:rPr>
          <w:noProof/>
        </w:rPr>
        <w:t>X</w:t>
      </w:r>
      <w:r>
        <w:rPr>
          <w:noProof/>
        </w:rPr>
        <w:tab/>
        <w:t>Il-proposta/l-inizjattiva ma għandha l-ebda impatt finanzjarju fuq id-dħul.</w:t>
      </w:r>
    </w:p>
    <w:p>
      <w:pPr>
        <w:rPr>
          <w:rFonts w:eastAsia="Times New Roman"/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>Il-proposta/l-inizjattiva għandha l-impatt finanzjarju li ġej:</w:t>
      </w:r>
    </w:p>
    <w:p>
      <w:pPr>
        <w:ind w:left="2126" w:hanging="709"/>
        <w:rPr>
          <w:rFonts w:eastAsia="Times New Roman"/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 xml:space="preserve">fuq ir-riżorsi proprji </w:t>
      </w:r>
    </w:p>
    <w:p>
      <w:pPr>
        <w:ind w:left="2126" w:hanging="709"/>
        <w:rPr>
          <w:rFonts w:eastAsia="Times New Roman"/>
          <w:noProof/>
        </w:rPr>
      </w:pPr>
      <w:r>
        <w:rPr>
          <w:noProof/>
        </w:rPr>
        <w:sym w:font="Wingdings" w:char="F0A8"/>
      </w:r>
      <w:r>
        <w:rPr>
          <w:noProof/>
        </w:rPr>
        <w:tab/>
        <w:t>fuq dħul ieħor</w:t>
      </w:r>
    </w:p>
    <w:p>
      <w:pPr>
        <w:rPr>
          <w:noProof/>
        </w:rPr>
      </w:pPr>
      <w:r>
        <w:rPr>
          <w:noProof/>
        </w:rPr>
        <w:t>indika, jekk id-dħul hux assenjat għal-linji tan-nefqa X</w:t>
      </w:r>
      <w:r>
        <w:rPr>
          <w:noProof/>
        </w:rPr>
        <w:tab/>
      </w:r>
    </w:p>
    <w:p>
      <w:pPr>
        <w:jc w:val="right"/>
        <w:rPr>
          <w:i/>
          <w:noProof/>
          <w:sz w:val="20"/>
        </w:rPr>
      </w:pPr>
      <w:r>
        <w:rPr>
          <w:noProof/>
        </w:rPr>
        <w:t>Miljuni ta’ EUR (sa tliet punti deċimali)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4"/>
        <w:gridCol w:w="1080"/>
        <w:gridCol w:w="900"/>
        <w:gridCol w:w="900"/>
        <w:gridCol w:w="1080"/>
        <w:gridCol w:w="1080"/>
        <w:gridCol w:w="1080"/>
        <w:gridCol w:w="1080"/>
      </w:tblGrid>
      <w:tr>
        <w:trPr>
          <w:trHeight w:val="388"/>
          <w:jc w:val="center"/>
        </w:trPr>
        <w:tc>
          <w:tcPr>
            <w:tcW w:w="2144" w:type="dxa"/>
            <w:vMerge w:val="restart"/>
            <w:vAlign w:val="center"/>
          </w:tcPr>
          <w:p>
            <w:pPr>
              <w:spacing w:before="40" w:after="4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Linja baġitarja tad-dħul:</w:t>
            </w:r>
          </w:p>
        </w:tc>
        <w:tc>
          <w:tcPr>
            <w:tcW w:w="7200" w:type="dxa"/>
            <w:gridSpan w:val="7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Impatt tal-proposta/tal-inizjattiva</w:t>
            </w:r>
            <w:r>
              <w:rPr>
                <w:rStyle w:val="FootnoteReference"/>
                <w:noProof/>
              </w:rPr>
              <w:footnoteReference w:id="20"/>
            </w:r>
          </w:p>
        </w:tc>
      </w:tr>
      <w:tr>
        <w:trPr>
          <w:trHeight w:val="388"/>
          <w:jc w:val="center"/>
        </w:trPr>
        <w:tc>
          <w:tcPr>
            <w:tcW w:w="2144" w:type="dxa"/>
            <w:vMerge/>
          </w:tcPr>
          <w:p>
            <w:pPr>
              <w:spacing w:before="40" w:after="40"/>
              <w:rPr>
                <w:noProof/>
                <w:sz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noProof/>
                <w:sz w:val="18"/>
              </w:rPr>
            </w:pPr>
            <w:r>
              <w:rPr>
                <w:b/>
                <w:noProof/>
                <w:sz w:val="20"/>
              </w:rPr>
              <w:t>2021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2027</w:t>
            </w:r>
          </w:p>
        </w:tc>
      </w:tr>
      <w:tr>
        <w:trPr>
          <w:trHeight w:val="388"/>
          <w:jc w:val="center"/>
        </w:trPr>
        <w:tc>
          <w:tcPr>
            <w:tcW w:w="2144" w:type="dxa"/>
            <w:vAlign w:val="center"/>
          </w:tcPr>
          <w:p>
            <w:pPr>
              <w:spacing w:before="40" w:after="4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Artikolu ………….</w:t>
            </w:r>
          </w:p>
        </w:tc>
        <w:tc>
          <w:tcPr>
            <w:tcW w:w="1080" w:type="dxa"/>
          </w:tcPr>
          <w:p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900" w:type="dxa"/>
          </w:tcPr>
          <w:p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900" w:type="dxa"/>
          </w:tcPr>
          <w:p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1080" w:type="dxa"/>
          </w:tcPr>
          <w:p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1080" w:type="dxa"/>
          </w:tcPr>
          <w:p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1080" w:type="dxa"/>
          </w:tcPr>
          <w:p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  <w:tc>
          <w:tcPr>
            <w:tcW w:w="1080" w:type="dxa"/>
          </w:tcPr>
          <w:p>
            <w:pPr>
              <w:spacing w:beforeLines="40" w:before="96" w:afterLines="40" w:after="96"/>
              <w:jc w:val="center"/>
              <w:rPr>
                <w:noProof/>
                <w:sz w:val="18"/>
              </w:rPr>
            </w:pPr>
          </w:p>
        </w:tc>
      </w:tr>
    </w:tbl>
    <w:p>
      <w:pPr>
        <w:ind w:left="850"/>
        <w:rPr>
          <w:noProof/>
          <w:sz w:val="20"/>
          <w:szCs w:val="20"/>
        </w:rPr>
      </w:pPr>
      <w:r>
        <w:rPr>
          <w:noProof/>
          <w:sz w:val="20"/>
          <w:szCs w:val="20"/>
        </w:rPr>
        <w:t>Għad-dħul assenjat, speċifika l-linja/i baġitarja/i tan-nefqa affettwata/i.</w:t>
      </w:r>
    </w:p>
    <w:p>
      <w:pPr>
        <w:ind w:left="850"/>
        <w:rPr>
          <w:noProof/>
        </w:rPr>
      </w:pPr>
      <w:r>
        <w:rPr>
          <w:noProof/>
          <w:color w:val="0000FF"/>
        </w:rPr>
        <w:t>[…]</w:t>
      </w:r>
    </w:p>
    <w:p>
      <w:pPr>
        <w:ind w:left="850"/>
        <w:rPr>
          <w:noProof/>
          <w:sz w:val="16"/>
          <w:szCs w:val="16"/>
        </w:rPr>
      </w:pPr>
      <w:r>
        <w:rPr>
          <w:noProof/>
          <w:sz w:val="20"/>
          <w:szCs w:val="20"/>
        </w:rPr>
        <w:t>Kummenti oħrajn (eż. il-metodu/il-formula użati għall-kalkolu tal-impatt fuq id-dħul jew kwalunkwe informazzjoni oħra).</w:t>
      </w:r>
      <w:r>
        <w:rPr>
          <w:noProof/>
          <w:sz w:val="16"/>
          <w:szCs w:val="16"/>
        </w:rPr>
        <w:t xml:space="preserve"> </w:t>
      </w:r>
    </w:p>
    <w:p>
      <w:pPr>
        <w:ind w:left="850"/>
        <w:rPr>
          <w:noProof/>
        </w:rPr>
      </w:pPr>
      <w:r>
        <w:rPr>
          <w:noProof/>
          <w:color w:val="0000FF"/>
        </w:rPr>
        <w:t>[…]</w:t>
      </w:r>
    </w:p>
    <w:p>
      <w:pPr>
        <w:ind w:left="850"/>
        <w:rPr>
          <w:noProof/>
        </w:rPr>
      </w:pPr>
    </w:p>
    <w:p>
      <w:pPr>
        <w:keepNext/>
        <w:rPr>
          <w:noProof/>
        </w:rPr>
      </w:pPr>
    </w:p>
    <w:p>
      <w:pPr>
        <w:rPr>
          <w:noProof/>
        </w:rPr>
      </w:pPr>
    </w:p>
    <w:sectPr>
      <w:pgSz w:w="11907" w:h="16840" w:code="9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  <w:endnote w:type="continuationNotice" w:id="1">
    <w:p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16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Landscap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20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Landscap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type="continuationNotice" w:id="1">
    <w:p>
      <w:pPr>
        <w:spacing w:before="0" w:after="0"/>
      </w:pP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ab/>
        <w:t>Tbassir Ekonomiku Ewropew, id-Dokument Istituzzjonali 125. Mejju 2020.</w:t>
      </w:r>
    </w:p>
  </w:footnote>
  <w:footnote w:id="3">
    <w:p>
      <w:pPr>
        <w:pStyle w:val="FootnoteText"/>
        <w:rPr>
          <w:szCs w:val="24"/>
        </w:rPr>
      </w:pPr>
      <w:r>
        <w:rPr>
          <w:rStyle w:val="FootnoteReference"/>
        </w:rPr>
        <w:footnoteRef/>
      </w:r>
      <w:r>
        <w:tab/>
        <w:t>Kif imsemmi fl-Artikolu 58(2)(a) jew (b) tar-Regolament Finanzjarju.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ab/>
        <w:t>COM(2017) 720 final</w:t>
      </w:r>
    </w:p>
  </w:footnote>
  <w:footnote w:id="5">
    <w:p>
      <w:pPr>
        <w:pStyle w:val="FootnoteText"/>
        <w:jc w:val="left"/>
        <w:rPr>
          <w:szCs w:val="24"/>
        </w:rPr>
      </w:pPr>
      <w:r>
        <w:rPr>
          <w:rStyle w:val="FootnoteReference"/>
        </w:rPr>
        <w:footnoteRef/>
      </w:r>
      <w:r>
        <w:tab/>
        <w:t xml:space="preserve">Dettalji tal-modi ta’ ġestjoni u referenzi għar-Regolament Finanzjarju jistgħu jinstabu fuq is-sit BudgWeb: </w:t>
      </w:r>
      <w:hyperlink r:id="rId1" w:history="1">
        <w:r>
          <w:rPr>
            <w:rStyle w:val="Hyperlink"/>
          </w:rPr>
          <w:t>https://myintracomm.ec.europa.eu/budgweb/EN/man/budgmanag/Pages/budgmanag.aspx</w:t>
        </w:r>
      </w:hyperlink>
      <w:r>
        <w:t xml:space="preserve"> </w:t>
      </w:r>
    </w:p>
  </w:footnote>
  <w:footnote w:id="6">
    <w:p>
      <w:pPr>
        <w:pStyle w:val="FootnoteText"/>
        <w:rPr>
          <w:szCs w:val="24"/>
        </w:rPr>
      </w:pPr>
      <w:r>
        <w:rPr>
          <w:rStyle w:val="FootnoteReference"/>
        </w:rPr>
        <w:footnoteRef/>
      </w:r>
      <w:r>
        <w:tab/>
        <w:t>Diff. = Approprjazzjonijiet differenzjati / Mhux diff. = Approprjazzjonijiet mhux differenzjati.</w:t>
      </w:r>
    </w:p>
  </w:footnote>
  <w:footnote w:id="7">
    <w:p>
      <w:pPr>
        <w:pStyle w:val="FootnoteText"/>
        <w:rPr>
          <w:szCs w:val="24"/>
        </w:rPr>
      </w:pPr>
      <w:r>
        <w:rPr>
          <w:rStyle w:val="FootnoteReference"/>
        </w:rPr>
        <w:footnoteRef/>
      </w:r>
      <w:r>
        <w:tab/>
        <w:t xml:space="preserve">EFTA: Assoċjazzjoni Ewropea tal-Kummerċ Ħieles. 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ab/>
        <w:t>Pajjiżi kandidati u, fejn applikabbli, il-kandidati potenzjali mill-Balkani tal-Punent.</w:t>
      </w:r>
    </w:p>
  </w:footnote>
  <w:footnote w:id="9">
    <w:p>
      <w:pPr>
        <w:pStyle w:val="FootnoteText"/>
        <w:rPr>
          <w:szCs w:val="24"/>
        </w:rPr>
      </w:pPr>
      <w:r>
        <w:rPr>
          <w:rStyle w:val="FootnoteReference"/>
        </w:rPr>
        <w:footnoteRef/>
      </w:r>
      <w:r>
        <w:tab/>
        <w:t>Diff. = Approprjazzjonijiet differenzjati / Mhux diff. = Approprjazzjonijiet mhux differenzjati.</w:t>
      </w:r>
    </w:p>
  </w:footnote>
  <w:footnote w:id="10">
    <w:p>
      <w:pPr>
        <w:pStyle w:val="FootnoteText"/>
        <w:rPr>
          <w:szCs w:val="24"/>
        </w:rPr>
      </w:pPr>
      <w:r>
        <w:rPr>
          <w:rStyle w:val="FootnoteReference"/>
        </w:rPr>
        <w:footnoteRef/>
      </w:r>
      <w:r>
        <w:tab/>
        <w:t xml:space="preserve">EFTA: Assoċjazzjoni Ewropea tal-Kummerċ Ħieles. </w:t>
      </w:r>
    </w:p>
  </w:footnote>
  <w:footnote w:id="11">
    <w:p>
      <w:pPr>
        <w:pStyle w:val="FootnoteText"/>
      </w:pPr>
      <w:r>
        <w:rPr>
          <w:rStyle w:val="FootnoteReference"/>
        </w:rPr>
        <w:footnoteRef/>
      </w:r>
      <w:r>
        <w:tab/>
        <w:t>Pajjiżi kandidati u, fejn applikabbli, il-kandidati potenzjali mill-Balkani tal-Punent.</w:t>
      </w:r>
    </w:p>
  </w:footnote>
  <w:footnote w:id="12">
    <w:p>
      <w:pPr>
        <w:pStyle w:val="FootnoteText"/>
        <w:rPr>
          <w:szCs w:val="24"/>
        </w:rPr>
      </w:pPr>
      <w:r>
        <w:rPr>
          <w:rStyle w:val="FootnoteReference"/>
        </w:rPr>
        <w:footnoteRef/>
      </w:r>
      <w:r>
        <w:tab/>
        <w:t>Diff. = Approprjazzjonijiet differenzjati / Mhux diff. = Approprjazzjonijiet mhux differenzjati.</w:t>
      </w:r>
    </w:p>
  </w:footnote>
  <w:footnote w:id="13">
    <w:p>
      <w:pPr>
        <w:pStyle w:val="FootnoteText"/>
        <w:rPr>
          <w:szCs w:val="24"/>
        </w:rPr>
      </w:pPr>
      <w:r>
        <w:rPr>
          <w:rStyle w:val="FootnoteReference"/>
        </w:rPr>
        <w:footnoteRef/>
      </w:r>
      <w:r>
        <w:tab/>
        <w:t xml:space="preserve">EFTA: Assoċjazzjoni Ewropea tal-Kummerċ Ħieles. </w:t>
      </w:r>
    </w:p>
  </w:footnote>
  <w:footnote w:id="14">
    <w:p>
      <w:pPr>
        <w:pStyle w:val="FootnoteText"/>
      </w:pPr>
      <w:r>
        <w:rPr>
          <w:rStyle w:val="FootnoteReference"/>
        </w:rPr>
        <w:footnoteRef/>
      </w:r>
      <w:r>
        <w:tab/>
        <w:t>Pajjiżi kandidati u, fejn applikabbli, il-kandidati potenzjali mill-Balkani tal-Punent.</w:t>
      </w:r>
    </w:p>
  </w:footnote>
  <w:footnote w:id="15">
    <w:p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i/>
        </w:rPr>
        <w:t>Għall-attivitajiet bħall-monitoraġġ tal-implimentazzjoni, inklużi l-awditjar u l-ġestjoni finanzjarja, u l-parteċipazzjoni fil-proċess tal-għeuq tal-programmi ffinanzjati min-nefqa amministrattiva, jistgħu jittieħdu impenji sal-2027 (ara d-dettalji fit-tabella hawn fuq).</w:t>
      </w:r>
    </w:p>
  </w:footnote>
  <w:footnote w:id="16">
    <w:p>
      <w:pPr>
        <w:pStyle w:val="FootnoteText"/>
        <w:rPr>
          <w:szCs w:val="24"/>
        </w:rPr>
      </w:pPr>
      <w:r>
        <w:rPr>
          <w:rStyle w:val="FootnoteReference"/>
        </w:rPr>
        <w:footnoteRef/>
      </w:r>
      <w:r>
        <w:tab/>
        <w:t>Assistenza teknika u/jew amministrattiva u nefqa li jappoġġaw l-implimentazzjoni ta’ programmi u/jew ta’ azzjonijiet tal-UE (li qabel kienu l-linji “BA”), ir-riċerka indiretta u r-riċerka diretta.</w:t>
      </w:r>
    </w:p>
  </w:footnote>
  <w:footnote w:id="17">
    <w:p>
      <w:pPr>
        <w:pStyle w:val="FootnoteText"/>
        <w:rPr>
          <w:szCs w:val="24"/>
        </w:rPr>
      </w:pPr>
      <w:r>
        <w:rPr>
          <w:rStyle w:val="FootnoteReference"/>
        </w:rPr>
        <w:footnoteRef/>
      </w:r>
      <w:r>
        <w:tab/>
        <w:t xml:space="preserve">AC = Aġent Kuntrattwali; AL = Persunal Lokali; END = Espert Nazzjonali Sekondat; INT = persunal tal-aġenzija; JPD = Esperti żgħażagħ fid-Delegazzjonijiet. </w:t>
      </w:r>
    </w:p>
  </w:footnote>
  <w:footnote w:id="18">
    <w:p>
      <w:pPr>
        <w:pStyle w:val="FootnoteText"/>
        <w:rPr>
          <w:szCs w:val="24"/>
        </w:rPr>
      </w:pPr>
      <w:r>
        <w:rPr>
          <w:rStyle w:val="FootnoteReference"/>
        </w:rPr>
        <w:footnoteRef/>
      </w:r>
      <w:r>
        <w:tab/>
        <w:t>Sottolimitu għall-persunal estern kopert minn approprjazzjonijiet operazzjonali (li qabel kienu l-linji “BA”).</w:t>
      </w:r>
    </w:p>
  </w:footnote>
  <w:footnote w:id="19">
    <w:p>
      <w:pPr>
        <w:pStyle w:val="FootnoteText"/>
      </w:pPr>
      <w:r>
        <w:rPr>
          <w:rStyle w:val="FootnoteReference"/>
        </w:rPr>
        <w:footnoteRef/>
      </w:r>
      <w:r>
        <w:tab/>
        <w:t>Abbażi ta’ valutazzjoni bir-reqqa tal-impatt fuq ir-riżorsi, dawn l-istimi ma jippreġudikawx il-persunal addizzjonali meħtieġ fl-Aġenziji Eżekuttivi u ffinanzjat minn dħul assenjat.</w:t>
      </w:r>
    </w:p>
  </w:footnote>
  <w:footnote w:id="20">
    <w:p>
      <w:r>
        <w:rPr>
          <w:rStyle w:val="FootnoteReference"/>
        </w:rPr>
        <w:footnoteRef/>
      </w:r>
      <w: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Landscap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Landscap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7C4850F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14C2BCF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EC4A51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C9F2EB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BFC6B81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CFAF5D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3C085E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1DEA1D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489D74ED"/>
    <w:multiLevelType w:val="singleLevel"/>
    <w:tmpl w:val="C2E2F936"/>
    <w:name w:val="List Dash 2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16">
    <w:nsid w:val="4D0C058A"/>
    <w:multiLevelType w:val="singleLevel"/>
    <w:tmpl w:val="BAE8D90E"/>
    <w:name w:val="List Dash 1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17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8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9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3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</w:num>
  <w:num w:numId="15">
    <w:abstractNumId w:val="16"/>
  </w:num>
  <w:num w:numId="16">
    <w:abstractNumId w:val="1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20"/>
  </w:num>
  <w:num w:numId="22">
    <w:abstractNumId w:val="12"/>
  </w:num>
  <w:num w:numId="23">
    <w:abstractNumId w:val="22"/>
  </w:num>
  <w:num w:numId="24">
    <w:abstractNumId w:val="11"/>
  </w:num>
  <w:num w:numId="25">
    <w:abstractNumId w:val="13"/>
  </w:num>
  <w:num w:numId="26">
    <w:abstractNumId w:val="9"/>
  </w:num>
  <w:num w:numId="27">
    <w:abstractNumId w:val="21"/>
  </w:num>
  <w:num w:numId="28">
    <w:abstractNumId w:val="8"/>
  </w:num>
  <w:num w:numId="29">
    <w:abstractNumId w:val="14"/>
  </w:num>
  <w:num w:numId="30">
    <w:abstractNumId w:val="18"/>
  </w:num>
  <w:num w:numId="31">
    <w:abstractNumId w:val="19"/>
  </w:num>
  <w:num w:numId="32">
    <w:abstractNumId w:val="10"/>
  </w:num>
  <w:num w:numId="33">
    <w:abstractNumId w:val="17"/>
  </w:num>
  <w:num w:numId="34">
    <w:abstractNumId w:val="23"/>
  </w:num>
  <w:num w:numId="35">
    <w:abstractNumId w:val="20"/>
    <w:lvlOverride w:ilvl="0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0-05-29 16:11:52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67"/>
    <w:docVar w:name="DQCResult_ModifiedMarkers" w:val="0;0"/>
    <w:docVar w:name="DQCResult_ModifiedNumbering" w:val="0;0"/>
    <w:docVar w:name="DQCResult_Objects" w:val="0;0"/>
    <w:docVar w:name="DQCResult_Sections" w:val="0;1"/>
    <w:docVar w:name="DQCResult_StructureCheck" w:val="0;0"/>
    <w:docVar w:name="DQCResult_SuperfluousWhitespace" w:val="0;3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1C922F80-C250-4FD5-B441-67F0FDF94784"/>
    <w:docVar w:name="LW_COVERPAGE_TYPE" w:val="1"/>
    <w:docVar w:name="LW_CROSSREFERENCE" w:val="&lt;UNUSED&gt;"/>
    <w:docVar w:name="LW_DocType" w:val="COM"/>
    <w:docVar w:name="LW_EMISSION" w:val="29.5.2020"/>
    <w:docVar w:name="LW_EMISSION_ISODATE" w:val="2020-05-29"/>
    <w:docVar w:name="LW_EMISSION_LOCATION" w:val="BRX"/>
    <w:docVar w:name="LW_EMISSION_PREFIX" w:val="Brussell, "/>
    <w:docVar w:name="LW_EMISSION_SUFFIX" w:val=" "/>
    <w:docVar w:name="LW_ID_DOCMODEL" w:val="SJ-023"/>
    <w:docVar w:name="LW_ID_DOCSIGNATURE" w:val="SJ-023"/>
    <w:docVar w:name="LW_ID_DOCSTRUCTURE" w:val="COM/PL/MOD"/>
    <w:docVar w:name="LW_ID_DOCTYPE" w:val="SG-005"/>
    <w:docVar w:name="LW_ID_EXP.MOTIFS.NEW" w:val="EM_PL_"/>
    <w:docVar w:name="LW_ID_STATUT" w:val="SG-005"/>
    <w:docVar w:name="LW_INTERETEEE.CP" w:val="&lt;UNUSED&gt;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224"/>
    <w:docVar w:name="LW_REF.II.NEW.CP_YEAR" w:val="2018"/>
    <w:docVar w:name="LW_REF.INST.NEW" w:val="COM"/>
    <w:docVar w:name="LW_REF.INST.NEW_ADOPTED" w:val="final"/>
    <w:docVar w:name="LW_REF.INST.NEW_TEXT" w:val="(2020) 459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Proposta emendata g\u295?al"/>
    <w:docVar w:name="LW_SUPERTITRE" w:val="&lt;UNUSED&gt;"/>
    <w:docVar w:name="LW_TITRE.OBJ.CP" w:val="li jistabbilixxi Orizzont Ewropa \u8211? il-Programm Qafas g\u295?ar-Ri\u267?erka u l-Innovazzjoni, li jistabbilixxi r-regoli g\u295?all-parte\u267?ipazzjoni fih u t-tixrid tieg\u295?u,_x000b_ _x000b_DE\u266?I\u379?JONI TAL-PARLAMENT EWROPEW U TAL-KUNSILL_x000b_dwar l-istabbiliment tal-programm spe\u267?ifiku li jimplimenta Orizzont Ewropa \u8211? il-Programm Qafas g\u295?ar-Ri\u267?erka u l-Innovazzjoni,_x000b_  _x000b_REGOLAMENT TAL-PARLAMENT EWROPEW U TAL-KUNSILL li jistabbilixxi l-Istrument ta\u8217? Vi\u267?inat, ta\u8217? Kooperazzjoni g\u295?all-I\u380?vilupp u ta\u8217? Kooperazzjoni Internazzjonali,_x000b__x000b_REGOLAMENT TAL-PARLAMENT EWROPEW U TAL-KUNSILL li jistabbilixxi r-regoli dwar l-appo\u289?\u289? g\u295?all-pjanijiet strate\u289?i\u267?i li jridu jitfasslu mill-Istati Membri skont il-Politika Agrikola Komuni (il-Pjanijiet Strate\u289?i\u267?i tal-PAK) u ffinanzjati mill-Fond Agrikolu Ewropew ta\u8217? Garanzija (FAEG) u mill-Fond Agrikolu Ewropew g\u295?all-I\u380?vilupp Rurali (FAE\u379?R) u li j\u295?assar ir-Regolament (UE) Nru 1305/2013 tal-Parlament Ewropew u tal-Kunsill u r-Regolament (UE) Nru 1307/2013 tal-Parlament Ewropew u tal-Kunsill"/>
    <w:docVar w:name="LW_TYPE.DOC.CP" w:val="REGOLAMENT TAL-PARLAMENT EWROPEW U TAL-KUNSILL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7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mt-M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mt-MT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mt-M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conf-macro">
    <w:name w:val="conf-macro"/>
    <w:basedOn w:val="DefaultParagraphFont"/>
  </w:style>
  <w:style w:type="paragraph" w:customStyle="1" w:styleId="ListDash1">
    <w:name w:val="List Dash 1"/>
    <w:basedOn w:val="Normal"/>
    <w:pPr>
      <w:numPr>
        <w:numId w:val="15"/>
      </w:numPr>
    </w:pPr>
    <w:rPr>
      <w:rFonts w:eastAsia="Times New Roman"/>
      <w:lang w:eastAsia="de-DE"/>
    </w:rPr>
  </w:style>
  <w:style w:type="paragraph" w:customStyle="1" w:styleId="ListDash2">
    <w:name w:val="List Dash 2"/>
    <w:basedOn w:val="Normal"/>
    <w:pPr>
      <w:numPr>
        <w:numId w:val="16"/>
      </w:numPr>
    </w:pPr>
    <w:rPr>
      <w:rFonts w:eastAsia="Times New Roman"/>
      <w:lang w:eastAsia="de-DE"/>
    </w:rPr>
  </w:style>
  <w:style w:type="paragraph" w:customStyle="1" w:styleId="ListNumberLevel2">
    <w:name w:val="List Number (Level 2)"/>
    <w:basedOn w:val="Normal"/>
    <w:pPr>
      <w:tabs>
        <w:tab w:val="num" w:pos="1417"/>
      </w:tabs>
      <w:ind w:left="1417" w:hanging="708"/>
    </w:pPr>
    <w:rPr>
      <w:rFonts w:eastAsia="Times New Roman"/>
      <w:lang w:eastAsia="de-DE"/>
    </w:rPr>
  </w:style>
  <w:style w:type="paragraph" w:customStyle="1" w:styleId="ListNumberLevel3">
    <w:name w:val="List Number (Level 3)"/>
    <w:basedOn w:val="Normal"/>
    <w:pPr>
      <w:tabs>
        <w:tab w:val="num" w:pos="2126"/>
      </w:tabs>
      <w:ind w:left="2126" w:hanging="709"/>
    </w:pPr>
    <w:rPr>
      <w:rFonts w:eastAsia="Times New Roman"/>
      <w:lang w:eastAsia="de-DE"/>
    </w:rPr>
  </w:style>
  <w:style w:type="paragraph" w:customStyle="1" w:styleId="ListNumberLevel4">
    <w:name w:val="List Number (Level 4)"/>
    <w:basedOn w:val="Normal"/>
    <w:pPr>
      <w:tabs>
        <w:tab w:val="num" w:pos="2835"/>
      </w:tabs>
      <w:ind w:left="2835" w:hanging="709"/>
    </w:pPr>
    <w:rPr>
      <w:rFonts w:eastAsia="Times New Roman"/>
      <w:lang w:eastAsia="de-DE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  <w:lang w:val="mt-MT"/>
    </w:rPr>
  </w:style>
  <w:style w:type="character" w:customStyle="1" w:styleId="FooterSensitivityChar">
    <w:name w:val="Footer Sensitivity Char"/>
    <w:basedOn w:val="DefaultParagraphFont"/>
    <w:rPr>
      <w:rFonts w:ascii="Times New Roman" w:hAnsi="Times New Roman" w:cs="Times New Roman"/>
      <w:b/>
      <w:sz w:val="32"/>
      <w:lang w:val="mt-MT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before="0"/>
    </w:p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  <w:lang w:val="mt-MT"/>
    </w:rPr>
  </w:style>
  <w:style w:type="character" w:customStyle="1" w:styleId="HeaderSensitivityChar">
    <w:name w:val="Header Sensitivity Char"/>
    <w:basedOn w:val="DefaultParagraphFont"/>
    <w:rPr>
      <w:rFonts w:ascii="Times New Roman" w:hAnsi="Times New Roman" w:cs="Times New Roman"/>
      <w:b/>
      <w:sz w:val="32"/>
      <w:lang w:val="mt-MT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mt-M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mt-M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1"/>
      </w:numPr>
    </w:pPr>
  </w:style>
  <w:style w:type="paragraph" w:customStyle="1" w:styleId="Tiret1">
    <w:name w:val="Tiret 1"/>
    <w:basedOn w:val="Point1"/>
    <w:pPr>
      <w:numPr>
        <w:numId w:val="22"/>
      </w:numPr>
    </w:pPr>
  </w:style>
  <w:style w:type="paragraph" w:customStyle="1" w:styleId="Tiret2">
    <w:name w:val="Tiret 2"/>
    <w:basedOn w:val="Point2"/>
    <w:pPr>
      <w:numPr>
        <w:numId w:val="23"/>
      </w:numPr>
    </w:pPr>
  </w:style>
  <w:style w:type="paragraph" w:customStyle="1" w:styleId="Tiret3">
    <w:name w:val="Tiret 3"/>
    <w:basedOn w:val="Point3"/>
    <w:pPr>
      <w:numPr>
        <w:numId w:val="24"/>
      </w:numPr>
    </w:pPr>
  </w:style>
  <w:style w:type="paragraph" w:customStyle="1" w:styleId="Tiret4">
    <w:name w:val="Tiret 4"/>
    <w:basedOn w:val="Point4"/>
    <w:pPr>
      <w:numPr>
        <w:numId w:val="25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6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6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6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6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28"/>
      </w:numPr>
    </w:pPr>
  </w:style>
  <w:style w:type="paragraph" w:customStyle="1" w:styleId="Point1number">
    <w:name w:val="Point 1 (number)"/>
    <w:basedOn w:val="Normal"/>
    <w:pPr>
      <w:numPr>
        <w:ilvl w:val="2"/>
        <w:numId w:val="28"/>
      </w:numPr>
    </w:pPr>
  </w:style>
  <w:style w:type="paragraph" w:customStyle="1" w:styleId="Point2number">
    <w:name w:val="Point 2 (number)"/>
    <w:basedOn w:val="Normal"/>
    <w:pPr>
      <w:numPr>
        <w:ilvl w:val="4"/>
        <w:numId w:val="28"/>
      </w:numPr>
    </w:pPr>
  </w:style>
  <w:style w:type="paragraph" w:customStyle="1" w:styleId="Point3number">
    <w:name w:val="Point 3 (number)"/>
    <w:basedOn w:val="Normal"/>
    <w:pPr>
      <w:numPr>
        <w:ilvl w:val="6"/>
        <w:numId w:val="28"/>
      </w:numPr>
    </w:pPr>
  </w:style>
  <w:style w:type="paragraph" w:customStyle="1" w:styleId="Point0letter">
    <w:name w:val="Point 0 (letter)"/>
    <w:basedOn w:val="Normal"/>
    <w:pPr>
      <w:numPr>
        <w:ilvl w:val="1"/>
        <w:numId w:val="28"/>
      </w:numPr>
    </w:pPr>
  </w:style>
  <w:style w:type="paragraph" w:customStyle="1" w:styleId="Point1letter">
    <w:name w:val="Point 1 (letter)"/>
    <w:basedOn w:val="Normal"/>
    <w:pPr>
      <w:numPr>
        <w:ilvl w:val="3"/>
        <w:numId w:val="28"/>
      </w:numPr>
    </w:pPr>
  </w:style>
  <w:style w:type="paragraph" w:customStyle="1" w:styleId="Point2letter">
    <w:name w:val="Point 2 (letter)"/>
    <w:basedOn w:val="Normal"/>
    <w:pPr>
      <w:numPr>
        <w:ilvl w:val="5"/>
        <w:numId w:val="28"/>
      </w:numPr>
    </w:pPr>
  </w:style>
  <w:style w:type="paragraph" w:customStyle="1" w:styleId="Point3letter">
    <w:name w:val="Point 3 (letter)"/>
    <w:basedOn w:val="Normal"/>
    <w:pPr>
      <w:numPr>
        <w:ilvl w:val="7"/>
        <w:numId w:val="28"/>
      </w:numPr>
    </w:pPr>
  </w:style>
  <w:style w:type="paragraph" w:customStyle="1" w:styleId="Point4letter">
    <w:name w:val="Point 4 (letter)"/>
    <w:basedOn w:val="Normal"/>
    <w:pPr>
      <w:numPr>
        <w:ilvl w:val="8"/>
        <w:numId w:val="28"/>
      </w:numPr>
    </w:pPr>
  </w:style>
  <w:style w:type="paragraph" w:customStyle="1" w:styleId="Bullet0">
    <w:name w:val="Bullet 0"/>
    <w:basedOn w:val="Normal"/>
    <w:pPr>
      <w:numPr>
        <w:numId w:val="29"/>
      </w:numPr>
    </w:pPr>
  </w:style>
  <w:style w:type="paragraph" w:customStyle="1" w:styleId="Bullet1">
    <w:name w:val="Bullet 1"/>
    <w:basedOn w:val="Normal"/>
    <w:pPr>
      <w:numPr>
        <w:numId w:val="30"/>
      </w:numPr>
    </w:pPr>
  </w:style>
  <w:style w:type="paragraph" w:customStyle="1" w:styleId="Bullet2">
    <w:name w:val="Bullet 2"/>
    <w:basedOn w:val="Normal"/>
    <w:pPr>
      <w:numPr>
        <w:numId w:val="31"/>
      </w:numPr>
    </w:pPr>
  </w:style>
  <w:style w:type="paragraph" w:customStyle="1" w:styleId="Bullet3">
    <w:name w:val="Bullet 3"/>
    <w:basedOn w:val="Normal"/>
    <w:pPr>
      <w:numPr>
        <w:numId w:val="32"/>
      </w:numPr>
    </w:pPr>
  </w:style>
  <w:style w:type="paragraph" w:customStyle="1" w:styleId="Bullet4">
    <w:name w:val="Bullet 4"/>
    <w:basedOn w:val="Normal"/>
    <w:pPr>
      <w:numPr>
        <w:numId w:val="33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4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7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mt-M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mt-MT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mt-M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conf-macro">
    <w:name w:val="conf-macro"/>
    <w:basedOn w:val="DefaultParagraphFont"/>
  </w:style>
  <w:style w:type="paragraph" w:customStyle="1" w:styleId="ListDash1">
    <w:name w:val="List Dash 1"/>
    <w:basedOn w:val="Normal"/>
    <w:pPr>
      <w:numPr>
        <w:numId w:val="15"/>
      </w:numPr>
    </w:pPr>
    <w:rPr>
      <w:rFonts w:eastAsia="Times New Roman"/>
      <w:lang w:eastAsia="de-DE"/>
    </w:rPr>
  </w:style>
  <w:style w:type="paragraph" w:customStyle="1" w:styleId="ListDash2">
    <w:name w:val="List Dash 2"/>
    <w:basedOn w:val="Normal"/>
    <w:pPr>
      <w:numPr>
        <w:numId w:val="16"/>
      </w:numPr>
    </w:pPr>
    <w:rPr>
      <w:rFonts w:eastAsia="Times New Roman"/>
      <w:lang w:eastAsia="de-DE"/>
    </w:rPr>
  </w:style>
  <w:style w:type="paragraph" w:customStyle="1" w:styleId="ListNumberLevel2">
    <w:name w:val="List Number (Level 2)"/>
    <w:basedOn w:val="Normal"/>
    <w:pPr>
      <w:tabs>
        <w:tab w:val="num" w:pos="1417"/>
      </w:tabs>
      <w:ind w:left="1417" w:hanging="708"/>
    </w:pPr>
    <w:rPr>
      <w:rFonts w:eastAsia="Times New Roman"/>
      <w:lang w:eastAsia="de-DE"/>
    </w:rPr>
  </w:style>
  <w:style w:type="paragraph" w:customStyle="1" w:styleId="ListNumberLevel3">
    <w:name w:val="List Number (Level 3)"/>
    <w:basedOn w:val="Normal"/>
    <w:pPr>
      <w:tabs>
        <w:tab w:val="num" w:pos="2126"/>
      </w:tabs>
      <w:ind w:left="2126" w:hanging="709"/>
    </w:pPr>
    <w:rPr>
      <w:rFonts w:eastAsia="Times New Roman"/>
      <w:lang w:eastAsia="de-DE"/>
    </w:rPr>
  </w:style>
  <w:style w:type="paragraph" w:customStyle="1" w:styleId="ListNumberLevel4">
    <w:name w:val="List Number (Level 4)"/>
    <w:basedOn w:val="Normal"/>
    <w:pPr>
      <w:tabs>
        <w:tab w:val="num" w:pos="2835"/>
      </w:tabs>
      <w:ind w:left="2835" w:hanging="709"/>
    </w:pPr>
    <w:rPr>
      <w:rFonts w:eastAsia="Times New Roman"/>
      <w:lang w:eastAsia="de-DE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  <w:lang w:val="mt-MT"/>
    </w:rPr>
  </w:style>
  <w:style w:type="character" w:customStyle="1" w:styleId="FooterSensitivityChar">
    <w:name w:val="Footer Sensitivity Char"/>
    <w:basedOn w:val="DefaultParagraphFont"/>
    <w:rPr>
      <w:rFonts w:ascii="Times New Roman" w:hAnsi="Times New Roman" w:cs="Times New Roman"/>
      <w:b/>
      <w:sz w:val="32"/>
      <w:lang w:val="mt-MT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before="0"/>
    </w:p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  <w:lang w:val="mt-MT"/>
    </w:rPr>
  </w:style>
  <w:style w:type="character" w:customStyle="1" w:styleId="HeaderSensitivityChar">
    <w:name w:val="Header Sensitivity Char"/>
    <w:basedOn w:val="DefaultParagraphFont"/>
    <w:rPr>
      <w:rFonts w:ascii="Times New Roman" w:hAnsi="Times New Roman" w:cs="Times New Roman"/>
      <w:b/>
      <w:sz w:val="32"/>
      <w:lang w:val="mt-MT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mt-M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mt-M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1"/>
      </w:numPr>
    </w:pPr>
  </w:style>
  <w:style w:type="paragraph" w:customStyle="1" w:styleId="Tiret1">
    <w:name w:val="Tiret 1"/>
    <w:basedOn w:val="Point1"/>
    <w:pPr>
      <w:numPr>
        <w:numId w:val="22"/>
      </w:numPr>
    </w:pPr>
  </w:style>
  <w:style w:type="paragraph" w:customStyle="1" w:styleId="Tiret2">
    <w:name w:val="Tiret 2"/>
    <w:basedOn w:val="Point2"/>
    <w:pPr>
      <w:numPr>
        <w:numId w:val="23"/>
      </w:numPr>
    </w:pPr>
  </w:style>
  <w:style w:type="paragraph" w:customStyle="1" w:styleId="Tiret3">
    <w:name w:val="Tiret 3"/>
    <w:basedOn w:val="Point3"/>
    <w:pPr>
      <w:numPr>
        <w:numId w:val="24"/>
      </w:numPr>
    </w:pPr>
  </w:style>
  <w:style w:type="paragraph" w:customStyle="1" w:styleId="Tiret4">
    <w:name w:val="Tiret 4"/>
    <w:basedOn w:val="Point4"/>
    <w:pPr>
      <w:numPr>
        <w:numId w:val="25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6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6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6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6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28"/>
      </w:numPr>
    </w:pPr>
  </w:style>
  <w:style w:type="paragraph" w:customStyle="1" w:styleId="Point1number">
    <w:name w:val="Point 1 (number)"/>
    <w:basedOn w:val="Normal"/>
    <w:pPr>
      <w:numPr>
        <w:ilvl w:val="2"/>
        <w:numId w:val="28"/>
      </w:numPr>
    </w:pPr>
  </w:style>
  <w:style w:type="paragraph" w:customStyle="1" w:styleId="Point2number">
    <w:name w:val="Point 2 (number)"/>
    <w:basedOn w:val="Normal"/>
    <w:pPr>
      <w:numPr>
        <w:ilvl w:val="4"/>
        <w:numId w:val="28"/>
      </w:numPr>
    </w:pPr>
  </w:style>
  <w:style w:type="paragraph" w:customStyle="1" w:styleId="Point3number">
    <w:name w:val="Point 3 (number)"/>
    <w:basedOn w:val="Normal"/>
    <w:pPr>
      <w:numPr>
        <w:ilvl w:val="6"/>
        <w:numId w:val="28"/>
      </w:numPr>
    </w:pPr>
  </w:style>
  <w:style w:type="paragraph" w:customStyle="1" w:styleId="Point0letter">
    <w:name w:val="Point 0 (letter)"/>
    <w:basedOn w:val="Normal"/>
    <w:pPr>
      <w:numPr>
        <w:ilvl w:val="1"/>
        <w:numId w:val="28"/>
      </w:numPr>
    </w:pPr>
  </w:style>
  <w:style w:type="paragraph" w:customStyle="1" w:styleId="Point1letter">
    <w:name w:val="Point 1 (letter)"/>
    <w:basedOn w:val="Normal"/>
    <w:pPr>
      <w:numPr>
        <w:ilvl w:val="3"/>
        <w:numId w:val="28"/>
      </w:numPr>
    </w:pPr>
  </w:style>
  <w:style w:type="paragraph" w:customStyle="1" w:styleId="Point2letter">
    <w:name w:val="Point 2 (letter)"/>
    <w:basedOn w:val="Normal"/>
    <w:pPr>
      <w:numPr>
        <w:ilvl w:val="5"/>
        <w:numId w:val="28"/>
      </w:numPr>
    </w:pPr>
  </w:style>
  <w:style w:type="paragraph" w:customStyle="1" w:styleId="Point3letter">
    <w:name w:val="Point 3 (letter)"/>
    <w:basedOn w:val="Normal"/>
    <w:pPr>
      <w:numPr>
        <w:ilvl w:val="7"/>
        <w:numId w:val="28"/>
      </w:numPr>
    </w:pPr>
  </w:style>
  <w:style w:type="paragraph" w:customStyle="1" w:styleId="Point4letter">
    <w:name w:val="Point 4 (letter)"/>
    <w:basedOn w:val="Normal"/>
    <w:pPr>
      <w:numPr>
        <w:ilvl w:val="8"/>
        <w:numId w:val="28"/>
      </w:numPr>
    </w:pPr>
  </w:style>
  <w:style w:type="paragraph" w:customStyle="1" w:styleId="Bullet0">
    <w:name w:val="Bullet 0"/>
    <w:basedOn w:val="Normal"/>
    <w:pPr>
      <w:numPr>
        <w:numId w:val="29"/>
      </w:numPr>
    </w:pPr>
  </w:style>
  <w:style w:type="paragraph" w:customStyle="1" w:styleId="Bullet1">
    <w:name w:val="Bullet 1"/>
    <w:basedOn w:val="Normal"/>
    <w:pPr>
      <w:numPr>
        <w:numId w:val="30"/>
      </w:numPr>
    </w:pPr>
  </w:style>
  <w:style w:type="paragraph" w:customStyle="1" w:styleId="Bullet2">
    <w:name w:val="Bullet 2"/>
    <w:basedOn w:val="Normal"/>
    <w:pPr>
      <w:numPr>
        <w:numId w:val="31"/>
      </w:numPr>
    </w:pPr>
  </w:style>
  <w:style w:type="paragraph" w:customStyle="1" w:styleId="Bullet3">
    <w:name w:val="Bullet 3"/>
    <w:basedOn w:val="Normal"/>
    <w:pPr>
      <w:numPr>
        <w:numId w:val="32"/>
      </w:numPr>
    </w:pPr>
  </w:style>
  <w:style w:type="paragraph" w:customStyle="1" w:styleId="Bullet4">
    <w:name w:val="Bullet 4"/>
    <w:basedOn w:val="Normal"/>
    <w:pPr>
      <w:numPr>
        <w:numId w:val="33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4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eader" Target="header4.xml"/></Relationships>
</file>

<file path=word/_rels/footnotes.xml.rels><?xml version='1.0' encoding='UTF-8' standalone='yes'?>
<Relationships xmlns="http://schemas.openxmlformats.org/package/2006/relationships"><Relationship Id="rId1" Type="http://schemas.openxmlformats.org/officeDocument/2006/relationships/hyperlink" Target="https://myintracomm.ec.europa.eu/budgweb/EN/man/budgmanag/Pages/budgmanag.aspx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035DF7AF93945BFBCEF7349104FBF" ma:contentTypeVersion="0" ma:contentTypeDescription="Create a new document." ma:contentTypeScope="" ma:versionID="4520faae18ad6378bc483200924bc6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298a1a8e83205e5a36c7145419b8c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C1CADAE-DF96-4BB8-8D36-1B66A72A3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57D9B3-4F7E-4805-9A84-0F90B7F0E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2F9AB1-4B86-47BF-BE60-053414D77EEB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BB1BFF-C064-4B4C-87D8-646FE156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2</TotalTime>
  <Pages>25</Pages>
  <Words>5500</Words>
  <Characters>39111</Characters>
  <Application>Microsoft Office Word</Application>
  <DocSecurity>0</DocSecurity>
  <Lines>1396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20</cp:revision>
  <dcterms:created xsi:type="dcterms:W3CDTF">2020-05-29T12:04:00Z</dcterms:created>
  <dcterms:modified xsi:type="dcterms:W3CDTF">2020-05-29T14:11:00Z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COM/PL/MOD</vt:lpwstr>
  </property>
  <property fmtid="{D5CDD505-2E9C-101B-9397-08002B2CF9AE}" pid="3" name="Version">
    <vt:lpwstr>7.0.8.0</vt:lpwstr>
  </property>
  <property fmtid="{D5CDD505-2E9C-101B-9397-08002B2CF9AE}" pid="4" name="Last edited using">
    <vt:lpwstr>LW 7.0, Build 20190717</vt:lpwstr>
  </property>
  <property fmtid="{D5CDD505-2E9C-101B-9397-08002B2CF9AE}" pid="5" name="Created using">
    <vt:lpwstr>LW 7.0, Build 20190717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SG-005</vt:lpwstr>
  </property>
  <property fmtid="{D5CDD505-2E9C-101B-9397-08002B2CF9AE}" pid="10" name="ContentTypeId">
    <vt:lpwstr>0x010100B05035DF7AF93945BFBCEF7349104FBF</vt:lpwstr>
  </property>
  <property fmtid="{D5CDD505-2E9C-101B-9397-08002B2CF9AE}" pid="11" name="IsMyDocuments">
    <vt:bool>true</vt:bool>
  </property>
  <property fmtid="{D5CDD505-2E9C-101B-9397-08002B2CF9AE}" pid="12" name="DQCStatus">
    <vt:lpwstr>Green (DQC version 03)</vt:lpwstr>
  </property>
  <property name="OP_sanitized" fmtid="{D5CDD505-2E9C-101B-9397-08002B2CF9AE}" pid="13">
    <vt:lpwstr>True</vt:lpwstr>
  </property>
</Properties>
</file>