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4B" w:rsidRDefault="008B1629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6633F13-9AF9-4A58-8A6D-FE390566D4A6" style="width:450.75pt;height:348pt">
            <v:imagedata r:id="rId8" o:title=""/>
          </v:shape>
        </w:pict>
      </w:r>
    </w:p>
    <w:bookmarkEnd w:id="0"/>
    <w:p w:rsidR="00D91F4B" w:rsidRDefault="00D91F4B">
      <w:pPr>
        <w:rPr>
          <w:noProof/>
        </w:rPr>
        <w:sectPr w:rsidR="00D91F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D91F4B" w:rsidRDefault="008B1629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lastRenderedPageBreak/>
        <w:t xml:space="preserve">Usprawnienie procesu akcesyjnego – wiarygodna perspektywa członkostwa w UE dla państw regionu Bałkanów Zachodnich </w:t>
      </w:r>
    </w:p>
    <w:p w:rsidR="00D91F4B" w:rsidRDefault="00D91F4B"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1F4B" w:rsidRDefault="008B1629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Wprowadzenie</w:t>
      </w:r>
    </w:p>
    <w:p w:rsidR="00D91F4B" w:rsidRDefault="00D91F4B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91F4B" w:rsidRDefault="008B1629">
      <w:pPr>
        <w:spacing w:after="12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Od 2000 r. i 2003 r., kiedy to odbyły się posiedzenia w Feirze i Salonikach, Unia Europejska i jej państwa członkowskie konsekwentnie wyrażały swoje </w:t>
      </w:r>
      <w:r>
        <w:rPr>
          <w:rFonts w:ascii="Times New Roman" w:hAnsi="Times New Roman"/>
          <w:b/>
          <w:bCs/>
          <w:noProof/>
        </w:rPr>
        <w:t>jednoznaczne poparcie dla europejskiej perspektywy Bałkanów Zachodnich</w:t>
      </w:r>
      <w:r>
        <w:rPr>
          <w:rFonts w:ascii="Times New Roman" w:hAnsi="Times New Roman"/>
          <w:noProof/>
        </w:rPr>
        <w:t xml:space="preserve">. W swoich konkluzjach przyjętych na </w:t>
      </w:r>
      <w:r>
        <w:rPr>
          <w:rFonts w:ascii="Times New Roman" w:hAnsi="Times New Roman"/>
          <w:noProof/>
        </w:rPr>
        <w:t xml:space="preserve">posiedzeniu Rady do Spraw Ogólnych w czerwcu 2019 r. Rada ponownie potwierdziła „swoje </w:t>
      </w:r>
      <w:r>
        <w:rPr>
          <w:rFonts w:ascii="Times New Roman" w:hAnsi="Times New Roman"/>
          <w:b/>
          <w:bCs/>
          <w:noProof/>
        </w:rPr>
        <w:t>zaangażowanie na rzecz rozszerzenia</w:t>
      </w:r>
      <w:r>
        <w:rPr>
          <w:rFonts w:ascii="Times New Roman" w:hAnsi="Times New Roman"/>
          <w:noProof/>
        </w:rPr>
        <w:t>, które pozostaje jedną z głównych polityk Unii Europejskiej, zgodnie z odnowionym konsensusem w sprawie rozszerzenia zatwierdzonym pr</w:t>
      </w:r>
      <w:r>
        <w:rPr>
          <w:rFonts w:ascii="Times New Roman" w:hAnsi="Times New Roman"/>
          <w:noProof/>
        </w:rPr>
        <w:t>zez Radę Europejską w dniach 14–15 grudnia 2006 r. i z przyjętymi później konkluzjami Rady.”</w:t>
      </w:r>
      <w:r>
        <w:rPr>
          <w:rFonts w:ascii="Times New Roman" w:hAnsi="Times New Roman"/>
          <w:iCs/>
          <w:noProof/>
        </w:rPr>
        <w:t xml:space="preserve"> Na szczycie Rady w listopadzie 2019 r. panowało powszechne przekonanie, że należy przeanalizować skuteczność procesu negocjacji akcesyjnych.</w:t>
      </w:r>
    </w:p>
    <w:p w:rsidR="00D91F4B" w:rsidRDefault="008B162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Zdecydowanie wyrażana,</w:t>
      </w:r>
      <w:r>
        <w:rPr>
          <w:rFonts w:ascii="Times New Roman" w:hAnsi="Times New Roman"/>
          <w:b/>
          <w:noProof/>
        </w:rPr>
        <w:t xml:space="preserve"> oparta na osiągnięciach perspektywa pełnego członkostwa państw Bałkanów Zachodnich w UE</w:t>
      </w:r>
      <w:r>
        <w:rPr>
          <w:rFonts w:ascii="Times New Roman" w:hAnsi="Times New Roman"/>
          <w:noProof/>
        </w:rPr>
        <w:t xml:space="preserve"> jest zgodna z interesem samej Unii pod względem politycznym, gospodarczym i związanym z bezpieczeństwem. W czasach, kiedy globalne wyzwania i podziały się nasilają, je</w:t>
      </w:r>
      <w:r>
        <w:rPr>
          <w:rFonts w:ascii="Times New Roman" w:hAnsi="Times New Roman"/>
          <w:noProof/>
        </w:rPr>
        <w:t xml:space="preserve">st to – bardziej niż kiedykolwiek – </w:t>
      </w:r>
      <w:r>
        <w:rPr>
          <w:rFonts w:ascii="Times New Roman" w:hAnsi="Times New Roman"/>
          <w:b/>
          <w:noProof/>
        </w:rPr>
        <w:t>inwestycja geostrategiczna</w:t>
      </w:r>
      <w:r>
        <w:rPr>
          <w:rFonts w:ascii="Times New Roman" w:hAnsi="Times New Roman"/>
          <w:noProof/>
        </w:rPr>
        <w:t>, która zaowocuje stabilną, silną i zjednoczoną Europą. Wiarygodna perspektywa przystąpienia do UE jest główną zachętą i siłą napędową transformacji w regionie, a tym samym zwiększa nasze wspóln</w:t>
      </w:r>
      <w:r>
        <w:rPr>
          <w:rFonts w:ascii="Times New Roman" w:hAnsi="Times New Roman"/>
          <w:noProof/>
        </w:rPr>
        <w:t>e bezpieczeństwo i dobrobyt. Jest to kluczowe narzędzie promowania demokracji, praworządności i poszanowania praw podstawowych, które to zasady są również głównymi motorami integracji gospodarczej i fundamentem pojednania i stabilności w regionie. Utrzyman</w:t>
      </w:r>
      <w:r>
        <w:rPr>
          <w:rFonts w:ascii="Times New Roman" w:hAnsi="Times New Roman"/>
          <w:noProof/>
        </w:rPr>
        <w:t xml:space="preserve">ie i wzmocnienie tej polityki jest zatem konieczne dla zapewnienia UE niezbędnej </w:t>
      </w:r>
      <w:r>
        <w:rPr>
          <w:rFonts w:ascii="Times New Roman" w:hAnsi="Times New Roman"/>
          <w:b/>
          <w:noProof/>
        </w:rPr>
        <w:t>wiarygodności, sukcesu oraz wpływów w regionie i poza nim</w:t>
      </w:r>
      <w:r>
        <w:rPr>
          <w:rFonts w:ascii="Times New Roman" w:hAnsi="Times New Roman"/>
          <w:noProof/>
        </w:rPr>
        <w:t xml:space="preserve">, zwłaszcza w czasach wzmożonej konkurencji geopolitycznej. </w:t>
      </w:r>
    </w:p>
    <w:p w:rsidR="00D91F4B" w:rsidRDefault="008B162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Oczywiste jest jednak również, że </w:t>
      </w:r>
      <w:r>
        <w:rPr>
          <w:rFonts w:ascii="Times New Roman" w:hAnsi="Times New Roman"/>
          <w:b/>
          <w:noProof/>
        </w:rPr>
        <w:t xml:space="preserve">konieczne jest </w:t>
      </w:r>
      <w:r>
        <w:rPr>
          <w:rFonts w:ascii="Times New Roman" w:hAnsi="Times New Roman"/>
          <w:b/>
          <w:noProof/>
        </w:rPr>
        <w:t>zwiększenie skuteczności procesu akcesyjnego jako całości i jego wdrażania</w:t>
      </w:r>
      <w:r>
        <w:rPr>
          <w:rFonts w:ascii="Times New Roman" w:hAnsi="Times New Roman"/>
          <w:noProof/>
        </w:rPr>
        <w:t xml:space="preserve">. Strategiczny kierunek polityki pozostaje aktualny, nawet bardziej niż kiedykolwiek, jednak musi ona znaleźć lepsze osadzenie w terenie. </w:t>
      </w:r>
    </w:p>
    <w:p w:rsidR="00D91F4B" w:rsidRDefault="008B162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Pomimo kolejnych reform, takich jak nowe po</w:t>
      </w:r>
      <w:r>
        <w:rPr>
          <w:rFonts w:ascii="Times New Roman" w:hAnsi="Times New Roman"/>
          <w:noProof/>
        </w:rPr>
        <w:t>dejście do praworządności, skupienie się na kwestiach podstawowych i postępy osiągnięte dzięki strategii Komisji dotyczącej Bałkanów Zachodnich z 2018 r.</w:t>
      </w:r>
      <w:r>
        <w:rPr>
          <w:rStyle w:val="FootnoteReference"/>
          <w:noProof/>
        </w:rPr>
        <w:footnoteReference w:id="2"/>
      </w:r>
      <w:r>
        <w:rPr>
          <w:rFonts w:ascii="Times New Roman" w:hAnsi="Times New Roman"/>
          <w:noProof/>
        </w:rPr>
        <w:t xml:space="preserve">, proces akcesyjny musi być lepiej przygotowany do pokonywania </w:t>
      </w:r>
      <w:r>
        <w:rPr>
          <w:rFonts w:ascii="Times New Roman" w:hAnsi="Times New Roman"/>
          <w:b/>
          <w:noProof/>
        </w:rPr>
        <w:t xml:space="preserve">strukturalnych niedociągnięć </w:t>
      </w:r>
      <w:r>
        <w:rPr>
          <w:rFonts w:ascii="Times New Roman" w:hAnsi="Times New Roman"/>
          <w:noProof/>
        </w:rPr>
        <w:t>w</w:t>
      </w:r>
      <w:r>
        <w:rPr>
          <w:rFonts w:ascii="Times New Roman" w:hAnsi="Times New Roman"/>
          <w:b/>
          <w:noProof/>
        </w:rPr>
        <w:t> </w:t>
      </w:r>
      <w:r>
        <w:rPr>
          <w:rFonts w:ascii="Times New Roman" w:hAnsi="Times New Roman"/>
          <w:noProof/>
        </w:rPr>
        <w:t xml:space="preserve">krajach </w:t>
      </w:r>
      <w:r>
        <w:rPr>
          <w:rFonts w:ascii="Times New Roman" w:hAnsi="Times New Roman"/>
          <w:noProof/>
        </w:rPr>
        <w:t xml:space="preserve">tego regionu, w szczególności w obszarze kwestii podstawowych. </w:t>
      </w:r>
    </w:p>
    <w:p w:rsidR="00D91F4B" w:rsidRDefault="008B162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Ogromne znaczenie ma </w:t>
      </w:r>
      <w:r>
        <w:rPr>
          <w:rFonts w:ascii="Times New Roman" w:hAnsi="Times New Roman"/>
          <w:b/>
          <w:noProof/>
        </w:rPr>
        <w:t>pogłębianie wzajemnego zaufania wszystkich zainteresowanych stron</w:t>
      </w:r>
      <w:r>
        <w:rPr>
          <w:rFonts w:ascii="Times New Roman" w:hAnsi="Times New Roman"/>
          <w:noProof/>
        </w:rPr>
        <w:t xml:space="preserve"> oraz usprawnienie </w:t>
      </w:r>
      <w:r>
        <w:rPr>
          <w:rFonts w:ascii="Times New Roman" w:hAnsi="Times New Roman"/>
          <w:b/>
          <w:noProof/>
        </w:rPr>
        <w:t>procesu akcesyjnego i zwiększenie jego skuteczności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Musi on stać się </w:t>
      </w:r>
      <w:r>
        <w:rPr>
          <w:rFonts w:ascii="Times New Roman" w:hAnsi="Times New Roman"/>
          <w:b/>
          <w:noProof/>
        </w:rPr>
        <w:t>bardziej przewidy</w:t>
      </w:r>
      <w:r>
        <w:rPr>
          <w:rFonts w:ascii="Times New Roman" w:hAnsi="Times New Roman"/>
          <w:b/>
          <w:noProof/>
        </w:rPr>
        <w:t>walny, wiarygodniejszy</w:t>
      </w:r>
      <w:r>
        <w:rPr>
          <w:rFonts w:ascii="Times New Roman" w:hAnsi="Times New Roman"/>
          <w:noProof/>
        </w:rPr>
        <w:t xml:space="preserve">, a także – w oparciu o obiektywne kryteria, rygorystyczne uwarunkowania pozytywne i negatywne oraz odwracalność – </w:t>
      </w:r>
      <w:r>
        <w:rPr>
          <w:rFonts w:ascii="Times New Roman" w:hAnsi="Times New Roman"/>
          <w:b/>
          <w:noProof/>
        </w:rPr>
        <w:t>bardziej dynamiczny i objęty silniejszym sterowaniem politycznym</w:t>
      </w:r>
      <w:r>
        <w:rPr>
          <w:rFonts w:ascii="Times New Roman" w:hAnsi="Times New Roman"/>
          <w:noProof/>
        </w:rPr>
        <w:t>.</w:t>
      </w:r>
    </w:p>
    <w:p w:rsidR="00D91F4B" w:rsidRDefault="008B1629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t>W niniejszym komunikacie przedstawiono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b/>
          <w:bCs/>
          <w:noProof/>
        </w:rPr>
        <w:t>konkretne prop</w:t>
      </w:r>
      <w:r>
        <w:rPr>
          <w:rFonts w:ascii="Times New Roman" w:hAnsi="Times New Roman"/>
          <w:b/>
          <w:bCs/>
          <w:noProof/>
        </w:rPr>
        <w:t>ozycje Komisji</w:t>
      </w:r>
      <w:r>
        <w:rPr>
          <w:rFonts w:ascii="Times New Roman" w:hAnsi="Times New Roman"/>
          <w:noProof/>
        </w:rPr>
        <w:t xml:space="preserve"> dotyczące wzmocnienia całego procesu akcesyjnego. Ich ogólnym celem jest zwiększenie wiarygodności i zaufania po obu stronach oraz uzyskanie lepszych rezultatów w terenie. Proponowane zmiany mogą zostać ujęte w istniejących ramach negocjacyj</w:t>
      </w:r>
      <w:r>
        <w:rPr>
          <w:rFonts w:ascii="Times New Roman" w:hAnsi="Times New Roman"/>
          <w:noProof/>
        </w:rPr>
        <w:t>nych, co zapewni równe warunki działania w regionie. Oznacza to, że ramy negocjacyjne dla Serbii i Czarnogóry nie zostaną zmienione, ale proponowane zmiany mogłyby – za zgodą tych dwóch państw – zostać ujęte w obowiązujących już ramach.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Głównym celem współ</w:t>
      </w:r>
      <w:r>
        <w:rPr>
          <w:rFonts w:ascii="Times New Roman" w:hAnsi="Times New Roman"/>
          <w:noProof/>
        </w:rPr>
        <w:t xml:space="preserve">pracy Unii Europejskiej z krajami Bałkanów Zachodnich jest przygotowanie ich do spełnienia wszystkich wymogów członkostwa. Chodzi tu o wspieranie </w:t>
      </w:r>
      <w:r>
        <w:rPr>
          <w:rFonts w:ascii="Times New Roman" w:hAnsi="Times New Roman"/>
          <w:b/>
          <w:noProof/>
        </w:rPr>
        <w:t>podstawowych reform: demokratycznych, w dziedzinie praworządności i gospodarczych</w:t>
      </w:r>
      <w:r>
        <w:rPr>
          <w:rFonts w:ascii="Times New Roman" w:hAnsi="Times New Roman"/>
          <w:noProof/>
        </w:rPr>
        <w:t xml:space="preserve"> oraz dostosowanie do </w:t>
      </w:r>
      <w:r>
        <w:rPr>
          <w:rFonts w:ascii="Times New Roman" w:hAnsi="Times New Roman"/>
          <w:noProof/>
        </w:rPr>
        <w:lastRenderedPageBreak/>
        <w:t>podstaw</w:t>
      </w:r>
      <w:r>
        <w:rPr>
          <w:rFonts w:ascii="Times New Roman" w:hAnsi="Times New Roman"/>
          <w:noProof/>
        </w:rPr>
        <w:t xml:space="preserve">owych wartości europejskich. To z kolei przyczyni się do utrwalenia i przyspieszenia </w:t>
      </w:r>
      <w:r>
        <w:rPr>
          <w:rFonts w:ascii="Times New Roman" w:hAnsi="Times New Roman"/>
          <w:b/>
          <w:noProof/>
        </w:rPr>
        <w:t>wzrostu gospodarczego i konwergencji społecznej</w:t>
      </w:r>
      <w:r>
        <w:rPr>
          <w:rFonts w:ascii="Times New Roman" w:hAnsi="Times New Roman"/>
          <w:noProof/>
        </w:rPr>
        <w:t xml:space="preserve">. </w:t>
      </w:r>
    </w:p>
    <w:p w:rsidR="00D91F4B" w:rsidRDefault="008B1629">
      <w:pPr>
        <w:pStyle w:val="Briefingtext"/>
        <w:spacing w:after="120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hAnsi="Times New Roman"/>
          <w:noProof/>
        </w:rPr>
        <w:t xml:space="preserve">Zwiększenie skuteczności procesu akcesyjnego będzie zależeć w dużej mierze od </w:t>
      </w:r>
      <w:r>
        <w:rPr>
          <w:rFonts w:ascii="Times New Roman" w:hAnsi="Times New Roman"/>
          <w:b/>
          <w:noProof/>
        </w:rPr>
        <w:t>komunikacji strategicznej</w:t>
      </w:r>
      <w:r>
        <w:rPr>
          <w:rFonts w:ascii="Times New Roman" w:hAnsi="Times New Roman"/>
          <w:noProof/>
        </w:rPr>
        <w:t>. Konieczne jest p</w:t>
      </w:r>
      <w:r>
        <w:rPr>
          <w:rFonts w:ascii="Times New Roman" w:hAnsi="Times New Roman"/>
          <w:noProof/>
        </w:rPr>
        <w:t>odnoszenie świadomości w regionie na temat możliwości, jakie niosą ze sobą bliższa integracja i reformy, a także zwalczanie szkodliwych wpływów państw trzecich. Wymaga to również bardziej wiarygodnych wysiłków ze strony samych krajów dążących do akcesji. P</w:t>
      </w:r>
      <w:r>
        <w:rPr>
          <w:rFonts w:ascii="Times New Roman" w:hAnsi="Times New Roman"/>
          <w:noProof/>
        </w:rPr>
        <w:t xml:space="preserve">ubliczne zaangażowanie polityczne władz tych krajów w realizację strategicznego celu, jakim jest przystąpienie do UE, zostanie dokładniej ocenione w sprawozdaniach rocznych.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To strategiczne podejście będzie w związku z tym centralnym elementem </w:t>
      </w:r>
      <w:r>
        <w:rPr>
          <w:rFonts w:ascii="Times New Roman" w:hAnsi="Times New Roman"/>
          <w:b/>
          <w:noProof/>
        </w:rPr>
        <w:t>dalekosiężn</w:t>
      </w:r>
      <w:r>
        <w:rPr>
          <w:rFonts w:ascii="Times New Roman" w:hAnsi="Times New Roman"/>
          <w:b/>
          <w:noProof/>
        </w:rPr>
        <w:t>ego programu</w:t>
      </w:r>
      <w:r>
        <w:rPr>
          <w:rFonts w:ascii="Times New Roman" w:hAnsi="Times New Roman"/>
          <w:noProof/>
        </w:rPr>
        <w:t>. Program ten posłuży za wsparcie procesu przekształcenia gospodarek państw regionu Bałkanów Zachodnich w sprawnie funkcjonujące gospodarki rynkowe zdolne do pełnego włączenia się w jednolity rynek UE, tworzenia miejsc pracy i możliwości dla pr</w:t>
      </w:r>
      <w:r>
        <w:rPr>
          <w:rFonts w:ascii="Times New Roman" w:hAnsi="Times New Roman"/>
          <w:noProof/>
        </w:rPr>
        <w:t>zedsiębiorców, poprawy klimatu biznesowego i inwestycyjnego, promowania praworządności i powstrzymania obserwowanego w regionie tzw. drenażu mózgów. Reformy są niezbędne, aby pobudzić rozwój gospodarczy krajów bałkańskich i osadzić ich gospodarkę w realiac</w:t>
      </w:r>
      <w:r>
        <w:rPr>
          <w:rFonts w:ascii="Times New Roman" w:hAnsi="Times New Roman"/>
          <w:noProof/>
        </w:rPr>
        <w:t xml:space="preserve">h rynków UE poprzez przyspieszenie niezbędnej konwergencji z UE. Komisja rozważy w szczególności, jak przyspieszyć inwestycje, integrację społeczno-gospodarczą, zapewnić poprawę w zakresie praworządności, zwiększyć dostęp do jednolitego rynku UE, poprawić </w:t>
      </w:r>
      <w:r>
        <w:rPr>
          <w:rFonts w:ascii="Times New Roman" w:hAnsi="Times New Roman"/>
          <w:noProof/>
        </w:rPr>
        <w:t xml:space="preserve">konektywność, a także wykorzystać możliwości oferowane przez zieloną gospodarkę. Komisja przedstawi komunikat odnoszący się do tych kwestii przed szczytem w Zagrzebiu zaplanowanym na maj 2020 r. </w:t>
      </w:r>
    </w:p>
    <w:p w:rsidR="00D91F4B" w:rsidRDefault="00D91F4B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91F4B" w:rsidRDefault="008B1629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Ożywienie procesu akcesyjnego</w:t>
      </w:r>
    </w:p>
    <w:p w:rsidR="00D91F4B" w:rsidRDefault="00D91F4B">
      <w:pPr>
        <w:pStyle w:val="ListParagraph"/>
        <w:spacing w:after="120" w:line="240" w:lineRule="auto"/>
        <w:ind w:left="1080"/>
        <w:contextualSpacing w:val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1F4B" w:rsidRDefault="008B1629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Większa wiarygodność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Aby proces akcesyjny odzyskał wiarygodność po obu stronach i aby można było w pełni wykorzystać jego potencjał, musi on opierać się na solidnym </w:t>
      </w:r>
      <w:r>
        <w:rPr>
          <w:rFonts w:ascii="Times New Roman" w:hAnsi="Times New Roman"/>
          <w:b/>
          <w:noProof/>
        </w:rPr>
        <w:t>przekonaniu, wzajemnym zaufaniu i jasnych zobowiązaniach po obu stronach</w:t>
      </w:r>
      <w:r>
        <w:rPr>
          <w:rFonts w:ascii="Times New Roman" w:hAnsi="Times New Roman"/>
          <w:noProof/>
        </w:rPr>
        <w:t xml:space="preserve">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Oznacza to, że przywódcy krajów Bałka</w:t>
      </w:r>
      <w:r>
        <w:rPr>
          <w:rFonts w:ascii="Times New Roman" w:hAnsi="Times New Roman"/>
          <w:b/>
          <w:noProof/>
        </w:rPr>
        <w:t>nów Zachodnich muszą w sposób bardziej wiarygodny wywiązywać się z podjętego zobowiązania</w:t>
      </w:r>
      <w:r>
        <w:rPr>
          <w:rFonts w:ascii="Times New Roman" w:hAnsi="Times New Roman"/>
          <w:noProof/>
        </w:rPr>
        <w:t xml:space="preserve"> do wdrożenia niezbędnych zasadniczych reform, czy to w zakresie praworządności, walki z korupcją, gospodarki czy też zapewnienia właściwego funkcjonowania instytucji </w:t>
      </w:r>
      <w:r>
        <w:rPr>
          <w:rFonts w:ascii="Times New Roman" w:hAnsi="Times New Roman"/>
          <w:noProof/>
        </w:rPr>
        <w:t>demokratycznych i administracji publicznej lub dostosowania polityki zagranicznej. Państwa członkowskie i obywatele UE mają uzasadnione obawy, należy ich zatem utwierdzić co do istnienia w tych krajach jednoznacznej woli politycznej, popartej strukturalnym</w:t>
      </w:r>
      <w:r>
        <w:rPr>
          <w:rFonts w:ascii="Times New Roman" w:hAnsi="Times New Roman"/>
          <w:noProof/>
        </w:rPr>
        <w:t>i, konkretnymi reformami. Przywódcy krajów Bałkanów Zachodnich muszą wykazać się dalszym zaangażowaniem na rzecz wzmocnienia współpracy regionalnej i dobrych stosunków sąsiedzkich w celu zapewnienia stabilności i dobrobytu swoim obywatelom, utwierdzając je</w:t>
      </w:r>
      <w:r>
        <w:rPr>
          <w:rFonts w:ascii="Times New Roman" w:hAnsi="Times New Roman"/>
          <w:noProof/>
        </w:rPr>
        <w:t>dnocześnie UE w przekonaniu, że region jest gotowy zmierzyć się ze spuścizną przeszłości.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Oznacza to również, że </w:t>
      </w:r>
      <w:r>
        <w:rPr>
          <w:rFonts w:ascii="Times New Roman" w:hAnsi="Times New Roman"/>
          <w:b/>
          <w:noProof/>
        </w:rPr>
        <w:t>Unia Europejska nadaje bieg swojemu niezachwianemu zaangażowaniu w proces, który opiera się na konkretnych osiągnięciach.</w:t>
      </w:r>
      <w:r>
        <w:rPr>
          <w:rFonts w:ascii="Times New Roman" w:hAnsi="Times New Roman"/>
          <w:noProof/>
        </w:rPr>
        <w:t xml:space="preserve"> Z</w:t>
      </w:r>
      <w:r>
        <w:rPr>
          <w:rFonts w:ascii="Times New Roman" w:hAnsi="Times New Roman"/>
          <w:b/>
          <w:noProof/>
        </w:rPr>
        <w:t> </w:t>
      </w:r>
      <w:r>
        <w:rPr>
          <w:rFonts w:ascii="Times New Roman" w:hAnsi="Times New Roman"/>
          <w:noProof/>
        </w:rPr>
        <w:t>chwilą gdy kraje pa</w:t>
      </w:r>
      <w:r>
        <w:rPr>
          <w:rFonts w:ascii="Times New Roman" w:hAnsi="Times New Roman"/>
          <w:noProof/>
        </w:rPr>
        <w:t>rtnerskie spełnią obiektywne kryteria i ustalone obiektywne warunki, państwa członkowskie powinny zdecydować o przejściu do kolejnego etapu procesu. Wszystkie strony w procesie akcesyjnym muszą wystrzegać się nieuczciwego wykorzystywania nierozstrzygniętyc</w:t>
      </w:r>
      <w:r>
        <w:rPr>
          <w:rFonts w:ascii="Times New Roman" w:hAnsi="Times New Roman"/>
          <w:noProof/>
        </w:rPr>
        <w:t xml:space="preserve">h kwestii. W tym samym duchu, państwa członkowskie i instytucje muszą przyjąć w regionie jednolite stanowisko, wysyłając jasne sygnały wsparcia i zachęty oraz wyraźnie i otwarcie wskazywać niedociągnięcia w momencie ich wystąpienia.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Należy wzmocnić wiaryg</w:t>
      </w:r>
      <w:r>
        <w:rPr>
          <w:rFonts w:ascii="Times New Roman" w:hAnsi="Times New Roman"/>
          <w:noProof/>
        </w:rPr>
        <w:t xml:space="preserve">odność, </w:t>
      </w:r>
      <w:r>
        <w:rPr>
          <w:rFonts w:ascii="Times New Roman" w:hAnsi="Times New Roman"/>
          <w:b/>
          <w:noProof/>
        </w:rPr>
        <w:t>zwiększając nacisk na reformy w kwestiach zasadniczych</w:t>
      </w:r>
      <w:r>
        <w:rPr>
          <w:rFonts w:ascii="Times New Roman" w:hAnsi="Times New Roman"/>
          <w:noProof/>
        </w:rPr>
        <w:t xml:space="preserve">, niezbędne do poczynienia postępów na drodze do przystąpienia do UE. Takie reformy zyskają jeszcze większe znaczenie w negocjacjach akcesyjnych. </w:t>
      </w:r>
      <w:r>
        <w:rPr>
          <w:rFonts w:ascii="Times New Roman" w:hAnsi="Times New Roman"/>
          <w:b/>
          <w:noProof/>
        </w:rPr>
        <w:t>Negocjacje na temat reform w kwestiach zasadnicz</w:t>
      </w:r>
      <w:r>
        <w:rPr>
          <w:rFonts w:ascii="Times New Roman" w:hAnsi="Times New Roman"/>
          <w:b/>
          <w:noProof/>
        </w:rPr>
        <w:t>ych rozpoczną się jako pierwsze i zakończą jako ostatnie</w:t>
      </w:r>
      <w:r>
        <w:rPr>
          <w:rFonts w:ascii="Times New Roman" w:hAnsi="Times New Roman"/>
          <w:noProof/>
        </w:rPr>
        <w:t>, a postępy w tej dziedzinie będą wyznaczać ogólne tempo negocjacji. Negocjacje dotyczące reform w kwestiach zasadniczych opierać się będą na następujących założeniach:</w:t>
      </w:r>
    </w:p>
    <w:p w:rsidR="00D91F4B" w:rsidRDefault="008B1629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lastRenderedPageBreak/>
        <w:t xml:space="preserve">Kryterium otwierającym będzie </w:t>
      </w:r>
      <w:r>
        <w:rPr>
          <w:rFonts w:ascii="Times New Roman" w:hAnsi="Times New Roman"/>
          <w:b/>
          <w:noProof/>
        </w:rPr>
        <w:t>p</w:t>
      </w:r>
      <w:r>
        <w:rPr>
          <w:rFonts w:ascii="Times New Roman" w:hAnsi="Times New Roman"/>
          <w:b/>
          <w:noProof/>
        </w:rPr>
        <w:t>lan działania dotyczący rozdziałów dotyczących praworządności</w:t>
      </w:r>
      <w:r>
        <w:rPr>
          <w:rFonts w:ascii="Times New Roman" w:hAnsi="Times New Roman"/>
          <w:noProof/>
        </w:rPr>
        <w:t>, równoważny z poprzednimi planami działania. Kryteria pośrednie będą nadal ustalane. Żaden inny rozdział nie zostanie tymczasowo dopóki te kryteria nie zostaną spełnione.</w:t>
      </w:r>
    </w:p>
    <w:p w:rsidR="00D91F4B" w:rsidRDefault="008B1629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Plan działania dotycząc</w:t>
      </w:r>
      <w:r>
        <w:rPr>
          <w:rFonts w:ascii="Times New Roman" w:hAnsi="Times New Roman"/>
          <w:b/>
          <w:noProof/>
        </w:rPr>
        <w:t>y funkcjonowania instytucji demokratycznych</w:t>
      </w:r>
      <w:r>
        <w:rPr>
          <w:rFonts w:ascii="Times New Roman" w:hAnsi="Times New Roman"/>
          <w:noProof/>
        </w:rPr>
        <w:t xml:space="preserve"> i reformy administracji publicznej. </w:t>
      </w:r>
    </w:p>
    <w:p w:rsidR="00D91F4B" w:rsidRDefault="008B1629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Silniejsze powiązanie z programem reform gospodarczych</w:t>
      </w:r>
      <w:r>
        <w:rPr>
          <w:rFonts w:ascii="Times New Roman" w:hAnsi="Times New Roman"/>
          <w:noProof/>
        </w:rPr>
        <w:t xml:space="preserve">, co pozwoli wesprzeć zainteresowane kraje w spełnianiu kryteriów gospodarczych.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Komisja będzie również dalej wzmacniać </w:t>
      </w:r>
      <w:r>
        <w:rPr>
          <w:rFonts w:ascii="Times New Roman" w:hAnsi="Times New Roman"/>
          <w:noProof/>
        </w:rPr>
        <w:t>środki w zakresie praworządności i rozwoju instytucjonalnego. Osiągnięcie wyników w ramach wspomnianych reform będzie warunkiem głębszej integracji sektorowej i ogólnych postępów. Ponadto do głównego nurtu włączone zostaną działania antykorupcyjne, poprzez</w:t>
      </w:r>
      <w:r>
        <w:rPr>
          <w:rFonts w:ascii="Times New Roman" w:hAnsi="Times New Roman"/>
          <w:noProof/>
        </w:rPr>
        <w:t xml:space="preserve"> wyraźne zaakcentowanie tej kwestii w odpowiednich rozdziałach. Nadal udzielane będzie wsparcie na rzecz współpracy regionalnej. Należy podjąć wszelkie niezbędne wysiłki w celu rozstrzygnięcia dwustronnych sporów i położyć szczególny nacisk na wspierany pr</w:t>
      </w:r>
      <w:r>
        <w:rPr>
          <w:rFonts w:ascii="Times New Roman" w:hAnsi="Times New Roman"/>
          <w:noProof/>
        </w:rPr>
        <w:t xml:space="preserve">zez UE dialog między Belgradem a Prisztiną, który powinien zakończyć się zawarciem kompleksowego, prawnie wiążącego porozumienia o normalizacji. </w:t>
      </w:r>
    </w:p>
    <w:p w:rsidR="00D91F4B" w:rsidRDefault="00D91F4B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91F4B" w:rsidRDefault="008B1629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Silniejsze sterowanie polityczne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Przystąpienie do Unii Europejskiej jest procesem wymagającym i wspierającym </w:t>
      </w:r>
      <w:r>
        <w:rPr>
          <w:rFonts w:ascii="Times New Roman" w:hAnsi="Times New Roman"/>
          <w:noProof/>
        </w:rPr>
        <w:t xml:space="preserve">reformy w kwestiach zasadniczych oraz zmiany polityczne i gospodarcze w krajach aspirujących do członkostwa w UE i mogących wykazać się zdolnością do przyjęcia na siebie wspólnych zobowiązań jako państwo członkowskie UE. Nie jest to proces, który zachodzi </w:t>
      </w:r>
      <w:r>
        <w:rPr>
          <w:rFonts w:ascii="Times New Roman" w:hAnsi="Times New Roman"/>
          <w:noProof/>
        </w:rPr>
        <w:t xml:space="preserve">automatycznie; musi on odzwierciedlać podjętą przez te kraje </w:t>
      </w:r>
      <w:r>
        <w:rPr>
          <w:rFonts w:ascii="Times New Roman" w:hAnsi="Times New Roman"/>
          <w:b/>
          <w:noProof/>
        </w:rPr>
        <w:t>aktywną decyzję społeczną</w:t>
      </w:r>
      <w:r>
        <w:rPr>
          <w:rFonts w:ascii="Times New Roman" w:hAnsi="Times New Roman"/>
          <w:noProof/>
        </w:rPr>
        <w:t>, aby osiągnąć i przestrzegać najwyższych europejskich norm i wartości. Podobnie zobowiązanie państw członkowskich do budowania wspólnej przyszłości z państwami regionu B</w:t>
      </w:r>
      <w:r>
        <w:rPr>
          <w:rFonts w:ascii="Times New Roman" w:hAnsi="Times New Roman"/>
          <w:noProof/>
        </w:rPr>
        <w:t xml:space="preserve">ałkanów Zachodnich jako pełnoprawnymi członkami Unii jest znaczącym z politycznego punktu widzenia, a nie tylko technicznym przedsięwzięciem.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Oznacza to, że obie strony powinny</w:t>
      </w:r>
      <w:r>
        <w:rPr>
          <w:rFonts w:ascii="Times New Roman" w:hAnsi="Times New Roman"/>
          <w:b/>
          <w:noProof/>
        </w:rPr>
        <w:t xml:space="preserve"> wykazać się większym przywództwem</w:t>
      </w:r>
      <w:r>
        <w:rPr>
          <w:rFonts w:ascii="Times New Roman" w:hAnsi="Times New Roman"/>
          <w:noProof/>
        </w:rPr>
        <w:t xml:space="preserve"> i publicznie demonstrować swoje zaangażowanie, podejmując bardziej bezpośrednie działania w kwestiach budzących niepokój. Ze względu na te wyzwania </w:t>
      </w:r>
      <w:r>
        <w:rPr>
          <w:rFonts w:ascii="Times New Roman" w:hAnsi="Times New Roman"/>
          <w:b/>
          <w:noProof/>
        </w:rPr>
        <w:t>centralnym i przewodnim elementem procesu musi stać się jego polityczny charakter</w:t>
      </w:r>
      <w:r>
        <w:rPr>
          <w:rFonts w:ascii="Times New Roman" w:hAnsi="Times New Roman"/>
          <w:noProof/>
        </w:rPr>
        <w:t>, należy także zapewnić si</w:t>
      </w:r>
      <w:r>
        <w:rPr>
          <w:rFonts w:ascii="Times New Roman" w:hAnsi="Times New Roman"/>
          <w:noProof/>
        </w:rPr>
        <w:t xml:space="preserve">lniejsze sterowanie i zaangażowanie państw członkowskich na wysokim szczeblu.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Powinno to obejmować tworzenie nowych możliwości </w:t>
      </w:r>
      <w:r>
        <w:rPr>
          <w:rFonts w:ascii="Times New Roman" w:hAnsi="Times New Roman"/>
          <w:b/>
          <w:noProof/>
        </w:rPr>
        <w:t>dialogu politycznego i strategicznego na wysokim szczeblu</w:t>
      </w:r>
      <w:r>
        <w:rPr>
          <w:rFonts w:ascii="Times New Roman" w:hAnsi="Times New Roman"/>
          <w:noProof/>
        </w:rPr>
        <w:t xml:space="preserve"> z tymi krajami, </w:t>
      </w:r>
      <w:r>
        <w:rPr>
          <w:rFonts w:ascii="Times New Roman" w:hAnsi="Times New Roman"/>
          <w:b/>
          <w:noProof/>
        </w:rPr>
        <w:t>poprzez regularne szczyty UE-Bałkany Zachodnie oraz in</w:t>
      </w:r>
      <w:r>
        <w:rPr>
          <w:rFonts w:ascii="Times New Roman" w:hAnsi="Times New Roman"/>
          <w:b/>
          <w:noProof/>
        </w:rPr>
        <w:t>tensyfikację kontaktów na szczeblu ministerialnym</w:t>
      </w:r>
      <w:r>
        <w:rPr>
          <w:rFonts w:ascii="Times New Roman" w:hAnsi="Times New Roman"/>
          <w:noProof/>
        </w:rPr>
        <w:t>, zwłaszcza w obszarach, w których dostosowanie przebiega sprawnie, a kluczowe kryteria są spełniane. Rezultatem takiego zwiększonego zaangażowania mógłby być udział krajów Bałkanów Zachodnich w najważniejsz</w:t>
      </w:r>
      <w:r>
        <w:rPr>
          <w:rFonts w:ascii="Times New Roman" w:hAnsi="Times New Roman"/>
          <w:noProof/>
        </w:rPr>
        <w:t xml:space="preserve">ych posiedzeniach Unii Europejskiej, na których omawiane są istotne dla nich kwestie, w charakterze </w:t>
      </w:r>
      <w:r>
        <w:rPr>
          <w:rFonts w:ascii="Times New Roman" w:hAnsi="Times New Roman"/>
          <w:b/>
          <w:noProof/>
        </w:rPr>
        <w:t>obserwatorów</w:t>
      </w:r>
      <w:r>
        <w:rPr>
          <w:rFonts w:ascii="Times New Roman" w:hAnsi="Times New Roman"/>
          <w:noProof/>
        </w:rPr>
        <w:t xml:space="preserve">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Ważne będzie zadbanie o to, by </w:t>
      </w:r>
      <w:r>
        <w:rPr>
          <w:rFonts w:ascii="Times New Roman" w:hAnsi="Times New Roman"/>
          <w:b/>
          <w:noProof/>
        </w:rPr>
        <w:t>wszystkie organy wywodzące się z układów o stabilizacji i stowarzyszeniu koncentrowały się w znacznie większym</w:t>
      </w:r>
      <w:r>
        <w:rPr>
          <w:rFonts w:ascii="Times New Roman" w:hAnsi="Times New Roman"/>
          <w:b/>
          <w:noProof/>
        </w:rPr>
        <w:t xml:space="preserve"> stopniu na kluczowych kwestiach politycznych i reformach</w:t>
      </w:r>
      <w:r>
        <w:rPr>
          <w:rFonts w:ascii="Times New Roman" w:hAnsi="Times New Roman"/>
          <w:noProof/>
        </w:rPr>
        <w:t xml:space="preserve"> oraz umożliwienie rzeczywistego dialogu politycznego. Silniejsze polityczne sterowanie procesem negocjacji akcesyjnych powinny zapewnić konferencje międzyrządowe.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u w:val="single"/>
        </w:rPr>
        <w:t>Państwa członkowskie</w:t>
      </w:r>
      <w:r>
        <w:rPr>
          <w:rFonts w:ascii="Times New Roman" w:hAnsi="Times New Roman"/>
          <w:b/>
          <w:noProof/>
        </w:rPr>
        <w:t xml:space="preserve"> zostaną popro</w:t>
      </w:r>
      <w:r>
        <w:rPr>
          <w:rFonts w:ascii="Times New Roman" w:hAnsi="Times New Roman"/>
          <w:b/>
          <w:noProof/>
        </w:rPr>
        <w:t>szone o bardziej systematyczne wnoszenie wkładu w proces akcesyjny</w:t>
      </w:r>
      <w:r>
        <w:rPr>
          <w:rFonts w:ascii="Times New Roman" w:hAnsi="Times New Roman"/>
          <w:noProof/>
        </w:rPr>
        <w:t xml:space="preserve">, w tym poprzez monitorowanie na miejscu z pomocą swoich ekspertów, wnoszenie bezpośrednich wkładów do sprawozdań rocznych i dzielenie się fachową wiedzą w poszczególnych sektorach. Państwa </w:t>
      </w:r>
      <w:r>
        <w:rPr>
          <w:rFonts w:ascii="Times New Roman" w:hAnsi="Times New Roman"/>
          <w:noProof/>
        </w:rPr>
        <w:t>członkowskie będą również miały możliwość regularnego przeglądu i monitorowania ogólnych postępów.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u w:val="single"/>
        </w:rPr>
        <w:t>Komisja</w:t>
      </w:r>
      <w:r>
        <w:rPr>
          <w:rFonts w:ascii="Times New Roman" w:hAnsi="Times New Roman"/>
          <w:noProof/>
        </w:rPr>
        <w:t xml:space="preserve"> będzie nadal podsumowywać ogólne postępy w negocjacjach. </w:t>
      </w:r>
      <w:r>
        <w:rPr>
          <w:rFonts w:ascii="Times New Roman" w:hAnsi="Times New Roman"/>
          <w:b/>
          <w:noProof/>
        </w:rPr>
        <w:t>W</w:t>
      </w:r>
      <w:r>
        <w:rPr>
          <w:rFonts w:ascii="Times New Roman" w:hAnsi="Times New Roman"/>
          <w:noProof/>
        </w:rPr>
        <w:t> </w:t>
      </w:r>
      <w:r>
        <w:rPr>
          <w:rFonts w:ascii="Times New Roman" w:hAnsi="Times New Roman"/>
          <w:b/>
          <w:noProof/>
        </w:rPr>
        <w:t>swoim corocznym pakiecie „rozszerzenie” zaproponuje działania przewidziane</w:t>
      </w:r>
      <w:r>
        <w:rPr>
          <w:rFonts w:ascii="Times New Roman" w:hAnsi="Times New Roman"/>
          <w:noProof/>
        </w:rPr>
        <w:t xml:space="preserve"> na kolejny rok oraz szczegóły dotyczące reform, które zostaną przedłożone państwom członkowskim do zatwierdzenia. </w:t>
      </w:r>
      <w:r>
        <w:rPr>
          <w:rFonts w:ascii="Times New Roman" w:hAnsi="Times New Roman"/>
          <w:b/>
          <w:noProof/>
        </w:rPr>
        <w:t>Znajdą się w tym także propozycje środków naprawczych</w:t>
      </w:r>
      <w:r>
        <w:rPr>
          <w:rFonts w:ascii="Times New Roman" w:hAnsi="Times New Roman"/>
          <w:noProof/>
        </w:rPr>
        <w:t xml:space="preserve">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u w:val="single"/>
        </w:rPr>
        <w:t>Konferencje międzyrządowe dotyczące poszczególnych krajów,</w:t>
      </w:r>
      <w:r>
        <w:rPr>
          <w:rFonts w:ascii="Times New Roman" w:hAnsi="Times New Roman"/>
          <w:b/>
          <w:noProof/>
        </w:rPr>
        <w:t xml:space="preserve"> powinny odbywać się po opu</w:t>
      </w:r>
      <w:r>
        <w:rPr>
          <w:rFonts w:ascii="Times New Roman" w:hAnsi="Times New Roman"/>
          <w:b/>
          <w:noProof/>
        </w:rPr>
        <w:t>blikowaniu przez Komisję rocznego pakietu</w:t>
      </w:r>
      <w:r>
        <w:rPr>
          <w:rFonts w:ascii="Times New Roman" w:hAnsi="Times New Roman"/>
          <w:noProof/>
        </w:rPr>
        <w:t xml:space="preserve"> sprawozdań dla każdego kraju. </w:t>
      </w:r>
      <w:r>
        <w:rPr>
          <w:rFonts w:ascii="Times New Roman" w:hAnsi="Times New Roman"/>
          <w:b/>
          <w:noProof/>
        </w:rPr>
        <w:t>Powinny one stanowić platformę do dialogu politycznego</w:t>
      </w:r>
      <w:r>
        <w:rPr>
          <w:rFonts w:ascii="Times New Roman" w:hAnsi="Times New Roman"/>
          <w:noProof/>
        </w:rPr>
        <w:t xml:space="preserve"> na temat reform, podsumowania ogólnego procesu przystąpienia oraz określenia planów na nadchodzący rok, w tym otwarcia i zamknięc</w:t>
      </w:r>
      <w:r>
        <w:rPr>
          <w:rFonts w:ascii="Times New Roman" w:hAnsi="Times New Roman"/>
          <w:noProof/>
        </w:rPr>
        <w:t xml:space="preserve">ia rozdziałów/grup rozdziałów i ewentualnych środków naprawczych. </w:t>
      </w:r>
      <w:r>
        <w:rPr>
          <w:rFonts w:ascii="Times New Roman" w:hAnsi="Times New Roman"/>
          <w:b/>
          <w:noProof/>
        </w:rPr>
        <w:t>Aby zagwarantować skuteczny dialog polityczny,</w:t>
      </w:r>
      <w:r>
        <w:rPr>
          <w:rFonts w:ascii="Times New Roman" w:hAnsi="Times New Roman"/>
          <w:noProof/>
        </w:rPr>
        <w:t xml:space="preserve"> wszystkie strony powinny zapewnić swoich przedstawicieli w konferencjach międzyrządowych </w:t>
      </w:r>
      <w:r>
        <w:rPr>
          <w:rFonts w:ascii="Times New Roman" w:hAnsi="Times New Roman"/>
          <w:b/>
          <w:noProof/>
        </w:rPr>
        <w:t>na odpowiednim szczeblu</w:t>
      </w:r>
      <w:r>
        <w:rPr>
          <w:rFonts w:ascii="Times New Roman" w:hAnsi="Times New Roman"/>
          <w:noProof/>
        </w:rPr>
        <w:t>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Ważnym i uzupełniającym eleme</w:t>
      </w:r>
      <w:r>
        <w:rPr>
          <w:rFonts w:ascii="Times New Roman" w:hAnsi="Times New Roman"/>
          <w:noProof/>
        </w:rPr>
        <w:t xml:space="preserve">ntem politycznego dialogu w sprawie reform będą </w:t>
      </w:r>
      <w:r>
        <w:rPr>
          <w:rFonts w:ascii="Times New Roman" w:hAnsi="Times New Roman"/>
          <w:b/>
          <w:noProof/>
          <w:u w:val="single"/>
        </w:rPr>
        <w:t>Rady Stabilizacji i Stowarzyszenia</w:t>
      </w:r>
      <w:r>
        <w:rPr>
          <w:rFonts w:ascii="Times New Roman" w:hAnsi="Times New Roman"/>
          <w:noProof/>
        </w:rPr>
        <w:t xml:space="preserve">. Wspólnie z Komitetami i Podkomitetami Stabilizacji i Stowarzyszenia pozwolą one na </w:t>
      </w:r>
      <w:r>
        <w:rPr>
          <w:rFonts w:ascii="Times New Roman" w:hAnsi="Times New Roman"/>
          <w:b/>
          <w:noProof/>
        </w:rPr>
        <w:t>lepsze monitorowanie postępów oraz podejmowanie kwestii związanych z szybszą integracją</w:t>
      </w:r>
      <w:r>
        <w:rPr>
          <w:rFonts w:ascii="Times New Roman" w:hAnsi="Times New Roman"/>
          <w:noProof/>
        </w:rPr>
        <w:t xml:space="preserve"> w</w:t>
      </w:r>
      <w:r>
        <w:rPr>
          <w:rFonts w:ascii="Times New Roman" w:hAnsi="Times New Roman"/>
          <w:noProof/>
        </w:rPr>
        <w:t xml:space="preserve"> ramach poszczególnych klastrów (zob. poniżej).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 kluczowych momentach procesu przystąpienia poszczególnych partnerów powinna mieć miejsce dogłębniejsza ocena polityczna, na przykład po spełnieniu kryteriów pośrednich dotyczących reform zasadniczych, w sy</w:t>
      </w:r>
      <w:r>
        <w:rPr>
          <w:rFonts w:ascii="Times New Roman" w:hAnsi="Times New Roman"/>
          <w:noProof/>
        </w:rPr>
        <w:t>tuacji gdy Rada podejmie decyzję o spełnieniu warunków otwarcia danego klastra oraz w chwili, gdy ogólne negocjacje są, z technicznego punktu widzenia, gotowe do zamknięcia.</w:t>
      </w:r>
    </w:p>
    <w:p w:rsidR="00D91F4B" w:rsidRDefault="00D91F4B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91F4B" w:rsidRDefault="008B1629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 xml:space="preserve">Proces bardziej dynamiczny 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 celu zwiększenia dynamiki procesu negocjacyjnego or</w:t>
      </w:r>
      <w:r>
        <w:rPr>
          <w:rFonts w:ascii="Times New Roman" w:hAnsi="Times New Roman"/>
          <w:noProof/>
        </w:rPr>
        <w:t xml:space="preserve">az umocnienia wzajemnej inspiracji, jeżeli chodzi o starania wykraczające poza poszczególne rozdziały, </w:t>
      </w:r>
      <w:r>
        <w:rPr>
          <w:rFonts w:ascii="Times New Roman" w:hAnsi="Times New Roman"/>
          <w:b/>
          <w:noProof/>
        </w:rPr>
        <w:t>rozdziały negocjacyjne zostaną pogrupowane według klastrów tematycznych</w:t>
      </w:r>
      <w:r>
        <w:rPr>
          <w:rFonts w:ascii="Times New Roman" w:hAnsi="Times New Roman"/>
          <w:noProof/>
        </w:rPr>
        <w:t xml:space="preserve"> . Klastry są określone według szeroko ujętych tematów, takich dobre zarządzanie, </w:t>
      </w:r>
      <w:r>
        <w:rPr>
          <w:rFonts w:ascii="Times New Roman" w:hAnsi="Times New Roman"/>
          <w:noProof/>
        </w:rPr>
        <w:t xml:space="preserve">rynek wewnętrzny, konkurencyjność gospodarcza i łączność. 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Pogrupowanie rozdziałów w klastry pozwoli </w:t>
      </w:r>
      <w:r>
        <w:rPr>
          <w:rFonts w:ascii="Times New Roman" w:hAnsi="Times New Roman"/>
          <w:b/>
          <w:noProof/>
        </w:rPr>
        <w:t>w</w:t>
      </w:r>
      <w:r>
        <w:rPr>
          <w:rFonts w:ascii="Times New Roman" w:hAnsi="Times New Roman"/>
          <w:noProof/>
        </w:rPr>
        <w:t> </w:t>
      </w:r>
      <w:r>
        <w:rPr>
          <w:rFonts w:ascii="Times New Roman" w:hAnsi="Times New Roman"/>
          <w:b/>
          <w:noProof/>
        </w:rPr>
        <w:t>większym stopniu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b/>
          <w:noProof/>
        </w:rPr>
        <w:t>skupić się w dialogu politycznym na kluczowych sektorach</w:t>
      </w:r>
      <w:r>
        <w:rPr>
          <w:rFonts w:ascii="Times New Roman" w:hAnsi="Times New Roman"/>
          <w:noProof/>
        </w:rPr>
        <w:t xml:space="preserve"> i udoskonalić ramy dla zaangażowania politycznego na wyższym szczeblu. Dzięki t</w:t>
      </w:r>
      <w:r>
        <w:rPr>
          <w:rFonts w:ascii="Times New Roman" w:hAnsi="Times New Roman"/>
          <w:noProof/>
        </w:rPr>
        <w:t xml:space="preserve">emu możliwe będzie określenie </w:t>
      </w:r>
      <w:r>
        <w:rPr>
          <w:rFonts w:ascii="Times New Roman" w:hAnsi="Times New Roman"/>
          <w:b/>
          <w:noProof/>
        </w:rPr>
        <w:t>najważniejszych i najpilniejszych reform w podziale na sektory</w:t>
      </w:r>
      <w:r>
        <w:rPr>
          <w:rFonts w:ascii="Times New Roman" w:hAnsi="Times New Roman"/>
          <w:noProof/>
        </w:rPr>
        <w:t>. W ten sposób ogólny proces reform będzie przebiegał sprawniej, zwiększając intensywność realizowania reform sektorowych w interesie obywateli i przedsiębiorstw.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N</w:t>
      </w:r>
      <w:r>
        <w:rPr>
          <w:rFonts w:ascii="Times New Roman" w:hAnsi="Times New Roman"/>
          <w:b/>
          <w:noProof/>
        </w:rPr>
        <w:t xml:space="preserve">egocjacje poszczególnych klastrów będą otwierane w całości – po wypełnieniu kryteriów otwarcia – </w:t>
      </w:r>
      <w:r>
        <w:rPr>
          <w:rFonts w:ascii="Times New Roman" w:hAnsi="Times New Roman"/>
          <w:noProof/>
        </w:rPr>
        <w:t>nie zaś w podziale na poszczególne rozdziały. Przeprowadzany będzie przegląd poszczególnych klastrów, a następnie UE i państwo kandydujące uzgadniać będą prior</w:t>
      </w:r>
      <w:r>
        <w:rPr>
          <w:rFonts w:ascii="Times New Roman" w:hAnsi="Times New Roman"/>
          <w:noProof/>
        </w:rPr>
        <w:t>ytety przyspieszonej integracji i kluczowe reformy. Po dostatecznym zrealizowaniu takich priorytetów dany klaster (obejmujący wszystkie powiązane rozdziały) będzie otwierany bez dalszych uwarunkowań; dla każdego z rozdziałów będą następnie ustalane kryteri</w:t>
      </w:r>
      <w:r>
        <w:rPr>
          <w:rFonts w:ascii="Times New Roman" w:hAnsi="Times New Roman"/>
          <w:noProof/>
        </w:rPr>
        <w:t>a zamknięcia. Jeżeli ważne reformy zostały wdrożone przed otwarciem, należy ograniczyć ramy czasowe między otwarciem klastra a zamknięciem poszczególnych rozdziałów, w miarę możliwości do jednego roku, w zależności od postępów w obszarze reform. Należy sku</w:t>
      </w:r>
      <w:r>
        <w:rPr>
          <w:rFonts w:ascii="Times New Roman" w:hAnsi="Times New Roman"/>
          <w:noProof/>
        </w:rPr>
        <w:t xml:space="preserve">pić się na pozostałych środkach, niezbędnych dla zapewnienia pełnego dostosowania. 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>Klastry będą dostosowywane z podkomitetami układu o stabilizacji i stowarzyszeniu,</w:t>
      </w:r>
      <w:r>
        <w:rPr>
          <w:rFonts w:ascii="Times New Roman" w:hAnsi="Times New Roman"/>
          <w:noProof/>
        </w:rPr>
        <w:t xml:space="preserve"> co pozwoli na monitorowanie postępów w obrębie klastra oraz podejmowanie w ramach struktu</w:t>
      </w:r>
      <w:r>
        <w:rPr>
          <w:rFonts w:ascii="Times New Roman" w:hAnsi="Times New Roman"/>
          <w:noProof/>
        </w:rPr>
        <w:t xml:space="preserve">r układu o stabilizacji i stowarzyszeniu konkretnych działań dotyczących przyspieszonego dostosowania. Dzięki temu możliwe będą ukierunkowane dialogi i określenie </w:t>
      </w:r>
      <w:r>
        <w:rPr>
          <w:rFonts w:ascii="Times New Roman" w:hAnsi="Times New Roman"/>
          <w:b/>
          <w:noProof/>
        </w:rPr>
        <w:t>możliwości przyspieszonego dostosowania</w:t>
      </w:r>
      <w:r>
        <w:rPr>
          <w:rFonts w:ascii="Times New Roman" w:hAnsi="Times New Roman"/>
          <w:noProof/>
        </w:rPr>
        <w:t xml:space="preserve"> i integracji we wszystkich obszarach polityki UE, z k</w:t>
      </w:r>
      <w:r>
        <w:rPr>
          <w:rFonts w:ascii="Times New Roman" w:hAnsi="Times New Roman"/>
          <w:noProof/>
        </w:rPr>
        <w:t>orzyścią dla Unii Europejskiej i krajów kandydujących.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Mając na celu zwiększenie dynamiki </w:t>
      </w:r>
      <w:r>
        <w:rPr>
          <w:rFonts w:ascii="Times New Roman" w:hAnsi="Times New Roman"/>
          <w:b/>
          <w:noProof/>
        </w:rPr>
        <w:t>negocjacji z Serbią i Czarnogórą</w:t>
      </w:r>
      <w:r>
        <w:rPr>
          <w:rFonts w:ascii="Times New Roman" w:hAnsi="Times New Roman"/>
          <w:noProof/>
        </w:rPr>
        <w:t>, można zorganizować prace nad rozdziałami według, przy jednoczesnym zachowaniu istniejących ram negocjacyjnych i po uzyskaniu zgody t</w:t>
      </w:r>
      <w:r>
        <w:rPr>
          <w:rFonts w:ascii="Times New Roman" w:hAnsi="Times New Roman"/>
          <w:noProof/>
        </w:rPr>
        <w:t>ych krajów. Pozwoli to w większym stopniu skupić polityczną uwagę na kluczowych sektorach i wygenerować w tych państwach polityczną dynamikę wokół kluczowych kwestii dostosowania. Powstanie możliwość zaangażowania się w działania mające na celu zidentyfiko</w:t>
      </w:r>
      <w:r>
        <w:rPr>
          <w:rFonts w:ascii="Times New Roman" w:hAnsi="Times New Roman"/>
          <w:noProof/>
        </w:rPr>
        <w:t>wanie obszarów zainteresowania w kontekście przyspieszonego dostosowania i integracji poszczególnych sektorów, uzgodnione zostaną wspólne harmonogramy, ujęte w strukturach układu o stabilizacji i stowarzyszeniu.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 </w:t>
      </w:r>
    </w:p>
    <w:p w:rsidR="00D91F4B" w:rsidRDefault="008B1629"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</w:rPr>
        <w:t>Przewidywalność, pozytywna i negatywna war</w:t>
      </w:r>
      <w:r>
        <w:rPr>
          <w:rFonts w:ascii="Times New Roman" w:hAnsi="Times New Roman"/>
          <w:b/>
          <w:noProof/>
        </w:rPr>
        <w:t xml:space="preserve">unkowość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Zarówno państwa członkowskie, jak i państwa regionu Bałkanów Zachodnich w zdecydowany sposób apelują o wprowadzenie procesu, który byłby bardziej przewidywalny i który zapewniłby </w:t>
      </w:r>
      <w:r>
        <w:rPr>
          <w:rFonts w:ascii="Times New Roman" w:hAnsi="Times New Roman"/>
          <w:b/>
          <w:noProof/>
        </w:rPr>
        <w:t>większą jasność odnośnie do oczekiwań Unii</w:t>
      </w:r>
      <w:r>
        <w:rPr>
          <w:rFonts w:ascii="Times New Roman" w:hAnsi="Times New Roman"/>
          <w:noProof/>
        </w:rPr>
        <w:t xml:space="preserve"> wobec państw kandydujący</w:t>
      </w:r>
      <w:r>
        <w:rPr>
          <w:rFonts w:ascii="Times New Roman" w:hAnsi="Times New Roman"/>
          <w:noProof/>
        </w:rPr>
        <w:t xml:space="preserve">ch – na poszczególnych etapach procesu, a także jakie są </w:t>
      </w:r>
      <w:r>
        <w:rPr>
          <w:rFonts w:ascii="Times New Roman" w:hAnsi="Times New Roman"/>
          <w:b/>
          <w:noProof/>
        </w:rPr>
        <w:t>pozytywne i negatywne konsekwencje</w:t>
      </w:r>
      <w:r>
        <w:rPr>
          <w:rFonts w:ascii="Times New Roman" w:hAnsi="Times New Roman"/>
          <w:noProof/>
        </w:rPr>
        <w:t xml:space="preserve"> postępów lub ich braku.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Komisja wykorzysta </w:t>
      </w:r>
      <w:r>
        <w:rPr>
          <w:rFonts w:ascii="Times New Roman" w:hAnsi="Times New Roman"/>
          <w:b/>
          <w:noProof/>
        </w:rPr>
        <w:t>pakiet „rozszerzenie” na potrzeby sprawdzenia</w:t>
      </w:r>
      <w:r>
        <w:rPr>
          <w:rFonts w:ascii="Times New Roman" w:hAnsi="Times New Roman"/>
          <w:noProof/>
        </w:rPr>
        <w:t xml:space="preserve"> zgodności kandydatów z unijnym dorobkiem prawnym i </w:t>
      </w:r>
      <w:r>
        <w:rPr>
          <w:rFonts w:ascii="Times New Roman" w:hAnsi="Times New Roman"/>
          <w:b/>
          <w:noProof/>
        </w:rPr>
        <w:t>udzieli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b/>
          <w:noProof/>
        </w:rPr>
        <w:t xml:space="preserve">jaśniejszych </w:t>
      </w:r>
      <w:r>
        <w:rPr>
          <w:rFonts w:ascii="Times New Roman" w:hAnsi="Times New Roman"/>
          <w:b/>
          <w:noProof/>
        </w:rPr>
        <w:t>wskazówek</w:t>
      </w:r>
      <w:r>
        <w:rPr>
          <w:rFonts w:ascii="Times New Roman" w:hAnsi="Times New Roman"/>
          <w:noProof/>
        </w:rPr>
        <w:t xml:space="preserve"> dotyczących konkretnych priorytetów w zakresie reform i kryteriów dostosowania, a także oczekiwań co do kolejnych etapów procesu . Silniejsze sterowanie polityczne i zmiana kierunku działania konferencji międzyrządowych zwiększą przewidywalność, </w:t>
      </w:r>
      <w:r>
        <w:rPr>
          <w:rFonts w:ascii="Times New Roman" w:hAnsi="Times New Roman"/>
          <w:noProof/>
        </w:rPr>
        <w:t>umożliwiając precyzyjniejsze planowanie na kolejny rok. Tym samym podmioty polityczne w państwach członkowskich będą dysponować jaśniejszymi informacjami na temat tego, co należy zrobić, aby osiągnąć postępy. Chodzi tu między innymi o wskazówki, które klas</w:t>
      </w:r>
      <w:r>
        <w:rPr>
          <w:rFonts w:ascii="Times New Roman" w:hAnsi="Times New Roman"/>
          <w:noProof/>
        </w:rPr>
        <w:t xml:space="preserve">try lub rozdziały mogą zostać ewentualnie otwarte lub zamknięte oraz, w stosownych przypadkach, jakie warunki musiałyby zostać spełnione, aby było to możliwe. 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</w:rPr>
        <w:t xml:space="preserve">Warunkowość jest kluczowym elementem procesu przystąpienia opartego na osiągnięciach. </w:t>
      </w:r>
      <w:r>
        <w:rPr>
          <w:rFonts w:ascii="Times New Roman" w:hAnsi="Times New Roman"/>
          <w:noProof/>
        </w:rPr>
        <w:t>Jednak aby</w:t>
      </w:r>
      <w:r>
        <w:rPr>
          <w:rFonts w:ascii="Times New Roman" w:hAnsi="Times New Roman"/>
          <w:noProof/>
        </w:rPr>
        <w:t xml:space="preserve"> powyższe było możliwe, od samego początku należy określić </w:t>
      </w:r>
      <w:r>
        <w:rPr>
          <w:rFonts w:ascii="Times New Roman" w:hAnsi="Times New Roman"/>
          <w:b/>
          <w:noProof/>
        </w:rPr>
        <w:t>wyraźne uwarunkowania</w:t>
      </w:r>
      <w:r>
        <w:rPr>
          <w:rFonts w:ascii="Times New Roman" w:hAnsi="Times New Roman"/>
          <w:noProof/>
        </w:rPr>
        <w:t>. Ważne jest, aby kraje kandydujące wiedziały, jakie są kryteria, według których oceniane będą ich osiągnięcia, oraz aby państwa członkowskie miały jasne informacje na temat te</w:t>
      </w:r>
      <w:r>
        <w:rPr>
          <w:rFonts w:ascii="Times New Roman" w:hAnsi="Times New Roman"/>
          <w:noProof/>
        </w:rPr>
        <w:t xml:space="preserve">go, czego dokładnie wymaga się od krajów kandydujących. </w:t>
      </w:r>
      <w:r>
        <w:rPr>
          <w:rFonts w:ascii="Times New Roman" w:hAnsi="Times New Roman"/>
          <w:b/>
          <w:noProof/>
        </w:rPr>
        <w:t>Komisja będzie lepiej definiować warunki określone dla kandydatów</w:t>
      </w:r>
      <w:r>
        <w:rPr>
          <w:rFonts w:ascii="Times New Roman" w:hAnsi="Times New Roman"/>
          <w:noProof/>
        </w:rPr>
        <w:t>, którzy pragną poczynić postępy, zwłaszcza za pośrednictwem swoich sprawozdań rocznych. Warunki te muszą być obiektywne, precyzyjne, s</w:t>
      </w:r>
      <w:r>
        <w:rPr>
          <w:rFonts w:ascii="Times New Roman" w:hAnsi="Times New Roman"/>
          <w:noProof/>
        </w:rPr>
        <w:t xml:space="preserve">zczegółowe, dokładne i możliwe do zweryfikowania. Komisja wykorzysta również, w razie potrzeby, wskaźniki pochodzące od stron trzecich, aby udostępnić państwom członkowskim możliwie szeroką podstawę podejmowania decyzji. 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</w:rPr>
        <w:t>Dbając o </w:t>
      </w:r>
      <w:r>
        <w:rPr>
          <w:rFonts w:ascii="Times New Roman" w:hAnsi="Times New Roman"/>
          <w:b/>
          <w:noProof/>
        </w:rPr>
        <w:t>wyraźne i wymierne zachęt</w:t>
      </w:r>
      <w:r>
        <w:rPr>
          <w:rFonts w:ascii="Times New Roman" w:hAnsi="Times New Roman"/>
          <w:b/>
          <w:noProof/>
        </w:rPr>
        <w:t>y będące przedmiotem bezpośredniego zainteresowania obywateli, UE może uruchomić prawdziwą wolę polityczną</w:t>
      </w:r>
      <w:r>
        <w:rPr>
          <w:rFonts w:ascii="Times New Roman" w:hAnsi="Times New Roman"/>
          <w:noProof/>
        </w:rPr>
        <w:t xml:space="preserve"> oraz przyczynić się do nagrodzenia wyników wypływających z wymagających reform oraz z procesu politycznej, gospodarczej i społecznej przemiany. </w:t>
      </w:r>
      <w:r>
        <w:rPr>
          <w:rFonts w:ascii="Times New Roman" w:hAnsi="Times New Roman"/>
          <w:b/>
          <w:noProof/>
        </w:rPr>
        <w:t>Jeżel</w:t>
      </w:r>
      <w:r>
        <w:rPr>
          <w:rFonts w:ascii="Times New Roman" w:hAnsi="Times New Roman"/>
          <w:b/>
          <w:noProof/>
        </w:rPr>
        <w:t xml:space="preserve">i poszczególne państwa czynią dostateczne postępy, jeżeli chodzi o uzgodnione w toku negocjacji priorytety reform, powinno to spowodować: </w:t>
      </w:r>
    </w:p>
    <w:p w:rsidR="00D91F4B" w:rsidRDefault="008B1629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u w:val="single"/>
        </w:rPr>
        <w:t>Bliższą integrację</w:t>
      </w:r>
      <w:r>
        <w:rPr>
          <w:rFonts w:ascii="Times New Roman" w:hAnsi="Times New Roman"/>
          <w:noProof/>
        </w:rPr>
        <w:t xml:space="preserve"> tych państw z Unią Europejską, </w:t>
      </w:r>
      <w:r>
        <w:rPr>
          <w:rFonts w:ascii="Times New Roman" w:hAnsi="Times New Roman"/>
          <w:noProof/>
          <w:u w:val="single"/>
        </w:rPr>
        <w:t>pracę na rzecz przyspieszonej integracji oraz stopniowe wprowadzani</w:t>
      </w:r>
      <w:r>
        <w:rPr>
          <w:rFonts w:ascii="Times New Roman" w:hAnsi="Times New Roman"/>
          <w:noProof/>
          <w:u w:val="single"/>
        </w:rPr>
        <w:t>e poszczególnych polityk UE</w:t>
      </w:r>
      <w:r>
        <w:rPr>
          <w:rFonts w:ascii="Times New Roman" w:hAnsi="Times New Roman"/>
          <w:noProof/>
        </w:rPr>
        <w:t xml:space="preserve"> oraz programów UE i zbliżanie do rynku UE, przy zachowaniu równych reguł gry. </w:t>
      </w:r>
    </w:p>
    <w:p w:rsidR="00D91F4B" w:rsidRDefault="008B1629"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u w:val="single"/>
        </w:rPr>
        <w:t>Zwiększenie środków finansowych i inwestycji</w:t>
      </w:r>
      <w:r>
        <w:rPr>
          <w:rFonts w:ascii="Times New Roman" w:hAnsi="Times New Roman"/>
          <w:noProof/>
        </w:rPr>
        <w:t xml:space="preserve"> – w tym za pośrednictwem wsparcia z Instrumentu Pomocy Przedakcesyjnej opartego na osiągnięciach i ukier</w:t>
      </w:r>
      <w:r>
        <w:rPr>
          <w:rFonts w:ascii="Times New Roman" w:hAnsi="Times New Roman"/>
          <w:noProof/>
        </w:rPr>
        <w:t>unkowanego na reformy, a także zacieśnienia współpracy z międzynarodowymi instytucjami finansowymi celem wywołania efektu dźwigni.</w:t>
      </w:r>
    </w:p>
    <w:p w:rsidR="00D91F4B" w:rsidRDefault="008B162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Środki te powinny pomóc, za pośrednictwem unijnych funduszy, w stworzeniu silnej europejskiej preferencji, zgodnej z zasadami</w:t>
      </w:r>
      <w:r>
        <w:rPr>
          <w:rFonts w:ascii="Times New Roman" w:hAnsi="Times New Roman"/>
          <w:noProof/>
        </w:rPr>
        <w:t xml:space="preserve"> WTO, oraz silnej gospodarki lokalnej. 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Należy zachęcać do postępów w zakresie reform i nagradzać je w wymierny sposób; istnieje również konieczność wprowadzenia </w:t>
      </w:r>
      <w:r>
        <w:rPr>
          <w:rFonts w:ascii="Times New Roman" w:hAnsi="Times New Roman"/>
          <w:b/>
          <w:noProof/>
        </w:rPr>
        <w:t xml:space="preserve">bardziej decydujących działań w sposób proporcjonalny sankcjonujących każdą poważną lub </w:t>
      </w:r>
      <w:r>
        <w:rPr>
          <w:rFonts w:ascii="Times New Roman" w:hAnsi="Times New Roman"/>
          <w:b/>
          <w:noProof/>
        </w:rPr>
        <w:t>przedłużającą się stagnację lub nawet pogorszenie sytuacji</w:t>
      </w:r>
      <w:r>
        <w:rPr>
          <w:rFonts w:ascii="Times New Roman" w:hAnsi="Times New Roman"/>
          <w:noProof/>
        </w:rPr>
        <w:t>, jeżeli chodzi o realizację reform i dopełnianie wymogów procesu akcesyjnego.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Takie decyzje o wstrzymaniu lub wręcz odwróceniu procesu powinny być przekazywane za pośrednictwem </w:t>
      </w:r>
      <w:r>
        <w:rPr>
          <w:rFonts w:ascii="Times New Roman" w:hAnsi="Times New Roman"/>
          <w:b/>
          <w:noProof/>
        </w:rPr>
        <w:t>rocznej oceny Komisj</w:t>
      </w:r>
      <w:r>
        <w:rPr>
          <w:rFonts w:ascii="Times New Roman" w:hAnsi="Times New Roman"/>
          <w:b/>
          <w:noProof/>
        </w:rPr>
        <w:t>i</w:t>
      </w:r>
      <w:r>
        <w:rPr>
          <w:rFonts w:ascii="Times New Roman" w:hAnsi="Times New Roman"/>
          <w:noProof/>
        </w:rPr>
        <w:t xml:space="preserve"> zawartej w pakiecie „rozszerzenie”, określającej ogólną sytuację w negocjacjach akcesyjnych oraz zakres, w jakim wdrażane są reformy zasadnicze, zwłaszcza w zakresie rządów prawa. Państwa członkowskie będą mogły nadal uczestniczyć aktywnie w tym procesie</w:t>
      </w:r>
      <w:r>
        <w:rPr>
          <w:rFonts w:ascii="Times New Roman" w:hAnsi="Times New Roman"/>
          <w:noProof/>
        </w:rPr>
        <w:t xml:space="preserve">, sygnalizując Komisji każdy przypadek stagnację lub poważnego pogorszenia sytuacji w procesie reform. 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W poważnych przypadkach Komisja może w dowolnym momencie, z urzędu lub na odpowiednio uzasadniony wniosek państwa członkowskiego, przedstawić wniosek ce</w:t>
      </w:r>
      <w:r>
        <w:rPr>
          <w:rFonts w:ascii="Times New Roman" w:hAnsi="Times New Roman"/>
          <w:noProof/>
        </w:rPr>
        <w:t>lem zapewnienia szybkiej reakcji na zaistniałą sytuację z pomocą – jeżeli jest to konieczne – uproszczonych procedur, w tym głosowania odwróconą kwalifikowaną większością głosów.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</w:rPr>
        <w:t xml:space="preserve">UE może rozwiązać potencjalne problemy na kilka sposobów: </w:t>
      </w:r>
    </w:p>
    <w:p w:rsidR="00D91F4B" w:rsidRDefault="008B1629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>Państwa członkow</w:t>
      </w:r>
      <w:r>
        <w:rPr>
          <w:rFonts w:ascii="Times New Roman" w:hAnsi="Times New Roman"/>
          <w:noProof/>
        </w:rPr>
        <w:t>skie mogą zdecydować o </w:t>
      </w:r>
      <w:r>
        <w:rPr>
          <w:rFonts w:ascii="Times New Roman" w:hAnsi="Times New Roman"/>
          <w:noProof/>
          <w:u w:val="single"/>
        </w:rPr>
        <w:t>wstrzymaniu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u w:val="single"/>
        </w:rPr>
        <w:t>negocjacji</w:t>
      </w:r>
      <w:r>
        <w:rPr>
          <w:rFonts w:ascii="Times New Roman" w:hAnsi="Times New Roman"/>
          <w:noProof/>
        </w:rPr>
        <w:t xml:space="preserve"> w określonych obszarach lub, w najpoważniejszych przypadkach, o ich całkowitym </w:t>
      </w:r>
      <w:r>
        <w:rPr>
          <w:rFonts w:ascii="Times New Roman" w:hAnsi="Times New Roman"/>
          <w:noProof/>
          <w:u w:val="single"/>
        </w:rPr>
        <w:t>zawieszeniu</w:t>
      </w:r>
      <w:r>
        <w:rPr>
          <w:rFonts w:ascii="Times New Roman" w:hAnsi="Times New Roman"/>
          <w:noProof/>
        </w:rPr>
        <w:t xml:space="preserve">. Jeżeli poszczególne kwestie musiałyby zostać poddane ponownej ocenie, </w:t>
      </w:r>
      <w:r>
        <w:rPr>
          <w:rFonts w:ascii="Times New Roman" w:hAnsi="Times New Roman"/>
          <w:noProof/>
          <w:u w:val="single"/>
        </w:rPr>
        <w:t xml:space="preserve">określone rozdziały, które już zamknięto, można </w:t>
      </w:r>
      <w:r>
        <w:rPr>
          <w:rFonts w:ascii="Times New Roman" w:hAnsi="Times New Roman"/>
          <w:noProof/>
          <w:u w:val="single"/>
        </w:rPr>
        <w:t>by ponownie otwierać</w:t>
      </w:r>
      <w:r>
        <w:rPr>
          <w:rFonts w:ascii="Times New Roman" w:hAnsi="Times New Roman"/>
          <w:noProof/>
        </w:rPr>
        <w:t xml:space="preserve"> lub aktualizować.</w:t>
      </w:r>
    </w:p>
    <w:p w:rsidR="00D91F4B" w:rsidRDefault="008B1629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u w:val="single"/>
        </w:rPr>
        <w:t>Można by zmniejszyć zakres i intensywność finansowania UE, z wyjątkiem wsparcia udzielanego społeczeństwu obywatelskiemu</w:t>
      </w:r>
      <w:r>
        <w:rPr>
          <w:rFonts w:ascii="Times New Roman" w:hAnsi="Times New Roman"/>
          <w:noProof/>
        </w:rPr>
        <w:t xml:space="preserve">. </w:t>
      </w:r>
    </w:p>
    <w:p w:rsidR="00D91F4B" w:rsidRDefault="008B1629"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u w:val="single"/>
        </w:rPr>
        <w:t>Można by wstrzymać lub wycofać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u w:val="single"/>
        </w:rPr>
        <w:t>korzyści płynące z bliższej integracji</w:t>
      </w:r>
      <w:r>
        <w:rPr>
          <w:rFonts w:ascii="Times New Roman" w:hAnsi="Times New Roman"/>
          <w:noProof/>
        </w:rPr>
        <w:t xml:space="preserve">, np. dostęp do unijnych </w:t>
      </w:r>
      <w:r>
        <w:rPr>
          <w:rFonts w:ascii="Times New Roman" w:hAnsi="Times New Roman"/>
          <w:noProof/>
        </w:rPr>
        <w:t>programów, jednostronnych koncesji na dostęp do rynku.</w:t>
      </w:r>
    </w:p>
    <w:p w:rsidR="00D91F4B" w:rsidRDefault="008B1629"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</w:rPr>
        <w:t xml:space="preserve">Za sprawą </w:t>
      </w:r>
      <w:r>
        <w:rPr>
          <w:rFonts w:ascii="Times New Roman" w:hAnsi="Times New Roman"/>
          <w:b/>
          <w:noProof/>
        </w:rPr>
        <w:t>większej przejrzystości</w:t>
      </w:r>
      <w:r>
        <w:rPr>
          <w:rFonts w:ascii="Times New Roman" w:hAnsi="Times New Roman"/>
          <w:noProof/>
        </w:rPr>
        <w:t xml:space="preserve"> zwiększy się również przewidywalność i warunkowość . Aby zapewnić zrównoważony wymiar reform i ułatwić monitorowanie ich wdrażania, wszystkie kluczowe reformy we wspom</w:t>
      </w:r>
      <w:r>
        <w:rPr>
          <w:rFonts w:ascii="Times New Roman" w:hAnsi="Times New Roman"/>
          <w:noProof/>
        </w:rPr>
        <w:t>nianych krajach powinny być przeprowadzane w sposób w pełni przejrzysty i sprzyjający włączeniu społecznemu, przy udziale kluczowych zainteresowanych stron. Unia Europejska powinna ze swojej strony dążyć do zwiększenia przejrzystości tego procesu, w szersz</w:t>
      </w:r>
      <w:r>
        <w:rPr>
          <w:rFonts w:ascii="Times New Roman" w:hAnsi="Times New Roman"/>
          <w:noProof/>
        </w:rPr>
        <w:t>ym zakresie publikując kluczowe dokumenty.</w:t>
      </w:r>
      <w:r>
        <w:rPr>
          <w:rFonts w:ascii="Times New Roman" w:hAnsi="Times New Roman"/>
          <w:noProof/>
          <w:u w:val="single"/>
        </w:rPr>
        <w:t xml:space="preserve"> </w:t>
      </w:r>
    </w:p>
    <w:p w:rsidR="00D91F4B" w:rsidRDefault="008B1629">
      <w:pPr>
        <w:pStyle w:val="Briefingtext"/>
        <w:spacing w:after="120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hAnsi="Times New Roman"/>
          <w:noProof/>
        </w:rPr>
        <w:t>Komisja będzie również kontynuować swoją działalność w zakresie komunikacji i informacji, w tym w państwach członkowskich UE. Państwa członkowskie mają obowiązek informować swoich obywateli i przekazywać im fakty na temat strategicznych możliwości i wyzwań</w:t>
      </w:r>
      <w:r>
        <w:rPr>
          <w:rFonts w:ascii="Times New Roman" w:hAnsi="Times New Roman"/>
          <w:noProof/>
        </w:rPr>
        <w:t xml:space="preserve"> związanych z tym procesem. </w:t>
      </w:r>
    </w:p>
    <w:p w:rsidR="00D91F4B" w:rsidRDefault="008B1629">
      <w:pPr>
        <w:pStyle w:val="Briefingtext"/>
        <w:spacing w:after="1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</w:rPr>
        <w:t xml:space="preserve">Tabela przedstawiająca propozycję pogrupowania rozdziałów w klastrach znajduje się w załączniku. Rozdział 34 „Instytucje” i rozdział 35 „Pozostałe kwestie” będą rozpatrywane oddzielnie. </w:t>
      </w:r>
      <w:r>
        <w:rPr>
          <w:rFonts w:ascii="Times New Roman" w:hAnsi="Times New Roman"/>
          <w:noProof/>
        </w:rPr>
        <w:br w:type="page"/>
      </w:r>
    </w:p>
    <w:p w:rsidR="00D91F4B" w:rsidRDefault="008B1629">
      <w:pPr>
        <w:pageBreakBefore/>
        <w:spacing w:after="120" w:line="240" w:lineRule="auto"/>
        <w:jc w:val="both"/>
        <w:rPr>
          <w:rFonts w:ascii="Times New Roman" w:hAnsi="Times New Roman"/>
          <w:b/>
          <w:noProof/>
          <w:sz w:val="24"/>
          <w:u w:val="single"/>
        </w:rPr>
      </w:pPr>
      <w:r>
        <w:rPr>
          <w:rFonts w:ascii="Times New Roman" w:hAnsi="Times New Roman"/>
          <w:b/>
          <w:noProof/>
          <w:u w:val="single"/>
        </w:rPr>
        <w:t>Załącznik techniczny: pogrupowanie rozd</w:t>
      </w:r>
      <w:r>
        <w:rPr>
          <w:rFonts w:ascii="Times New Roman" w:hAnsi="Times New Roman"/>
          <w:b/>
          <w:noProof/>
          <w:u w:val="single"/>
        </w:rPr>
        <w:t>ziałów negocjacyjnych w klastry</w:t>
      </w:r>
    </w:p>
    <w:p w:rsidR="00D91F4B" w:rsidRDefault="00D91F4B">
      <w:p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56"/>
        <w:gridCol w:w="4630"/>
      </w:tblGrid>
      <w:tr w:rsidR="00D91F4B">
        <w:tc>
          <w:tcPr>
            <w:tcW w:w="4656" w:type="dxa"/>
          </w:tcPr>
          <w:p w:rsidR="00D91F4B" w:rsidRDefault="008B1629"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Kwestie podstawowe </w:t>
            </w:r>
          </w:p>
        </w:tc>
        <w:tc>
          <w:tcPr>
            <w:tcW w:w="4630" w:type="dxa"/>
          </w:tcPr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23 – Wymiar sprawiedliwości i prawa podstawowe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24 – Sprawiedliwość, wolność i bezpieczeństwo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Kryteria gospodarcze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Funkcjonowanie instytucji demokratycznych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Reforma administracji publicznej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5 – Zamówienia publiczne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18 – Statystyka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32 – Kontrola finansowa</w:t>
            </w:r>
          </w:p>
        </w:tc>
      </w:tr>
      <w:tr w:rsidR="00D91F4B">
        <w:tc>
          <w:tcPr>
            <w:tcW w:w="4656" w:type="dxa"/>
          </w:tcPr>
          <w:p w:rsidR="00D91F4B" w:rsidRDefault="008B1629"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t>Rynek wewnętrzny</w:t>
            </w:r>
          </w:p>
        </w:tc>
        <w:tc>
          <w:tcPr>
            <w:tcW w:w="4630" w:type="dxa"/>
          </w:tcPr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 – Swobodny przepływ towarów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2 – Swobodny przepływ pracowników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3 – Prawo przedsiębiorczości i swoboda świadczenia usług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4 – Swobodny przepływ kapitału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6 – Prawo spółek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7 – Prawo własności intelektualnej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8 – Polityka konkurencji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9 – Usługi finansowe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28 – Ochrona konsumentów i ochrona zdrowia</w:t>
            </w:r>
          </w:p>
        </w:tc>
      </w:tr>
      <w:tr w:rsidR="00D91F4B">
        <w:tc>
          <w:tcPr>
            <w:tcW w:w="4656" w:type="dxa"/>
          </w:tcPr>
          <w:p w:rsidR="00D91F4B" w:rsidRDefault="008B1629"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t>Konkurencyjność i wzrost sprzyjający włączeniu społecznemu</w:t>
            </w:r>
          </w:p>
        </w:tc>
        <w:tc>
          <w:tcPr>
            <w:tcW w:w="4630" w:type="dxa"/>
          </w:tcPr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10 – Społeczeństwo informacyjne i media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16 – Opodatkowanie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17 – Polit</w:t>
            </w:r>
            <w:r>
              <w:rPr>
                <w:rFonts w:ascii="Times New Roman" w:hAnsi="Times New Roman"/>
                <w:noProof/>
              </w:rPr>
              <w:t xml:space="preserve">yka gospodarcza i pieniężna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19 – Polityka społeczna i zatrudnienie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20 – Polityka w zakresie przedsiębiorstw i przemysłu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25 – Nauka i badania naukowe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26 – Edukacja i kultura</w:t>
            </w:r>
          </w:p>
          <w:p w:rsidR="00D91F4B" w:rsidRDefault="008B1629"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29 – Unia celna</w:t>
            </w:r>
          </w:p>
        </w:tc>
      </w:tr>
      <w:tr w:rsidR="00D91F4B">
        <w:tc>
          <w:tcPr>
            <w:tcW w:w="4656" w:type="dxa"/>
          </w:tcPr>
          <w:p w:rsidR="00D91F4B" w:rsidRDefault="008B1629"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t>Zielona agenda i zrównoważona łączność</w:t>
            </w:r>
          </w:p>
        </w:tc>
        <w:tc>
          <w:tcPr>
            <w:tcW w:w="4630" w:type="dxa"/>
          </w:tcPr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14 – Polityka transportowa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15 – Energia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21– Sieci transeuropejskie </w:t>
            </w:r>
          </w:p>
          <w:p w:rsidR="00D91F4B" w:rsidRDefault="008B1629"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27 – Środowisko i zmiana klimatu</w:t>
            </w:r>
          </w:p>
        </w:tc>
      </w:tr>
      <w:tr w:rsidR="00D91F4B">
        <w:tc>
          <w:tcPr>
            <w:tcW w:w="4656" w:type="dxa"/>
          </w:tcPr>
          <w:p w:rsidR="00D91F4B" w:rsidRDefault="008B1629"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t>Zasoby, rolnictwo i spójność</w:t>
            </w:r>
          </w:p>
        </w:tc>
        <w:tc>
          <w:tcPr>
            <w:tcW w:w="4630" w:type="dxa"/>
          </w:tcPr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11 – Rolnictwo i rozwój obszarów wiejskich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12 – Bezpieczeństwo żywności, polityka weterynaryjna i fitosanitarna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13 – Ryboł</w:t>
            </w:r>
            <w:r>
              <w:rPr>
                <w:rFonts w:ascii="Times New Roman" w:hAnsi="Times New Roman"/>
                <w:noProof/>
              </w:rPr>
              <w:t xml:space="preserve">ówstwo </w:t>
            </w:r>
          </w:p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22 – Polityka regionalna i koordynacja instrumentów strukturalnych </w:t>
            </w:r>
          </w:p>
          <w:p w:rsidR="00D91F4B" w:rsidRDefault="008B1629"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33 – Przepisy finansowe i budżetowe</w:t>
            </w:r>
          </w:p>
        </w:tc>
      </w:tr>
      <w:tr w:rsidR="00D91F4B">
        <w:tc>
          <w:tcPr>
            <w:tcW w:w="4656" w:type="dxa"/>
          </w:tcPr>
          <w:p w:rsidR="00D91F4B" w:rsidRDefault="008B1629"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t>Stosunki zewnętrzne</w:t>
            </w:r>
          </w:p>
        </w:tc>
        <w:tc>
          <w:tcPr>
            <w:tcW w:w="4630" w:type="dxa"/>
          </w:tcPr>
          <w:p w:rsidR="00D91F4B" w:rsidRDefault="008B162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30 – Stosunki zewnętrzne </w:t>
            </w:r>
          </w:p>
          <w:p w:rsidR="00D91F4B" w:rsidRDefault="008B1629"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31 – Polityka zagraniczna, bezpieczeństwa i obrony</w:t>
            </w:r>
          </w:p>
        </w:tc>
      </w:tr>
    </w:tbl>
    <w:p w:rsidR="00D91F4B" w:rsidRDefault="00D91F4B">
      <w:pPr>
        <w:spacing w:after="120" w:line="240" w:lineRule="auto"/>
        <w:rPr>
          <w:noProof/>
        </w:rPr>
      </w:pPr>
    </w:p>
    <w:p w:rsidR="00D91F4B" w:rsidRDefault="008B1629">
      <w:pPr>
        <w:spacing w:before="100" w:beforeAutospacing="1" w:after="100" w:afterAutospacing="1"/>
        <w:rPr>
          <w:noProof/>
          <w:color w:val="1F497D"/>
        </w:rPr>
      </w:pPr>
      <w:r>
        <w:rPr>
          <w:noProof/>
          <w:color w:val="1F497D"/>
        </w:rPr>
        <w:t xml:space="preserve"> </w:t>
      </w:r>
    </w:p>
    <w:p w:rsidR="00D91F4B" w:rsidRDefault="00D91F4B">
      <w:pPr>
        <w:rPr>
          <w:noProof/>
        </w:rPr>
      </w:pPr>
    </w:p>
    <w:sectPr w:rsidR="00D91F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4B" w:rsidRDefault="008B1629">
      <w:pPr>
        <w:spacing w:after="0" w:line="240" w:lineRule="auto"/>
      </w:pPr>
      <w:r>
        <w:separator/>
      </w:r>
    </w:p>
  </w:endnote>
  <w:endnote w:type="continuationSeparator" w:id="0">
    <w:p w:rsidR="00D91F4B" w:rsidRDefault="008B1629">
      <w:pPr>
        <w:spacing w:after="0" w:line="240" w:lineRule="auto"/>
      </w:pPr>
      <w:r>
        <w:continuationSeparator/>
      </w:r>
    </w:p>
  </w:endnote>
  <w:endnote w:type="continuationNotice" w:id="1">
    <w:p w:rsidR="00D91F4B" w:rsidRDefault="00D91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8B1629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92441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91F4B" w:rsidRDefault="008B1629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  <w:p w:rsidR="00D91F4B" w:rsidRDefault="00D91F4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4B" w:rsidRDefault="008B1629">
      <w:pPr>
        <w:spacing w:after="0" w:line="240" w:lineRule="auto"/>
      </w:pPr>
      <w:r>
        <w:separator/>
      </w:r>
    </w:p>
  </w:footnote>
  <w:footnote w:type="continuationSeparator" w:id="0">
    <w:p w:rsidR="00D91F4B" w:rsidRDefault="008B1629">
      <w:pPr>
        <w:spacing w:after="0" w:line="240" w:lineRule="auto"/>
      </w:pPr>
      <w:r>
        <w:continuationSeparator/>
      </w:r>
    </w:p>
  </w:footnote>
  <w:footnote w:type="continuationNotice" w:id="1">
    <w:p w:rsidR="00D91F4B" w:rsidRDefault="00D91F4B">
      <w:pPr>
        <w:spacing w:after="0" w:line="240" w:lineRule="auto"/>
      </w:pPr>
    </w:p>
  </w:footnote>
  <w:footnote w:id="2">
    <w:p w:rsidR="00D91F4B" w:rsidRDefault="008B162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Wiarygodna perspektywa rozszerzenia dla Bałkanów Zachodnich oraz zwiększone zaangażowanie UE w tym regionie, COM(2018) 65 final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4B" w:rsidRDefault="00D91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6E"/>
    <w:multiLevelType w:val="hybridMultilevel"/>
    <w:tmpl w:val="A1EA2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7712D"/>
    <w:multiLevelType w:val="hybridMultilevel"/>
    <w:tmpl w:val="87149E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2AB7"/>
    <w:multiLevelType w:val="hybridMultilevel"/>
    <w:tmpl w:val="DD44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110A"/>
    <w:multiLevelType w:val="hybridMultilevel"/>
    <w:tmpl w:val="BD9224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3B20"/>
    <w:multiLevelType w:val="hybridMultilevel"/>
    <w:tmpl w:val="64243D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FF1"/>
    <w:multiLevelType w:val="hybridMultilevel"/>
    <w:tmpl w:val="45261496"/>
    <w:lvl w:ilvl="0" w:tplc="1D1648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17F54"/>
    <w:multiLevelType w:val="hybridMultilevel"/>
    <w:tmpl w:val="117A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1763A"/>
    <w:multiLevelType w:val="hybridMultilevel"/>
    <w:tmpl w:val="945C378E"/>
    <w:lvl w:ilvl="0" w:tplc="4AC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43D"/>
    <w:multiLevelType w:val="hybridMultilevel"/>
    <w:tmpl w:val="50A4FC54"/>
    <w:lvl w:ilvl="0" w:tplc="BA480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3514C"/>
    <w:multiLevelType w:val="multilevel"/>
    <w:tmpl w:val="224C1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6345CF"/>
    <w:multiLevelType w:val="hybridMultilevel"/>
    <w:tmpl w:val="D796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A2BFA"/>
    <w:multiLevelType w:val="hybridMultilevel"/>
    <w:tmpl w:val="77883D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C4FCB"/>
    <w:multiLevelType w:val="hybridMultilevel"/>
    <w:tmpl w:val="D21C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01E6"/>
    <w:multiLevelType w:val="hybridMultilevel"/>
    <w:tmpl w:val="257417F8"/>
    <w:lvl w:ilvl="0" w:tplc="1C926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8FC"/>
    <w:multiLevelType w:val="hybridMultilevel"/>
    <w:tmpl w:val="E196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E686E"/>
    <w:multiLevelType w:val="hybridMultilevel"/>
    <w:tmpl w:val="CF38284C"/>
    <w:lvl w:ilvl="0" w:tplc="1D1648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97028"/>
    <w:multiLevelType w:val="hybridMultilevel"/>
    <w:tmpl w:val="91784AC0"/>
    <w:lvl w:ilvl="0" w:tplc="1D1648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2096"/>
    <w:multiLevelType w:val="hybridMultilevel"/>
    <w:tmpl w:val="95B81AB6"/>
    <w:lvl w:ilvl="0" w:tplc="1C926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47A4B"/>
    <w:multiLevelType w:val="hybridMultilevel"/>
    <w:tmpl w:val="D4765D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B3521"/>
    <w:multiLevelType w:val="hybridMultilevel"/>
    <w:tmpl w:val="016497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FE5"/>
    <w:multiLevelType w:val="hybridMultilevel"/>
    <w:tmpl w:val="190A1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D077E"/>
    <w:multiLevelType w:val="hybridMultilevel"/>
    <w:tmpl w:val="D4765D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17E87"/>
    <w:multiLevelType w:val="hybridMultilevel"/>
    <w:tmpl w:val="14B6008A"/>
    <w:lvl w:ilvl="0" w:tplc="6128C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E142F"/>
    <w:multiLevelType w:val="hybridMultilevel"/>
    <w:tmpl w:val="A6849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D2DC3"/>
    <w:multiLevelType w:val="hybridMultilevel"/>
    <w:tmpl w:val="A37C74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C1E0A"/>
    <w:multiLevelType w:val="hybridMultilevel"/>
    <w:tmpl w:val="219A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92E"/>
    <w:multiLevelType w:val="hybridMultilevel"/>
    <w:tmpl w:val="6AA844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B4A79"/>
    <w:multiLevelType w:val="hybridMultilevel"/>
    <w:tmpl w:val="B9A68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5782E"/>
    <w:multiLevelType w:val="hybridMultilevel"/>
    <w:tmpl w:val="8514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1342"/>
    <w:multiLevelType w:val="hybridMultilevel"/>
    <w:tmpl w:val="DCFE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11540"/>
    <w:multiLevelType w:val="hybridMultilevel"/>
    <w:tmpl w:val="42A890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2730A"/>
    <w:multiLevelType w:val="hybridMultilevel"/>
    <w:tmpl w:val="190E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8"/>
  </w:num>
  <w:num w:numId="5">
    <w:abstractNumId w:val="12"/>
  </w:num>
  <w:num w:numId="6">
    <w:abstractNumId w:val="16"/>
  </w:num>
  <w:num w:numId="7">
    <w:abstractNumId w:val="17"/>
  </w:num>
  <w:num w:numId="8">
    <w:abstractNumId w:val="5"/>
  </w:num>
  <w:num w:numId="9">
    <w:abstractNumId w:val="13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9"/>
  </w:num>
  <w:num w:numId="15">
    <w:abstractNumId w:val="21"/>
  </w:num>
  <w:num w:numId="16">
    <w:abstractNumId w:val="4"/>
  </w:num>
  <w:num w:numId="17">
    <w:abstractNumId w:val="9"/>
  </w:num>
  <w:num w:numId="18">
    <w:abstractNumId w:val="30"/>
  </w:num>
  <w:num w:numId="19">
    <w:abstractNumId w:val="10"/>
  </w:num>
  <w:num w:numId="20">
    <w:abstractNumId w:val="22"/>
  </w:num>
  <w:num w:numId="21">
    <w:abstractNumId w:val="0"/>
  </w:num>
  <w:num w:numId="22">
    <w:abstractNumId w:val="23"/>
  </w:num>
  <w:num w:numId="23">
    <w:abstractNumId w:val="26"/>
  </w:num>
  <w:num w:numId="24">
    <w:abstractNumId w:val="6"/>
  </w:num>
  <w:num w:numId="25">
    <w:abstractNumId w:val="24"/>
  </w:num>
  <w:num w:numId="26">
    <w:abstractNumId w:val="14"/>
  </w:num>
  <w:num w:numId="27">
    <w:abstractNumId w:val="29"/>
  </w:num>
  <w:num w:numId="28">
    <w:abstractNumId w:val="27"/>
  </w:num>
  <w:num w:numId="29">
    <w:abstractNumId w:val="15"/>
  </w:num>
  <w:num w:numId="30">
    <w:abstractNumId w:val="18"/>
  </w:num>
  <w:num w:numId="31">
    <w:abstractNumId w:val="3"/>
  </w:num>
  <w:num w:numId="32">
    <w:abstractNumId w:val="2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revisionView w:markup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F6633F13-9AF9-4A58-8A6D-FE390566D4A6"/>
    <w:docVar w:name="LW_COVERPAGE_TYPE" w:val="1"/>
    <w:docVar w:name="LW_CROSSREFERENCE" w:val="&lt;UNUSED&gt;"/>
    <w:docVar w:name="LW_DocType" w:val="NORMAL"/>
    <w:docVar w:name="LW_EMISSION" w:val="5.2.2020"/>
    <w:docVar w:name="LW_EMISSION_ISODATE" w:val="2020-02-05"/>
    <w:docVar w:name="LW_EMISSION_LOCATION" w:val="BRX"/>
    <w:docVar w:name="LW_EMISSION_PREFIX" w:val="Bruksela, dnia "/>
    <w:docVar w:name="LW_EMISSION_SUFFIX" w:val=" r."/>
    <w:docVar w:name="LW_ID_DOCTYPE_NONLW" w:val="CP-014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0) 5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FMT:Bold&gt;Usprawnienie procesu akcesyjnego \u8211? wiarygodna perspektywa cz\u322?onkostwa w UE dla pa\u324?stw regionu Ba\u322?kanów Zachodnich  &lt;/FMT&gt;_x000d__x000b_"/>
    <w:docVar w:name="LW_TYPE.DOC.CP" w:val="KOMUNIKAT KOMISJI DO PARLAMENTU EUROPEJSKIEGO, RADY, EUROPEJSKIEGO KOMITETU EKONOMICZNO-SPO\u321?ECZNEGO I KOMITETU REGIONÓW"/>
    <w:docVar w:name="LW_TYPE.DOC.CP.USERTEXT" w:val="&lt;EMPTY&gt;"/>
  </w:docVars>
  <w:rsids>
    <w:rsidRoot w:val="00D91F4B"/>
    <w:rsid w:val="008B1629"/>
    <w:rsid w:val="00D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ußnote,Footnote Text Char Char Char,Footnote Text Char Char,single space,Fußnotentextf,Footnote text,fn,Schriftart: 9 pt,Schriftart: 10 pt,Schriftart: 8 pt,WB-Fußnotentext,footnote text Carattere,Geneva 9,Font: Geneva 9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Footnote Text Char Char Char Char,Footnote Text Char Char Char1,single space Char,Fußnotentextf Char,Footnote text Char,fn Char,Schriftart: 9 pt Char,Schriftart: 10 pt Char,Schriftart: 8 pt Char,WB-Fußnoten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aliases w:val="ftref,BVI fnr,(Footnote Reference), BVI fnr,Footnote symbol,Footnotes refss,Footnote Reference Superscript,SUPERS,Footnote,Footnote reference number,note TESI,EN Footnote Reference,Voetnootverwijzing,Times 10 Point,Ref"/>
    <w:basedOn w:val="DefaultParagraphFont"/>
    <w:uiPriority w:val="99"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ingtext">
    <w:name w:val="Briefing text"/>
    <w:basedOn w:val="Normal"/>
    <w:link w:val="BriefingtextChar"/>
    <w:p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rPr>
      <w:rFonts w:ascii="Arial" w:eastAsia="Times New Roman" w:hAnsi="Arial" w:cs="Arial"/>
      <w:szCs w:val="24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  <w:lang w:val="pl-PL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FootnoteTextChar1">
    <w:name w:val="Footnote Text Char1"/>
    <w:basedOn w:val="DefaultParagraphFon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54DB-04C3-48DA-AF55-F35881E0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2913</Words>
  <Characters>20398</Characters>
  <Application>Microsoft Office Word</Application>
  <DocSecurity>0</DocSecurity>
  <Lines>329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2020-02-11T07:58:00Z</dcterms:created>
  <dcterms:modified xsi:type="dcterms:W3CDTF">2020-02-17T11:04:00Z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CP-014</vt:lpwstr>
  </property>
  <property fmtid="{D5CDD505-2E9C-101B-9397-08002B2CF9AE}" pid="7" name="Last edited using">
    <vt:lpwstr>LW 7.0, Build 20190717</vt:lpwstr>
  </property>
  <property fmtid="{D5CDD505-2E9C-101B-9397-08002B2CF9AE}" pid="8" name="Created using">
    <vt:lpwstr>LW 7.0, Build 20190717</vt:lpwstr>
  </property>
</Properties>
</file>