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82" w:rsidRPr="006F24C8" w:rsidRDefault="006F24C8" w:rsidP="006F24C8">
      <w:pPr>
        <w:pStyle w:val="Pagedecouverture"/>
        <w:rPr>
          <w:noProof/>
          <w:szCs w:val="24"/>
        </w:rPr>
      </w:pPr>
      <w:bookmarkStart w:id="0" w:name="LW_BM_COVERPAGE"/>
      <w:r w:rsidRPr="006F24C8">
        <w:rPr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DEF2340C-4806-41A1-AB94-2284F926F707" style="width:451.2pt;height:388.8pt">
            <v:imagedata r:id="rId8" o:title=""/>
          </v:shape>
        </w:pict>
      </w:r>
    </w:p>
    <w:bookmarkEnd w:id="0"/>
    <w:p w:rsidR="00DA0582" w:rsidRPr="006F24C8" w:rsidRDefault="00DA0582" w:rsidP="006F24C8">
      <w:pPr>
        <w:spacing w:after="120" w:line="240" w:lineRule="auto"/>
        <w:rPr>
          <w:rFonts w:ascii="Times New Roman" w:hAnsi="Times New Roman" w:cs="Times New Roman"/>
          <w:noProof/>
          <w:sz w:val="24"/>
          <w:szCs w:val="24"/>
          <w:lang w:val="en-GB"/>
        </w:rPr>
        <w:sectPr w:rsidR="00DA0582" w:rsidRPr="006F24C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DA0582" w:rsidRPr="006F24C8" w:rsidRDefault="006F24C8" w:rsidP="006F24C8">
      <w:pPr>
        <w:pStyle w:val="Body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t xml:space="preserve">Komunikat Komisji w sprawie </w:t>
      </w:r>
    </w:p>
    <w:p w:rsidR="00DA0582" w:rsidRPr="006F24C8" w:rsidRDefault="006F24C8" w:rsidP="006F24C8">
      <w:pPr>
        <w:pStyle w:val="Body"/>
        <w:spacing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wsparcia dla regionu Bałkanów Zachodnich w zwalczaniu pandemii COVID-19 oraz w sprawie ożywienia gospodarczego po pandemii </w:t>
      </w:r>
    </w:p>
    <w:p w:rsidR="00DA0582" w:rsidRPr="006F24C8" w:rsidRDefault="00DA0582" w:rsidP="006F24C8">
      <w:pPr>
        <w:pStyle w:val="Body"/>
        <w:spacing w:after="12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DA0582" w:rsidRPr="006F24C8" w:rsidRDefault="006F24C8" w:rsidP="006F24C8">
      <w:pPr>
        <w:pStyle w:val="ListParagraph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Wprowadzenie </w:t>
      </w:r>
    </w:p>
    <w:p w:rsidR="00DA0582" w:rsidRPr="006F24C8" w:rsidRDefault="00DA0582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Bałkany Zachodnie są integralną częścią Europy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, a dla Unii Europejskiej stanowią priorytet o geostrategicznym znaczeniu. W marcu 2020 r. ponownie potwierdzono europejską perspektywę dla całego regionu: państwa członkowskie zatwierdziły wnioski Komisji w sprawie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udoskonalonej metodologii</w:t>
      </w:r>
      <w:r w:rsidRPr="006F24C8">
        <w:rPr>
          <w:rFonts w:ascii="Times New Roman" w:eastAsia="Times New Roman" w:hAnsi="Times New Roman" w:cs="Times New Roman"/>
          <w:b/>
          <w:bCs/>
          <w:noProof/>
          <w:sz w:val="24"/>
          <w:szCs w:val="24"/>
          <w:vertAlign w:val="superscript"/>
          <w:lang w:val="en-US"/>
        </w:rPr>
        <w:footnoteReference w:id="2"/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procesu przystąpienia i podjęły decyzję o rozpoczęciu negocjacji w sprawie przystąpienia z 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Republiką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Albanii oraz Republiką Macedonii Północnej</w:t>
      </w:r>
      <w:r w:rsidRPr="006F24C8">
        <w:rPr>
          <w:rFonts w:ascii="Times New Roman" w:hAnsi="Times New Roman" w:cs="Times New Roman"/>
          <w:noProof/>
          <w:sz w:val="24"/>
          <w:szCs w:val="24"/>
        </w:rPr>
        <w:t>. Szczególnie ważne jest, aby Unia Europejska kontynuowała działania na rzecz stabilności i dobrobytu w tym regi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onie, budując w oparciu o nasze wspólne interesy strategiczne. </w:t>
      </w:r>
    </w:p>
    <w:p w:rsidR="00DA0582" w:rsidRPr="006F24C8" w:rsidRDefault="006F24C8" w:rsidP="006F24C8">
      <w:pPr>
        <w:pStyle w:val="FootnoteText"/>
        <w:spacing w:after="120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6F24C8">
        <w:rPr>
          <w:rFonts w:ascii="Times New Roman" w:hAnsi="Times New Roman"/>
          <w:noProof/>
          <w:sz w:val="24"/>
          <w:szCs w:val="24"/>
        </w:rPr>
        <w:t xml:space="preserve">Mimo zdecydowanych środków, jakie państwa regionu Bałkanów Zachodnich wprowadziły we własnym zakresie,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pandemia COVID-19</w:t>
      </w:r>
      <w:r w:rsidRPr="006F24C8">
        <w:rPr>
          <w:rFonts w:ascii="Times New Roman" w:hAnsi="Times New Roman"/>
          <w:noProof/>
          <w:sz w:val="24"/>
          <w:szCs w:val="24"/>
        </w:rPr>
        <w:t xml:space="preserve"> powoduje – obok bezpośrednich skutków dla ludzi –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poważne zakłócenia go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spodarki w regionie i zaburza życie jego mieszkańców</w:t>
      </w:r>
      <w:r w:rsidRPr="006F24C8">
        <w:rPr>
          <w:rFonts w:ascii="Times New Roman" w:hAnsi="Times New Roman"/>
          <w:noProof/>
          <w:sz w:val="24"/>
          <w:szCs w:val="24"/>
        </w:rPr>
        <w:t>. Wiąże się ona z bezprecedensowymi obciążeniami systemów opieki zdrowotnej i ochrony socjalnej w regionie. Tysiące obywateli jest zagrożonych utratą pracy, a tymczasowe rządowe środki wsparcia (zasiłki d</w:t>
      </w:r>
      <w:r w:rsidRPr="006F24C8">
        <w:rPr>
          <w:rFonts w:ascii="Times New Roman" w:hAnsi="Times New Roman"/>
          <w:noProof/>
          <w:sz w:val="24"/>
          <w:szCs w:val="24"/>
        </w:rPr>
        <w:t>la bezrobotnych, odroczenia płatności/zwolnienia z podatków i składek na ubezpieczenie społeczne itp.) mają istotne konsekwencje dla budżetu. Władze muszą szybko rozszerzyć zakres ochrony w ramach systemów ochrony socjalnej. Pandemia miała wpływ również na</w:t>
      </w:r>
      <w:r w:rsidRPr="006F24C8">
        <w:rPr>
          <w:rFonts w:ascii="Times New Roman" w:hAnsi="Times New Roman"/>
          <w:noProof/>
          <w:sz w:val="24"/>
          <w:szCs w:val="24"/>
        </w:rPr>
        <w:t xml:space="preserve"> podejmowane wspólnie wysiłki związane z migracją.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Sama UE także została w poważnym stopniu dotknięta pandemią, jednak spoczywa na niej szczególna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odpowiedzialność za pokierowanie globalnymi działaniami w odpowiedzi na pandemię, które leży także w jej int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eresie,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a także za zapewnienie pomocy partnerom, którzy potrzebują wsparcia, szczególnie tym z jej bezpośredniego sąsiedztwa. W ramach swoich międzynarodowych wysiłków UE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oferuje państwom regionu Bałkanów Zachodnich zasadnicze i bezprecedensowe wsparcie</w:t>
      </w:r>
      <w:r w:rsidRPr="006F24C8">
        <w:rPr>
          <w:rFonts w:ascii="Times New Roman" w:hAnsi="Times New Roman" w:cs="Times New Roman"/>
          <w:noProof/>
          <w:sz w:val="24"/>
          <w:szCs w:val="24"/>
        </w:rPr>
        <w:t>. U</w:t>
      </w:r>
      <w:r w:rsidRPr="006F24C8">
        <w:rPr>
          <w:rFonts w:ascii="Times New Roman" w:hAnsi="Times New Roman" w:cs="Times New Roman"/>
          <w:noProof/>
          <w:sz w:val="24"/>
          <w:szCs w:val="24"/>
        </w:rPr>
        <w:t>E zapewnia państwom w regionie wsparcie finansowe w wysokości przekraczającej 3,3 mld EUR, przeznaczone na walkę z bezpośrednim kryzysem w obszarze zdrowia i wynikającymi z niego potrzebami humanitarnymi, a także z długoterminowymi i strukturalnymi skutkam</w:t>
      </w:r>
      <w:r w:rsidRPr="006F24C8">
        <w:rPr>
          <w:rFonts w:ascii="Times New Roman" w:hAnsi="Times New Roman" w:cs="Times New Roman"/>
          <w:noProof/>
          <w:sz w:val="24"/>
          <w:szCs w:val="24"/>
        </w:rPr>
        <w:t>i dla społeczności i gospodarek tych państw. Ze względu na ich europejską perspektywę UE traktuje Bałkany Zachodnie jako uprzywilejowanego partnera, zapewniając państwom tego regionu dostęp do licznych inicjatyw i instrumentów zarezerwowanych dla państw cz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łonkowskich UE.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W dniu 6 maja 2020 r. przywódcy UE oraz przywódcy państw regionu spotkają się, aby rozważyć wyzwania, w obliczu których się wspólnie znaleźli. Aby przyczynić się do tych rozważań, w niniejszym komunikacie wyrażono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solidarność Unii Europejs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kiej z państwami regionu Bałkanów Zachodnich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w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 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ich zmaganiach z bezpośrednimi skutkami pandemii COVID-19 oraz określono obszary wzajemnej współpracy. Przedstawiono w nim możliwości długoterminowego wsparcia ze strony UE na rzecz ożywienia gospodarczego,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t>ok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reślając założenia bardziej szczegółowego planu gospodarczo-inwestycyjnego dla regionu, który ma zostać przedstawiony przez Komisję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jeszcze w tym roku. W komunikacie przedstawiono również perspektywę dalszego zwiększenia zaangażowania UE oraz pomocy na rze</w:t>
      </w:r>
      <w:r w:rsidRPr="006F24C8">
        <w:rPr>
          <w:rFonts w:ascii="Times New Roman" w:hAnsi="Times New Roman" w:cs="Times New Roman"/>
          <w:noProof/>
          <w:sz w:val="24"/>
          <w:szCs w:val="24"/>
        </w:rPr>
        <w:t>cz realizacji europejskiej perspektywy w regionie za pośrednictwem wsparcia udzielanego wszystkim partnerom w 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przeprowadzaniu wymaganych zasadniczych reform </w:t>
      </w:r>
      <w:r w:rsidRPr="006F24C8">
        <w:rPr>
          <w:rFonts w:ascii="Times New Roman" w:hAnsi="Times New Roman" w:cs="Times New Roman"/>
          <w:b/>
          <w:noProof/>
          <w:sz w:val="24"/>
          <w:szCs w:val="24"/>
        </w:rPr>
        <w:t>w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 </w:t>
      </w:r>
      <w:r w:rsidRPr="006F24C8">
        <w:rPr>
          <w:rFonts w:ascii="Times New Roman" w:hAnsi="Times New Roman" w:cs="Times New Roman"/>
          <w:b/>
          <w:noProof/>
          <w:sz w:val="24"/>
          <w:szCs w:val="24"/>
        </w:rPr>
        <w:t xml:space="preserve">obszarze demokracji, praworządności oraz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gospodarki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z jeszcze większą energią, jak przewidziano w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 udoskonalonej metodologii. </w:t>
      </w:r>
    </w:p>
    <w:p w:rsidR="00DA0582" w:rsidRPr="006F24C8" w:rsidRDefault="00DA0582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DA0582" w:rsidRPr="006F24C8" w:rsidRDefault="00DA0582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DA0582" w:rsidRPr="006F24C8" w:rsidRDefault="006F24C8" w:rsidP="006F24C8">
      <w:pPr>
        <w:pStyle w:val="ListParagraph"/>
        <w:keepNext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ind w:left="783" w:hanging="482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6F24C8">
        <w:rPr>
          <w:rFonts w:ascii="Times New Roman" w:hAnsi="Times New Roman"/>
          <w:b/>
          <w:bCs/>
          <w:noProof/>
          <w:sz w:val="24"/>
          <w:szCs w:val="24"/>
        </w:rPr>
        <w:t>Wsparcie UE dla państw regionu</w:t>
      </w:r>
      <w:r w:rsidRPr="006F24C8">
        <w:rPr>
          <w:rFonts w:ascii="Times New Roman" w:hAnsi="Times New Roman"/>
          <w:noProof/>
          <w:sz w:val="24"/>
          <w:szCs w:val="24"/>
        </w:rPr>
        <w:t xml:space="preserve">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Bałkanów Zachodnich w zwalczaniu pandemii COVID-19 </w:t>
      </w:r>
    </w:p>
    <w:p w:rsidR="00DA0582" w:rsidRPr="006F24C8" w:rsidRDefault="006F24C8" w:rsidP="006F24C8">
      <w:pPr>
        <w:pStyle w:val="FootnoteText"/>
        <w:spacing w:after="120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6F24C8">
        <w:rPr>
          <w:rFonts w:ascii="Times New Roman" w:hAnsi="Times New Roman"/>
          <w:noProof/>
          <w:sz w:val="24"/>
          <w:szCs w:val="24"/>
        </w:rPr>
        <w:t>W odpowiedzi na kryzys UE postanowiła zapewnić istotne wsparcie finansowe, a także – w możliwie najszerszym zakresie – uwzględnić Bałkany Zach</w:t>
      </w:r>
      <w:r w:rsidRPr="006F24C8">
        <w:rPr>
          <w:rFonts w:ascii="Times New Roman" w:hAnsi="Times New Roman"/>
          <w:noProof/>
          <w:sz w:val="24"/>
          <w:szCs w:val="24"/>
        </w:rPr>
        <w:t>odnie w swojej strategii walki z kryzysem. Również inni partnerzy rozszerzyli wsparcie dla regionu, jednak elastyczne procedury i szybkie decyzje sprawiły, że to UE po raz kolejny okazała się najskuteczniejszym i najbardziej wiarygodnym jego partnerem.</w:t>
      </w:r>
    </w:p>
    <w:p w:rsidR="00DA0582" w:rsidRPr="006F24C8" w:rsidRDefault="006F24C8" w:rsidP="006F24C8">
      <w:pPr>
        <w:pStyle w:val="FootnoteText"/>
        <w:spacing w:after="120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6F24C8">
        <w:rPr>
          <w:rFonts w:ascii="Times New Roman" w:hAnsi="Times New Roman"/>
          <w:noProof/>
          <w:sz w:val="24"/>
          <w:szCs w:val="24"/>
        </w:rPr>
        <w:t xml:space="preserve">UE </w:t>
      </w:r>
      <w:r w:rsidRPr="006F24C8">
        <w:rPr>
          <w:rFonts w:ascii="Times New Roman" w:hAnsi="Times New Roman"/>
          <w:noProof/>
          <w:sz w:val="24"/>
          <w:szCs w:val="24"/>
        </w:rPr>
        <w:t xml:space="preserve">uruchomiła na rzecz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mieszkańców </w:t>
      </w:r>
      <w:r w:rsidRPr="006F24C8">
        <w:rPr>
          <w:rFonts w:ascii="Times New Roman" w:hAnsi="Times New Roman"/>
          <w:bCs/>
          <w:noProof/>
          <w:sz w:val="24"/>
          <w:szCs w:val="24"/>
        </w:rPr>
        <w:t xml:space="preserve">regionu Bałkanów Zachodnich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pakiet o wartości ponad 3,3 mld EUR</w:t>
      </w:r>
      <w:r w:rsidRPr="006F24C8">
        <w:rPr>
          <w:rFonts w:ascii="Times New Roman" w:eastAsia="Times New Roman" w:hAnsi="Times New Roman"/>
          <w:b/>
          <w:bCs/>
          <w:noProof/>
          <w:sz w:val="24"/>
          <w:szCs w:val="24"/>
          <w:vertAlign w:val="superscript"/>
          <w:lang w:val="en-US"/>
        </w:rPr>
        <w:footnoteReference w:id="3"/>
      </w:r>
      <w:r w:rsidRPr="006F24C8">
        <w:rPr>
          <w:rFonts w:ascii="Times New Roman" w:hAnsi="Times New Roman"/>
          <w:noProof/>
          <w:sz w:val="24"/>
          <w:szCs w:val="24"/>
        </w:rPr>
        <w:t>. Pakiet ten obejmuje przesunięcia z 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Instrumentu Pomocy Przedakcesyjnej</w:t>
      </w:r>
      <w:r w:rsidRPr="006F24C8">
        <w:rPr>
          <w:rFonts w:ascii="Times New Roman" w:eastAsia="Times New Roman" w:hAnsi="Times New Roman"/>
          <w:b/>
          <w:bCs/>
          <w:noProof/>
          <w:sz w:val="24"/>
          <w:szCs w:val="24"/>
          <w:vertAlign w:val="superscript"/>
          <w:lang w:val="en-US"/>
        </w:rPr>
        <w:footnoteReference w:id="4"/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 o wartości 38 mln EUR</w:t>
      </w:r>
      <w:r w:rsidRPr="006F24C8">
        <w:rPr>
          <w:rFonts w:ascii="Times New Roman" w:hAnsi="Times New Roman"/>
          <w:bCs/>
          <w:noProof/>
          <w:sz w:val="24"/>
          <w:szCs w:val="24"/>
        </w:rPr>
        <w:t xml:space="preserve"> celem przekazania natychmiastowego wsparcia dla sektora opieki zdrowotnej</w:t>
      </w:r>
      <w:r w:rsidRPr="006F24C8">
        <w:rPr>
          <w:rFonts w:ascii="Times New Roman" w:hAnsi="Times New Roman"/>
          <w:noProof/>
          <w:sz w:val="24"/>
          <w:szCs w:val="24"/>
        </w:rPr>
        <w:t>, przede wszystkim poprzez realizację dostaw o zasadniczym znaczeniu dla ratowania życia, takich jak środki ochrony indywidualnej, testy oraz respiratory</w:t>
      </w:r>
      <w:r w:rsidRPr="006F24C8">
        <w:rPr>
          <w:rFonts w:ascii="Times New Roman" w:eastAsia="Times New Roman" w:hAnsi="Times New Roman"/>
          <w:noProof/>
          <w:sz w:val="24"/>
          <w:szCs w:val="24"/>
          <w:vertAlign w:val="superscript"/>
          <w:lang w:val="en-US"/>
        </w:rPr>
        <w:footnoteReference w:id="5"/>
      </w:r>
      <w:r w:rsidRPr="006F24C8">
        <w:rPr>
          <w:rFonts w:ascii="Times New Roman" w:hAnsi="Times New Roman"/>
          <w:noProof/>
          <w:sz w:val="24"/>
          <w:szCs w:val="24"/>
        </w:rPr>
        <w:t xml:space="preserve">,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kwotę 389 mln EUR</w:t>
      </w:r>
      <w:r w:rsidRPr="006F24C8">
        <w:rPr>
          <w:rFonts w:ascii="Times New Roman" w:hAnsi="Times New Roman"/>
          <w:noProof/>
          <w:sz w:val="24"/>
          <w:szCs w:val="24"/>
        </w:rPr>
        <w:t xml:space="preserve"> z przezn</w:t>
      </w:r>
      <w:r w:rsidRPr="006F24C8">
        <w:rPr>
          <w:rFonts w:ascii="Times New Roman" w:hAnsi="Times New Roman"/>
          <w:noProof/>
          <w:sz w:val="24"/>
          <w:szCs w:val="24"/>
        </w:rPr>
        <w:t xml:space="preserve">aczeniem na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potrzeby społeczne oraz związane z ożywieniem</w:t>
      </w:r>
      <w:r w:rsidRPr="006F24C8">
        <w:rPr>
          <w:rFonts w:ascii="Times New Roman" w:hAnsi="Times New Roman"/>
          <w:noProof/>
          <w:sz w:val="24"/>
          <w:szCs w:val="24"/>
        </w:rPr>
        <w:t xml:space="preserve">, a ponadto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pakiet</w:t>
      </w:r>
      <w:r w:rsidRPr="006F24C8">
        <w:rPr>
          <w:rFonts w:ascii="Times New Roman" w:hAnsi="Times New Roman"/>
          <w:noProof/>
          <w:sz w:val="24"/>
          <w:szCs w:val="24"/>
        </w:rPr>
        <w:t xml:space="preserve">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reaktywacji gospodarczej regionu</w:t>
      </w:r>
      <w:r w:rsidRPr="006F24C8">
        <w:rPr>
          <w:rFonts w:ascii="Times New Roman" w:hAnsi="Times New Roman"/>
          <w:noProof/>
          <w:sz w:val="24"/>
          <w:szCs w:val="24"/>
        </w:rPr>
        <w:t xml:space="preserve">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o</w:t>
      </w:r>
      <w:r w:rsidRPr="006F24C8">
        <w:rPr>
          <w:rFonts w:ascii="Times New Roman" w:hAnsi="Times New Roman"/>
          <w:noProof/>
          <w:sz w:val="24"/>
          <w:szCs w:val="24"/>
        </w:rPr>
        <w:t> 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wartości 455 mln EUR</w:t>
      </w:r>
      <w:r w:rsidRPr="006F24C8">
        <w:rPr>
          <w:rFonts w:ascii="Times New Roman" w:hAnsi="Times New Roman"/>
          <w:noProof/>
          <w:sz w:val="24"/>
          <w:szCs w:val="24"/>
        </w:rPr>
        <w:t>, realizowany w ścisłej współpracy z międzynarodowymi instytucjami finansowymi, wniosek</w:t>
      </w:r>
      <w:r w:rsidRPr="006F24C8">
        <w:rPr>
          <w:rFonts w:ascii="Times New Roman" w:eastAsia="Times New Roman" w:hAnsi="Times New Roman"/>
          <w:noProof/>
          <w:sz w:val="24"/>
          <w:szCs w:val="24"/>
          <w:vertAlign w:val="superscript"/>
          <w:lang w:val="en-US"/>
        </w:rPr>
        <w:footnoteReference w:id="6"/>
      </w:r>
      <w:r w:rsidRPr="006F24C8">
        <w:rPr>
          <w:rFonts w:ascii="Times New Roman" w:hAnsi="Times New Roman"/>
          <w:noProof/>
          <w:sz w:val="24"/>
          <w:szCs w:val="24"/>
        </w:rPr>
        <w:t xml:space="preserve"> w sprawie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750 mln EUR </w:t>
      </w:r>
      <w:r w:rsidRPr="006F24C8">
        <w:rPr>
          <w:rFonts w:ascii="Times New Roman" w:hAnsi="Times New Roman"/>
          <w:noProof/>
          <w:sz w:val="24"/>
          <w:szCs w:val="24"/>
        </w:rPr>
        <w:t>w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 </w:t>
      </w:r>
      <w:r w:rsidRPr="006F24C8">
        <w:rPr>
          <w:rFonts w:ascii="Times New Roman" w:hAnsi="Times New Roman"/>
          <w:noProof/>
          <w:sz w:val="24"/>
          <w:szCs w:val="24"/>
        </w:rPr>
        <w:t xml:space="preserve">formie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pomoc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y makrofinansowej</w:t>
      </w:r>
      <w:r w:rsidRPr="006F24C8">
        <w:rPr>
          <w:rFonts w:ascii="Times New Roman" w:hAnsi="Times New Roman"/>
          <w:noProof/>
          <w:sz w:val="24"/>
          <w:szCs w:val="24"/>
        </w:rPr>
        <w:t xml:space="preserve"> oraz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pakiet o wartości 1,7 mld EUR</w:t>
      </w:r>
      <w:r w:rsidRPr="006F24C8">
        <w:rPr>
          <w:rFonts w:ascii="Times New Roman" w:hAnsi="Times New Roman"/>
          <w:noProof/>
          <w:sz w:val="24"/>
          <w:szCs w:val="24"/>
        </w:rPr>
        <w:t xml:space="preserve"> jako wsparcie ze strony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Europejskiego Banku Inwestycyjnego</w:t>
      </w:r>
      <w:r w:rsidRPr="006F24C8">
        <w:rPr>
          <w:rFonts w:ascii="Times New Roman" w:hAnsi="Times New Roman"/>
          <w:noProof/>
          <w:sz w:val="24"/>
          <w:szCs w:val="24"/>
        </w:rPr>
        <w:t xml:space="preserve">. UE udostępnia także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bezpośrednią pomoc humanitarną dla uchodźców i migrantów znajdujących się w szczególnie trudnej sytuacji, która opiewa na 4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,5 mln EUR</w:t>
      </w:r>
      <w:r w:rsidRPr="006F24C8">
        <w:rPr>
          <w:rFonts w:ascii="Times New Roman" w:hAnsi="Times New Roman"/>
          <w:noProof/>
          <w:sz w:val="24"/>
          <w:szCs w:val="24"/>
        </w:rPr>
        <w:t xml:space="preserve"> i przeznaczona jest na ochronę, wsparcie dla małoletnich bez opieki oraz wsparcie opieki zdrowotnej, w tym przygotowanie do walki z COVID-19, a ponadto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8 mln EUR</w:t>
      </w:r>
      <w:r w:rsidRPr="006F24C8">
        <w:rPr>
          <w:rFonts w:ascii="Times New Roman" w:hAnsi="Times New Roman"/>
          <w:noProof/>
          <w:sz w:val="24"/>
          <w:szCs w:val="24"/>
        </w:rPr>
        <w:t xml:space="preserve"> w formie wsparcia nadzwyczajnego dla migrantów i uchodźców, którzy utknęli na Bałka</w:t>
      </w:r>
      <w:r w:rsidRPr="006F24C8">
        <w:rPr>
          <w:rFonts w:ascii="Times New Roman" w:hAnsi="Times New Roman"/>
          <w:noProof/>
          <w:sz w:val="24"/>
          <w:szCs w:val="24"/>
        </w:rPr>
        <w:t>nach Zachodnich, pochodzącego z 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Instrumentu na rzecz Przyczyniania się do Stabilności i Pokoju</w:t>
      </w:r>
      <w:r w:rsidRPr="006F24C8">
        <w:rPr>
          <w:rFonts w:ascii="Times New Roman" w:hAnsi="Times New Roman"/>
          <w:noProof/>
          <w:sz w:val="24"/>
          <w:szCs w:val="24"/>
        </w:rPr>
        <w:t xml:space="preserve">. Co więcej,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Fundusz Solidarności UE </w:t>
      </w:r>
      <w:r w:rsidRPr="006F24C8">
        <w:rPr>
          <w:rFonts w:ascii="Times New Roman" w:hAnsi="Times New Roman"/>
          <w:noProof/>
          <w:sz w:val="24"/>
          <w:szCs w:val="24"/>
        </w:rPr>
        <w:t>dostępny dla tych państw regionu Bałkanów Zachodnich, które rozpoczęły negocjacje w sprawie przystąpienia, obejmuje obecnie s</w:t>
      </w:r>
      <w:r w:rsidRPr="006F24C8">
        <w:rPr>
          <w:rFonts w:ascii="Times New Roman" w:hAnsi="Times New Roman"/>
          <w:noProof/>
          <w:sz w:val="24"/>
          <w:szCs w:val="24"/>
        </w:rPr>
        <w:t>woim zakresem również kryzys w obszarze zdrowia publicznego.</w:t>
      </w:r>
    </w:p>
    <w:p w:rsidR="00DA0582" w:rsidRPr="006F24C8" w:rsidRDefault="006F24C8" w:rsidP="006F24C8">
      <w:pPr>
        <w:pStyle w:val="FootnoteText"/>
        <w:spacing w:after="120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6F24C8">
        <w:rPr>
          <w:rFonts w:ascii="Times New Roman" w:hAnsi="Times New Roman"/>
          <w:noProof/>
          <w:sz w:val="24"/>
          <w:szCs w:val="24"/>
        </w:rPr>
        <w:t xml:space="preserve">Istotna część wsparcia gospodarczego udzielanego przez UE zostanie przeznaczona na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pomoc dla sektora prywatnego w pokonywaniu wyzwań związanych z płynnością i finansami</w:t>
      </w:r>
      <w:r w:rsidRPr="006F24C8">
        <w:rPr>
          <w:rFonts w:ascii="Times New Roman" w:hAnsi="Times New Roman"/>
          <w:noProof/>
          <w:sz w:val="24"/>
          <w:szCs w:val="24"/>
        </w:rPr>
        <w:t xml:space="preserve">; będzie to możliwe dzięki </w:t>
      </w:r>
      <w:r w:rsidRPr="006F24C8">
        <w:rPr>
          <w:rFonts w:ascii="Times New Roman" w:hAnsi="Times New Roman"/>
          <w:noProof/>
          <w:sz w:val="24"/>
          <w:szCs w:val="24"/>
        </w:rPr>
        <w:t xml:space="preserve">uruchomieniu programów gwarancji finansowanych przez UE, we współpracy z międzynarodowymi instytucjami finansowymi. </w:t>
      </w:r>
    </w:p>
    <w:p w:rsidR="00DA0582" w:rsidRPr="006F24C8" w:rsidRDefault="006F24C8" w:rsidP="006F24C8">
      <w:pPr>
        <w:pStyle w:val="FootnoteText"/>
        <w:spacing w:after="120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6F24C8">
        <w:rPr>
          <w:rFonts w:ascii="Times New Roman" w:hAnsi="Times New Roman"/>
          <w:noProof/>
          <w:sz w:val="24"/>
          <w:szCs w:val="24"/>
        </w:rPr>
        <w:t xml:space="preserve">Reakcja UE jest zgodna z podejściem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„Drużyna Europy”</w:t>
      </w:r>
      <w:r w:rsidRPr="006F24C8">
        <w:rPr>
          <w:rFonts w:ascii="Times New Roman" w:eastAsia="Times New Roman" w:hAnsi="Times New Roman"/>
          <w:b/>
          <w:bCs/>
          <w:noProof/>
          <w:sz w:val="24"/>
          <w:szCs w:val="24"/>
          <w:vertAlign w:val="superscript"/>
          <w:lang w:val="en-US"/>
        </w:rPr>
        <w:footnoteReference w:id="7"/>
      </w:r>
      <w:r w:rsidRPr="006F24C8">
        <w:rPr>
          <w:rFonts w:ascii="Times New Roman" w:hAnsi="Times New Roman"/>
          <w:noProof/>
          <w:sz w:val="24"/>
          <w:szCs w:val="24"/>
        </w:rPr>
        <w:t xml:space="preserve">: nasze szybkie i ukierunkowane wsparcie łączy zasoby z instytucji UE, państw </w:t>
      </w:r>
      <w:r w:rsidRPr="006F24C8">
        <w:rPr>
          <w:rFonts w:ascii="Times New Roman" w:hAnsi="Times New Roman"/>
          <w:noProof/>
          <w:sz w:val="24"/>
          <w:szCs w:val="24"/>
        </w:rPr>
        <w:t xml:space="preserve">członkowskich i instytucji finansowych, zwłaszcza Europejskiego Banku Inwestycyjnego i Europejskiego i Europejskiego Banku Odbudowy i Rozwoju. Razem z naszymi partnerami dbamy o to, by znaczne środki finansowe UE, które już im przyznano, posłużyły im jako </w:t>
      </w:r>
      <w:r w:rsidRPr="006F24C8">
        <w:rPr>
          <w:rFonts w:ascii="Times New Roman" w:hAnsi="Times New Roman"/>
          <w:noProof/>
          <w:sz w:val="24"/>
          <w:szCs w:val="24"/>
        </w:rPr>
        <w:t>wsparcie w pokonywaniu skutków pandemii. Jednocześnie niektóre państwa członkowskie UE udzielają wsparcia dwustronnego, czy to w formie finansowej czy to w formie darowizn artykułów i produktów.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W wyniku pandemii COVID-19 Bałkany Zachodnie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uruchomiły także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Unijny Mechanizm Ochrony Ludności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i zaczęły już otrzymywać pomoc od państw będących członkami mechanizmu i państw w nim uczestniczących.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Serbia, Macedonia Północna i Czarnogóra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jako państwa uczestniczące w mechanizmie, mogą uczestniczyć w rescEU i zwracać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się do niego o pomoc, w tym na potrzeby gromadzenia zapasów środków medycznych i sprzętu. Wśród osób przetransportowanych z powrotem do Europy z pomocą lotów zorganizowanych i współfinansowanych przez Unijny Mechanizm Ochrony Ludności znajdowali się obywa</w:t>
      </w:r>
      <w:r w:rsidRPr="006F24C8">
        <w:rPr>
          <w:rFonts w:ascii="Times New Roman" w:hAnsi="Times New Roman" w:cs="Times New Roman"/>
          <w:noProof/>
          <w:sz w:val="24"/>
          <w:szCs w:val="24"/>
        </w:rPr>
        <w:t>tele państw regionu Bałkanów Zachodnich, którzy nie mogli powrócić do domu. Organy odpowiedzialne za ochronę ludności z państw regionu Bałkanów Zachodnich będą nadal uczestniczyć w szkoleniach, ćwiczeniach oraz wymianie ekspertów w ramach Unijnego Mechaniz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mu Ochrony Ludności. UE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docenia ponadto wartościowe wsparcie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, jakiego Bałkany Zachodnie udzieliły UE oraz swoim bezpośrednim sąsiadom w pod względem personelu medycznego i sprzętu. Jest to odzwierciedleniem solidarności i podstawowych wartości, na których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opiera się UE.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DA0582" w:rsidRPr="006F24C8" w:rsidRDefault="006F24C8" w:rsidP="006F24C8">
      <w:pPr>
        <w:pStyle w:val="FootnoteText"/>
        <w:spacing w:after="12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6F24C8">
        <w:rPr>
          <w:rFonts w:ascii="Times New Roman" w:hAnsi="Times New Roman"/>
          <w:noProof/>
          <w:sz w:val="24"/>
          <w:szCs w:val="24"/>
        </w:rPr>
        <w:t>Obecna pandemia wyraźnie pokazuje zatem, w jaki sposób UE oraz Bałkany Zachodnie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 wspólnie stawiają czoła wspólnym wyzwaniom</w:t>
      </w:r>
      <w:r w:rsidRPr="006F24C8">
        <w:rPr>
          <w:rFonts w:ascii="Times New Roman" w:hAnsi="Times New Roman"/>
          <w:noProof/>
          <w:sz w:val="24"/>
          <w:szCs w:val="24"/>
        </w:rPr>
        <w:t xml:space="preserve">. W zakres tego wspólnego działania wchodzą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wspólne zamówienia sprzętu medycznego</w:t>
      </w:r>
      <w:r w:rsidRPr="006F24C8">
        <w:rPr>
          <w:rFonts w:ascii="Times New Roman" w:hAnsi="Times New Roman"/>
          <w:noProof/>
          <w:sz w:val="24"/>
          <w:szCs w:val="24"/>
        </w:rPr>
        <w:t xml:space="preserve">, zwalniające państwa regionu z unijnego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systemu zezwoleń na wywóz</w:t>
      </w:r>
      <w:r w:rsidRPr="006F24C8">
        <w:rPr>
          <w:rFonts w:ascii="Times New Roman" w:hAnsi="Times New Roman"/>
          <w:noProof/>
          <w:sz w:val="24"/>
          <w:szCs w:val="24"/>
        </w:rPr>
        <w:t xml:space="preserve"> środków ochrony indywidualnej</w:t>
      </w:r>
      <w:r w:rsidRPr="006F24C8">
        <w:rPr>
          <w:rFonts w:ascii="Times New Roman" w:eastAsia="Times New Roman" w:hAnsi="Times New Roman"/>
          <w:noProof/>
          <w:sz w:val="24"/>
          <w:szCs w:val="24"/>
          <w:vertAlign w:val="superscript"/>
          <w:lang w:val="en-US"/>
        </w:rPr>
        <w:footnoteReference w:id="8"/>
      </w:r>
      <w:r w:rsidRPr="006F24C8">
        <w:rPr>
          <w:rFonts w:ascii="Times New Roman" w:hAnsi="Times New Roman"/>
          <w:noProof/>
          <w:sz w:val="24"/>
          <w:szCs w:val="24"/>
        </w:rPr>
        <w:t xml:space="preserve"> oraz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realizowane przez UE dostawy materiałów do przeprowadzania testów</w:t>
      </w:r>
      <w:r w:rsidRPr="006F24C8">
        <w:rPr>
          <w:rFonts w:ascii="Times New Roman" w:hAnsi="Times New Roman"/>
          <w:noProof/>
          <w:sz w:val="24"/>
          <w:szCs w:val="24"/>
        </w:rPr>
        <w:t>, opracowanych przez Wspólne Centrum Badawcze Komisji Europejskiej, celem zagwarantowani</w:t>
      </w:r>
      <w:r w:rsidRPr="006F24C8">
        <w:rPr>
          <w:rFonts w:ascii="Times New Roman" w:hAnsi="Times New Roman"/>
          <w:noProof/>
          <w:sz w:val="24"/>
          <w:szCs w:val="24"/>
        </w:rPr>
        <w:t xml:space="preserve">a prawidłowego funkcjonowania testów koronawirusowych w państwach regionu Bałkanów Zachodnich. </w:t>
      </w:r>
      <w:r w:rsidRPr="006F24C8">
        <w:rPr>
          <w:rFonts w:ascii="Times New Roman" w:hAnsi="Times New Roman"/>
          <w:noProof/>
          <w:sz w:val="24"/>
          <w:szCs w:val="24"/>
        </w:rPr>
        <w:t>Podmioty z całego regionu są w pełni zaangażowane w europejskie starania związane z </w:t>
      </w:r>
      <w:r w:rsidRPr="006F24C8">
        <w:rPr>
          <w:rFonts w:ascii="Times New Roman" w:hAnsi="Times New Roman"/>
          <w:b/>
          <w:noProof/>
          <w:sz w:val="24"/>
          <w:szCs w:val="24"/>
        </w:rPr>
        <w:t>badaniami i innowacjami</w:t>
      </w:r>
      <w:r w:rsidRPr="006F24C8">
        <w:rPr>
          <w:rFonts w:ascii="Times New Roman" w:hAnsi="Times New Roman"/>
          <w:noProof/>
          <w:sz w:val="24"/>
          <w:szCs w:val="24"/>
        </w:rPr>
        <w:t xml:space="preserve"> w kontekście COVID-19. </w:t>
      </w:r>
      <w:r w:rsidRPr="006F24C8">
        <w:rPr>
          <w:rFonts w:ascii="Times New Roman" w:hAnsi="Times New Roman"/>
          <w:noProof/>
          <w:sz w:val="24"/>
          <w:szCs w:val="24"/>
        </w:rPr>
        <w:t>Cały region korzysta ponadto z</w:t>
      </w:r>
      <w:r w:rsidRPr="006F24C8">
        <w:rPr>
          <w:rFonts w:ascii="Times New Roman" w:hAnsi="Times New Roman"/>
          <w:noProof/>
          <w:sz w:val="24"/>
          <w:szCs w:val="24"/>
        </w:rPr>
        <w:t xml:space="preserve"> pomocy technicznej i wymiany informacji, którą zapewnia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Europejskie Centrum ds. Zapobiegania i Kontroli Chorób</w:t>
      </w:r>
      <w:r w:rsidRPr="006F24C8">
        <w:rPr>
          <w:rFonts w:ascii="Times New Roman" w:hAnsi="Times New Roman"/>
          <w:noProof/>
          <w:sz w:val="24"/>
          <w:szCs w:val="24"/>
        </w:rPr>
        <w:t xml:space="preserve">, zaś państwa kandydujące z regionu zostały zaproszone w charakterze obserwatorów do udziału w pracach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Komitetu ds. Bezpieczeństwa Zdrowia</w:t>
      </w:r>
      <w:r w:rsidRPr="006F24C8">
        <w:rPr>
          <w:rFonts w:ascii="Times New Roman" w:hAnsi="Times New Roman"/>
          <w:noProof/>
          <w:sz w:val="24"/>
          <w:szCs w:val="24"/>
        </w:rPr>
        <w:t>, umożl</w:t>
      </w:r>
      <w:r w:rsidRPr="006F24C8">
        <w:rPr>
          <w:rFonts w:ascii="Times New Roman" w:hAnsi="Times New Roman"/>
          <w:noProof/>
          <w:sz w:val="24"/>
          <w:szCs w:val="24"/>
        </w:rPr>
        <w:t xml:space="preserve">iwiono im ponadto dostęp do powiązanego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systemu wczesnego ostrzegania i reagowania.</w:t>
      </w:r>
    </w:p>
    <w:p w:rsidR="00DA0582" w:rsidRPr="006F24C8" w:rsidRDefault="006F24C8" w:rsidP="006F24C8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bookmarkStart w:id="1" w:name="_GoBack"/>
      <w:bookmarkEnd w:id="1"/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Dzięki wspólnemu wnioskowi Stałego Sekretariatu Wspólnoty Transportowej i CEFTA zapewniono rozszerzenie idei uprzywilejowanych korytarzy na obszar Bałkanów Zachodnich, co 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gwarantuje szybki przepływ podstawowych towarów w regionie. Komisja jest gotowa do ścisłego włączenia regionu w proces wdrażania </w:t>
      </w:r>
      <w:r w:rsidRPr="006F24C8">
        <w:rPr>
          <w:rFonts w:ascii="Times New Roman" w:hAnsi="Times New Roman" w:cs="Times New Roman"/>
          <w:b/>
          <w:noProof/>
          <w:sz w:val="24"/>
          <w:szCs w:val="24"/>
        </w:rPr>
        <w:t>„wspólnego europejskiego planu działania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prowadzącego do zniesienia środków powstrzymujących rozprzestrzenianie się koronawirus</w:t>
      </w:r>
      <w:r w:rsidRPr="006F24C8">
        <w:rPr>
          <w:rFonts w:ascii="Times New Roman" w:hAnsi="Times New Roman" w:cs="Times New Roman"/>
          <w:noProof/>
          <w:sz w:val="24"/>
          <w:szCs w:val="24"/>
        </w:rPr>
        <w:t>a”. Komisja jest zdecydowana, aby w okresie następującym po tej wyjątkowej sytuacji sanitarnej</w:t>
      </w:r>
      <w:r w:rsidRPr="006F24C8">
        <w:rPr>
          <w:rFonts w:ascii="Times New Roman" w:hAnsi="Times New Roman" w:cs="Times New Roman"/>
          <w:noProof/>
          <w:color w:val="000000"/>
          <w:sz w:val="24"/>
          <w:szCs w:val="24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oraz po zniesieniu związanych z nią ograniczeń w przepływie towarów i pasażerów przyczynić się – w długoterminowej perspektywie – do poprawy połączeń z regionem </w:t>
      </w:r>
      <w:r w:rsidRPr="006F24C8">
        <w:rPr>
          <w:rFonts w:ascii="Times New Roman" w:hAnsi="Times New Roman" w:cs="Times New Roman"/>
          <w:noProof/>
          <w:color w:val="000000"/>
          <w:sz w:val="24"/>
          <w:szCs w:val="24"/>
          <w:u w:color="000000"/>
          <w14:textOutline w14:w="0" w14:cap="flat" w14:cmpd="sng" w14:algn="ctr">
            <w14:noFill/>
            <w14:prstDash w14:val="solid"/>
            <w14:bevel/>
          </w14:textOutline>
        </w:rPr>
        <w:t>Bałkanów Zachodnich, a także wyeliminowania strukturalnych wąskich gardeł na granicach UE i państw regionu Bałkanów Zachodnich.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Komisja wydała również wytyczne</w:t>
      </w:r>
      <w:r w:rsidRPr="006F24C8">
        <w:rPr>
          <w:rStyle w:val="FootnoteReference"/>
          <w:rFonts w:ascii="Times New Roman" w:hAnsi="Times New Roman" w:cs="Times New Roman"/>
          <w:noProof/>
          <w:sz w:val="24"/>
          <w:szCs w:val="24"/>
        </w:rPr>
        <w:footnoteReference w:id="9"/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w sprawie wdrażania </w:t>
      </w:r>
      <w:r w:rsidRPr="006F24C8">
        <w:rPr>
          <w:rFonts w:ascii="Times New Roman" w:hAnsi="Times New Roman" w:cs="Times New Roman"/>
          <w:b/>
          <w:noProof/>
          <w:sz w:val="24"/>
          <w:szCs w:val="24"/>
        </w:rPr>
        <w:t>tymczasowyc</w:t>
      </w:r>
      <w:r w:rsidRPr="006F24C8">
        <w:rPr>
          <w:rFonts w:ascii="Times New Roman" w:hAnsi="Times New Roman" w:cs="Times New Roman"/>
          <w:b/>
          <w:noProof/>
          <w:sz w:val="24"/>
          <w:szCs w:val="24"/>
        </w:rPr>
        <w:t>h ograniczeń w podróżowaniu</w:t>
      </w:r>
      <w:r w:rsidRPr="006F24C8">
        <w:rPr>
          <w:rFonts w:ascii="Times New Roman" w:hAnsi="Times New Roman" w:cs="Times New Roman"/>
          <w:noProof/>
          <w:sz w:val="24"/>
          <w:szCs w:val="24"/>
        </w:rPr>
        <w:t>, mających zastosowanie do wszystkich, innych niż niezbędne podróży z państw trzecich do UE, w tym odnośnie do postępowania z osobami zmuszonymi do pozostania w UE dłużej niż wynika to z pozwolenia</w:t>
      </w:r>
      <w:r w:rsidRPr="006F24C8">
        <w:rPr>
          <w:rFonts w:ascii="Times New Roman" w:hAnsi="Times New Roman" w:cs="Times New Roman"/>
          <w:b/>
          <w:noProof/>
          <w:sz w:val="24"/>
          <w:szCs w:val="24"/>
        </w:rPr>
        <w:t>.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>Współpraca UE z Bałkanami Zac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hodnimi oraz wsparcie ze strony UE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wykraczają daleko poza to, co którykolwiek z pozostałych partnerów zrobił dla regionu.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Fakt ten jest odzwierciedleniem strategicznego znaczenia regionu Bałkanów Zachodnich. Instytucje UE zaangażowały się w intensywne kamp</w:t>
      </w:r>
      <w:r w:rsidRPr="006F24C8">
        <w:rPr>
          <w:rFonts w:ascii="Times New Roman" w:hAnsi="Times New Roman" w:cs="Times New Roman"/>
          <w:noProof/>
          <w:sz w:val="24"/>
          <w:szCs w:val="24"/>
        </w:rPr>
        <w:t>anie informacyjne, dotyczące pomocy udzielanej przez UE, a także wspólnie z państwami członkowskimi publikują komentarze w poszczególnych państwach regionu, wspierając kampanie „zostań w domu” i przyczyniając się do rozpowszechniania faktów dotyczących COV</w:t>
      </w:r>
      <w:r w:rsidRPr="006F24C8">
        <w:rPr>
          <w:rFonts w:ascii="Times New Roman" w:hAnsi="Times New Roman" w:cs="Times New Roman"/>
          <w:noProof/>
          <w:sz w:val="24"/>
          <w:szCs w:val="24"/>
        </w:rPr>
        <w:t>ID-19.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W tym kontekście należy otwarcie i zdecydowanie przeciwdziałać próbom rozprowadzania fałszywych informacji na temat źródeł kryzysu oraz wysiłków podejmowanych celem jego pokonania, zacieśniając współpracę na rzecz wspierania wolności słowa i mediów.</w:t>
      </w:r>
    </w:p>
    <w:p w:rsidR="00DA0582" w:rsidRPr="006F24C8" w:rsidRDefault="00DA0582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DA0582" w:rsidRPr="006F24C8" w:rsidRDefault="006F24C8" w:rsidP="006F24C8">
      <w:pPr>
        <w:pStyle w:val="ListParagraph"/>
        <w:keepNext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ind w:left="783" w:hanging="482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Okres po pandemii COVID-19: gospodarczo-inwestycyjny plan odnowy </w:t>
      </w:r>
    </w:p>
    <w:p w:rsidR="00DA0582" w:rsidRPr="006F24C8" w:rsidRDefault="006F24C8" w:rsidP="006F24C8">
      <w:pPr>
        <w:pStyle w:val="FootnoteText"/>
        <w:spacing w:after="120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6F24C8">
        <w:rPr>
          <w:rFonts w:ascii="Times New Roman" w:hAnsi="Times New Roman"/>
          <w:b/>
          <w:bCs/>
          <w:noProof/>
          <w:sz w:val="24"/>
          <w:szCs w:val="24"/>
        </w:rPr>
        <w:t>W walce ze skutkami kryzysu wywołanego pandemią COVID-19</w:t>
      </w:r>
      <w:r w:rsidRPr="006F24C8">
        <w:rPr>
          <w:rFonts w:ascii="Times New Roman" w:hAnsi="Times New Roman"/>
          <w:noProof/>
          <w:sz w:val="24"/>
          <w:szCs w:val="24"/>
        </w:rPr>
        <w:t xml:space="preserve"> Bałkany Zachodnie będą wymagać nieprzerwanego wsparcia.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Pr="006F24C8">
        <w:rPr>
          <w:rFonts w:ascii="Times New Roman" w:hAnsi="Times New Roman"/>
          <w:noProof/>
          <w:sz w:val="24"/>
          <w:szCs w:val="24"/>
        </w:rPr>
        <w:t xml:space="preserve">Po złagodzeniu natychmiastowych środków wprowadzonych w celu ograniczenia pandemii COVID-19 rozpocznie się nowy etap bliskiej współpracy na rzecz pokonania poważnych społeczno-gospodarczych skutków kryzysu. Jeszcze w tym roku Komisja Europejska przedstawi </w:t>
      </w:r>
      <w:r w:rsidRPr="006F24C8">
        <w:rPr>
          <w:rFonts w:ascii="Times New Roman" w:hAnsi="Times New Roman"/>
          <w:b/>
          <w:bCs/>
          <w:noProof/>
          <w:sz w:val="24"/>
          <w:szCs w:val="24"/>
        </w:rPr>
        <w:t>plan gospodarczo-inwestycyjny dla regionu</w:t>
      </w:r>
      <w:r w:rsidRPr="006F24C8">
        <w:rPr>
          <w:rFonts w:ascii="Times New Roman" w:hAnsi="Times New Roman"/>
          <w:noProof/>
          <w:sz w:val="24"/>
          <w:szCs w:val="24"/>
        </w:rPr>
        <w:t xml:space="preserve">.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W planie przewidziany będzie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istotny pakiet inwestycyjny dla regionu</w:t>
      </w:r>
      <w:r w:rsidRPr="006F24C8">
        <w:rPr>
          <w:rFonts w:ascii="Times New Roman" w:hAnsi="Times New Roman" w:cs="Times New Roman"/>
          <w:noProof/>
          <w:sz w:val="24"/>
          <w:szCs w:val="24"/>
        </w:rPr>
        <w:t>. Jeżeli chodzi o 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lata 2021–2027</w:t>
      </w:r>
      <w:r w:rsidRPr="006F24C8">
        <w:rPr>
          <w:rFonts w:ascii="Times New Roman" w:hAnsi="Times New Roman" w:cs="Times New Roman"/>
          <w:noProof/>
          <w:sz w:val="24"/>
          <w:szCs w:val="24"/>
        </w:rPr>
        <w:t>, w dniu 2 maja 2018 r. Komisja zaproponowała łączną pulę środków w ramach Instrumentu Pomocy Przedakcesyjnej II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I w wysokości 14,5 mld EUR, z czego ogromna część przeznaczona jest dla Bałkanów Zachodnich. Komisja przewiduje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podwojenie dotacji udzielanych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za pośrednictwem ram inwestycyjnych dla Bałkanów Zachodnich,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z</w:t>
      </w:r>
      <w:r w:rsidRPr="006F24C8">
        <w:rPr>
          <w:rFonts w:ascii="Times New Roman" w:hAnsi="Times New Roman" w:cs="Times New Roman"/>
          <w:noProof/>
          <w:sz w:val="24"/>
          <w:szCs w:val="24"/>
        </w:rPr>
        <w:t> </w:t>
      </w:r>
      <w:r w:rsidRPr="006F24C8">
        <w:rPr>
          <w:rFonts w:ascii="Times New Roman" w:hAnsi="Times New Roman" w:cs="Times New Roman"/>
          <w:noProof/>
          <w:sz w:val="24"/>
          <w:szCs w:val="24"/>
        </w:rPr>
        <w:t>przeznaczeniem na rozwój sektora prywatnego, łączn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ość, cyfryzację, zielony program działań dla Bałkanów Zachodnich oraz inwestycje społeczne. Przewidziano również istotne zwiększenie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gwarancji finansowych w celu wsparcia publicznych i prywatnych inwestycji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w regionie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, 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możliwe za sprawą specjalnego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instrum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entu gwarancyjnego stanowiącego element ram inwestycyjnych dla Bałkanów Zachodnich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.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Centralną rolę w ponownym uruchamianiu i modernizowaniu gospodarek państw regionu Bałkanów Zachodnich odgrywać będzie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transformacja ekologiczna i cyfrowa</w:t>
      </w:r>
      <w:r w:rsidRPr="006F24C8">
        <w:rPr>
          <w:rFonts w:ascii="Times New Roman" w:hAnsi="Times New Roman" w:cs="Times New Roman"/>
          <w:noProof/>
          <w:sz w:val="24"/>
          <w:szCs w:val="24"/>
        </w:rPr>
        <w:t>. Inwestycje w czy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ste oraz cyfrowe technologie i zdolności produkcyjne, a także wprowadzenie gospodarki o obiegu zamkniętym, przyczynią się do tworzenia miejsc pracy i wzrostu gospodarczego. Przewidziane zostanie również wsparcie na rzecz poprawy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konkurencyjności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gospodarek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państw regionu Bałkanów Zachodnie, aby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lepiej powiązać je w obrębie regionu oraz z UE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, a także aby przygotować Bałkany Zachodnie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do nadejścia ery cyfrowej</w:t>
      </w:r>
      <w:r w:rsidRPr="006F24C8">
        <w:rPr>
          <w:rFonts w:ascii="Times New Roman" w:hAnsi="Times New Roman" w:cs="Times New Roman"/>
          <w:noProof/>
          <w:sz w:val="24"/>
          <w:szCs w:val="24"/>
        </w:rPr>
        <w:t>. Przewidziano wsparcie na rzecz gospodarki służącej ludziom, w tym za pośrednictwem współpracy w obs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zarze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edukacji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i 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opieki zdrowotnej</w:t>
      </w:r>
      <w:r w:rsidRPr="006F24C8">
        <w:rPr>
          <w:rFonts w:ascii="Times New Roman" w:hAnsi="Times New Roman" w:cs="Times New Roman"/>
          <w:bCs/>
          <w:noProof/>
          <w:sz w:val="24"/>
          <w:szCs w:val="24"/>
        </w:rPr>
        <w:t xml:space="preserve">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(między innymi celem wzmocnienia odporności systemów opieki zdrowotnej)</w:t>
      </w:r>
      <w:r w:rsidRPr="006F24C8">
        <w:rPr>
          <w:rFonts w:ascii="Times New Roman" w:hAnsi="Times New Roman" w:cs="Times New Roman"/>
          <w:bCs/>
          <w:noProof/>
          <w:sz w:val="24"/>
          <w:szCs w:val="24"/>
        </w:rPr>
        <w:t xml:space="preserve">,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w</w:t>
      </w:r>
      <w:r w:rsidRPr="006F24C8">
        <w:rPr>
          <w:rFonts w:ascii="Times New Roman" w:hAnsi="Times New Roman" w:cs="Times New Roman"/>
          <w:bCs/>
          <w:noProof/>
          <w:sz w:val="24"/>
          <w:szCs w:val="24"/>
        </w:rPr>
        <w:t> 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obszarze ochrony socjalnej i włączenia społecznego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, równych szans,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dostępu do rynku pracy – w szczególności z pomocą większego udostępniania aktyw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nych polityk rynku pracy, </w:t>
      </w:r>
      <w:r w:rsidRPr="006F24C8">
        <w:rPr>
          <w:rFonts w:ascii="Times New Roman" w:hAnsi="Times New Roman" w:cs="Times New Roman"/>
          <w:b/>
          <w:noProof/>
          <w:sz w:val="24"/>
          <w:szCs w:val="24"/>
        </w:rPr>
        <w:t>uczciwych warunków pracy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, w tym poprzez wsparcie i wzmocnienie dialogu społecznego,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a</w:t>
      </w:r>
      <w:r w:rsidRPr="006F24C8">
        <w:rPr>
          <w:rFonts w:ascii="Times New Roman" w:hAnsi="Times New Roman" w:cs="Times New Roman"/>
          <w:noProof/>
          <w:sz w:val="24"/>
          <w:szCs w:val="24"/>
        </w:rPr>
        <w:t> </w:t>
      </w:r>
      <w:r w:rsidRPr="006F24C8">
        <w:rPr>
          <w:rFonts w:ascii="Times New Roman" w:hAnsi="Times New Roman" w:cs="Times New Roman"/>
          <w:noProof/>
          <w:sz w:val="24"/>
          <w:szCs w:val="24"/>
        </w:rPr>
        <w:t>także w obszarze kultury oraz badań i innowacji.</w:t>
      </w:r>
    </w:p>
    <w:p w:rsidR="00DA0582" w:rsidRPr="006F24C8" w:rsidRDefault="006F24C8" w:rsidP="006F24C8">
      <w:pPr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Silny nacisk zostanie położony na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połączenia transportowe i energetyczne</w:t>
      </w:r>
      <w:r w:rsidRPr="006F24C8">
        <w:rPr>
          <w:rFonts w:ascii="Times New Roman" w:hAnsi="Times New Roman" w:cs="Times New Roman"/>
          <w:bCs/>
          <w:noProof/>
          <w:sz w:val="24"/>
          <w:szCs w:val="24"/>
        </w:rPr>
        <w:t>,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które mają decydujące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znaczenie dla rozwoju gospodarczego regionu i UE. W tym roku UE zamierza zaproponować w ramach programu dotyczącego sieci połączeń regionu Bałkanów Zachodnich pakiet o wartości 135 mln EUR</w:t>
      </w:r>
      <w:r w:rsidRPr="006F24C8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</w:rPr>
        <w:footnoteReference w:id="10"/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na sfinansowanie sześciu dodatkowych projektów inwestycyjnych w o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bszarze infrastruktury. Udostępniając te środki finansowe,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UE wyjdzie poza zobowiązanie, jakie podjęła w 2015 r., do udostępnienia do 2020 r. kwoty 1 mld EUR w formie dotacji na rzecz programu dotyczącego sieci połączeń</w:t>
      </w:r>
      <w:r w:rsidRPr="006F24C8">
        <w:rPr>
          <w:rFonts w:ascii="Times New Roman" w:hAnsi="Times New Roman" w:cs="Times New Roman"/>
          <w:noProof/>
          <w:sz w:val="24"/>
          <w:szCs w:val="24"/>
        </w:rPr>
        <w:t>. Środki te z kolei posłużą jako dźwi</w:t>
      </w:r>
      <w:r w:rsidRPr="006F24C8">
        <w:rPr>
          <w:rFonts w:ascii="Times New Roman" w:hAnsi="Times New Roman" w:cs="Times New Roman"/>
          <w:noProof/>
          <w:sz w:val="24"/>
          <w:szCs w:val="24"/>
        </w:rPr>
        <w:t>gnia finansowa celem uruchomienia niemal 4 mld EUR z przeznaczeniem na 45 inwestycji w obszarze infrastruktury służącej przyłączeniu regionu do priorytetowych osi sieci transeuropejskich oraz na projekty Wspólnoty Energetycznej będące przedmiotem wspólnego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zainteresowania. Aktywna współpraca regionalna w kontekście Wspólnoty Energetycznej oraz inicjatywy dotyczącej energetycznych połączeń międzysystemowych w Europie Środkowej i Południowo-Wschodniej to dobry punkt wyjścia dla przyspieszenia inwestycji w tyc</w:t>
      </w:r>
      <w:r w:rsidRPr="006F24C8">
        <w:rPr>
          <w:rFonts w:ascii="Times New Roman" w:hAnsi="Times New Roman" w:cs="Times New Roman"/>
          <w:noProof/>
          <w:sz w:val="24"/>
          <w:szCs w:val="24"/>
        </w:rPr>
        <w:t>h obszarach połączeń energetycznych, jak również w obszarze energii odnawialnych i projektów związanych z efektywnością energetyczną.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UE będzie nadal zwracać szczególną uwagę na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wyzwania, z jakimi borykają się młodzi ludzie</w:t>
      </w:r>
      <w:r w:rsidRPr="006F24C8">
        <w:rPr>
          <w:rFonts w:ascii="Times New Roman" w:hAnsi="Times New Roman" w:cs="Times New Roman"/>
          <w:noProof/>
          <w:sz w:val="24"/>
          <w:szCs w:val="24"/>
        </w:rPr>
        <w:t>, przede wszystkim w kontekście p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erspektyw zatrudnienia, nierówności i zatrzymywania młodych talentów w regionie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dla zapobiegania drenażowi mózgów</w:t>
      </w:r>
      <w:r w:rsidRPr="006F24C8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 xml:space="preserve"> i innym wyzwaniom o charakterze demograficznym</w:t>
      </w:r>
      <w:r w:rsidRPr="006F24C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, w obliczu których znajduje się region Bałkanów Zachodnich</w:t>
      </w:r>
      <w:r w:rsidRPr="006F24C8">
        <w:rPr>
          <w:rFonts w:ascii="Times New Roman" w:hAnsi="Times New Roman" w:cs="Times New Roman"/>
          <w:noProof/>
          <w:sz w:val="24"/>
          <w:szCs w:val="24"/>
        </w:rPr>
        <w:t>. Od 2018 r. podwojono finansowanie z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 programu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Erasmus+ dla regionu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(do ponad 65 mln EUR), przy zwiększonym nacisku na kształcenie zawodowe. W przyszłości dalej zwiększany będzie nacisk na umiejętności cyfrowe, a także na umiejętności w zakresie badań naukowych i przedsiębiorczości. Zamierzen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iem jest odpowiednie wyposażenie młodych ludzi, aby mogli odnieść sukces ekonomiczny i prosperować w epoce cyfrowej.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Pandemia COVID-19 wyraźnie unaoczniła znaczenie właściwego funkcjonowania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jednolitego rynku UE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jako kluczowego elementu naszego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dobrobytu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i naszej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odporności. 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Uwypukliła również wysoki poziom wzajemnych zależności społeczno-gospodarczych między gospodarką UE a gospodarką państw Bałkanów Zachodnich, a także w obrębie tego regionu. Decydujące znaczenie będzie miało zatem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skuteczniejsze połącze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nie gospodarek Bałkanów Zachodnich – zarówno w obrębie regionu, jak i z UE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. Wymaga to silniejszego zaangażowania ze strony wszystkich partnerów Bałkanów Zachodnich na rzecz pogłębienia regionalnej integracji gospodarczej sprzyjającej włączeniu oraz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ukształ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towania wspólnego rynku regionalnego,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w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 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myśl dokonanych uzgodnień, na podstawie dorobku prawnego UE oraz z poszanowaniem zobowiązań UE, dzięki czemu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region stanie się bardziej atrakcyjnym obszarem dla inwestycji.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>W tym kontekście zasadnicze znaczenie mają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organizacje regionalne</w:t>
      </w:r>
      <w:r w:rsidRPr="006F24C8">
        <w:rPr>
          <w:rFonts w:ascii="Times New Roman" w:hAnsi="Times New Roman" w:cs="Times New Roman"/>
          <w:noProof/>
          <w:sz w:val="24"/>
          <w:szCs w:val="24"/>
        </w:rPr>
        <w:t>: Rada Współpracy Regionalnej, Wspólnota Transportowa, Wspólnota Energetyczna oraz Środkowoeuropejska Strefa Wolnego Handlu. Istotną rolę w zmniejszaniu barier w handlu odgrywają ponadto finansowane przez UE projekty.</w:t>
      </w:r>
      <w:r w:rsidRPr="006F24C8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val="en-US"/>
        </w:rPr>
        <w:footnoteReference w:id="11"/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>Wszystkie te ś</w:t>
      </w:r>
      <w:r w:rsidRPr="006F24C8">
        <w:rPr>
          <w:rFonts w:ascii="Times New Roman" w:hAnsi="Times New Roman" w:cs="Times New Roman"/>
          <w:noProof/>
          <w:sz w:val="24"/>
          <w:szCs w:val="24"/>
        </w:rPr>
        <w:t>rodki wsparcia są ukierunkowane na osiągnięcie tych samych celów, a są nimi: przekształcenie Bałkanów Zachodnich w 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funkcjonujące gospodarki rynkowe zdolne do pełnej integracji z jednolitym rynkiem UE</w:t>
      </w:r>
      <w:r w:rsidRPr="006F24C8">
        <w:rPr>
          <w:rFonts w:ascii="Times New Roman" w:hAnsi="Times New Roman" w:cs="Times New Roman"/>
          <w:noProof/>
          <w:sz w:val="24"/>
          <w:szCs w:val="24"/>
        </w:rPr>
        <w:t>, poprawa klimatu biznesowego i inwestycyjnego, a tym sam</w:t>
      </w:r>
      <w:r w:rsidRPr="006F24C8">
        <w:rPr>
          <w:rFonts w:ascii="Times New Roman" w:hAnsi="Times New Roman" w:cs="Times New Roman"/>
          <w:noProof/>
          <w:sz w:val="24"/>
          <w:szCs w:val="24"/>
        </w:rPr>
        <w:t>ym wpływ na zwiększenie przepływów handlowych w regionie oraz z UE</w:t>
      </w:r>
      <w:r w:rsidRPr="006F24C8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val="en-US"/>
        </w:rPr>
        <w:footnoteReference w:id="12"/>
      </w:r>
      <w:r w:rsidRPr="006F24C8">
        <w:rPr>
          <w:rFonts w:ascii="Times New Roman" w:hAnsi="Times New Roman" w:cs="Times New Roman"/>
          <w:noProof/>
          <w:sz w:val="24"/>
          <w:szCs w:val="24"/>
        </w:rPr>
        <w:t>, tworzenie miejsc pracy i nowych możliwości, a tym samym ograniczanie zjawiska drenażu mózgów w regionie. Obecny kryzys nie może zatem odwrócić uwagi od kluczowych słabości strukturalnych,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takich jak wysokie bezrobocie (w szczególności wśród młodzieży), niski udział w rynku pracy (zwłaszcza w przypadku kobiet); niedopasowanie umiejętności do potrzeb rynku pracy; niedostateczna ochrona socjalna; niska wydajność rolnictwa i konkurencyjność or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az niezróżnicowane dostawy energii i niska efektywność energetyczna. Istotne ramy, które pokierować mogą reformami makroekonomicznymi i strukturalnymi oraz wesprzeć proces reform, to ugruntowany już dialog gospodarczy i finansowy, oparty na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programach refo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rm gospodarczych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naszych partnerów.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Celem planu gospodarczo-inwestycyjnego będzie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pobudzenie długoterminowego ożywienia</w:t>
      </w:r>
      <w:r w:rsidRPr="006F24C8">
        <w:rPr>
          <w:rFonts w:ascii="Times New Roman" w:hAnsi="Times New Roman" w:cs="Times New Roman"/>
          <w:noProof/>
          <w:sz w:val="24"/>
          <w:szCs w:val="24"/>
        </w:rPr>
        <w:t>, stymulowanie wzrostu gospodarczego i wsparcie reform wymaganych do poczynienia postępów na drodze do UE. Plan gospodarczo-inwestycyjny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będzie inspirowany priorytetami określonymi przez Komisję Europejską na potrzeby jej własnych prac w latach 2019–2024 i do tych priorytetów dostosowany. </w:t>
      </w:r>
    </w:p>
    <w:p w:rsidR="00DA0582" w:rsidRPr="006F24C8" w:rsidRDefault="00DA0582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DA0582" w:rsidRPr="006F24C8" w:rsidRDefault="006F24C8" w:rsidP="006F24C8">
      <w:pPr>
        <w:pStyle w:val="ListParagraph"/>
        <w:keepNext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ind w:left="783" w:hanging="482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6F24C8">
        <w:rPr>
          <w:rFonts w:ascii="Times New Roman" w:hAnsi="Times New Roman"/>
          <w:b/>
          <w:bCs/>
          <w:noProof/>
          <w:sz w:val="24"/>
          <w:szCs w:val="24"/>
        </w:rPr>
        <w:t xml:space="preserve">Działania w zakresie podstawowych reform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Ożywienie gospodarcze po obecnym kryzysie będzie skuteczne jedynie wtedy, gdy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państwa będą nadal realizować swoje zobowiązań w zakresie reform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i osiągać wymierne rezultaty we wdrażaniu tych reform. Ma to kluczowe znaczenie dla realizacji europejskiej persp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ektywy tych państw. Obok nieprzerwanej realizacji reform gospodarczych wymagany jest w tym celu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większy nacisk na praworządność, funkcjonowanie instytucji demokratycznych i administracji publicznej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.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Wzmocnienie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praworządności we wszystkich aspektach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jest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decydujące. Wymaga ono niezależnego i skutecznego sądownictwa, konkretnych wyników w walce z korupcją, przestępczością zorganizowaną i terroryzmem oraz skutecznej ochrony praw podstawowych, w tym wolności słowa i mediów. Mówiąc dokładniej, ogromne znaczeni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e ma, aby środki nadzwyczajne wprowadzane w okresie kryzysu nie były realizowane kosztem podstawowych zasad i wartości oraz aby środki te były proporcjonalne i określone w czasie, a także objęte demokratycznym nadzorem.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>W oparciu o szeroko zakrojoną współ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pracę, która jest już realizowana, ważne jest zagwarantowanie nieustannego, aktywnego zaangażowania za pośrednictwem wspólnych i wzajemnie uzgodnionych działań w obszarze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bezpieczeństwa,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w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 </w:t>
      </w:r>
      <w:r w:rsidRPr="006F24C8">
        <w:rPr>
          <w:rFonts w:ascii="Times New Roman" w:hAnsi="Times New Roman" w:cs="Times New Roman"/>
          <w:noProof/>
          <w:sz w:val="24"/>
          <w:szCs w:val="24"/>
        </w:rPr>
        <w:t>tym w odniesieniu do ryzyk związanych z praniem pieniędzy i finanso</w:t>
      </w:r>
      <w:r w:rsidRPr="006F24C8">
        <w:rPr>
          <w:rFonts w:ascii="Times New Roman" w:hAnsi="Times New Roman" w:cs="Times New Roman"/>
          <w:noProof/>
          <w:sz w:val="24"/>
          <w:szCs w:val="24"/>
        </w:rPr>
        <w:t>waniem terroryzmu, oraz w obszarze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migracji i zarządzania granicami. 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Kluczowym priorytetem pozostają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silniejsze instytucje demokratyczne i demokratyczne procesy w większym stopniu służące włączeniu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Reforma administracji publicznej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 ma zasadnicze znaczenie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dla poprawy zarządzania na wszystkich szczeblach.</w:t>
      </w: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Obejmuje ona zwiększoną przejrzystość i rozliczalność, należyte zarządzanie finansami publicznymi i bardziej profesjonalną administrację. Elementy te wspólnie tworzą podstawę trwałego ożywienia gospodarczeg</w:t>
      </w:r>
      <w:r w:rsidRPr="006F24C8">
        <w:rPr>
          <w:rFonts w:ascii="Times New Roman" w:hAnsi="Times New Roman" w:cs="Times New Roman"/>
          <w:noProof/>
          <w:sz w:val="24"/>
          <w:szCs w:val="24"/>
        </w:rPr>
        <w:t>o.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Komisja nadal w zdecydowany sposób wspiera region w realizacji tych reform. Dalsze środki zostaną określone w komunikacie Komisji jeszcze w tym roku. </w:t>
      </w:r>
    </w:p>
    <w:p w:rsidR="00DA0582" w:rsidRPr="006F24C8" w:rsidRDefault="006F24C8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noProof/>
          <w:sz w:val="24"/>
          <w:szCs w:val="24"/>
        </w:rPr>
        <w:t>Kryzys wywołany pandemią COVID-19 jest sprawdzianem naszej solidarności i determinacji, ale także dowo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dem naszej ścisłej współpracy – Europejczyków połączonych wspólnym losem.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W</w:t>
      </w:r>
      <w:r w:rsidRPr="006F24C8">
        <w:rPr>
          <w:rFonts w:ascii="Times New Roman" w:hAnsi="Times New Roman" w:cs="Times New Roman"/>
          <w:noProof/>
          <w:sz w:val="24"/>
          <w:szCs w:val="24"/>
        </w:rPr>
        <w:t> </w:t>
      </w:r>
      <w:r w:rsidRPr="006F24C8">
        <w:rPr>
          <w:rFonts w:ascii="Times New Roman" w:hAnsi="Times New Roman" w:cs="Times New Roman"/>
          <w:noProof/>
          <w:sz w:val="24"/>
          <w:szCs w:val="24"/>
        </w:rPr>
        <w:t xml:space="preserve">związku z tym jesteśmy zdania, że nasi partnerzy z Bałkanów Zachodnich będą musieli znaleźć swoje miejsce w naszych nadchodzących rozważaniach na temat przyszłości Europy. </w:t>
      </w:r>
      <w:r w:rsidRPr="006F24C8">
        <w:rPr>
          <w:rFonts w:ascii="Times New Roman" w:hAnsi="Times New Roman" w:cs="Times New Roman"/>
          <w:noProof/>
          <w:sz w:val="24"/>
          <w:szCs w:val="24"/>
        </w:rPr>
        <w:t>Razem po</w:t>
      </w:r>
      <w:r w:rsidRPr="006F24C8">
        <w:rPr>
          <w:rFonts w:ascii="Times New Roman" w:hAnsi="Times New Roman" w:cs="Times New Roman"/>
          <w:noProof/>
          <w:sz w:val="24"/>
          <w:szCs w:val="24"/>
        </w:rPr>
        <w:t>konamy obecny kryzys i rozpoczniemy skuteczną odnowę. Razem będziemy pogłębiać naszą współpracę, aby pomóc naszym partnerom w spełnieniu wymogów członkostwa w UE.</w:t>
      </w:r>
    </w:p>
    <w:p w:rsidR="00DA0582" w:rsidRPr="006F24C8" w:rsidRDefault="00DA0582" w:rsidP="006F24C8">
      <w:pPr>
        <w:pStyle w:val="Body"/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DA0582" w:rsidRPr="006F24C8" w:rsidRDefault="006F24C8" w:rsidP="006F24C8">
      <w:pPr>
        <w:pStyle w:val="Body"/>
        <w:spacing w:after="12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6F24C8">
        <w:rPr>
          <w:rFonts w:ascii="Times New Roman" w:hAnsi="Times New Roman" w:cs="Times New Roman"/>
          <w:b/>
          <w:bCs/>
          <w:noProof/>
          <w:sz w:val="24"/>
          <w:szCs w:val="24"/>
        </w:rPr>
        <w:t>**</w:t>
      </w:r>
    </w:p>
    <w:p w:rsidR="00DA0582" w:rsidRPr="006F24C8" w:rsidRDefault="00DA0582" w:rsidP="006F24C8">
      <w:pPr>
        <w:spacing w:after="120" w:line="240" w:lineRule="auto"/>
        <w:rPr>
          <w:rFonts w:ascii="Times New Roman" w:hAnsi="Times New Roman" w:cs="Times New Roman"/>
          <w:b/>
          <w:noProof/>
          <w:sz w:val="24"/>
          <w:szCs w:val="24"/>
          <w:lang w:val="en-GB"/>
        </w:rPr>
      </w:pPr>
    </w:p>
    <w:sectPr w:rsidR="00DA0582" w:rsidRPr="006F24C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582" w:rsidRDefault="006F24C8">
      <w:pPr>
        <w:spacing w:after="0" w:line="240" w:lineRule="auto"/>
      </w:pPr>
      <w:r>
        <w:separator/>
      </w:r>
    </w:p>
  </w:endnote>
  <w:endnote w:type="continuationSeparator" w:id="0">
    <w:p w:rsidR="00DA0582" w:rsidRDefault="006F24C8">
      <w:pPr>
        <w:spacing w:after="0" w:line="240" w:lineRule="auto"/>
      </w:pPr>
      <w:r>
        <w:continuationSeparator/>
      </w:r>
    </w:p>
  </w:endnote>
  <w:endnote w:type="continuationNotice" w:id="1">
    <w:p w:rsidR="00DA0582" w:rsidRDefault="00DA05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6F24C8">
    <w:pPr>
      <w:pStyle w:val="FooterCoverPag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PL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FooterCover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6F24C8">
    <w:pPr>
      <w:pStyle w:val="Footer"/>
      <w:tabs>
        <w:tab w:val="clear" w:pos="9360"/>
        <w:tab w:val="right" w:pos="9046"/>
      </w:tabs>
      <w:jc w:val="center"/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PAGE 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  <w:noProof/>
      </w:rPr>
      <w:t>3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582" w:rsidRDefault="006F24C8">
      <w:pPr>
        <w:spacing w:after="0" w:line="240" w:lineRule="auto"/>
      </w:pPr>
      <w:r>
        <w:separator/>
      </w:r>
    </w:p>
  </w:footnote>
  <w:footnote w:type="continuationSeparator" w:id="0">
    <w:p w:rsidR="00DA0582" w:rsidRDefault="006F24C8">
      <w:pPr>
        <w:spacing w:after="0" w:line="240" w:lineRule="auto"/>
      </w:pPr>
      <w:r>
        <w:continuationSeparator/>
      </w:r>
    </w:p>
  </w:footnote>
  <w:footnote w:type="continuationNotice" w:id="1">
    <w:p w:rsidR="00DA0582" w:rsidRDefault="00DA0582">
      <w:pPr>
        <w:spacing w:after="0" w:line="240" w:lineRule="auto"/>
      </w:pPr>
    </w:p>
  </w:footnote>
  <w:footnote w:id="2">
    <w:p w:rsidR="00DA0582" w:rsidRDefault="006F24C8">
      <w:pPr>
        <w:pStyle w:val="FootnoteText"/>
        <w:jc w:val="both"/>
      </w:pPr>
      <w:r>
        <w:rPr>
          <w:rFonts w:ascii="Times New Roman" w:eastAsia="Times New Roman" w:hAnsi="Times New Roman"/>
          <w:b/>
          <w:bCs/>
          <w:vertAlign w:val="superscript"/>
          <w:lang w:val="en-US"/>
        </w:rPr>
        <w:footnoteRef/>
      </w:r>
      <w:r>
        <w:rPr>
          <w:rFonts w:ascii="Times New Roman" w:hAnsi="Times New Roman"/>
        </w:rPr>
        <w:t xml:space="preserve"> Komunikat Komisji </w:t>
      </w:r>
      <w:r>
        <w:rPr>
          <w:rFonts w:ascii="Times New Roman" w:hAnsi="Times New Roman"/>
          <w:i/>
          <w:iCs/>
        </w:rPr>
        <w:t xml:space="preserve">Usprawnienie procesu akcesyjnego – wiarygodna </w:t>
      </w:r>
      <w:r>
        <w:rPr>
          <w:rFonts w:ascii="Times New Roman" w:hAnsi="Times New Roman"/>
          <w:i/>
          <w:iCs/>
        </w:rPr>
        <w:t>perspektywa członkostwa w UE dla państw regionu Bałkanów Zachodnich</w:t>
      </w:r>
      <w:r>
        <w:rPr>
          <w:rFonts w:ascii="Times New Roman" w:hAnsi="Times New Roman"/>
        </w:rPr>
        <w:t xml:space="preserve"> </w:t>
      </w:r>
      <w:hyperlink r:id="rId1" w:history="1">
        <w:r>
          <w:rPr>
            <w:rStyle w:val="Hyperlink0"/>
            <w:rFonts w:eastAsia="Calibri"/>
          </w:rPr>
          <w:t>COM(2020) 57 final</w:t>
        </w:r>
      </w:hyperlink>
    </w:p>
  </w:footnote>
  <w:footnote w:id="3">
    <w:p w:rsidR="00DA0582" w:rsidRDefault="006F24C8">
      <w:pPr>
        <w:pStyle w:val="FootnoteText"/>
      </w:pPr>
      <w:r>
        <w:rPr>
          <w:rFonts w:ascii="Times New Roman" w:eastAsia="Times New Roman" w:hAnsi="Times New Roman"/>
          <w:b/>
          <w:bCs/>
          <w:vertAlign w:val="superscript"/>
          <w:lang w:val="en-US"/>
        </w:rPr>
        <w:footnoteRef/>
      </w:r>
      <w:r>
        <w:rPr>
          <w:rFonts w:ascii="Times New Roman" w:hAnsi="Times New Roman"/>
        </w:rPr>
        <w:t xml:space="preserve"> Finansowanie przyznane w ramach istniejącego wieloletnie</w:t>
      </w:r>
      <w:r>
        <w:rPr>
          <w:rFonts w:ascii="Times New Roman" w:hAnsi="Times New Roman"/>
        </w:rPr>
        <w:t>go programu indykatywnego na lata 2014–2020</w:t>
      </w:r>
    </w:p>
  </w:footnote>
  <w:footnote w:id="4">
    <w:p w:rsidR="00DA0582" w:rsidRDefault="006F24C8">
      <w:pPr>
        <w:pStyle w:val="FootnoteText"/>
      </w:pPr>
      <w:r>
        <w:rPr>
          <w:rFonts w:ascii="Times New Roman" w:eastAsia="Times New Roman" w:hAnsi="Times New Roman"/>
          <w:b/>
          <w:bCs/>
          <w:vertAlign w:val="superscript"/>
          <w:lang w:val="en-US"/>
        </w:rPr>
        <w:footnoteRef/>
      </w:r>
      <w:r>
        <w:t xml:space="preserve"> </w:t>
      </w:r>
      <w:r>
        <w:rPr>
          <w:rFonts w:ascii="Times New Roman" w:hAnsi="Times New Roman"/>
        </w:rPr>
        <w:t>Dostosowywane i przyspieszane są także istniejące programy wsparcia w ramach Instrumentu Pomocy Przedakcesyjnej, np. Instrument Pomocy Przedakcesyjnej w zakresie rozwoju obszarów wiejskich oraz na rzecz transgr</w:t>
      </w:r>
      <w:r>
        <w:rPr>
          <w:rFonts w:ascii="Times New Roman" w:hAnsi="Times New Roman"/>
        </w:rPr>
        <w:t>anicznej współpracy UE i Bałkanów Zachodnich (REGIO).</w:t>
      </w:r>
    </w:p>
  </w:footnote>
  <w:footnote w:id="5">
    <w:p w:rsidR="00DA0582" w:rsidRDefault="006F24C8">
      <w:pPr>
        <w:pStyle w:val="FootnoteText"/>
        <w:jc w:val="both"/>
      </w:pPr>
      <w:r>
        <w:rPr>
          <w:rFonts w:ascii="Times New Roman" w:eastAsia="Times New Roman" w:hAnsi="Times New Roman"/>
          <w:vertAlign w:val="superscript"/>
          <w:lang w:val="en-US"/>
        </w:rPr>
        <w:footnoteRef/>
      </w:r>
      <w:r>
        <w:rPr>
          <w:rFonts w:ascii="Times New Roman" w:hAnsi="Times New Roman"/>
        </w:rPr>
        <w:t xml:space="preserve"> UE finansuje dostawę około 95 000 testów COVID, 500 łóżek szpitalnych, 450 respiratorów, 100 monitorów na potrzeby intensywnej opieki medycznej, 100 kontenerów przeznaczonych do segregacji medycznej, </w:t>
      </w:r>
      <w:r>
        <w:rPr>
          <w:rFonts w:ascii="Times New Roman" w:hAnsi="Times New Roman"/>
        </w:rPr>
        <w:t>10 karetek pogotowia ratunkowego oraz ponad 4,5 miliona sztuk sprzętu ochronnego i setek urządzeń medycznych (są to m.in. aparaty do RTG, EKG, tomografy komputerowe, defibrylatory, pompy infuzyjne), a także tysięcy artykułów medycznych (takich jak termomet</w:t>
      </w:r>
      <w:r>
        <w:rPr>
          <w:rFonts w:ascii="Times New Roman" w:hAnsi="Times New Roman"/>
        </w:rPr>
        <w:t xml:space="preserve">ry, cewniki, próbówki, strzykawki, maski). UE pokryła również koszty 16 lotów długodystansowych przewożących 750 ton artykułów medycznych pochodzących z innych źródeł. </w:t>
      </w:r>
    </w:p>
  </w:footnote>
  <w:footnote w:id="6">
    <w:p w:rsidR="00DA0582" w:rsidRDefault="006F24C8">
      <w:pPr>
        <w:pStyle w:val="FootnoteText"/>
        <w:jc w:val="both"/>
      </w:pPr>
      <w:r>
        <w:rPr>
          <w:rFonts w:ascii="Times New Roman" w:eastAsia="Times New Roman" w:hAnsi="Times New Roman"/>
          <w:vertAlign w:val="superscript"/>
          <w:lang w:val="en-US"/>
        </w:rPr>
        <w:footnoteRef/>
      </w:r>
      <w:r>
        <w:rPr>
          <w:rFonts w:ascii="Times New Roman" w:hAnsi="Times New Roman"/>
        </w:rPr>
        <w:t xml:space="preserve"> 2020/0065 (COD) Wniosek dotyczący decyzji Parlamentu Europejskiego i Rady w sprawie u</w:t>
      </w:r>
      <w:r>
        <w:rPr>
          <w:rFonts w:ascii="Times New Roman" w:hAnsi="Times New Roman"/>
        </w:rPr>
        <w:t>dzielania pomocy makrofinansowej partnerom objętym procesem rozszerzenia i polityką sąsiedztwa w kontekście kryzysu wywołanego pandemią COVID-19. Z dnia 22 kwietnia 2020 r.</w:t>
      </w:r>
    </w:p>
  </w:footnote>
  <w:footnote w:id="7">
    <w:p w:rsidR="00DA0582" w:rsidRDefault="006F24C8">
      <w:pPr>
        <w:pStyle w:val="FootnoteText"/>
        <w:jc w:val="both"/>
      </w:pPr>
      <w:r>
        <w:rPr>
          <w:rFonts w:ascii="Times New Roman" w:eastAsia="Times New Roman" w:hAnsi="Times New Roman"/>
          <w:b/>
          <w:bCs/>
          <w:vertAlign w:val="superscript"/>
          <w:lang w:val="en-US"/>
        </w:rPr>
        <w:footnoteRef/>
      </w:r>
      <w:r>
        <w:rPr>
          <w:rFonts w:ascii="Times New Roman" w:hAnsi="Times New Roman"/>
        </w:rPr>
        <w:t xml:space="preserve"> Komunikat w sprawie światowej reakcji UE na COVID-19 (JOIN(2020)11 final) z 8.4.2</w:t>
      </w:r>
      <w:r>
        <w:rPr>
          <w:rFonts w:ascii="Times New Roman" w:hAnsi="Times New Roman"/>
        </w:rPr>
        <w:t>020 r.</w:t>
      </w:r>
    </w:p>
  </w:footnote>
  <w:footnote w:id="8">
    <w:p w:rsidR="00DA0582" w:rsidRDefault="006F24C8">
      <w:pPr>
        <w:pStyle w:val="NormalWeb"/>
        <w:jc w:val="both"/>
      </w:pPr>
      <w:r>
        <w:rPr>
          <w:sz w:val="20"/>
          <w:szCs w:val="20"/>
          <w:vertAlign w:val="superscript"/>
          <w:lang w:val="en-US"/>
        </w:rPr>
        <w:footnoteRef/>
      </w:r>
      <w:r>
        <w:rPr>
          <w:sz w:val="20"/>
          <w:szCs w:val="20"/>
        </w:rPr>
        <w:t xml:space="preserve"> Rozporządzenie wykonawcze Komisji (UE) 2020/568 z dnia 23 kwietnia 2020 r. uzależniające wywóz niektórych produktów od wydania pozwolenia na wywóz (Dz.U. L129 z 24.4.2020)</w:t>
      </w:r>
    </w:p>
  </w:footnote>
  <w:footnote w:id="9">
    <w:p w:rsidR="00DA0582" w:rsidRDefault="006F24C8">
      <w:pPr>
        <w:pStyle w:val="FootnoteText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C(2020) 2050 final.</w:t>
      </w:r>
    </w:p>
  </w:footnote>
  <w:footnote w:id="10">
    <w:p w:rsidR="00DA0582" w:rsidRDefault="006F24C8">
      <w:pPr>
        <w:pStyle w:val="FootnoteText"/>
        <w:jc w:val="both"/>
      </w:pPr>
      <w:r>
        <w:rPr>
          <w:rFonts w:ascii="Times New Roman" w:eastAsia="Times New Roman" w:hAnsi="Times New Roman"/>
          <w:vertAlign w:val="superscript"/>
          <w:lang w:val="en-US"/>
        </w:rPr>
        <w:footnoteRef/>
      </w:r>
      <w:r>
        <w:rPr>
          <w:rFonts w:ascii="Times New Roman" w:hAnsi="Times New Roman"/>
        </w:rPr>
        <w:t xml:space="preserve"> Dodatkowo udostępnionych zostanie 65 mln EUR jako w</w:t>
      </w:r>
      <w:r>
        <w:rPr>
          <w:rFonts w:ascii="Times New Roman" w:hAnsi="Times New Roman"/>
        </w:rPr>
        <w:t>sparcie przygotowania i wdrożenia projektu realizowanego z pomocą ram inwestycyjnych dla Bałkanów Zachodnich. Dzięki temu wartość finansowanego przez UE pakietu dotyczącego łączności na 2020 r. wzrośnie do poziomu 200 mln EUR.</w:t>
      </w:r>
    </w:p>
  </w:footnote>
  <w:footnote w:id="11">
    <w:p w:rsidR="00DA0582" w:rsidRDefault="006F24C8">
      <w:pPr>
        <w:pStyle w:val="FootnoteText"/>
        <w:jc w:val="both"/>
      </w:pPr>
      <w:r>
        <w:rPr>
          <w:rFonts w:ascii="Times New Roman" w:eastAsia="Times New Roman" w:hAnsi="Times New Roman"/>
          <w:vertAlign w:val="superscript"/>
          <w:lang w:val="en-US"/>
        </w:rPr>
        <w:footnoteRef/>
      </w:r>
      <w:r>
        <w:rPr>
          <w:rFonts w:ascii="Times New Roman" w:hAnsi="Times New Roman"/>
        </w:rPr>
        <w:t xml:space="preserve"> Na przykład zmodernizowano </w:t>
      </w:r>
      <w:r>
        <w:rPr>
          <w:rFonts w:ascii="Times New Roman" w:hAnsi="Times New Roman"/>
        </w:rPr>
        <w:t>system wymiany informacji dotyczących podatku akcyzowego, aby zagwarantować odpowiednio szybką identyfikację elektroniczną ciężarówek przewożących towary podstawowe, która przekazywana jest na przejścia graniczne i umożliwia ciężarówkom przekroczenie grani</w:t>
      </w:r>
      <w:r>
        <w:rPr>
          <w:rFonts w:ascii="Times New Roman" w:hAnsi="Times New Roman"/>
        </w:rPr>
        <w:t>cy w ramach uprzywilejowanych korytarzy).</w:t>
      </w:r>
    </w:p>
  </w:footnote>
  <w:footnote w:id="12">
    <w:p w:rsidR="00DA0582" w:rsidRDefault="006F24C8">
      <w:pPr>
        <w:pStyle w:val="FootnoteText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vertAlign w:val="superscript"/>
          <w:lang w:val="en-US"/>
        </w:rPr>
        <w:footnoteRef/>
      </w:r>
      <w:r>
        <w:rPr>
          <w:rFonts w:ascii="Times New Roman" w:hAnsi="Times New Roman"/>
        </w:rPr>
        <w:t xml:space="preserve"> W tym kontekście Komisja zaproponowała w dniu 3 kwietnia przedłużenie okresu obowiązywania autonomicznych środków handlowych przyznanych przez UE państwom regionu Bałkanów Zachodnich na kolejne 5 lat, czyli do ko</w:t>
      </w:r>
      <w:r>
        <w:rPr>
          <w:rFonts w:ascii="Times New Roman" w:hAnsi="Times New Roman"/>
        </w:rPr>
        <w:t>ńca 2025 r. (COM(2020) 135 final</w:t>
      </w:r>
      <w:r>
        <w:t>.</w:t>
      </w:r>
      <w:r>
        <w:rPr>
          <w:rFonts w:ascii="Times New Roman" w:hAnsi="Times New Roman"/>
        </w:rPr>
        <w:t xml:space="preserve"> </w:t>
      </w:r>
    </w:p>
    <w:p w:rsidR="00DA0582" w:rsidRDefault="006F24C8">
      <w:pPr>
        <w:pStyle w:val="FootnoteText"/>
      </w:pPr>
      <w:r>
        <w:rPr>
          <w:rFonts w:ascii="Times New Roman" w:hAnsi="Times New Roman"/>
        </w:rPr>
        <w:t xml:space="preserve">2020/0051 COD.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HeaderCoverPag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HeaderCoverPag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Header"/>
      <w:tabs>
        <w:tab w:val="clear" w:pos="9360"/>
        <w:tab w:val="right" w:pos="9046"/>
      </w:tabs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582" w:rsidRDefault="00DA05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E503D"/>
    <w:multiLevelType w:val="hybridMultilevel"/>
    <w:tmpl w:val="50DA3C46"/>
    <w:lvl w:ilvl="0" w:tplc="08090013">
      <w:start w:val="1"/>
      <w:numFmt w:val="upperRoman"/>
      <w:lvlText w:val="%1."/>
      <w:lvlJc w:val="right"/>
      <w:pPr>
        <w:ind w:left="780" w:hanging="360"/>
      </w:p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8C6320"/>
    <w:multiLevelType w:val="hybridMultilevel"/>
    <w:tmpl w:val="34CCDB36"/>
    <w:lvl w:ilvl="0" w:tplc="18090011">
      <w:start w:val="1"/>
      <w:numFmt w:val="decimal"/>
      <w:lvlText w:val="%1)"/>
      <w:lvlJc w:val="left"/>
      <w:pPr>
        <w:ind w:left="360" w:hanging="360"/>
      </w:p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B51692"/>
    <w:multiLevelType w:val="hybridMultilevel"/>
    <w:tmpl w:val="6628A694"/>
    <w:lvl w:ilvl="0" w:tplc="08090013">
      <w:start w:val="1"/>
      <w:numFmt w:val="upperRoman"/>
      <w:lvlText w:val="%1."/>
      <w:lvlJc w:val="right"/>
      <w:pPr>
        <w:ind w:left="780" w:hanging="360"/>
      </w:p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1B156DC"/>
    <w:multiLevelType w:val="hybridMultilevel"/>
    <w:tmpl w:val="1A942A5A"/>
    <w:lvl w:ilvl="0" w:tplc="080C0001">
      <w:start w:val="1"/>
      <w:numFmt w:val="bullet"/>
      <w:lvlText w:val=""/>
      <w:lvlJc w:val="left"/>
      <w:pPr>
        <w:ind w:left="1035" w:hanging="675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641F9"/>
    <w:multiLevelType w:val="hybridMultilevel"/>
    <w:tmpl w:val="80584BB8"/>
    <w:lvl w:ilvl="0" w:tplc="FDEE4844">
      <w:start w:val="1"/>
      <w:numFmt w:val="bullet"/>
      <w:lvlText w:val="-"/>
      <w:lvlJc w:val="left"/>
      <w:pPr>
        <w:ind w:left="675" w:hanging="675"/>
      </w:pPr>
      <w:rPr>
        <w:rFonts w:ascii="Times New Roman" w:eastAsiaTheme="minorHAnsi" w:hAnsi="Times New Roman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5B3A38"/>
    <w:multiLevelType w:val="hybridMultilevel"/>
    <w:tmpl w:val="E430A882"/>
    <w:lvl w:ilvl="0" w:tplc="C77EC6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E057F"/>
    <w:multiLevelType w:val="hybridMultilevel"/>
    <w:tmpl w:val="328EB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3502D"/>
    <w:multiLevelType w:val="hybridMultilevel"/>
    <w:tmpl w:val="A41C6E94"/>
    <w:numStyleLink w:val="ImportedStyle1"/>
  </w:abstractNum>
  <w:abstractNum w:abstractNumId="8" w15:restartNumberingAfterBreak="0">
    <w:nsid w:val="2F000009"/>
    <w:multiLevelType w:val="hybridMultilevel"/>
    <w:tmpl w:val="34B116FA"/>
    <w:lvl w:ilvl="0" w:tplc="D922A03E">
      <w:start w:val="1"/>
      <w:numFmt w:val="bullet"/>
      <w:lvlText w:val="Ø"/>
      <w:lvlJc w:val="left"/>
      <w:pPr>
        <w:ind w:left="72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1" w:tplc="F696803E">
      <w:start w:val="1"/>
      <w:numFmt w:val="bullet"/>
      <w:lvlText w:val="Ø"/>
      <w:lvlJc w:val="left"/>
      <w:pPr>
        <w:ind w:left="144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2" w:tplc="47F4BE3C">
      <w:start w:val="1"/>
      <w:numFmt w:val="bullet"/>
      <w:lvlText w:val="§"/>
      <w:lvlJc w:val="left"/>
      <w:pPr>
        <w:ind w:left="216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75548F68">
      <w:start w:val="1"/>
      <w:numFmt w:val="bullet"/>
      <w:lvlText w:val="·"/>
      <w:lvlJc w:val="left"/>
      <w:pPr>
        <w:ind w:left="2880" w:hanging="360"/>
        <w:jc w:val="both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4" w:tplc="F760CF84">
      <w:start w:val="1"/>
      <w:numFmt w:val="bullet"/>
      <w:lvlText w:val="o"/>
      <w:lvlJc w:val="left"/>
      <w:pPr>
        <w:ind w:left="360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5" w:tplc="8A2AF56E">
      <w:start w:val="1"/>
      <w:numFmt w:val="bullet"/>
      <w:lvlText w:val="§"/>
      <w:lvlJc w:val="left"/>
      <w:pPr>
        <w:ind w:left="432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2B0CC496">
      <w:start w:val="1"/>
      <w:numFmt w:val="bullet"/>
      <w:lvlText w:val="·"/>
      <w:lvlJc w:val="left"/>
      <w:pPr>
        <w:ind w:left="5040" w:hanging="360"/>
        <w:jc w:val="both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7" w:tplc="437A2DE8">
      <w:start w:val="1"/>
      <w:numFmt w:val="bullet"/>
      <w:lvlText w:val="o"/>
      <w:lvlJc w:val="left"/>
      <w:pPr>
        <w:ind w:left="576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8" w:tplc="8F8A2E6E">
      <w:start w:val="1"/>
      <w:numFmt w:val="bullet"/>
      <w:lvlText w:val="§"/>
      <w:lvlJc w:val="left"/>
      <w:pPr>
        <w:ind w:left="648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abstractNum w:abstractNumId="9" w15:restartNumberingAfterBreak="0">
    <w:nsid w:val="2F000026"/>
    <w:multiLevelType w:val="hybridMultilevel"/>
    <w:tmpl w:val="43EE3B82"/>
    <w:lvl w:ilvl="0" w:tplc="FEE2DBB8">
      <w:start w:val="15"/>
      <w:numFmt w:val="bullet"/>
      <w:lvlText w:val="-"/>
      <w:lvlJc w:val="left"/>
      <w:pPr>
        <w:ind w:left="720" w:hanging="360"/>
        <w:jc w:val="both"/>
      </w:pPr>
      <w:rPr>
        <w:rFonts w:ascii="Times New Roman" w:eastAsia="Times New Roman" w:hAnsi="Times New Roman"/>
        <w:w w:val="100"/>
        <w:sz w:val="20"/>
        <w:szCs w:val="20"/>
        <w:shd w:val="clear" w:color="auto" w:fill="auto"/>
      </w:rPr>
    </w:lvl>
    <w:lvl w:ilvl="1" w:tplc="B55C1D74">
      <w:start w:val="1"/>
      <w:numFmt w:val="bullet"/>
      <w:lvlText w:val="o"/>
      <w:lvlJc w:val="left"/>
      <w:pPr>
        <w:ind w:left="144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2" w:tplc="4B2C698C">
      <w:start w:val="1"/>
      <w:numFmt w:val="bullet"/>
      <w:lvlText w:val="§"/>
      <w:lvlJc w:val="left"/>
      <w:pPr>
        <w:ind w:left="216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A1FCB008">
      <w:start w:val="1"/>
      <w:numFmt w:val="bullet"/>
      <w:lvlText w:val="·"/>
      <w:lvlJc w:val="left"/>
      <w:pPr>
        <w:ind w:left="2880" w:hanging="360"/>
        <w:jc w:val="both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4" w:tplc="BBB254BA">
      <w:start w:val="1"/>
      <w:numFmt w:val="bullet"/>
      <w:lvlText w:val="o"/>
      <w:lvlJc w:val="left"/>
      <w:pPr>
        <w:ind w:left="360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5" w:tplc="FB045024">
      <w:start w:val="1"/>
      <w:numFmt w:val="bullet"/>
      <w:lvlText w:val="§"/>
      <w:lvlJc w:val="left"/>
      <w:pPr>
        <w:ind w:left="432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F7F4F9F2">
      <w:start w:val="1"/>
      <w:numFmt w:val="bullet"/>
      <w:lvlText w:val="·"/>
      <w:lvlJc w:val="left"/>
      <w:pPr>
        <w:ind w:left="5040" w:hanging="360"/>
        <w:jc w:val="both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7" w:tplc="52F609A0">
      <w:start w:val="1"/>
      <w:numFmt w:val="bullet"/>
      <w:lvlText w:val="o"/>
      <w:lvlJc w:val="left"/>
      <w:pPr>
        <w:ind w:left="576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8" w:tplc="98A47408">
      <w:start w:val="1"/>
      <w:numFmt w:val="bullet"/>
      <w:lvlText w:val="§"/>
      <w:lvlJc w:val="left"/>
      <w:pPr>
        <w:ind w:left="648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abstractNum w:abstractNumId="10" w15:restartNumberingAfterBreak="0">
    <w:nsid w:val="2F000030"/>
    <w:multiLevelType w:val="hybridMultilevel"/>
    <w:tmpl w:val="1F34BE0E"/>
    <w:lvl w:ilvl="0" w:tplc="246A393C">
      <w:start w:val="1"/>
      <w:numFmt w:val="bullet"/>
      <w:lvlText w:val="Ø"/>
      <w:lvlJc w:val="left"/>
      <w:pPr>
        <w:ind w:left="592" w:hanging="400"/>
        <w:jc w:val="both"/>
      </w:pPr>
      <w:rPr>
        <w:rFonts w:ascii="Wingdings" w:eastAsia="Wingdings" w:hAnsi="Wingdings"/>
        <w:b w:val="0"/>
        <w:w w:val="100"/>
        <w:sz w:val="24"/>
        <w:szCs w:val="24"/>
        <w:u w:val="none"/>
        <w:shd w:val="clear" w:color="auto" w:fill="auto"/>
      </w:rPr>
    </w:lvl>
    <w:lvl w:ilvl="1" w:tplc="118EBD14">
      <w:start w:val="1"/>
      <w:numFmt w:val="bullet"/>
      <w:lvlText w:val="n"/>
      <w:lvlJc w:val="left"/>
      <w:pPr>
        <w:ind w:left="992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2" w:tplc="5104660A">
      <w:start w:val="1"/>
      <w:numFmt w:val="bullet"/>
      <w:lvlText w:val="u"/>
      <w:lvlJc w:val="left"/>
      <w:pPr>
        <w:ind w:left="1392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02E686DC">
      <w:start w:val="1"/>
      <w:numFmt w:val="bullet"/>
      <w:lvlText w:val="Ø"/>
      <w:lvlJc w:val="left"/>
      <w:pPr>
        <w:ind w:left="1792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4" w:tplc="317603B6">
      <w:start w:val="1"/>
      <w:numFmt w:val="bullet"/>
      <w:lvlText w:val="n"/>
      <w:lvlJc w:val="left"/>
      <w:pPr>
        <w:ind w:left="2192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5" w:tplc="DCC88D5E">
      <w:start w:val="1"/>
      <w:numFmt w:val="bullet"/>
      <w:lvlText w:val="u"/>
      <w:lvlJc w:val="left"/>
      <w:pPr>
        <w:ind w:left="2592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C39839E8">
      <w:start w:val="1"/>
      <w:numFmt w:val="bullet"/>
      <w:lvlText w:val="Ø"/>
      <w:lvlJc w:val="left"/>
      <w:pPr>
        <w:ind w:left="2992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7" w:tplc="F3442810">
      <w:start w:val="1"/>
      <w:numFmt w:val="bullet"/>
      <w:lvlText w:val="n"/>
      <w:lvlJc w:val="left"/>
      <w:pPr>
        <w:ind w:left="3392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8" w:tplc="459CFE62">
      <w:start w:val="1"/>
      <w:numFmt w:val="bullet"/>
      <w:lvlText w:val="u"/>
      <w:lvlJc w:val="left"/>
      <w:pPr>
        <w:ind w:left="3792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abstractNum w:abstractNumId="11" w15:restartNumberingAfterBreak="0">
    <w:nsid w:val="3162379A"/>
    <w:multiLevelType w:val="hybridMultilevel"/>
    <w:tmpl w:val="839A3770"/>
    <w:lvl w:ilvl="0" w:tplc="FDEE484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720EBD"/>
    <w:multiLevelType w:val="hybridMultilevel"/>
    <w:tmpl w:val="215C1B9C"/>
    <w:lvl w:ilvl="0" w:tplc="18090013">
      <w:start w:val="1"/>
      <w:numFmt w:val="upperRoman"/>
      <w:lvlText w:val="%1."/>
      <w:lvlJc w:val="righ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751E2"/>
    <w:multiLevelType w:val="hybridMultilevel"/>
    <w:tmpl w:val="29B8FF8C"/>
    <w:lvl w:ilvl="0" w:tplc="FDEE4844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ECF7D93"/>
    <w:multiLevelType w:val="hybridMultilevel"/>
    <w:tmpl w:val="C7CEC9F4"/>
    <w:lvl w:ilvl="0" w:tplc="FDEE4844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E902D2"/>
    <w:multiLevelType w:val="hybridMultilevel"/>
    <w:tmpl w:val="C0061EF4"/>
    <w:lvl w:ilvl="0" w:tplc="C680B46C">
      <w:start w:val="15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7C0670"/>
    <w:multiLevelType w:val="hybridMultilevel"/>
    <w:tmpl w:val="5B6A7AE0"/>
    <w:lvl w:ilvl="0" w:tplc="FDEE484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50132"/>
    <w:multiLevelType w:val="hybridMultilevel"/>
    <w:tmpl w:val="2DC07B7E"/>
    <w:lvl w:ilvl="0" w:tplc="FDEE484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62244"/>
    <w:multiLevelType w:val="hybridMultilevel"/>
    <w:tmpl w:val="A41C6E94"/>
    <w:styleLink w:val="ImportedStyle1"/>
    <w:lvl w:ilvl="0" w:tplc="826AB56E">
      <w:start w:val="1"/>
      <w:numFmt w:val="upperRoman"/>
      <w:lvlText w:val="%1."/>
      <w:lvlJc w:val="left"/>
      <w:pPr>
        <w:ind w:left="780" w:hanging="4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F62A8C">
      <w:start w:val="1"/>
      <w:numFmt w:val="lowerLetter"/>
      <w:lvlText w:val="%2."/>
      <w:lvlJc w:val="left"/>
      <w:pPr>
        <w:ind w:left="15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C6F396">
      <w:start w:val="1"/>
      <w:numFmt w:val="lowerRoman"/>
      <w:lvlText w:val="%3."/>
      <w:lvlJc w:val="left"/>
      <w:pPr>
        <w:ind w:left="22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F852DE">
      <w:start w:val="1"/>
      <w:numFmt w:val="decimal"/>
      <w:lvlText w:val="%4."/>
      <w:lvlJc w:val="left"/>
      <w:pPr>
        <w:ind w:left="29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9C4E04">
      <w:start w:val="1"/>
      <w:numFmt w:val="lowerLetter"/>
      <w:lvlText w:val="%5."/>
      <w:lvlJc w:val="left"/>
      <w:pPr>
        <w:ind w:left="36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3CF178">
      <w:start w:val="1"/>
      <w:numFmt w:val="lowerRoman"/>
      <w:lvlText w:val="%6."/>
      <w:lvlJc w:val="left"/>
      <w:pPr>
        <w:ind w:left="43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7501B84">
      <w:start w:val="1"/>
      <w:numFmt w:val="decimal"/>
      <w:lvlText w:val="%7."/>
      <w:lvlJc w:val="left"/>
      <w:pPr>
        <w:ind w:left="51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14A7C1E">
      <w:start w:val="1"/>
      <w:numFmt w:val="lowerLetter"/>
      <w:lvlText w:val="%8."/>
      <w:lvlJc w:val="left"/>
      <w:pPr>
        <w:ind w:left="58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3C45F8">
      <w:start w:val="1"/>
      <w:numFmt w:val="lowerRoman"/>
      <w:lvlText w:val="%9."/>
      <w:lvlJc w:val="left"/>
      <w:pPr>
        <w:ind w:left="654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7A8105DE"/>
    <w:multiLevelType w:val="hybridMultilevel"/>
    <w:tmpl w:val="85989ECE"/>
    <w:lvl w:ilvl="0" w:tplc="FDEE484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5"/>
  </w:num>
  <w:num w:numId="5">
    <w:abstractNumId w:val="0"/>
  </w:num>
  <w:num w:numId="6">
    <w:abstractNumId w:val="6"/>
  </w:num>
  <w:num w:numId="7">
    <w:abstractNumId w:val="14"/>
  </w:num>
  <w:num w:numId="8">
    <w:abstractNumId w:val="12"/>
  </w:num>
  <w:num w:numId="9">
    <w:abstractNumId w:val="2"/>
  </w:num>
  <w:num w:numId="10">
    <w:abstractNumId w:val="17"/>
  </w:num>
  <w:num w:numId="11">
    <w:abstractNumId w:val="16"/>
  </w:num>
  <w:num w:numId="12">
    <w:abstractNumId w:val="3"/>
  </w:num>
  <w:num w:numId="13">
    <w:abstractNumId w:val="4"/>
  </w:num>
  <w:num w:numId="14">
    <w:abstractNumId w:val="1"/>
  </w:num>
  <w:num w:numId="15">
    <w:abstractNumId w:val="13"/>
  </w:num>
  <w:num w:numId="16">
    <w:abstractNumId w:val="11"/>
  </w:num>
  <w:num w:numId="17">
    <w:abstractNumId w:val="19"/>
  </w:num>
  <w:num w:numId="18">
    <w:abstractNumId w:val="5"/>
  </w:num>
  <w:num w:numId="19">
    <w:abstractNumId w:val="18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hideSpellingErrors/>
  <w:hideGrammaticalErrors/>
  <w:activeWritingStyle w:appName="MSWord" w:lang="fr-BE" w:vendorID="64" w:dllVersion="131078" w:nlCheck="1" w:checkStyle="0"/>
  <w:activeWritingStyle w:appName="MSWord" w:lang="en-GB" w:vendorID="64" w:dllVersion="131078" w:nlCheck="1" w:checkStyle="1"/>
  <w:activeWritingStyle w:appName="MSWord" w:lang="en-IE" w:vendorID="64" w:dllVersion="131078" w:nlCheck="1" w:checkStyle="1"/>
  <w:activeWritingStyle w:appName="MSWord" w:lang="en-US" w:vendorID="64" w:dllVersion="131078" w:nlCheck="1" w:checkStyle="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cStatus" w:val="Green"/>
    <w:docVar w:name="LW_CORRIGENDUM" w:val="&lt;UNUSED&gt;"/>
    <w:docVar w:name="LW_COVERPAGE_EXISTS" w:val="True"/>
    <w:docVar w:name="LW_COVERPAGE_GUID" w:val="DEF2340C-4806-41A1-AB94-2284F926F707"/>
    <w:docVar w:name="LW_COVERPAGE_TYPE" w:val="1"/>
    <w:docVar w:name="LW_CROSSREFERENCE" w:val="&lt;UNUSED&gt;"/>
    <w:docVar w:name="LW_DocType" w:val="NORMAL"/>
    <w:docVar w:name="LW_EMISSION" w:val="29.4.2020"/>
    <w:docVar w:name="LW_EMISSION_ISODATE" w:val="2020-04-29"/>
    <w:docVar w:name="LW_EMISSION_LOCATION" w:val="BRX"/>
    <w:docVar w:name="LW_EMISSION_PREFIX" w:val="Bruksela, dnia "/>
    <w:docVar w:name="LW_EMISSION_SUFFIX" w:val=" r."/>
    <w:docVar w:name="LW_ID_DOCTYPE_NONLW" w:val="CP-014"/>
    <w:docVar w:name="LW_LANGUE" w:val="PL"/>
    <w:docVar w:name="LW_LEVEL_OF_SENSITIVITY" w:val="Standard treatment"/>
    <w:docVar w:name="LW_NOM.INST" w:val="KOMISJA EUROPEJSKA"/>
    <w:docVar w:name="LW_NOM.INST_JOINTDOC" w:val="&lt;EMPTY&gt;"/>
    <w:docVar w:name="LW_PART_NBR" w:val="1"/>
    <w:docVar w:name="LW_PART_NBR_TOTAL" w:val="1"/>
    <w:docVar w:name="LW_REF.INST.NEW" w:val="COM"/>
    <w:docVar w:name="LW_REF.INST.NEW_ADOPTED" w:val="final"/>
    <w:docVar w:name="LW_REF.INST.NEW_TEXT" w:val="(2020) 315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ITRE.OBJ.CP" w:val="&lt;FMT:Bold&gt;Wsparcie dla regionu Ba\u322?kanów Zachodnich w zwalczaniu pandemii COVID-19 oraz o\u380?ywienie gospodarcze po pandemii &lt;/FMT&gt;_x000d__x000d__x000d__x000b__x000d__x000d__x000d__x000d__x000d__x000d__x000b__x000d__x000d__x000d__x000d__x000d__x000d__x000d__x000d__x000b_&lt;FMT:Bold&gt;Wk\u322?ad Komisji przed spotkaniem przywódców UE-Ba\u322?kanów Zachodnich w dniu 6 maja 2020 r.&lt;/FMT&gt;"/>
    <w:docVar w:name="LW_TYPE.DOC.CP" w:val="KOMUNIKAT KOMISJI DO PARLAMENTU EUROPEJSKIEGO, RADY, EUROPEJSKIEGO KOMITETU EKONOMICZNO-SPO\u321?ECZNEGO I KOMITETU REGIONÓW"/>
    <w:docVar w:name="LW_TYPE.DOC.CP.USERTEXT" w:val="&lt;EMPTY&gt;"/>
  </w:docVars>
  <w:rsids>
    <w:rsidRoot w:val="00DA0582"/>
    <w:rsid w:val="006F24C8"/>
    <w:rsid w:val="00DA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8CC38D3B-B88C-454C-AE2A-DCEC565B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FooterCoverPageChar">
    <w:name w:val="Footer Cover Page Char"/>
    <w:basedOn w:val="DefaultParagraphFont"/>
    <w:link w:val="FooterCoverPage"/>
    <w:rPr>
      <w:rFonts w:ascii="Times New Roman" w:hAnsi="Times New Roman" w:cs="Times New Roman"/>
      <w:sz w:val="24"/>
    </w:rPr>
  </w:style>
  <w:style w:type="paragraph" w:customStyle="1" w:styleId="FooterSensitivity">
    <w:name w:val="Footer Sensitivity"/>
    <w:basedOn w:val="Normal"/>
    <w:link w:val="Foot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FooterSensitivityChar">
    <w:name w:val="Footer Sensitivity Char"/>
    <w:basedOn w:val="DefaultParagraphFont"/>
    <w:link w:val="FooterSensitivity"/>
    <w:rPr>
      <w:rFonts w:ascii="Times New Roman" w:hAnsi="Times New Roman" w:cs="Times New Roman"/>
      <w:b/>
      <w:sz w:val="32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overPageChar">
    <w:name w:val="Header Cover Page Char"/>
    <w:basedOn w:val="DefaultParagraphFont"/>
    <w:link w:val="HeaderCoverPage"/>
    <w:rPr>
      <w:rFonts w:ascii="Times New Roman" w:hAnsi="Times New Roman" w:cs="Times New Roman"/>
      <w:sz w:val="24"/>
    </w:rPr>
  </w:style>
  <w:style w:type="paragraph" w:customStyle="1" w:styleId="HeaderSensitivity">
    <w:name w:val="Header Sensitivity"/>
    <w:basedOn w:val="Normal"/>
    <w:link w:val="Head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HeaderSensitivityChar">
    <w:name w:val="Header Sensitivity Char"/>
    <w:basedOn w:val="DefaultParagraphFont"/>
    <w:link w:val="HeaderSensitivity"/>
    <w:rPr>
      <w:rFonts w:ascii="Times New Roman" w:hAnsi="Times New Roman" w:cs="Times New Roman"/>
      <w:b/>
      <w:sz w:val="32"/>
    </w:rPr>
  </w:style>
  <w:style w:type="paragraph" w:customStyle="1" w:styleId="HeaderSensitivityRight">
    <w:name w:val="Header Sensitivity Right"/>
    <w:basedOn w:val="Normal"/>
    <w:link w:val="HeaderSensitivityRightChar"/>
    <w:pPr>
      <w:spacing w:after="120" w:line="240" w:lineRule="auto"/>
      <w:jc w:val="right"/>
    </w:pPr>
    <w:rPr>
      <w:rFonts w:ascii="Times New Roman" w:hAnsi="Times New Roman" w:cs="Times New Roman"/>
      <w:sz w:val="28"/>
    </w:rPr>
  </w:style>
  <w:style w:type="character" w:customStyle="1" w:styleId="HeaderSensitivityRightChar">
    <w:name w:val="Header Sensitivity Right Char"/>
    <w:basedOn w:val="DefaultParagraphFont"/>
    <w:link w:val="HeaderSensitivityRight"/>
    <w:rPr>
      <w:rFonts w:ascii="Times New Roman" w:hAnsi="Times New Roman" w:cs="Times New Roman"/>
      <w:sz w:val="28"/>
    </w:rPr>
  </w:style>
  <w:style w:type="paragraph" w:styleId="ListParagraph">
    <w:name w:val="List Paragraph"/>
    <w:aliases w:val="Table/Figure Heading,Colorful List - Accent 11,Dot pt,F5 List Paragraph,List Paragraph1,No Spacing1,List Paragraph Char Char Char,Indicator Text,Numbered Para 1,Bullet 1,Bullet Points,MAIN CONTENT,List Paragraph11,List Paragraph12,L,Ha"/>
    <w:basedOn w:val="Normal"/>
    <w:link w:val="ListParagraphChar"/>
    <w:qFormat/>
    <w:pPr>
      <w:spacing w:after="0" w:line="240" w:lineRule="auto"/>
      <w:ind w:left="720"/>
    </w:pPr>
    <w:rPr>
      <w:rFonts w:ascii="Calibri" w:eastAsia="Calibri" w:hAnsi="Calibri" w:cs="Times New Roman"/>
      <w:lang w:eastAsia="fr-BE"/>
    </w:rPr>
  </w:style>
  <w:style w:type="paragraph" w:styleId="FootnoteText">
    <w:name w:val="footnote text"/>
    <w:basedOn w:val="Normal"/>
    <w:link w:val="FootnoteTextChar"/>
    <w:uiPriority w:val="99"/>
    <w:unhideWhenUsed/>
    <w:qFormat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BE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Calibri" w:eastAsia="Calibri" w:hAnsi="Calibri" w:cs="Times New Roman"/>
      <w:sz w:val="20"/>
      <w:szCs w:val="20"/>
      <w:lang w:val="pl-PL" w:eastAsia="fr-BE"/>
    </w:rPr>
  </w:style>
  <w:style w:type="character" w:styleId="FootnoteReference">
    <w:name w:val="footnote reference"/>
    <w:aliases w:val="Voetnoot verwijzing,number,Footnote reference number,Footnote symbol,note TESI,-E Fußnotenzeichen,SUPERS,stylish,Footnote Reference_EP-LCA,BVI fnr,Odwołanie przypisu,Footnote Reference2,Footnote Reference Number,E FNZ,Footnote#,n,Nota"/>
    <w:basedOn w:val="DefaultParagraphFont"/>
    <w:link w:val="FootnotesymbolCarZchn"/>
    <w:uiPriority w:val="99"/>
    <w:unhideWhenUsed/>
    <w:qFormat/>
    <w:rPr>
      <w:w w:val="100"/>
      <w:sz w:val="20"/>
      <w:szCs w:val="20"/>
      <w:shd w:val="clear" w:color="auto" w:fill="auto"/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Pr>
      <w:w w:val="100"/>
      <w:sz w:val="16"/>
      <w:szCs w:val="16"/>
      <w:shd w:val="clear" w:color="auto" w:fill="auto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B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eastAsia="Calibri" w:hAnsi="Calibri" w:cs="Times New Roman"/>
      <w:sz w:val="20"/>
      <w:szCs w:val="20"/>
      <w:lang w:val="pl-PL" w:eastAsia="fr-BE"/>
    </w:rPr>
  </w:style>
  <w:style w:type="paragraph" w:styleId="NormalWeb">
    <w:name w:val="Normal (Web)"/>
    <w:basedOn w:val="Normal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customStyle="1" w:styleId="ListParagraphChar">
    <w:name w:val="List Paragraph Char"/>
    <w:aliases w:val="Table/Figure Heading Char,Colorful List - Accent 11 Char,Dot pt Char,F5 List Paragraph Char,List Paragraph1 Char,No Spacing1 Char,List Paragraph Char Char Char Char,Indicator Text Char,Numbered Para 1 Char,Bullet 1 Char,L Char"/>
    <w:basedOn w:val="DefaultParagraphFont"/>
    <w:link w:val="ListParagraph"/>
    <w:uiPriority w:val="34"/>
    <w:qFormat/>
    <w:rPr>
      <w:rFonts w:ascii="Calibri" w:eastAsia="Calibri" w:hAnsi="Calibri" w:cs="Times New Roman"/>
      <w:lang w:val="pl-PL" w:eastAsia="fr-B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Calibri" w:eastAsia="Calibri" w:hAnsi="Calibri" w:cs="Times New Roman"/>
      <w:b/>
      <w:bCs/>
      <w:sz w:val="20"/>
      <w:szCs w:val="20"/>
      <w:lang w:val="pl-PL" w:eastAsia="fr-BE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al"/>
    <w:link w:val="FootnoteReference"/>
    <w:uiPriority w:val="99"/>
    <w:qFormat/>
    <w:pPr>
      <w:spacing w:after="160" w:line="240" w:lineRule="exact"/>
      <w:jc w:val="both"/>
    </w:pPr>
    <w:rPr>
      <w:sz w:val="20"/>
      <w:szCs w:val="20"/>
      <w:vertAlign w:val="superscript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customStyle="1" w:styleId="Body">
    <w:name w:val="Body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pPr>
      <w:numPr>
        <w:numId w:val="19"/>
      </w:numPr>
    </w:pPr>
  </w:style>
  <w:style w:type="character" w:customStyle="1" w:styleId="Hyperlink0">
    <w:name w:val="Hyperlink.0"/>
    <w:basedOn w:val="DefaultParagraphFont"/>
    <w:rPr>
      <w:rFonts w:ascii="Times New Roman" w:eastAsia="Times New Roman" w:hAnsi="Times New Roman" w:cs="Times New Roman"/>
      <w:color w:val="0000FF"/>
      <w:u w:val="single" w:color="0000FF"/>
      <w:lang w:val="pl-PL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s://ec.europa.eu/neighbourhood-enlargement/sites/near/files/enlargement-methodology_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442BA-86CF-48F8-89C1-6EE4ED4D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2395</Words>
  <Characters>17635</Characters>
  <Application>Microsoft Office Word</Application>
  <DocSecurity>0</DocSecurity>
  <Lines>251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20</cp:revision>
  <cp:lastPrinted>2020-04-28T19:27:00Z</cp:lastPrinted>
  <dcterms:created xsi:type="dcterms:W3CDTF">2020-04-28T19:14:00Z</dcterms:created>
  <dcterms:modified xsi:type="dcterms:W3CDTF">2020-05-04T12:20:00Z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vel of sensitivity">
    <vt:lpwstr>Standard treatment</vt:lpwstr>
  </property>
  <property fmtid="{D5CDD505-2E9C-101B-9397-08002B2CF9AE}" pid="3" name="Part">
    <vt:lpwstr>1</vt:lpwstr>
  </property>
  <property fmtid="{D5CDD505-2E9C-101B-9397-08002B2CF9AE}" pid="4" name="Total parts">
    <vt:lpwstr>1</vt:lpwstr>
  </property>
  <property fmtid="{D5CDD505-2E9C-101B-9397-08002B2CF9AE}" pid="5" name="DocStatus">
    <vt:lpwstr>Green</vt:lpwstr>
  </property>
  <property fmtid="{D5CDD505-2E9C-101B-9397-08002B2CF9AE}" pid="6" name="CPTemplateID">
    <vt:lpwstr>CP-014</vt:lpwstr>
  </property>
  <property fmtid="{D5CDD505-2E9C-101B-9397-08002B2CF9AE}" pid="7" name="Last edited using">
    <vt:lpwstr>LW 7.0.1, Build 20190916</vt:lpwstr>
  </property>
  <property fmtid="{D5CDD505-2E9C-101B-9397-08002B2CF9AE}" pid="8" name="Created using">
    <vt:lpwstr>LW 7.0.1, Build 20190916</vt:lpwstr>
  </property>
  <property name="OP_sanitized" fmtid="{D5CDD505-2E9C-101B-9397-08002B2CF9AE}" pid="9">
    <vt:lpwstr>True</vt:lpwstr>
  </property>
</Properties>
</file>