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F09F4C9-FE11-4790-B8AE-80DCE865EC19" style="width:450.75pt;height:557.2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rPr>
          <w:noProof/>
        </w:rPr>
      </w:pPr>
      <w:r>
        <w:rPr>
          <w:noProof/>
        </w:rPr>
        <w:t>Pandemia COVID-19 stanowi powszechny i poważny kryzys w dziedzinie zdrowia publicznego. Dotkliwie wpływa na obywateli, społeczeństwa i gospodarki na całym świecie. Skala kryzysu zdrowotnego i działań politycznych podjętych w celu jego opanowania jest bezprecedensowa. W związku z tym zakres jego skutków społeczno-gospodarczych jest wyjątkowo niepewny. Już na obecnym etapie jest jednak pewne, że kryzys ten pociąga za sobą bezprecedensowe i poważne wyzwania dla systemów finansowych i gospodarczych państw członkowskich. W wiosennej prognozie gospodarczej Komisji</w:t>
      </w:r>
      <w:r>
        <w:rPr>
          <w:rStyle w:val="FootnoteReference"/>
          <w:noProof/>
        </w:rPr>
        <w:footnoteReference w:id="2"/>
      </w:r>
      <w:r>
        <w:rPr>
          <w:noProof/>
        </w:rPr>
        <w:t xml:space="preserve"> przewiduje się, że PKB UE zmniejszy się w tym roku o około 7,5 %, a więc spadek będzie o wiele głębszy niż podczas światowego kryzysu finansowego w 2009 r.; zaś ponowny wzrost w 2021 r. wyniesie zaledwie 6 %.</w:t>
      </w:r>
    </w:p>
    <w:p>
      <w:pPr>
        <w:rPr>
          <w:noProof/>
        </w:rPr>
      </w:pPr>
      <w:r>
        <w:rPr>
          <w:noProof/>
        </w:rPr>
        <w:t xml:space="preserve">W odpowiedzi na kryzys państwa członkowskie wprowadziły nadzwyczajne dyskrecjonalne środki gospodarcze i finansowe. Wraz ze skutkami tak zwanych „automatycznych stabilizatorów”, tj. płatności przewidzianych w ramach systemów ubezpieczeń od utraty pracy i zabezpieczenia społecznego, przy jednoczesnym spadku dochodów podatkowych, wspomniane środki mają znaczny wpływ na finanse publiczne państw członkowskich – łączny deficyt sektora instytucji rządowych i samorządowych wzrośnie w tym roku gwałtownie z poziomu 0,6 % PKB w 2019 r. do 8,5 % PKB zarówno w strefie euro, jak i w całej UE. </w:t>
      </w:r>
    </w:p>
    <w:p>
      <w:pPr>
        <w:rPr>
          <w:noProof/>
        </w:rPr>
      </w:pPr>
      <w:r>
        <w:rPr>
          <w:noProof/>
        </w:rPr>
        <w:t>Kryzys związany z pandemią COVID-19 oddziałuje również znacząco na społeczeństwa na całym świecie, począwszy od wpływu na systemy ochrony zdrowia po poważne globalne skutki społeczne i gospodarcze. Nasza strategia reagowania musi być kompleksowa, spójna i zintegrowana, zarówno w dziedzinie zdrowia publicznego, jak i wyzwań społeczno-ekonomicznych. Najbardziej narażone na skutki pandemii COVID-19 są kraje najsłabiej rozwinięte ze względu na małą wydolność i odporność ich systemów ochrony zdrowia oraz złożone wyzwania społeczno-gospodarcze i związane ze sprawowaniem rządów. Jest już oczywiste, że pandemia COVID-19 wywrze poważny wpływ na systemy gospodarcze i makroekonomiczne w naszych krajach partnerskich. Rządy będą miały trudności z utrzymaniem stabilności makroekonomicznej i przestrzeni fiskalnej umożliwiającej ochronę najsłabszych grup społecznych, przedsiębiorstw i pracowników oraz świadczenie podstawowych usług społecznych.</w:t>
      </w:r>
    </w:p>
    <w:p>
      <w:pPr>
        <w:rPr>
          <w:noProof/>
        </w:rPr>
      </w:pPr>
      <w:r>
        <w:rPr>
          <w:noProof/>
        </w:rPr>
        <w:t xml:space="preserve">Ta wyjątkowa sytuacja wymaga spójnego i jednolitego podejścia na szczeblu Unii. </w:t>
      </w:r>
    </w:p>
    <w:p>
      <w:pPr>
        <w:rPr>
          <w:noProof/>
        </w:rPr>
      </w:pPr>
      <w:r>
        <w:rPr>
          <w:noProof/>
        </w:rPr>
        <w:t>Kompleksowy plan na rzecz odbudowy w Europie będzie wymagał ogromnych inwestycji publicznych i prywatnych na szczeblu europejskim w celu ożywienia gospodarki, tworzenia wysokiej jakości miejsc pracy oraz inwestowania w zniwelowanie bezpośrednich szkód wyrządzonych przez koronawirusa. Komisja proponuje w związku z tym pełne wykorzystanie możliwości budżetu UE w celu uruchomienia inwestycji i skoncentrowania wsparcia finansowego w kluczowych pierwszych latach odbudowy. Podstawą będą następujące instrumenty:</w:t>
      </w:r>
    </w:p>
    <w:p>
      <w:pPr>
        <w:rPr>
          <w:noProof/>
        </w:rPr>
      </w:pPr>
      <w:r>
        <w:rPr>
          <w:noProof/>
        </w:rPr>
        <w:t>Instrument Unii Europejskiej na rzecz Odbudowy – wyjątkowy środek podejmowany na podstawie</w:t>
      </w:r>
    </w:p>
    <w:p>
      <w:pPr>
        <w:rPr>
          <w:noProof/>
        </w:rPr>
      </w:pPr>
      <w:r>
        <w:rPr>
          <w:noProof/>
        </w:rPr>
        <w:lastRenderedPageBreak/>
        <w:t>art. 122 TFUE. Jego finansowanie opierać się będzie na uprawnieniu określonym we wniosku dotyczącym decyzji w sprawie zasobów własnych. Te środki finansowe umożliwią wdrożenie szybkich działań w celu ochrony źródeł utrzymania, nasilenia środków zapobiegawczych oraz odbudowy i zwiększenia odporności w odpowiedzi na kryzys.</w:t>
      </w:r>
    </w:p>
    <w:p>
      <w:pPr>
        <w:pStyle w:val="Bullet0"/>
        <w:numPr>
          <w:ilvl w:val="0"/>
          <w:numId w:val="16"/>
        </w:numPr>
        <w:rPr>
          <w:b/>
          <w:noProof/>
          <w:u w:color="000000"/>
          <w:bdr w:val="nil"/>
        </w:rPr>
      </w:pPr>
      <w:r>
        <w:rPr>
          <w:b/>
          <w:noProof/>
          <w:u w:color="000000"/>
          <w:bdr w:val="nil"/>
        </w:rPr>
        <w:t>Wzmocnione wieloletnie ramy finansowe na lata 2021–2027</w:t>
      </w:r>
    </w:p>
    <w:p>
      <w:pPr>
        <w:rPr>
          <w:noProof/>
        </w:rPr>
      </w:pPr>
      <w:r>
        <w:rPr>
          <w:noProof/>
        </w:rPr>
        <w:t>Środki na rzecz odbudowy i zwiększenia odporności, przewidziane w Europejskim Instrumencie na rzecz Odbudowy, będą realizowane za pośrednictwem już istniejących instrumentów wykonawczych w ramach szeregu konkretnych programów unijnych zaproponowanych przez Komisję w kontekście wieloletnich ram finansowych na lata 2021–2027, w tym:</w:t>
      </w:r>
    </w:p>
    <w:p>
      <w:pPr>
        <w:pStyle w:val="Tiret0"/>
        <w:numPr>
          <w:ilvl w:val="0"/>
          <w:numId w:val="17"/>
        </w:numPr>
        <w:rPr>
          <w:noProof/>
        </w:rPr>
      </w:pPr>
      <w:r>
        <w:rPr>
          <w:noProof/>
        </w:rPr>
        <w:t xml:space="preserve">programu ramowego w zakresie badań naukowych i innowacji „Horyzont Europa” oraz programu szczegółowego służącego jego realizacji, </w:t>
      </w:r>
    </w:p>
    <w:p>
      <w:pPr>
        <w:pStyle w:val="Tiret0"/>
        <w:rPr>
          <w:noProof/>
        </w:rPr>
      </w:pPr>
      <w:r>
        <w:rPr>
          <w:noProof/>
        </w:rPr>
        <w:t>Instrumentu Sąsiedztwa oraz Współpracy Międzynarodowej i Rozwojowej,</w:t>
      </w:r>
    </w:p>
    <w:p>
      <w:pPr>
        <w:pStyle w:val="Tiret0"/>
        <w:rPr>
          <w:noProof/>
        </w:rPr>
      </w:pPr>
      <w:r>
        <w:rPr>
          <w:noProof/>
        </w:rPr>
        <w:t>Europejskiego Funduszu Rolnego na rzecz Rozwoju Obszarów Wiejskich.</w:t>
      </w:r>
    </w:p>
    <w:p>
      <w:pPr>
        <w:pBdr>
          <w:top w:val="nil"/>
          <w:left w:val="nil"/>
          <w:bottom w:val="nil"/>
          <w:right w:val="nil"/>
          <w:between w:val="nil"/>
          <w:bar w:val="nil"/>
        </w:pBdr>
        <w:spacing w:before="0" w:after="240"/>
        <w:rPr>
          <w:noProof/>
        </w:rPr>
      </w:pPr>
      <w:r>
        <w:rPr>
          <w:noProof/>
        </w:rPr>
        <w:t xml:space="preserve">Należy zatem zmienić wnioski Komisji dotyczące wymienionych programów Unii. </w:t>
      </w:r>
    </w:p>
    <w:p>
      <w:pPr>
        <w:pStyle w:val="ManualHeading1"/>
        <w:rPr>
          <w:noProof/>
        </w:rPr>
      </w:pPr>
      <w:r>
        <w:rPr>
          <w:noProof/>
        </w:rPr>
        <w:t>2.</w:t>
      </w:r>
      <w:r>
        <w:rPr>
          <w:noProof/>
        </w:rPr>
        <w:tab/>
        <w:t>PODSTAWA PRAWNA, POMOCNICZOŚĆ I PROPORCJONALNOŚĆ</w:t>
      </w:r>
    </w:p>
    <w:p>
      <w:pPr>
        <w:pStyle w:val="Bullet0"/>
        <w:rPr>
          <w:b/>
          <w:noProof/>
          <w:u w:color="000000"/>
          <w:bdr w:val="nil"/>
        </w:rPr>
      </w:pPr>
      <w:r>
        <w:rPr>
          <w:b/>
          <w:noProof/>
          <w:u w:color="000000"/>
          <w:bdr w:val="nil"/>
        </w:rPr>
        <w:t>Podstawa prawna</w:t>
      </w:r>
    </w:p>
    <w:p>
      <w:pPr>
        <w:pBdr>
          <w:top w:val="nil"/>
          <w:left w:val="nil"/>
          <w:bottom w:val="nil"/>
          <w:right w:val="nil"/>
          <w:between w:val="nil"/>
          <w:bar w:val="nil"/>
        </w:pBdr>
        <w:spacing w:before="0" w:after="240"/>
        <w:rPr>
          <w:rFonts w:eastAsia="Arial Unicode MS"/>
          <w:noProof/>
          <w:color w:val="000000" w:themeColor="text1"/>
        </w:rPr>
      </w:pPr>
      <w:r>
        <w:rPr>
          <w:noProof/>
        </w:rPr>
        <w:t>Uzasadnieniem dla działania UE są art. 43 ust. 2, art. 173 ust. 3, art. 182 ust. 1 i 4 oraz art. 183, 188, 209 i 212 Traktatu o funkcjonowaniu Unii Europejskiej.</w:t>
      </w:r>
    </w:p>
    <w:p>
      <w:pPr>
        <w:pStyle w:val="Bullet0"/>
        <w:rPr>
          <w:b/>
          <w:noProof/>
          <w:u w:color="000000"/>
          <w:bdr w:val="nil"/>
        </w:rPr>
      </w:pPr>
      <w:r>
        <w:rPr>
          <w:b/>
          <w:noProof/>
          <w:u w:color="000000"/>
          <w:bdr w:val="nil"/>
        </w:rPr>
        <w:t>Pomocniczość (w przypadku kompetencji niewyłącznych)</w:t>
      </w:r>
    </w:p>
    <w:p>
      <w:pPr>
        <w:pBdr>
          <w:top w:val="nil"/>
          <w:left w:val="nil"/>
          <w:bottom w:val="nil"/>
          <w:right w:val="nil"/>
          <w:between w:val="nil"/>
          <w:bar w:val="nil"/>
        </w:pBdr>
        <w:spacing w:before="0" w:after="240"/>
        <w:rPr>
          <w:rFonts w:eastAsia="Arial Unicode MS"/>
          <w:noProof/>
        </w:rPr>
      </w:pPr>
      <w:r>
        <w:rPr>
          <w:noProof/>
        </w:rPr>
        <w:t xml:space="preserve">Wyjaśnienia dotyczące zasad pomocniczości i proporcjonalności zawarto w uzasadnieniu rozporządzenia [ustanawiającego Europejski Instrument na rzecz Odbudowy]. </w:t>
      </w:r>
    </w:p>
    <w:p>
      <w:pPr>
        <w:pBdr>
          <w:top w:val="nil"/>
          <w:left w:val="nil"/>
          <w:bottom w:val="nil"/>
          <w:right w:val="nil"/>
          <w:between w:val="nil"/>
          <w:bar w:val="nil"/>
        </w:pBdr>
        <w:spacing w:before="0" w:after="240"/>
        <w:rPr>
          <w:rFonts w:eastAsia="Arial Unicode MS"/>
          <w:noProof/>
        </w:rPr>
      </w:pPr>
      <w:r>
        <w:rPr>
          <w:noProof/>
        </w:rPr>
        <w:t>Ponadto wyjaśnienia dotyczące zasad pomocniczości i proporcjonalności w odniesieniu do poszczególnych programów znajdują się w uzasadnieniach następujących wniosków Komisji:</w:t>
      </w:r>
    </w:p>
    <w:p>
      <w:pPr>
        <w:pStyle w:val="Tiret0"/>
        <w:numPr>
          <w:ilvl w:val="0"/>
          <w:numId w:val="15"/>
        </w:numPr>
        <w:rPr>
          <w:noProof/>
        </w:rPr>
      </w:pPr>
      <w:r>
        <w:rPr>
          <w:noProof/>
        </w:rPr>
        <w:t>COM(2018) 392 – wniosek dotyczący rozporządzenia Parlamentu Europejskiego i Rady ustanawiającego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rozporządzenie Parlamentu Europejskiego i Rady (UE) nr 1305/2013 i rozporządzenie Parlamentu Europejskiego i Rady (UE) nr 1307/2013 (dalej zwany „wnioskiem Komisji COM(2018) 392”);</w:t>
      </w:r>
    </w:p>
    <w:p>
      <w:pPr>
        <w:pStyle w:val="Tiret0"/>
        <w:rPr>
          <w:noProof/>
        </w:rPr>
      </w:pPr>
      <w:r>
        <w:rPr>
          <w:noProof/>
        </w:rPr>
        <w:t xml:space="preserve">COM(2018) 435 – wniosek dotyczący rozporządzenia Parlamentu Europejskiego i Rady ustanawiającego program ramowy w zakresie badań naukowych i innowacji „Horyzont Europa” oraz zasady uczestnictwa i upowszechniania obowiązujące w tym programie (dalej zwany „wnioskiem Komisji COM(2018) 435”); </w:t>
      </w:r>
    </w:p>
    <w:p>
      <w:pPr>
        <w:pStyle w:val="Tiret0"/>
        <w:rPr>
          <w:noProof/>
        </w:rPr>
      </w:pPr>
      <w:r>
        <w:rPr>
          <w:noProof/>
        </w:rPr>
        <w:t>COM(2018) 436 – wniosek dotyczący decyzji Parlamentu Europejskiego i Rady ustanawiającej program szczegółowy służący realizacji programu ramowego w zakresie badań naukowych i innowacji „Horyzont Europa” (dalej zwany „wnioskiem Komisji COM(2018) 436”);</w:t>
      </w:r>
    </w:p>
    <w:p>
      <w:pPr>
        <w:pStyle w:val="Tiret0"/>
        <w:rPr>
          <w:noProof/>
        </w:rPr>
      </w:pPr>
      <w:r>
        <w:rPr>
          <w:noProof/>
        </w:rPr>
        <w:lastRenderedPageBreak/>
        <w:t>COM(2018) 460 – wniosek dotyczący rozporządzenia Parlamentu Europejskiego i Rady ustanawiającego Instrument Sąsiedztwa oraz Współpracy Międzynarodowej i Rozwojowej (dalej zwany „wnioskiem Komisji COM(2018) 460”).</w:t>
      </w:r>
    </w:p>
    <w:p>
      <w:pPr>
        <w:pStyle w:val="Bullet0"/>
        <w:rPr>
          <w:b/>
          <w:noProof/>
          <w:u w:color="000000"/>
          <w:bdr w:val="nil"/>
        </w:rPr>
      </w:pPr>
      <w:r>
        <w:rPr>
          <w:b/>
          <w:noProof/>
          <w:u w:color="000000"/>
          <w:bdr w:val="nil"/>
        </w:rPr>
        <w:t>Wybór instrumentu</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Niniejszy wniosek zmienia wnioski Komisji COM(2018) 392, COM(2018) 435, COM(2018) 436 i COM(2018) 460.</w:t>
      </w:r>
    </w:p>
    <w:p>
      <w:pPr>
        <w:pStyle w:val="ManualHeading1"/>
        <w:rPr>
          <w:noProof/>
        </w:rPr>
      </w:pPr>
      <w:r>
        <w:rPr>
          <w:noProof/>
        </w:rPr>
        <w:t>3.</w:t>
      </w:r>
      <w:r>
        <w:rPr>
          <w:noProof/>
        </w:rPr>
        <w:tab/>
        <w:t>WYNIKI OCEN EX POST, KONSULTACJI Z ZAINTERESOWANYMI STRONAMI I OCEN SKUTKÓW</w:t>
      </w:r>
    </w:p>
    <w:p>
      <w:pPr>
        <w:pStyle w:val="Bullet0"/>
        <w:rPr>
          <w:b/>
          <w:noProof/>
          <w:u w:color="000000"/>
          <w:bdr w:val="nil"/>
        </w:rPr>
      </w:pPr>
      <w:r>
        <w:rPr>
          <w:b/>
          <w:noProof/>
          <w:u w:color="000000"/>
          <w:bdr w:val="nil"/>
        </w:rPr>
        <w:t>Konsultacje z zainteresowanymi stronami</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Szczegółowe informacje dotyczące przeprowadzonych konsultacji publicznych i konsultacji z zainteresowanymi stronami znajdują się w uzasadnieniach pierwotnych wniosków Komisji: COM(2018) 392, COM(2018) 435, COM(2018) 436 i COM(2018) 460.</w:t>
      </w:r>
    </w:p>
    <w:p>
      <w:pPr>
        <w:pStyle w:val="Bullet0"/>
        <w:rPr>
          <w:b/>
          <w:noProof/>
          <w:u w:color="000000"/>
          <w:bdr w:val="nil"/>
        </w:rPr>
      </w:pPr>
      <w:r>
        <w:rPr>
          <w:b/>
          <w:noProof/>
          <w:u w:color="000000"/>
          <w:bdr w:val="nil"/>
        </w:rPr>
        <w:t>Ewaluacje i oceny skutków</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Szczegółowe informacje dotyczące wyników ocen </w:t>
      </w:r>
      <w:r>
        <w:rPr>
          <w:i/>
          <w:noProof/>
          <w:color w:val="000000" w:themeColor="text1"/>
        </w:rPr>
        <w:t>ex post</w:t>
      </w:r>
      <w:r>
        <w:rPr>
          <w:noProof/>
          <w:color w:val="000000" w:themeColor="text1"/>
        </w:rPr>
        <w:t xml:space="preserve"> i ocen śródokresowych przeprowadzonych w ramach przygotowywania wniosków znajdują się w uzasadnieniach pierwotnych wniosków Komisji: COM(2018) 392, COM(2018) 435, COM(2018) 436 i COM(2018) 460.</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Unia udostępni łączną kwotę 14 647 mln EUR na program ramowy w zakresie badań naukowych i innowacji „Horyzont Europa”, łączną kwotę 16 483 mln EUR na Europejski Fundusz Rolny na rzecz Rozwoju Obszarów Wiejskich oraz łączną kwotę 11 448 mln EUR na zwiększenie gwarancji na działania zewnętrzne w ramach Instrumentu Sąsiedztwa oraz Współpracy Międzynarodowej i Rozwojowej. Krajami kwalifikującymi się w ramach takiego zwiększenia środków będą beneficjenci wymienieni w załączniku I do Instrumentu Pomocy Przedakcesyjnej (IPA). </w:t>
      </w:r>
      <w:r>
        <w:rPr>
          <w:noProof/>
        </w:rPr>
        <w:t>Dodatkowe finansowanie zostanie udostępnione w ramach Europejskiego Instrumentu na rzecz Odbudowy na podstawie uprawnień określonych w nowej decyzji w sprawie zasobów własnych.</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Szczegółowe informacje na temat wpływu na budżet przedstawiono w ocenie skutków finansowych regulacji.</w:t>
      </w:r>
    </w:p>
    <w:p>
      <w:pPr>
        <w:pStyle w:val="ManualHeading1"/>
        <w:rPr>
          <w:noProof/>
        </w:rPr>
      </w:pPr>
      <w:r>
        <w:rPr>
          <w:noProof/>
        </w:rPr>
        <w:t>5.</w:t>
      </w:r>
      <w:r>
        <w:rPr>
          <w:noProof/>
        </w:rPr>
        <w:tab/>
        <w:t>ELEMENTY FAKULTATYWNE</w:t>
      </w:r>
    </w:p>
    <w:p>
      <w:pPr>
        <w:pStyle w:val="Bullet0"/>
        <w:rPr>
          <w:b/>
          <w:noProof/>
          <w:u w:color="000000"/>
          <w:bdr w:val="nil"/>
        </w:rPr>
      </w:pPr>
      <w:r>
        <w:rPr>
          <w:b/>
          <w:noProof/>
          <w:u w:color="000000"/>
          <w:bdr w:val="nil"/>
        </w:rPr>
        <w:t>Szczegółowe objaśnienia poszczególnych przepisów wniosku</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Wniosek obejmuje ukierunkowane zmiany we wnioskach Komisji: COM(2018) 392, COM(2018) 435, COM(2018) 436 i COM(2018)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Najistotniejsze wprowadzane zmiany mają na celu: </w:t>
      </w:r>
    </w:p>
    <w:p>
      <w:pPr>
        <w:pStyle w:val="Tiret0"/>
        <w:numPr>
          <w:ilvl w:val="0"/>
          <w:numId w:val="9"/>
        </w:numPr>
        <w:rPr>
          <w:noProof/>
        </w:rPr>
      </w:pPr>
      <w:r>
        <w:rPr>
          <w:noProof/>
        </w:rPr>
        <w:t xml:space="preserve">umożliwienie wdrożenia środków określonych we wniosku dotyczącym rozporządzenia ustanawiającego Instrument Unii Europejskiej na rzecz Odbudowy za pośrednictwem mechanizmów realizacji programu ramowego w zakresie badań naukowych i innowacji, Instrumentu Sąsiedztwa oraz Współpracy Międzynarodowej </w:t>
      </w:r>
      <w:r>
        <w:rPr>
          <w:noProof/>
        </w:rPr>
        <w:lastRenderedPageBreak/>
        <w:t>i Rozwojowej oraz Europejskiego Funduszu Rolnego na rzecz Rozwoju Obszarów Wiejskich;</w:t>
      </w:r>
    </w:p>
    <w:p>
      <w:pPr>
        <w:pStyle w:val="Tiret0"/>
        <w:rPr>
          <w:noProof/>
        </w:rPr>
      </w:pPr>
      <w:r>
        <w:rPr>
          <w:noProof/>
        </w:rPr>
        <w:t>umożliwienie finansowania w ramach Instrumentu Unii Europejskiej na rzecz Odbudowy w postaci zewnętrznych dochodów przeznaczonych na określony cel zgodnie z art. 21 ust. 5 rozporządzenia finansowego;</w:t>
      </w:r>
    </w:p>
    <w:p>
      <w:pPr>
        <w:pStyle w:val="Tiret0"/>
        <w:rPr>
          <w:noProof/>
        </w:rPr>
      </w:pPr>
      <w:r>
        <w:rPr>
          <w:noProof/>
        </w:rPr>
        <w:t>zapewnienie przestrzegania docelowych terminów określonych w art. 4 wniosku dotyczącego rozporządzenia ustanawiającego Instrument Unii Europejskiej na rzecz Odbudowy poprzez wprowadzenie właściwych odesłań.</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Zmieniony wniosek</w:t>
      </w:r>
    </w:p>
    <w:p>
      <w:pPr>
        <w:pStyle w:val="Typedudocument"/>
        <w:rPr>
          <w:noProof/>
        </w:rPr>
      </w:pPr>
      <w:r>
        <w:rPr>
          <w:noProof/>
        </w:rPr>
        <w:t>ROZPORZĄDZENIE PARLAMENTU EUROPEJSKIEGO I RADY</w:t>
      </w:r>
    </w:p>
    <w:p>
      <w:pPr>
        <w:pStyle w:val="Titreobjet"/>
        <w:rPr>
          <w:noProof/>
        </w:rPr>
      </w:pPr>
      <w:r>
        <w:rPr>
          <w:noProof/>
        </w:rPr>
        <w:t xml:space="preserve">ustanawiające program ramowy w zakresie badań naukowych i innowacji „Horyzont Europa” oraz zasady uczestnictwa i upowszechniania obowiązujące w tym programie, </w:t>
      </w:r>
      <w:r>
        <w:rPr>
          <w:noProof/>
        </w:rPr>
        <w:br/>
        <w:t xml:space="preserve"> </w:t>
      </w:r>
      <w:r>
        <w:rPr>
          <w:noProof/>
        </w:rPr>
        <w:br/>
        <w:t xml:space="preserve">DECYZJA PARLAMENTU EUROPEJSKIEGO I RADY </w:t>
      </w:r>
      <w:r>
        <w:rPr>
          <w:noProof/>
        </w:rPr>
        <w:br/>
        <w:t xml:space="preserve">ustanawiająca program szczegółowy służący realizacji programu ramowego w zakresie badań naukowych i innowacji „Horyzont Europa”, </w:t>
      </w:r>
      <w:r>
        <w:rPr>
          <w:noProof/>
        </w:rPr>
        <w:br/>
        <w:t xml:space="preserve"> </w:t>
      </w:r>
      <w:r>
        <w:rPr>
          <w:noProof/>
        </w:rPr>
        <w:br/>
        <w:t>ROZPORZĄDZENIE PARLAMENTU EUROPEJSKIEGO I RADY ustanawiające Instrument Sąsiedztwa oraz Współpracy Międzynarodowej i Rozwojowej,</w:t>
      </w:r>
      <w:r>
        <w:rPr>
          <w:noProof/>
        </w:rPr>
        <w:br/>
        <w:t xml:space="preserve"> </w:t>
      </w:r>
      <w:r>
        <w:rPr>
          <w:noProof/>
        </w:rPr>
        <w:br/>
        <w:t>ROZPORZĄDZENIE PARLAMENTU EUROPEJSKIEGO I RADY ustanawiające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rozporządzenie Parlamentu Europejskiego i Rady (UE) nr 1305/2013 i rozporządzenie Parlamentu Europejskiego i Rady (UE) nr 1307/2013</w:t>
      </w:r>
    </w:p>
    <w:p>
      <w:pPr>
        <w:rPr>
          <w:noProof/>
        </w:rPr>
      </w:pPr>
      <w:r>
        <w:rPr>
          <w:noProof/>
        </w:rPr>
        <w:t xml:space="preserve">We wnioskach Komisji COM(2018) 435, COM(2018) 436, COM(2018) 460 i COM(2018) 392 wprowadza się następujące zmiany: </w:t>
      </w:r>
    </w:p>
    <w:p>
      <w:pPr>
        <w:pStyle w:val="ManualNumPar1"/>
        <w:rPr>
          <w:noProof/>
        </w:rPr>
      </w:pPr>
      <w:r>
        <w:rPr>
          <w:noProof/>
        </w:rPr>
        <w:t>1.</w:t>
      </w:r>
      <w:r>
        <w:rPr>
          <w:noProof/>
        </w:rPr>
        <w:tab/>
        <w:t>We wniosku Komisji COM(2018) 435 dotyczącym rozporządzenia Parlamentu Europejskiego i Rady ustanawiającego program ramowy w zakresie badań naukowych i innowacji „Horyzont Europa” oraz zasady uczestnictwa i upowszechniania obowiązujące w tym programie wprowadza się następujące zmiany:</w:t>
      </w:r>
    </w:p>
    <w:p>
      <w:pPr>
        <w:pStyle w:val="Point0"/>
        <w:rPr>
          <w:noProof/>
        </w:rPr>
      </w:pPr>
      <w:r>
        <w:rPr>
          <w:noProof/>
        </w:rPr>
        <w:t>1)</w:t>
      </w:r>
      <w:r>
        <w:rPr>
          <w:noProof/>
        </w:rPr>
        <w:tab/>
        <w:t xml:space="preserve">dodaje się motyw 15a w brzmieniu: </w:t>
      </w:r>
    </w:p>
    <w:p>
      <w:pPr>
        <w:pStyle w:val="Text1"/>
        <w:rPr>
          <w:noProof/>
          <w:color w:val="00B050"/>
          <w:sz w:val="22"/>
        </w:rPr>
      </w:pPr>
      <w:r>
        <w:rPr>
          <w:noProof/>
          <w:color w:val="000000" w:themeColor="text1"/>
        </w:rPr>
        <w:t xml:space="preserve">„(15a) </w:t>
      </w:r>
      <w:r>
        <w:rPr>
          <w:noProof/>
        </w:rPr>
        <w:tab/>
        <w:t>Zgodnie z rozporządzeniem [ustanawiającym Instrument Unii Europejskiej na rzecz Odbudowy] oraz w granicach przewidzianych w nim przydziałów zasobów należy w ramach niniejszego programu przeprowadzić działania na rzecz odbudowy i zwiększenia odporności w celu zaradzenia bezprecedensowym skutkom kryzysu związanego z COVID-19. Takie dodatkowe zasoby powinny być wykorzystywane w sposób zapewniający przestrzeganie terminów przewidzianych w rozporządzeniu [ustanawiającym Instrument Unii Europejskiej na rzecz Odbudowy].”;</w:t>
      </w:r>
    </w:p>
    <w:p>
      <w:pPr>
        <w:pStyle w:val="Point0"/>
        <w:rPr>
          <w:noProof/>
        </w:rPr>
      </w:pPr>
      <w:r>
        <w:rPr>
          <w:noProof/>
        </w:rPr>
        <w:t>2)</w:t>
      </w:r>
      <w:r>
        <w:rPr>
          <w:noProof/>
        </w:rPr>
        <w:tab/>
        <w:t xml:space="preserve">dodaje się art. 9a w brzmieniu: </w:t>
      </w:r>
    </w:p>
    <w:p>
      <w:pPr>
        <w:pStyle w:val="Titrearticle"/>
        <w:rPr>
          <w:noProof/>
        </w:rPr>
      </w:pPr>
      <w:r>
        <w:rPr>
          <w:noProof/>
        </w:rPr>
        <w:t xml:space="preserve">Artykuł 9a </w:t>
      </w:r>
      <w:r>
        <w:rPr>
          <w:noProof/>
        </w:rPr>
        <w:br/>
        <w:t>Zasoby w ramach Instrumentu Unii Europejskiej na rzecz Odbudowy</w:t>
      </w:r>
    </w:p>
    <w:p>
      <w:pPr>
        <w:pStyle w:val="Text1"/>
        <w:rPr>
          <w:noProof/>
        </w:rPr>
      </w:pPr>
      <w:r>
        <w:rPr>
          <w:noProof/>
        </w:rPr>
        <w:t xml:space="preserve">Działania, o których mowa w art. 2 rozporządzenia [ustanawiającego Instrument Unii Europejskiej na rzecz Odbudowy], wdraża się w ramach niniejszego programu </w:t>
      </w:r>
      <w:r>
        <w:rPr>
          <w:noProof/>
        </w:rPr>
        <w:lastRenderedPageBreak/>
        <w:t xml:space="preserve">z wykorzystaniem kwot, o których mowa w art. 3 ust. 2 lit. a) ppkt (v) wymienionego rozporządzenia, z zastrzeżeniem jego art. 4 ust. 4 i 8. </w:t>
      </w:r>
    </w:p>
    <w:p>
      <w:pPr>
        <w:pStyle w:val="Text1"/>
        <w:rPr>
          <w:noProof/>
        </w:rPr>
      </w:pPr>
      <w:r>
        <w:rPr>
          <w:noProof/>
        </w:rPr>
        <w:t>Kwoty te stanowią zewnętrzne dochody przeznaczone na określony cel, zgodnie z art. 21 ust. 5 rozporządzenia finansowego.”.</w:t>
      </w:r>
    </w:p>
    <w:p>
      <w:pPr>
        <w:pStyle w:val="ManualNumPar1"/>
        <w:rPr>
          <w:noProof/>
        </w:rPr>
      </w:pPr>
      <w:r>
        <w:rPr>
          <w:noProof/>
        </w:rPr>
        <w:t>2.</w:t>
      </w:r>
      <w:r>
        <w:rPr>
          <w:noProof/>
        </w:rPr>
        <w:tab/>
        <w:t xml:space="preserve">We wniosku Komisji COM(2018) 436 dotyczącym decyzji Parlamentu Europejskiego i Rady ustanawiającej program szczegółowy służący realizacji programu ramowego w zakresie badań naukowych i innowacji „Horyzont Europa” dodaje się art. 4a w brzmieniu: </w:t>
      </w:r>
    </w:p>
    <w:p>
      <w:pPr>
        <w:pStyle w:val="Titrearticle"/>
        <w:rPr>
          <w:bCs/>
          <w:noProof/>
        </w:rPr>
      </w:pPr>
      <w:r>
        <w:rPr>
          <w:noProof/>
        </w:rPr>
        <w:t xml:space="preserve">„Artykuł 4a </w:t>
      </w:r>
      <w:r>
        <w:rPr>
          <w:noProof/>
        </w:rPr>
        <w:br/>
        <w:t>Zasoby w ramach instrumentu Unii Europejskiej na rzecz Odbudowy</w:t>
      </w:r>
    </w:p>
    <w:p>
      <w:pPr>
        <w:pStyle w:val="Text1"/>
        <w:rPr>
          <w:noProof/>
        </w:rPr>
      </w:pPr>
      <w:r>
        <w:rPr>
          <w:noProof/>
        </w:rPr>
        <w:t>Zgodnie z art. 9a rozporządzenia [dotyczącego programu ramowego] działania, o których mowa w art. 2 rozporządzenia [ustanawiającego Instrument Unii Europejskiej na rzecz Odbudowy], wdraża się w ramach niniejszego programu szczegółowego z wykorzystaniem kwot, o których mowa w art. 3 ust. 2 lit. a) ppkt (v) rozporządzenia [ustanawiając# Instrument Unii Europejskiej na rzecz Odbudowy], z zastrzeżeniem jego art. 4 ust. 4 i 8.”.</w:t>
      </w:r>
    </w:p>
    <w:p>
      <w:pPr>
        <w:pStyle w:val="ManualNumPar1"/>
        <w:rPr>
          <w:noProof/>
        </w:rPr>
      </w:pPr>
      <w:r>
        <w:rPr>
          <w:noProof/>
        </w:rPr>
        <w:t>3.</w:t>
      </w:r>
      <w:r>
        <w:rPr>
          <w:noProof/>
        </w:rPr>
        <w:tab/>
        <w:t xml:space="preserve">We wniosku Komisji COM(2018) 460 w sprawie rozporządzenia Parlamentu Europejskiego i Rady ustanawiającego Instrument Sąsiedztwa oraz Współpracy Międzynarodowej i Rozwojowej wprowadza się następujące zmiany: </w:t>
      </w:r>
    </w:p>
    <w:p>
      <w:pPr>
        <w:pStyle w:val="Point0"/>
        <w:rPr>
          <w:noProof/>
        </w:rPr>
      </w:pPr>
      <w:r>
        <w:rPr>
          <w:noProof/>
        </w:rPr>
        <w:t>1)</w:t>
      </w:r>
      <w:r>
        <w:rPr>
          <w:noProof/>
        </w:rPr>
        <w:tab/>
        <w:t>dodaje się motyw 36a w brzmieniu:</w:t>
      </w:r>
    </w:p>
    <w:p>
      <w:pPr>
        <w:pStyle w:val="Text1"/>
        <w:rPr>
          <w:noProof/>
        </w:rPr>
      </w:pPr>
      <w:r>
        <w:rPr>
          <w:noProof/>
        </w:rPr>
        <w:t xml:space="preserve">„(36a) Zgodnie z rozporządzeniem [ustanawiającym Instrument Unii Europejskiej na rzecz Odbudowy] oraz w granicach przewidzianych w nim przydziałów zasobów należy w ramach Instrumentu Sąsiedztwa oraz Współpracy Międzynarodowej i Rozwojowej przeprowadzić działania na rzecz odbudowy i zwiększenia odporności w celu zaradzenia bezprecedensowym skutkom kryzysu związanego z COVID-19. Takie dodatkowe zasoby powinny być wykorzystywane w sposób zapewniający przestrzeganie terminów przewidzianych w rozporządzeniu [ustanawiającym Instrument Unii Europejskiej na rzecz Odbudowy].”; </w:t>
      </w:r>
    </w:p>
    <w:p>
      <w:pPr>
        <w:pStyle w:val="Point0"/>
        <w:rPr>
          <w:noProof/>
        </w:rPr>
      </w:pPr>
      <w:r>
        <w:rPr>
          <w:noProof/>
        </w:rPr>
        <w:t>2)</w:t>
      </w:r>
      <w:r>
        <w:rPr>
          <w:noProof/>
        </w:rPr>
        <w:tab/>
        <w:t>dodaje się art. 6a w brzmieniu:</w:t>
      </w:r>
    </w:p>
    <w:p>
      <w:pPr>
        <w:pStyle w:val="Titrearticle"/>
        <w:rPr>
          <w:noProof/>
        </w:rPr>
      </w:pPr>
      <w:r>
        <w:rPr>
          <w:noProof/>
        </w:rPr>
        <w:t xml:space="preserve">„Artykuł 6a </w:t>
      </w:r>
      <w:r>
        <w:rPr>
          <w:noProof/>
        </w:rPr>
        <w:br/>
        <w:t>Zasoby w ramach instrumentu Unii Europejskiej na rzecz Odbudowy</w:t>
      </w:r>
    </w:p>
    <w:p>
      <w:pPr>
        <w:pStyle w:val="Point1"/>
        <w:rPr>
          <w:noProof/>
        </w:rPr>
      </w:pPr>
      <w:r>
        <w:rPr>
          <w:noProof/>
        </w:rPr>
        <w:t>1)</w:t>
      </w:r>
      <w:r>
        <w:rPr>
          <w:noProof/>
        </w:rPr>
        <w:tab/>
        <w:t>W ramach gwarancji na działania zewnętrzne kwotę, o której mowa w art. 26 ust. 3 akapit drugi, przyznaje się zgodnie z warunkami określonymi w art. 4 ust. 6 rozporządzenia [ustanawiającego Europejski Instrument na rzecz Odbudowy] z wyjątkiem środków na operacje pomocy makrofinansowej, które przyznaje się zgodnie z art. 4 ust. 7 rozporządzenia [ustanawiającego Europejski Instrument na rzecz Odbudowy]. Kwota ta stanowi również wsparcie działań beneficjentów wymienionych w załączniku I do rozporządzenia IPA III.</w:t>
      </w:r>
    </w:p>
    <w:p>
      <w:pPr>
        <w:pStyle w:val="Point1"/>
        <w:rPr>
          <w:noProof/>
        </w:rPr>
      </w:pPr>
      <w:r>
        <w:rPr>
          <w:noProof/>
        </w:rPr>
        <w:t>2)</w:t>
      </w:r>
      <w:r>
        <w:rPr>
          <w:noProof/>
        </w:rPr>
        <w:tab/>
        <w:t xml:space="preserve">Kwotę, o której mowa w art. 3 ust. 2 lit. c) ppkt (iii) rozporządzenia [ustanawiającego Europejski Instrument na rzecz Odbudowy], wykorzystuje się na tworzenie rezerw gwarancji na działania zewnętrzne na podstawie niniejszego rozporządzenia w uzupełnieniu zasobów, o których mowa w art. 211 ust. 4 akapit pierwszy rozporządzenia finansowego, oraz na </w:t>
      </w:r>
      <w:r>
        <w:rPr>
          <w:noProof/>
        </w:rPr>
        <w:lastRenderedPageBreak/>
        <w:t xml:space="preserve">działania, o których mowa w art. 2 ust. 2 zdanie drugie rozporządzenia [ustanawiającego Europejski Instrument na rzecz Odbudowy], z zastrzeżeniem art. 4 ust. 8 tego rozporządzenia. </w:t>
      </w:r>
    </w:p>
    <w:p>
      <w:pPr>
        <w:pStyle w:val="Text2"/>
        <w:rPr>
          <w:b/>
          <w:noProof/>
        </w:rPr>
      </w:pPr>
      <w:r>
        <w:rPr>
          <w:noProof/>
        </w:rPr>
        <w:t>W celu obliczenia kwoty rezerw wynikającej ze wskaźnika zasilenia rezerw, o którym mowa w art. 211 ust. 1 rozporządzenia finansowego, uwzględnia się – oprócz zasobów, o których mowa w art. 211 ust. 4 akapit drugi rozporządzenia finansowego – kwotę do 11 285 762 000 EUR.</w:t>
      </w:r>
      <w:r>
        <w:rPr>
          <w:b/>
          <w:noProof/>
        </w:rPr>
        <w:t xml:space="preserve"> </w:t>
      </w:r>
    </w:p>
    <w:p>
      <w:pPr>
        <w:pStyle w:val="Text2"/>
        <w:rPr>
          <w:noProof/>
        </w:rPr>
      </w:pPr>
      <w:r>
        <w:rPr>
          <w:noProof/>
        </w:rPr>
        <w:t>Kwota, o której mowa w akapicie pierwszym, stanowi zewnętrzne dochody przeznaczone na określony cel zgodnie z art. 21 ust. 5 rozporządzenia finansowego.”;</w:t>
      </w:r>
    </w:p>
    <w:p>
      <w:pPr>
        <w:pStyle w:val="Point0"/>
        <w:rPr>
          <w:noProof/>
        </w:rPr>
      </w:pPr>
      <w:r>
        <w:rPr>
          <w:noProof/>
        </w:rPr>
        <w:t>3)</w:t>
      </w:r>
      <w:r>
        <w:rPr>
          <w:noProof/>
        </w:rPr>
        <w:tab/>
        <w:t>w art. 26 wprowadza się następujące zmiany:</w:t>
      </w:r>
    </w:p>
    <w:p>
      <w:pPr>
        <w:pStyle w:val="Point1"/>
        <w:rPr>
          <w:noProof/>
        </w:rPr>
      </w:pPr>
      <w:r>
        <w:rPr>
          <w:noProof/>
        </w:rPr>
        <w:t>a)</w:t>
      </w:r>
      <w:r>
        <w:rPr>
          <w:noProof/>
        </w:rPr>
        <w:tab/>
        <w:t xml:space="preserve">ust. 3 otrzymuje brzmienie: </w:t>
      </w:r>
    </w:p>
    <w:p>
      <w:pPr>
        <w:pStyle w:val="Text2"/>
        <w:rPr>
          <w:noProof/>
        </w:rPr>
      </w:pPr>
      <w:r>
        <w:rPr>
          <w:noProof/>
        </w:rPr>
        <w:t xml:space="preserve">„3. W ramach gwarancji na działania zewnętrzne Unia może udzielać gwarancji na operacje zatwierdzone między 1 stycznia 2021 r. a 31 grudnia 2027 r. w wysokości do 130 000 000 000 EUR. </w:t>
      </w:r>
    </w:p>
    <w:p>
      <w:pPr>
        <w:pStyle w:val="Text2"/>
        <w:rPr>
          <w:noProof/>
        </w:rPr>
      </w:pPr>
      <w:r>
        <w:rPr>
          <w:noProof/>
        </w:rPr>
        <w:t>W ramach tej kwoty, kwotę do 70 000 000 000 EUR przeznacza się na działania wdrażające środki, o których mowa w art. 2 ust. 1 akapit drugi rozporządzenia [ustanawiającego Europejski Instrument na rzecz Odbudowy], i udostępnia się ją dopiero od daty określonej w art. 4 ust. 3 tego rozporządzenia.”;</w:t>
      </w:r>
    </w:p>
    <w:p>
      <w:pPr>
        <w:pStyle w:val="Point1"/>
        <w:rPr>
          <w:noProof/>
        </w:rPr>
      </w:pPr>
      <w:r>
        <w:rPr>
          <w:noProof/>
        </w:rPr>
        <w:t>b)</w:t>
      </w:r>
      <w:r>
        <w:rPr>
          <w:noProof/>
        </w:rPr>
        <w:tab/>
        <w:t xml:space="preserve">ust. 6 otrzymuje brzmienie: </w:t>
      </w:r>
    </w:p>
    <w:p>
      <w:pPr>
        <w:pStyle w:val="Text2"/>
        <w:rPr>
          <w:noProof/>
        </w:rPr>
      </w:pPr>
      <w:r>
        <w:rPr>
          <w:noProof/>
        </w:rPr>
        <w:t>„6. EFZR+ i gwarancja na działania zewnętrzne mogą stanowić wsparcie dla operacji finansowania i inwestowania prowadzonych w krajach partnerskich na obszarach geograficznych, o których mowa w art. 4 ust. 2. Tworzenie rezerw dotyczących gwarancji na działania zewnętrzne finansowane jest z budżetu przeznaczonego na właściwe programy geograficzne, ustanowionego w art. 6 ust. 2 lit. a), bez uszczerbku dla art. 6a, i jest przekazywane do wspólnego funduszu rezerw. EFZR+ i gwarancja dla działań zewnętrznych mogą również stanowić wsparcie dla operacji prowadzonych w krajach będących beneficjentami, wymienionych w załączniku I do rozporządzenia [IPA III]. Pula środków finansowych przeznaczonych na te operacje w ramach EFZR+ oraz na tworzenie rezerw dotyczących gwarancji dla działań zewnętrznych finansowana jest na podstawie rozporządzenia [IPA], bez uszczerbku dla art. 6a ust. 1 niniejszego rozporządzenia. Tworzenie rezerw dotyczących gwarancji na działania zewnętrzne w odniesieniu do pożyczek dla państw trzecich, o którym mowa w art. 10 ust. 2 rozporządzenia w sprawie Europejskiego Instrumentu na rzecz Bezpieczeństwa Jądrowego, finansowane jest na podstawie tego rozporządzenia.”;</w:t>
      </w:r>
    </w:p>
    <w:p>
      <w:pPr>
        <w:pStyle w:val="Point0"/>
        <w:rPr>
          <w:noProof/>
        </w:rPr>
      </w:pPr>
      <w:r>
        <w:rPr>
          <w:noProof/>
        </w:rPr>
        <w:t>4)</w:t>
      </w:r>
      <w:r>
        <w:rPr>
          <w:noProof/>
        </w:rPr>
        <w:tab/>
        <w:t>art. 39 ust. 1 otrzymuje brzmienie:</w:t>
      </w:r>
    </w:p>
    <w:p>
      <w:pPr>
        <w:pStyle w:val="Text1"/>
        <w:rPr>
          <w:noProof/>
        </w:rPr>
      </w:pPr>
      <w:r>
        <w:rPr>
          <w:noProof/>
        </w:rPr>
        <w:t>„1. Decyzja nr 466/2014/UE i rozporządzenie (WE, Euratom) nr 480/2009 tracą moc ze skutkiem od dnia 1 stycznia 2021 r. Rozporządzenie (UE) 2017/1601 traci moc ze skutkiem od dnia 31 grudnia 2021 r.”.</w:t>
      </w:r>
    </w:p>
    <w:p>
      <w:pPr>
        <w:pStyle w:val="ManualNumPar1"/>
        <w:rPr>
          <w:noProof/>
        </w:rPr>
      </w:pPr>
      <w:r>
        <w:rPr>
          <w:noProof/>
        </w:rPr>
        <w:t>4.</w:t>
      </w:r>
      <w:r>
        <w:rPr>
          <w:noProof/>
        </w:rPr>
        <w:tab/>
        <w:t xml:space="preserve">We wniosku Komisji COM(2018) 392 dotyczącym rozporządzenia Parlamentu Europejskiego i Rady ustanawiającego przepisy dotyczące wsparcia na podstawie planów strategicznych sporządzanych przez państwa członkowskie w ramach wspólnej polityki rolnej (planów strategicznych WPR) i finansowanych </w:t>
      </w:r>
      <w:r>
        <w:rPr>
          <w:noProof/>
        </w:rPr>
        <w:lastRenderedPageBreak/>
        <w:t xml:space="preserve">z Europejskiego Funduszu Rolniczego Gwarancji (EFRG) i z Europejskiego Funduszu Rolnego na rzecz Rozwoju Obszarów Wiejskich (EFRROW) oraz uchylającego rozporządzenie Parlamentu Europejskiego i Rady (UE) nr 1305/2013 i rozporządzenie Parlamentu Europejskiego i Rady (UE) nr 1307/2013 wprowadza się następujące zmiany: </w:t>
      </w:r>
    </w:p>
    <w:p>
      <w:pPr>
        <w:pStyle w:val="Point0"/>
        <w:rPr>
          <w:noProof/>
        </w:rPr>
      </w:pPr>
      <w:r>
        <w:rPr>
          <w:noProof/>
        </w:rPr>
        <w:t>1)</w:t>
      </w:r>
      <w:r>
        <w:rPr>
          <w:noProof/>
        </w:rPr>
        <w:tab/>
        <w:t xml:space="preserve">dodaje się nowy motyw 71a w brzmieniu: </w:t>
      </w:r>
    </w:p>
    <w:p>
      <w:pPr>
        <w:pStyle w:val="Text1"/>
        <w:rPr>
          <w:noProof/>
        </w:rPr>
      </w:pPr>
      <w:r>
        <w:rPr>
          <w:noProof/>
        </w:rPr>
        <w:t>„(71a) Zgodnie z rozporządzeniem [ustanawiającym Instrument Unii Europejskiej na rzecz Odbudowy] oraz w granicach przewidzianych w nim przydziałów zasobów należy w ramach Europejskiego Funduszu Rolnego na rzecz Rozwoju Obszarów Wiejskich przeprowadzić działania na rzecz odbudowy i zwiększenia odporności w celu zaradzenia bezprecedensowym skutkom kryzysu związanego z COVID-19. Takie dodatkowe zasoby powinny być wykorzystywane w sposób zapewniający przestrzeganie terminów przewidzianych w rozporządzeniu [ustanawiającym Instrument Unii Europejskiej na rzecz Odbudowy].”;</w:t>
      </w:r>
    </w:p>
    <w:p>
      <w:pPr>
        <w:pStyle w:val="Point0"/>
        <w:rPr>
          <w:noProof/>
        </w:rPr>
      </w:pPr>
      <w:r>
        <w:rPr>
          <w:noProof/>
        </w:rPr>
        <w:t>2)</w:t>
      </w:r>
      <w:r>
        <w:rPr>
          <w:noProof/>
        </w:rPr>
        <w:tab/>
        <w:t xml:space="preserve">dodaje się nowy art. 84a w brzmieniu: </w:t>
      </w:r>
    </w:p>
    <w:p>
      <w:pPr>
        <w:pStyle w:val="Titrearticle"/>
        <w:rPr>
          <w:noProof/>
        </w:rPr>
      </w:pPr>
      <w:r>
        <w:rPr>
          <w:noProof/>
        </w:rPr>
        <w:t xml:space="preserve">„Artykuł 84a </w:t>
      </w:r>
      <w:r>
        <w:rPr>
          <w:noProof/>
        </w:rPr>
        <w:br/>
        <w:t>Zasoby w ramach instrumentu Unii Europejskiej na rzecz Odbudowy</w:t>
      </w:r>
    </w:p>
    <w:p>
      <w:pPr>
        <w:pStyle w:val="Point1"/>
        <w:rPr>
          <w:noProof/>
        </w:rPr>
      </w:pPr>
      <w:r>
        <w:rPr>
          <w:noProof/>
        </w:rPr>
        <w:t>1)</w:t>
      </w:r>
      <w:r>
        <w:rPr>
          <w:noProof/>
        </w:rPr>
        <w:tab/>
        <w:t>Działania, o których mowa w art. 2 rozporządzenia [ustanawiającego Instrument Unii Europejskiej na rzecz odbudowy], wdraża się w ramach EFRROW w kwocie 16 483 mln EUR z kwoty, o której mowa w art. 3 ust. 2 lit. a) ppkt (vii) tego rozporządzenia, z zastrzeżeniem jego art. 4 ust. 3, 4 i 8.</w:t>
      </w:r>
    </w:p>
    <w:p>
      <w:pPr>
        <w:pStyle w:val="Text2"/>
        <w:rPr>
          <w:noProof/>
        </w:rPr>
      </w:pPr>
      <w:r>
        <w:rPr>
          <w:noProof/>
        </w:rPr>
        <w:t>Kwota ta stanowi zewnętrzne dochody przeznaczone na określony cel, zgodnie z art. 21 ust. 5 rozporządzenia finansowego.</w:t>
      </w:r>
    </w:p>
    <w:p>
      <w:pPr>
        <w:pStyle w:val="Text2"/>
        <w:rPr>
          <w:noProof/>
        </w:rPr>
      </w:pPr>
      <w:r>
        <w:rPr>
          <w:noProof/>
        </w:rPr>
        <w:t>Udostępnia się ją jako dodatkowe zasoby na zobowiązania budżetowe w ramach EFRROW na lata 2022, 2023 i 2024 jako uzupełnienie zasobów ogólnych określonych w art. 83 w następujący sposób:</w:t>
      </w:r>
    </w:p>
    <w:p>
      <w:pPr>
        <w:pStyle w:val="Tiret2"/>
        <w:numPr>
          <w:ilvl w:val="0"/>
          <w:numId w:val="10"/>
        </w:numPr>
        <w:rPr>
          <w:rStyle w:val="conf-macro"/>
          <w:noProof/>
        </w:rPr>
      </w:pPr>
      <w:r>
        <w:rPr>
          <w:rStyle w:val="conf-macro"/>
          <w:noProof/>
        </w:rPr>
        <w:t>na 2022 r.: 8 117 mln EUR;</w:t>
      </w:r>
    </w:p>
    <w:p>
      <w:pPr>
        <w:pStyle w:val="Tiret2"/>
        <w:rPr>
          <w:rStyle w:val="conf-macro"/>
          <w:noProof/>
        </w:rPr>
      </w:pPr>
      <w:r>
        <w:rPr>
          <w:rStyle w:val="conf-macro"/>
          <w:noProof/>
        </w:rPr>
        <w:t>na 2023 r.: 4 140 mln EUR;</w:t>
      </w:r>
    </w:p>
    <w:p>
      <w:pPr>
        <w:pStyle w:val="Tiret2"/>
        <w:rPr>
          <w:rStyle w:val="conf-macro"/>
          <w:noProof/>
        </w:rPr>
      </w:pPr>
      <w:r>
        <w:rPr>
          <w:rStyle w:val="conf-macro"/>
          <w:noProof/>
        </w:rPr>
        <w:t>na 2024 r.: 4 226 mln EUR.</w:t>
      </w:r>
    </w:p>
    <w:p>
      <w:pPr>
        <w:pStyle w:val="Point1"/>
        <w:rPr>
          <w:noProof/>
        </w:rPr>
      </w:pPr>
      <w:r>
        <w:rPr>
          <w:noProof/>
        </w:rPr>
        <w:t>2)</w:t>
      </w:r>
      <w:r>
        <w:rPr>
          <w:noProof/>
        </w:rPr>
        <w:tab/>
        <w:t xml:space="preserve">Podział dodatkowych zasobów, o których mowa w ust. 1, na poszczególne państwa członkowskie ustala się zgodnie z art. 83 ust. 3. </w:t>
      </w:r>
    </w:p>
    <w:p>
      <w:pPr>
        <w:pStyle w:val="Point1"/>
        <w:rPr>
          <w:noProof/>
        </w:rPr>
      </w:pPr>
      <w:r>
        <w:rPr>
          <w:noProof/>
        </w:rPr>
        <w:t>3)</w:t>
      </w:r>
      <w:r>
        <w:rPr>
          <w:noProof/>
        </w:rPr>
        <w:tab/>
        <w:t xml:space="preserve">Zasady dotyczące umorzeń, określone w art. 32 [wniosku Komisji dotyczącego rozporządzenia Parlamentu Europejskiego i Rady w sprawie finansowania wspólnej polityki rolnej, zarządzania nią i monitorowania jej], mają zastosowanie do zobowiązań budżetowych w oparciu o dodatkowe zasoby, o których mowa w ust. 1 niniejszego artykułu. </w:t>
      </w:r>
    </w:p>
    <w:p>
      <w:pPr>
        <w:pStyle w:val="Point1"/>
        <w:rPr>
          <w:noProof/>
        </w:rPr>
      </w:pPr>
      <w:r>
        <w:rPr>
          <w:noProof/>
        </w:rPr>
        <w:t>4)</w:t>
      </w:r>
      <w:r>
        <w:rPr>
          <w:noProof/>
        </w:rPr>
        <w:tab/>
        <w:t>Art. 86 nie ma zastosowania do dodatkowych zasobów, o których mowa w ust. 1 niniejszego artykułu.</w:t>
      </w:r>
    </w:p>
    <w:p>
      <w:pPr>
        <w:pStyle w:val="Point1"/>
        <w:rPr>
          <w:noProof/>
        </w:rPr>
      </w:pPr>
      <w:r>
        <w:rPr>
          <w:noProof/>
        </w:rPr>
        <w:t>5)</w:t>
      </w:r>
      <w:r>
        <w:rPr>
          <w:noProof/>
        </w:rPr>
        <w:tab/>
        <w:t xml:space="preserve">Do 4 % łącznych dodatkowych zasobów, o których mowa w ust. 1, można przeznaczyć na pomoc techniczną z inicjatywy państw członkowskich w ramach wkładów EFRROW na rzecz planów strategicznych WPR państw członkowskich. </w:t>
      </w:r>
    </w:p>
    <w:p>
      <w:pPr>
        <w:pStyle w:val="Point1"/>
        <w:rPr>
          <w:rStyle w:val="conf-macro"/>
          <w:noProof/>
        </w:rPr>
      </w:pPr>
      <w:r>
        <w:rPr>
          <w:rStyle w:val="conf-macro"/>
          <w:noProof/>
        </w:rPr>
        <w:lastRenderedPageBreak/>
        <w:t>6)</w:t>
      </w:r>
      <w:r>
        <w:rPr>
          <w:rStyle w:val="conf-macro"/>
          <w:noProof/>
        </w:rPr>
        <w:tab/>
        <w:t>Dodatkowe zasoby</w:t>
      </w:r>
      <w:r>
        <w:rPr>
          <w:noProof/>
        </w:rPr>
        <w:t xml:space="preserve">, o których mowa w ust. 1, </w:t>
      </w:r>
      <w:r>
        <w:rPr>
          <w:rStyle w:val="conf-macro"/>
          <w:noProof/>
        </w:rPr>
        <w:t>wykorzystuje się w ramach nowego celu szczegółowego uzupełniającego cele szczegółowe określone w art. 6 w celu wsparcia działań przygotowujących do odbudowy gospodarki.</w:t>
      </w:r>
      <w:r>
        <w:rPr>
          <w:noProof/>
        </w:rPr>
        <w:t>”.</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OCENA SKUTKÓW FINANSOWYCH REGULACJI</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STRUKTURA WNIOSKU/INICJATYWY </w:t>
      </w:r>
    </w:p>
    <w:p>
      <w:pPr>
        <w:keepNext/>
        <w:tabs>
          <w:tab w:val="left" w:pos="850"/>
        </w:tabs>
        <w:ind w:left="850" w:hanging="850"/>
        <w:outlineLvl w:val="1"/>
        <w:rPr>
          <w:noProof/>
        </w:rPr>
      </w:pPr>
      <w:r>
        <w:rPr>
          <w:noProof/>
        </w:rPr>
        <w:tab/>
        <w:t>1.1.</w:t>
      </w:r>
      <w:r>
        <w:rPr>
          <w:noProof/>
        </w:rPr>
        <w:tab/>
        <w:t xml:space="preserve">Tytuł wniosku/inicjatywy </w:t>
      </w:r>
    </w:p>
    <w:p>
      <w:pPr>
        <w:keepNext/>
        <w:tabs>
          <w:tab w:val="left" w:pos="850"/>
        </w:tabs>
        <w:ind w:left="850" w:hanging="850"/>
        <w:outlineLvl w:val="1"/>
        <w:rPr>
          <w:noProof/>
        </w:rPr>
      </w:pPr>
      <w:r>
        <w:rPr>
          <w:noProof/>
        </w:rPr>
        <w:tab/>
        <w:t>1.2.</w:t>
      </w:r>
      <w:r>
        <w:rPr>
          <w:noProof/>
        </w:rPr>
        <w:tab/>
        <w:t>Dziedziny polityki w strukturze ABM/ABB, których dotyczy wniosek/inicjatywa</w:t>
      </w:r>
    </w:p>
    <w:p>
      <w:pPr>
        <w:keepNext/>
        <w:tabs>
          <w:tab w:val="left" w:pos="850"/>
        </w:tabs>
        <w:ind w:left="850" w:hanging="850"/>
        <w:outlineLvl w:val="1"/>
        <w:rPr>
          <w:noProof/>
        </w:rPr>
      </w:pPr>
      <w:r>
        <w:rPr>
          <w:noProof/>
        </w:rPr>
        <w:tab/>
        <w:t>1.3.</w:t>
      </w:r>
      <w:r>
        <w:rPr>
          <w:noProof/>
        </w:rPr>
        <w:tab/>
        <w:t xml:space="preserve">Charakter wniosku/inicjatywy </w:t>
      </w:r>
    </w:p>
    <w:p>
      <w:pPr>
        <w:keepNext/>
        <w:tabs>
          <w:tab w:val="left" w:pos="850"/>
        </w:tabs>
        <w:ind w:left="850" w:hanging="850"/>
        <w:outlineLvl w:val="1"/>
        <w:rPr>
          <w:noProof/>
        </w:rPr>
      </w:pPr>
      <w:r>
        <w:rPr>
          <w:noProof/>
        </w:rPr>
        <w:tab/>
        <w:t>1.4.</w:t>
      </w:r>
      <w:r>
        <w:rPr>
          <w:noProof/>
        </w:rPr>
        <w:tab/>
        <w:t xml:space="preserve">Cel(e) </w:t>
      </w:r>
    </w:p>
    <w:p>
      <w:pPr>
        <w:keepNext/>
        <w:tabs>
          <w:tab w:val="left" w:pos="850"/>
        </w:tabs>
        <w:ind w:left="850" w:hanging="850"/>
        <w:outlineLvl w:val="1"/>
        <w:rPr>
          <w:noProof/>
        </w:rPr>
      </w:pPr>
      <w:r>
        <w:rPr>
          <w:noProof/>
        </w:rPr>
        <w:tab/>
        <w:t>1.5.</w:t>
      </w:r>
      <w:r>
        <w:rPr>
          <w:noProof/>
        </w:rPr>
        <w:tab/>
        <w:t xml:space="preserve">Uzasadnienie wniosku/inicjatywy </w:t>
      </w:r>
    </w:p>
    <w:p>
      <w:pPr>
        <w:keepNext/>
        <w:tabs>
          <w:tab w:val="left" w:pos="850"/>
        </w:tabs>
        <w:ind w:left="850" w:hanging="850"/>
        <w:outlineLvl w:val="1"/>
        <w:rPr>
          <w:noProof/>
        </w:rPr>
      </w:pPr>
      <w:r>
        <w:rPr>
          <w:noProof/>
        </w:rPr>
        <w:tab/>
        <w:t>1.6.</w:t>
      </w:r>
      <w:r>
        <w:rPr>
          <w:noProof/>
        </w:rPr>
        <w:tab/>
        <w:t xml:space="preserve">Okres trwania wniosku/inicjatywy i jego wpływ finansowy </w:t>
      </w:r>
    </w:p>
    <w:p>
      <w:pPr>
        <w:keepNext/>
        <w:tabs>
          <w:tab w:val="left" w:pos="850"/>
        </w:tabs>
        <w:ind w:left="850" w:hanging="850"/>
        <w:outlineLvl w:val="1"/>
        <w:rPr>
          <w:noProof/>
        </w:rPr>
      </w:pPr>
      <w:r>
        <w:rPr>
          <w:noProof/>
        </w:rPr>
        <w:tab/>
        <w:t>1.7.</w:t>
      </w:r>
      <w:r>
        <w:rPr>
          <w:noProof/>
        </w:rPr>
        <w:tab/>
        <w:t xml:space="preserve">Planowane tryby zarządzania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ŚRODKI ZARZĄDZANIA </w:t>
      </w:r>
    </w:p>
    <w:p>
      <w:pPr>
        <w:keepNext/>
        <w:tabs>
          <w:tab w:val="left" w:pos="850"/>
        </w:tabs>
        <w:ind w:left="850" w:hanging="850"/>
        <w:outlineLvl w:val="1"/>
        <w:rPr>
          <w:noProof/>
        </w:rPr>
      </w:pPr>
      <w:r>
        <w:rPr>
          <w:noProof/>
        </w:rPr>
        <w:tab/>
        <w:t>2.1.</w:t>
      </w:r>
      <w:r>
        <w:rPr>
          <w:noProof/>
        </w:rPr>
        <w:tab/>
        <w:t xml:space="preserve">Zasady nadzoru i sprawozdawczości </w:t>
      </w:r>
    </w:p>
    <w:p>
      <w:pPr>
        <w:keepNext/>
        <w:tabs>
          <w:tab w:val="left" w:pos="850"/>
        </w:tabs>
        <w:ind w:left="850" w:hanging="850"/>
        <w:outlineLvl w:val="1"/>
        <w:rPr>
          <w:noProof/>
        </w:rPr>
      </w:pPr>
      <w:r>
        <w:rPr>
          <w:noProof/>
        </w:rPr>
        <w:tab/>
        <w:t>2.2.</w:t>
      </w:r>
      <w:r>
        <w:rPr>
          <w:noProof/>
        </w:rPr>
        <w:tab/>
        <w:t xml:space="preserve">System zarządzania i kontroli </w:t>
      </w:r>
    </w:p>
    <w:p>
      <w:pPr>
        <w:keepNext/>
        <w:tabs>
          <w:tab w:val="left" w:pos="850"/>
        </w:tabs>
        <w:ind w:left="850" w:hanging="850"/>
        <w:outlineLvl w:val="1"/>
        <w:rPr>
          <w:noProof/>
        </w:rPr>
      </w:pPr>
      <w:r>
        <w:rPr>
          <w:noProof/>
        </w:rPr>
        <w:tab/>
        <w:t>2.3.</w:t>
      </w:r>
      <w:r>
        <w:rPr>
          <w:noProof/>
        </w:rPr>
        <w:tab/>
        <w:t xml:space="preserve">Środki zapobiegania nadużyciom finansowym i nieprawidłowościom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SZACUNKOWY WPŁYW FINANSOWY WNIOSKU/INICJATYWY </w:t>
      </w:r>
    </w:p>
    <w:p>
      <w:pPr>
        <w:keepNext/>
        <w:tabs>
          <w:tab w:val="left" w:pos="850"/>
        </w:tabs>
        <w:ind w:left="850" w:hanging="850"/>
        <w:outlineLvl w:val="1"/>
        <w:rPr>
          <w:noProof/>
        </w:rPr>
      </w:pPr>
      <w:r>
        <w:rPr>
          <w:noProof/>
        </w:rPr>
        <w:tab/>
        <w:t>3.1.</w:t>
      </w:r>
      <w:r>
        <w:rPr>
          <w:noProof/>
        </w:rPr>
        <w:tab/>
        <w:t xml:space="preserve">Działy wieloletnich ram finansowych i linie budżetowe po stronie wydatków, na które wniosek/inicjatywa ma wpływ </w:t>
      </w:r>
    </w:p>
    <w:p>
      <w:pPr>
        <w:keepNext/>
        <w:tabs>
          <w:tab w:val="left" w:pos="850"/>
        </w:tabs>
        <w:ind w:left="850" w:hanging="850"/>
        <w:outlineLvl w:val="1"/>
        <w:rPr>
          <w:b/>
          <w:noProof/>
        </w:rPr>
      </w:pPr>
      <w:r>
        <w:rPr>
          <w:noProof/>
        </w:rPr>
        <w:tab/>
        <w:t>3.2.</w:t>
      </w:r>
      <w:r>
        <w:rPr>
          <w:noProof/>
        </w:rPr>
        <w:tab/>
        <w:t>Szacunkowy wpływ na wydatki</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Synteza szacunkowego wpływu na wydatki </w:t>
      </w:r>
    </w:p>
    <w:p>
      <w:pPr>
        <w:keepNext/>
        <w:tabs>
          <w:tab w:val="left" w:pos="850"/>
        </w:tabs>
        <w:ind w:left="850" w:hanging="850"/>
        <w:outlineLvl w:val="2"/>
        <w:rPr>
          <w:i/>
          <w:noProof/>
        </w:rPr>
      </w:pPr>
      <w:r>
        <w:rPr>
          <w:noProof/>
        </w:rPr>
        <w:tab/>
      </w:r>
      <w:r>
        <w:rPr>
          <w:i/>
          <w:noProof/>
        </w:rPr>
        <w:t>3.2.2.</w:t>
      </w:r>
      <w:r>
        <w:rPr>
          <w:noProof/>
        </w:rPr>
        <w:tab/>
      </w:r>
      <w:r>
        <w:rPr>
          <w:i/>
          <w:noProof/>
        </w:rPr>
        <w:t xml:space="preserve">Szacunkowy wpływ na środki operacyjne </w:t>
      </w:r>
    </w:p>
    <w:p>
      <w:pPr>
        <w:keepNext/>
        <w:tabs>
          <w:tab w:val="left" w:pos="850"/>
        </w:tabs>
        <w:ind w:left="850" w:hanging="850"/>
        <w:outlineLvl w:val="2"/>
        <w:rPr>
          <w:i/>
          <w:noProof/>
        </w:rPr>
      </w:pPr>
      <w:r>
        <w:rPr>
          <w:noProof/>
        </w:rPr>
        <w:tab/>
      </w:r>
      <w:r>
        <w:rPr>
          <w:i/>
          <w:noProof/>
        </w:rPr>
        <w:t>3.2.3.</w:t>
      </w:r>
      <w:r>
        <w:rPr>
          <w:noProof/>
        </w:rPr>
        <w:tab/>
      </w:r>
      <w:r>
        <w:rPr>
          <w:i/>
          <w:noProof/>
        </w:rPr>
        <w:t>Szacunkowy wpływ na środki administracyjne</w:t>
      </w:r>
    </w:p>
    <w:p>
      <w:pPr>
        <w:keepNext/>
        <w:tabs>
          <w:tab w:val="left" w:pos="850"/>
        </w:tabs>
        <w:ind w:left="850" w:hanging="850"/>
        <w:outlineLvl w:val="2"/>
        <w:rPr>
          <w:i/>
          <w:noProof/>
        </w:rPr>
      </w:pPr>
      <w:r>
        <w:rPr>
          <w:noProof/>
        </w:rPr>
        <w:tab/>
      </w:r>
      <w:r>
        <w:rPr>
          <w:i/>
          <w:noProof/>
        </w:rPr>
        <w:t>3.2.4.</w:t>
      </w:r>
      <w:r>
        <w:rPr>
          <w:noProof/>
        </w:rPr>
        <w:tab/>
      </w:r>
      <w:r>
        <w:rPr>
          <w:i/>
          <w:noProof/>
        </w:rPr>
        <w:t>Zgodność z obowiązującymi wieloletnimi ramami finansowymi</w:t>
      </w:r>
    </w:p>
    <w:p>
      <w:pPr>
        <w:keepNext/>
        <w:tabs>
          <w:tab w:val="left" w:pos="850"/>
        </w:tabs>
        <w:ind w:left="850" w:hanging="850"/>
        <w:outlineLvl w:val="2"/>
        <w:rPr>
          <w:i/>
          <w:noProof/>
        </w:rPr>
      </w:pPr>
      <w:r>
        <w:rPr>
          <w:noProof/>
        </w:rPr>
        <w:tab/>
      </w:r>
      <w:r>
        <w:rPr>
          <w:i/>
          <w:noProof/>
        </w:rPr>
        <w:t>3.2.5.</w:t>
      </w:r>
      <w:r>
        <w:rPr>
          <w:noProof/>
        </w:rPr>
        <w:tab/>
      </w:r>
      <w:r>
        <w:rPr>
          <w:i/>
          <w:noProof/>
        </w:rPr>
        <w:t xml:space="preserve">Udział osób trzecich w finansowaniu </w:t>
      </w:r>
    </w:p>
    <w:p>
      <w:pPr>
        <w:rPr>
          <w:noProof/>
        </w:rPr>
      </w:pPr>
      <w:r>
        <w:rPr>
          <w:noProof/>
        </w:rPr>
        <w:tab/>
        <w:t>3.3.</w:t>
      </w:r>
      <w:r>
        <w:rPr>
          <w:noProof/>
        </w:rPr>
        <w:tab/>
        <w:t>Szacunkowy wpływ na dochody</w:t>
      </w:r>
    </w:p>
    <w:p>
      <w:pPr>
        <w:spacing w:before="0" w:after="200" w:line="276" w:lineRule="auto"/>
        <w:jc w:val="left"/>
        <w:rPr>
          <w:noProof/>
        </w:rPr>
      </w:pPr>
      <w:r>
        <w:rPr>
          <w:noProof/>
        </w:rPr>
        <w:br w:type="page"/>
      </w:r>
    </w:p>
    <w:p>
      <w:pPr>
        <w:jc w:val="center"/>
        <w:rPr>
          <w:b/>
          <w:noProof/>
          <w:u w:val="single"/>
        </w:rPr>
      </w:pPr>
      <w:r>
        <w:rPr>
          <w:b/>
          <w:noProof/>
          <w:u w:val="single"/>
        </w:rPr>
        <w:lastRenderedPageBreak/>
        <w:t>OCENA SKUTKÓW FINANSOWYCH REGULACJI</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STRUKTURA WNIOSKU/INICJATYWY</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Tytuł wniosku/inicjatywy</w:t>
      </w:r>
      <w:bookmarkEnd w:id="3"/>
      <w:bookmarkEnd w:id="4"/>
      <w:r>
        <w:rPr>
          <w:b/>
          <w:bCs/>
          <w:noProof/>
          <w:szCs w:val="26"/>
        </w:rPr>
        <w:t xml:space="preserve"> </w:t>
      </w:r>
    </w:p>
    <w:p>
      <w:pPr>
        <w:ind w:left="850"/>
        <w:rPr>
          <w:noProof/>
          <w:color w:val="0000FF"/>
        </w:rPr>
      </w:pPr>
      <w:bookmarkStart w:id="5" w:name="_Toc514941973"/>
      <w:r>
        <w:rPr>
          <w:noProof/>
          <w:color w:val="0000FF"/>
        </w:rPr>
        <w:t>Zmienione wnioski dotyczące ROZPORZĄDZENIA PARLAMENTU EUROPEJSKIEGO I RADY ustanawiającego program ramowy w zakresie badań naukowych i innowacji „Horyzont Europa” oraz zasady uczestnictwa i upowszechniania obowiązujące w tym programie (COM(2018) 435); DECYZJI PARLAMENTU EUROPEJSKIEGO I RADY ustanawiającej program szczegółowy służący realizacji programu ramowego w zakresie badań naukowych i innowacji „Horyzont Europa” (COM(2018) 436); ROZPORZĄDZENIA PARLAMENTU EUROPEJSKIEGO I RADY ustanawiającego przepisy dotyczące wsparcia na podstawie planów strategicznych sporządzanych przez państwa członkowskie w ramach wspólnej polityki rolnej (COM(2018) 392); ROZPORZĄDZENIA PARLAMENTU EUROPEJSKIEGO I RADY ustanawiającego Instrument Sąsiedztwa oraz Współpracy Międzynarodowej i Rozwojowej</w:t>
      </w:r>
    </w:p>
    <w:p>
      <w:pPr>
        <w:keepNext/>
        <w:outlineLvl w:val="1"/>
        <w:rPr>
          <w:rFonts w:eastAsiaTheme="majorEastAsia"/>
          <w:b/>
          <w:bCs/>
          <w:noProof/>
          <w:szCs w:val="26"/>
        </w:rPr>
      </w:pPr>
      <w:bookmarkStart w:id="6" w:name="_Toc40374709"/>
      <w:bookmarkStart w:id="7" w:name="_Toc40376062"/>
      <w:bookmarkEnd w:id="6"/>
      <w:r>
        <w:rPr>
          <w:b/>
          <w:bCs/>
          <w:noProof/>
          <w:szCs w:val="26"/>
        </w:rPr>
        <w:t>Obszary polityki, których dotyczy wniosek/inicjatywa (klaster programów)</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color w:val="0000FF"/>
        </w:rPr>
        <w:t>01 Badania naukowe i innowacje</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15 Działania zewnętrzne</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08 Rolnictwo i polityka morska </w:t>
      </w:r>
    </w:p>
    <w:p>
      <w:pPr>
        <w:keepNext/>
        <w:outlineLvl w:val="1"/>
        <w:rPr>
          <w:rFonts w:eastAsiaTheme="majorEastAsia"/>
          <w:b/>
          <w:noProof/>
          <w:szCs w:val="24"/>
        </w:rPr>
      </w:pPr>
      <w:bookmarkStart w:id="9" w:name="_Toc40374711"/>
      <w:bookmarkStart w:id="10" w:name="_Toc40376063"/>
      <w:bookmarkEnd w:id="9"/>
      <w:r>
        <w:rPr>
          <w:b/>
          <w:bCs/>
          <w:noProof/>
          <w:szCs w:val="26"/>
        </w:rPr>
        <w:t>Wniosek/inicjatywa dotyczy:</w:t>
      </w:r>
      <w:bookmarkEnd w:id="8"/>
      <w:bookmarkEnd w:id="10"/>
      <w:r>
        <w:rPr>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nowego działania</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nowego działania, będącego następstwem projektu pilotażowego/działania przygotowawczego</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przedłużenia bieżącego działania</w:t>
      </w:r>
      <w:r>
        <w:rPr>
          <w:noProof/>
          <w:sz w:val="22"/>
        </w:rPr>
        <w:t xml:space="preserve"> </w:t>
      </w:r>
    </w:p>
    <w:p>
      <w:pPr>
        <w:ind w:left="850"/>
        <w:rPr>
          <w:noProof/>
        </w:rPr>
      </w:pPr>
      <w:r>
        <w:rPr>
          <w:noProof/>
          <w:sz w:val="22"/>
        </w:rPr>
        <w:t>X</w:t>
      </w:r>
      <w:r>
        <w:rPr>
          <w:i/>
          <w:noProof/>
          <w:sz w:val="22"/>
        </w:rPr>
        <w:t xml:space="preserve"> </w:t>
      </w:r>
      <w:r>
        <w:rPr>
          <w:b/>
          <w:noProof/>
        </w:rPr>
        <w:t>połączenia lub przekształcenia co najmniej jednego działania pod kątem innego/nowego działania</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Uzasadnienie wniosku/inicjatywy</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Potrzeby, które należy zaspokoić w perspektywie krótko- lub długoterminowej, w tym szczegółowy terminarz przebiegu realizacji inicjatywy</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Przedmiotowe ukierunkowane zmiany programu ramowego „Horyzont Europa”, programu szczegółowego w zakresie badań naukowych i innowacji, Instrumentu Sąsiedztwa oraz Współpracy Międzynarodowej i Rozwojowej, a także interwencji EFRROW w ramach planów strategicznych WPR proponuje się w ramach zmienionego wniosku w sprawie WRF, w tym w ramach Instrumentu Unii Europejskiej na rzecz Odbudowy (EURI). Ten nowy instrument zapewni fundusze na te programy przez ograniczony okres powyżej pułapów ustalonych w WRF dla środków na zobowiązania i środków na płatności, jako zewnętrzne dochody przeznaczone na określony cel w rozumieniu art. 21 rozporządzenia finansowego.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lastRenderedPageBreak/>
        <w:t>Co do ogólnej zasady wsparcie finansowe i odpowiednie działania prowadzone przez Komisję powinny do końca 2024 r. być realizowane jak najwcześniej, a w odniesieniu do co najmniej 60 % wszystkich środków bezzwrotnego wsparcia finansowego powinny zostać podjęte do końca 2022 r. Pozostałe lata po 2024 r. do końca WRF powinny zatem zostać wykorzystane przez Komisję do wspierania realizacji odpowiednich działań w terenie oraz osiągnięcia spodziewanej odbudowy w odpowiednich sektorach gospodarki i społeczeństwa oraz w celu sprzyjania odporności i konwergencji.</w:t>
      </w:r>
    </w:p>
    <w:p>
      <w:pPr>
        <w:ind w:left="850"/>
        <w:rPr>
          <w:noProof/>
          <w:color w:val="0000FF"/>
        </w:rPr>
      </w:pPr>
    </w:p>
    <w:p>
      <w:pPr>
        <w:keepNext/>
        <w:outlineLvl w:val="2"/>
        <w:rPr>
          <w:rFonts w:eastAsiaTheme="majorEastAsia"/>
          <w:bCs/>
          <w:i/>
          <w:noProof/>
        </w:rPr>
      </w:pPr>
      <w:bookmarkStart w:id="15" w:name="_Toc514941977"/>
      <w:bookmarkStart w:id="16" w:name="_Toc40376066"/>
      <w:r>
        <w:rPr>
          <w:bCs/>
          <w:i/>
          <w:noProof/>
        </w:rPr>
        <w:t>Wartość dodana z tytułu zaangażowania Unii Europejskiej (może wynikać z różnych czynników, na przykład korzyści koordynacyjnych, pewności prawa, większej efektywności lub komplementarności). Na potrzeby tego punktu „wartość dodaną z tytułu zaangażowania Unii” należy rozumieć jako wartość wynikającą z unijnej interwencji, wykraczającą poza wartość, która zostałaby wytworzona przez same państwa członkowskie.</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W celu powstrzymania rozprzestrzeniania się choroby koronawirusowej („COVID-19”), która w dniu 11 marca 2020 r. została uznana za pandemię przez Światową Organizację Zdrowia, państwa członkowskie i państwa trzecie przyjęły szereg bezprecedensowych środków. Środki te spowodowały istotne zakłócenia działalności gospodarczej. Wprowadzone działania spowodowały w szczególności przerwy w łańcuchach dostaw i w produkcji, a także poskutkowały nieobecnością pracowników w miejscu zatrudnienia. W szerszym ujęciu działania te spowodowały lub spowodują poważne pogorszenie sytuacji finansowej wielu przedsiębiorstw w Unii i w państwach trzecich.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Kryzys szybko rozprzestrzenia się na terytorium Unii i państw trzecich. W 2020 r. przewiduje się gwałtowny spadek tempa wzrostu w Unii, który może potrwać do 2021 r. Ryzyko związane z odbudową rozkłada się bardzo nierówno w poszczególnych państwach, co zwiększa rozbieżności między krajowymi gospodarkami. Zagrożeniem dla jednolitego rynku jest zróżnicowana zdolność fiskalna poszczególnych państw członkowskich do zapewnienia wsparcia finansowego tam, gdzie jest ono najbardziej potrzebne na odbudowę, a także rozbieżności w krajowych środkach.</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Konieczny jest obszerny zestaw środków służących odbudowie gospodarczej, wymagający znaczących kwot w postaci inwestycji publicznych i prywatnych, które pobudzą gospodarkę, zaowocują miejscami pracy wysokiej jakości oraz pomogą naprawić bezpośrednie szkody wywołane pandemią COVID-19.</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W tej wyjątkowej sytuacji konieczne jest spójne i jednolite podejście na poziomie Unii w celu zapobieżenia dalszemu pogarszaniu się sytuacji gospodarczej oraz przyspieszenia zrównoważonej odbudowy działalności gospodarczej, zapewnienia ciągłości i zwiększenia inwestycji na rzecz transformacji ekologicznej i cyfrowej. W związku z tym konieczne jest ustanowienie instrumentu UE na rzecz odbudowy w celu zaradzenia skutkom pandemii COVID-19 lub zaspokojenia pilnych potrzeb w zakresie finansowania w celu uniknięcia ponownego pojawienia się pandemii. </w:t>
      </w:r>
    </w:p>
    <w:p>
      <w:pPr>
        <w:pBdr>
          <w:top w:val="single" w:sz="4" w:space="1" w:color="auto"/>
          <w:left w:val="single" w:sz="4" w:space="4" w:color="auto"/>
          <w:bottom w:val="single" w:sz="4" w:space="1" w:color="auto"/>
          <w:right w:val="single" w:sz="4" w:space="4" w:color="auto"/>
        </w:pBdr>
        <w:ind w:left="850"/>
        <w:rPr>
          <w:noProof/>
        </w:rPr>
      </w:pPr>
      <w:r>
        <w:rPr>
          <w:noProof/>
        </w:rPr>
        <w:t xml:space="preserve">5) Zgodnie z tą logiką instrument powinien wzmocnić wsparcie udzielane w ramach programu „Horyzont Europa” na rzecz działalności badawczej i innowacyjnej związanej ze zdrowiem i klimatem. Przyczyni się to do zwiększenia gotowości do skutecznego i szybkiego reagowania na sytuacje nadzwyczajne oraz do zwiększenia </w:t>
      </w:r>
      <w:r>
        <w:rPr>
          <w:noProof/>
        </w:rPr>
        <w:lastRenderedPageBreak/>
        <w:t>inwestycji w rozwiązania oparte na wynikach naukowych, a także do zapewnienia spójności z celami Europejskiego Zielonego Ładu.</w:t>
      </w:r>
    </w:p>
    <w:p>
      <w:pPr>
        <w:pBdr>
          <w:top w:val="single" w:sz="4" w:space="1" w:color="auto"/>
          <w:left w:val="single" w:sz="4" w:space="4" w:color="auto"/>
          <w:bottom w:val="single" w:sz="4" w:space="1" w:color="auto"/>
          <w:right w:val="single" w:sz="4" w:space="4" w:color="auto"/>
        </w:pBdr>
        <w:ind w:left="850"/>
        <w:rPr>
          <w:noProof/>
        </w:rPr>
      </w:pPr>
      <w:r>
        <w:rPr>
          <w:noProof/>
        </w:rPr>
        <w:t>6) Dla gospodarki Unii duże znaczenie mają stosunki handlowe i gospodarcze z państwami sąsiadującymi i państwami rozwijającymi się, m.in. państwami regionu Bałkanów Zachodnich, państwami objętymi europejską polityką sąsiedztwa oraz państwami Afryki. Z tego względu oraz zgodnie z globalną rolą i odpowiedzialnością Unii, a także jej wartościami, zasoby finansowe z instrumentu na rzecz odbudowy powinny być również wykorzystywane za pośrednictwem ISWMR w celu zapewnienia wsparcia dla wysiłków tych krajów w zakresie zwalczania skutków pandemii COVID-19 i odbudowy po kryzysie.</w:t>
      </w:r>
    </w:p>
    <w:p>
      <w:pPr>
        <w:pBdr>
          <w:top w:val="single" w:sz="4" w:space="1" w:color="auto"/>
          <w:left w:val="single" w:sz="4" w:space="4" w:color="auto"/>
          <w:bottom w:val="single" w:sz="4" w:space="1" w:color="auto"/>
          <w:right w:val="single" w:sz="4" w:space="4" w:color="auto"/>
        </w:pBdr>
        <w:ind w:left="850"/>
        <w:rPr>
          <w:noProof/>
        </w:rPr>
      </w:pPr>
      <w:r>
        <w:rPr>
          <w:noProof/>
        </w:rPr>
        <w:t>7) Instrument powinien również wzmacniać wsparcie za pośrednictwem Europejskiego Funduszu Rolnego na rzecz Rozwoju Obszarów Wiejskich (EFRROW), udostępniając państwom członkowskim nadzwyczajne dodatkowe zasoby w celu zapewnienia pomocy sektorom rolnemu i spożywczemu, które poważnie ucierpiały, w celu wsparcia niwelowania skutków kryzysu spowodowanego pandemią COVID-19 oraz przygotowania do odbudowy gospodarki.</w:t>
      </w:r>
    </w:p>
    <w:p>
      <w:pPr>
        <w:ind w:left="720"/>
        <w:rPr>
          <w:noProof/>
        </w:rPr>
      </w:pPr>
    </w:p>
    <w:p>
      <w:pPr>
        <w:keepNext/>
        <w:outlineLvl w:val="2"/>
        <w:rPr>
          <w:rFonts w:eastAsiaTheme="majorEastAsia"/>
          <w:bCs/>
          <w:i/>
          <w:noProof/>
        </w:rPr>
      </w:pPr>
      <w:bookmarkStart w:id="17" w:name="_Toc514941978"/>
      <w:bookmarkStart w:id="18" w:name="_Toc40376067"/>
      <w:r>
        <w:rPr>
          <w:bCs/>
          <w:i/>
          <w:noProof/>
        </w:rPr>
        <w:t>Główne wnioski wyciągnięte z podobnych działań</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W odniesieniu do stosunków zewnętrznych, w sprawozdaniu z przeglądu śródokresowego instrumentu finansowania zewnętrznego</w:t>
      </w:r>
      <w:r>
        <w:rPr>
          <w:rStyle w:val="FootnoteReference"/>
          <w:noProof/>
        </w:rPr>
        <w:footnoteReference w:id="4"/>
      </w:r>
      <w:r>
        <w:rPr>
          <w:noProof/>
          <w:color w:val="0000FF"/>
        </w:rPr>
        <w:t xml:space="preserve"> stwierdza się, że w obecnym kontekście licznych kryzysów i konfliktów wieloletnie ramy finansowe UE muszą być w stanie szybko dostosowywać się do zmieniających się priorytetów i nieprzewidzianych zdarzeń oraz szybko przynosić wyniki w terenie. Przedmiotowe instrumenty także muszą cechować się odpowiednią elastycznością finansową i elastycznością w innych obszarach, aby w ramach działań zewnętrznych można było reagować na liczne wyzwania stojące przed UE na płaszczyźnie międzynarodowej. Taka elastyczność musi być budowana na wielu różnych poziomach. Oznacza to, że należy zacząć od budżetu, który powinien mieć większe rezerwy, następnie uwzględnić wieloletnie programowanie oraz większe uproszczenia na poziomie wdrażania, aby zwiększyć wydajność i skuteczność. Niniejszy wniosek stanowi odpowiedź na te stwierdzenia poprzez zwiększenie dostępności dodatkowych zasobów w celu przezwyciężenia nieprzewidzianego kryzysu wywołanego przez pandemię COVID-19.</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Badania naukowe i innowacje, a w szczególności sztandarowy program europejski „Horyzont Europa”, realizują priorytety obywateli, zwiększają wydajność i konkurencyjność Unii i mają podstawowe znaczenie dla utrzymania naszego modelu społeczno-gospodarczego i wartości, a także ułatwiają wypracowywanie rozwiązań umożliwiających bardziej systemowe reagowanie na wyzwania. W obecnych nadzwyczajnych okolicznościach Europa potrzebuje szybkich rozwiązań opartych na badaniach naukowych i innowacjach, a także głębszego naukowego zrozumienia chorób zakaźnych. Zwiększenie zasobów na program umożliwiłoby znaczące inwestycje w badania i innowacje w zakresie przystępnych cenowo i innowacyjnych środków ochronnych, wirusologii, szczepionek, metod leczenia i diagnostyki, a także przełożenie wyników badań na działania w ramach </w:t>
      </w:r>
      <w:r>
        <w:rPr>
          <w:noProof/>
          <w:color w:val="0000FF"/>
        </w:rPr>
        <w:lastRenderedPageBreak/>
        <w:t>polityki zdrowia publicznego. Konieczne jest przeznaczenie większych zasobów na badania i innowacje w dziedzinie klimatu w celu wspierania konkurencyjności przemysłu UE w odnośnych sektorach gospodarki i zapewnienia odbudowy zgodnej z celami Europejskiego Zielonego Ładu. Inwestycje w badania i innowacje mogą pomóc w rozwiązaniu problemów drastycznego wzrostu emisji oraz degradacji przyrody, które znacząco wpływają na zdrowie (np. choroby odzwierzęce). Wzmocnienie w tym zakresie stanowiłoby wsparcie dla przedsiębiorstw, które prowadzą działalność w zakresie badań i innowacji w celu stopniowego wycofywania paliw kopalnych i inwestowania w technologie przełomowe w obszarach objętych Europejskim Zielonym Ładem. Zapewniłoby ono środki finansowe i środki rozwoju na potrzeby nowych i przełomowych innowacji opracowywanych przez MŚP, przedsiębiorstwa typu start-up i przedsiębiorstwa o średniej kapitalizacji. Wniosek stanowi uzupełnienie innych szczególnych działań podjętych już w celu zapewnienia pomocy sektorowi rolnemu. Podjęto działania regulacyjne, np. dostosowanie zasad pomocy państwa lub ułatwienie dyspozycyjności pracowników sezonowych.</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Komisja dostosowała również przepisy i wprowadziła zmiany w dwóch specjalnych funduszach rolnych – EFRG i EFRROW – w celu zapewnienia wyjątkowej elastyczności w wykorzystywaniu europejskich funduszy strukturalnych i inwestycyjnych w odpowiedzi na pandemię COVID-19 (inicjatywa inwestycyjna w odpowiedzi na koronawirusa); podjęła także inne środki mające na celu zaradzenie obecnej bezprecedensowej sytuacji. Środki te są zgodne z wnioskiem Komisji dotyczącym Instrumentu Unii Europejskiej na rzecz Odbudowy, określonym w proponowanym rozporządzeniu (UE) XXX/XX.</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Spójność z innymi właściwymi instrumentami oraz możliwa synergia</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Oprócz synergii wymienionych już w poprzednich wnioskach Komisji z 2018 r. w odniesieniu do programu „Horyzont Europa”, ISWMR oraz interwencji EFRROW w ramach planów strategicznych WPR, ta konkretna inicjatywa w kontekście zmienionego wniosku w sprawie WRF ustanawia silne synergie między tymi programami a nowym Instrumentem Unii Europejskiej na rzecz Odbudowy, określonym w proponowanym rozporządzeniu (UE) XXX/XX. Ten ostatni instrument umożliwi przeznaczanie środków na wymienione programy sektorowe przez ograniczony okres powyżej pułapów ustalonych w WRF w wyniku komplementarności celów i działania tych instrumentów, a także w świetle uzasadnienia i wartości dodanej, które przedstawiono w sekcji 1.4.2 powyżej.</w:t>
      </w:r>
    </w:p>
    <w:p>
      <w:pPr>
        <w:ind w:left="720"/>
        <w:rPr>
          <w:noProof/>
        </w:rPr>
      </w:pPr>
    </w:p>
    <w:p>
      <w:pPr>
        <w:ind w:left="850"/>
        <w:rPr>
          <w:noProof/>
          <w:color w:val="0000F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Okres trwania wniosku/inicjatywy i jego wpływ finansowy</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Ograniczony czas trwania </w:t>
      </w:r>
    </w:p>
    <w:p>
      <w:pPr>
        <w:rPr>
          <w:rFonts w:eastAsia="Times New Roman"/>
          <w:noProof/>
        </w:rPr>
      </w:pPr>
      <w:r>
        <w:rPr>
          <w:noProof/>
        </w:rPr>
        <w:sym w:font="Wingdings" w:char="F0A8"/>
      </w:r>
      <w:r>
        <w:rPr>
          <w:noProof/>
        </w:rPr>
        <w:tab/>
        <w:t xml:space="preserve">Okres trwania wniosku/inicjatywy: od [DD/MM]RRRR r. do [DD/MM]RRRR r. </w:t>
      </w:r>
    </w:p>
    <w:p>
      <w:pPr>
        <w:rPr>
          <w:rFonts w:eastAsia="Times New Roman"/>
          <w:noProof/>
        </w:rPr>
      </w:pPr>
      <w:r>
        <w:rPr>
          <w:noProof/>
        </w:rPr>
        <w:sym w:font="Wingdings" w:char="F0A8"/>
      </w:r>
      <w:r>
        <w:rPr>
          <w:noProof/>
        </w:rPr>
        <w:tab/>
        <w:t xml:space="preserve">Okres trwania wpływu finansowego: od RRRR r. do RRRR r. w odniesieniu do środków na zobowiązania oraz od RRRR r. do RRRR r. w odniesieniu do środków na płatności. </w:t>
      </w:r>
    </w:p>
    <w:p>
      <w:pPr>
        <w:ind w:left="850"/>
        <w:rPr>
          <w:noProof/>
        </w:rPr>
      </w:pPr>
      <w:r>
        <w:rPr>
          <w:noProof/>
        </w:rPr>
        <w:t>X</w:t>
      </w:r>
      <w:r>
        <w:rPr>
          <w:b/>
          <w:i/>
          <w:noProof/>
        </w:rPr>
        <w:t xml:space="preserve"> </w:t>
      </w:r>
      <w:r>
        <w:rPr>
          <w:b/>
          <w:noProof/>
        </w:rPr>
        <w:t>Nieograniczony czas trwania</w:t>
      </w:r>
    </w:p>
    <w:p>
      <w:pPr>
        <w:rPr>
          <w:rFonts w:eastAsia="Times New Roman"/>
          <w:noProof/>
        </w:rPr>
      </w:pPr>
      <w:r>
        <w:rPr>
          <w:noProof/>
        </w:rPr>
        <w:t>Wprowadzenie w życie z okresem rozruchu począwszy od 2021 r.,</w:t>
      </w:r>
    </w:p>
    <w:p>
      <w:pPr>
        <w:rPr>
          <w:rFonts w:eastAsia="Times New Roman"/>
          <w:noProof/>
        </w:rPr>
      </w:pPr>
      <w:r>
        <w:rPr>
          <w:noProof/>
        </w:rPr>
        <w:t>po którym następuje faza operacyjna.</w:t>
      </w:r>
    </w:p>
    <w:p>
      <w:pPr>
        <w:keepNext/>
        <w:outlineLvl w:val="1"/>
        <w:rPr>
          <w:rFonts w:eastAsiaTheme="majorEastAsia"/>
          <w:b/>
          <w:bCs/>
          <w:noProof/>
          <w:szCs w:val="26"/>
        </w:rPr>
      </w:pPr>
      <w:bookmarkStart w:id="25" w:name="_Toc514941981"/>
      <w:bookmarkStart w:id="26" w:name="_Toc40376070"/>
      <w:r>
        <w:rPr>
          <w:b/>
          <w:bCs/>
          <w:noProof/>
          <w:szCs w:val="26"/>
        </w:rPr>
        <w:t>Planowane tryby zarządzania</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X</w:t>
      </w:r>
      <w:r>
        <w:rPr>
          <w:i/>
          <w:noProof/>
        </w:rPr>
        <w:t xml:space="preserve"> </w:t>
      </w:r>
      <w:r>
        <w:rPr>
          <w:b/>
          <w:noProof/>
        </w:rPr>
        <w:t>Bezpośrednie zarządzanie</w:t>
      </w:r>
      <w:r>
        <w:rPr>
          <w:noProof/>
        </w:rPr>
        <w:t xml:space="preserve"> przez Komisję</w:t>
      </w:r>
    </w:p>
    <w:p>
      <w:pPr>
        <w:rPr>
          <w:rFonts w:eastAsia="Times New Roman" w:cs="EUAlbertina"/>
          <w:noProof/>
        </w:rPr>
      </w:pPr>
      <w:r>
        <w:rPr>
          <w:noProof/>
        </w:rPr>
        <w:t xml:space="preserve">X w ramach jej służb, w tym za pośrednictwem jej pracowników w delegaturach Unii; </w:t>
      </w:r>
    </w:p>
    <w:p>
      <w:pPr>
        <w:rPr>
          <w:rFonts w:eastAsia="Times New Roman"/>
          <w:noProof/>
        </w:rPr>
      </w:pPr>
      <w:r>
        <w:rPr>
          <w:noProof/>
        </w:rPr>
        <w:t>X</w:t>
      </w:r>
      <w:r>
        <w:rPr>
          <w:noProof/>
        </w:rPr>
        <w:tab/>
        <w:t xml:space="preserve">przez agencje wykonawcze </w:t>
      </w:r>
    </w:p>
    <w:p>
      <w:pPr>
        <w:ind w:left="850"/>
        <w:rPr>
          <w:noProof/>
        </w:rPr>
      </w:pPr>
      <w:r>
        <w:rPr>
          <w:noProof/>
        </w:rPr>
        <w:sym w:font="Wingdings" w:char="F0A8"/>
      </w:r>
      <w:r>
        <w:rPr>
          <w:b/>
          <w:i/>
          <w:noProof/>
        </w:rPr>
        <w:t xml:space="preserve"> </w:t>
      </w:r>
      <w:r>
        <w:rPr>
          <w:b/>
          <w:noProof/>
        </w:rPr>
        <w:t>Zarządzanie dzielone</w:t>
      </w:r>
      <w:r>
        <w:rPr>
          <w:noProof/>
        </w:rPr>
        <w:t xml:space="preserve"> z państwami członkowskimi </w:t>
      </w:r>
    </w:p>
    <w:p>
      <w:pPr>
        <w:ind w:left="850"/>
        <w:rPr>
          <w:noProof/>
        </w:rPr>
      </w:pPr>
      <w:r>
        <w:rPr>
          <w:noProof/>
        </w:rPr>
        <w:t>X</w:t>
      </w:r>
      <w:r>
        <w:rPr>
          <w:i/>
          <w:noProof/>
        </w:rPr>
        <w:t xml:space="preserve"> </w:t>
      </w:r>
      <w:r>
        <w:rPr>
          <w:b/>
          <w:noProof/>
        </w:rPr>
        <w:t>Zarządzanie pośrednie</w:t>
      </w:r>
      <w:r>
        <w:rPr>
          <w:noProof/>
        </w:rPr>
        <w:t xml:space="preserve"> poprzez przekazanie zadań związanych z wykonaniem budżetu:</w:t>
      </w:r>
    </w:p>
    <w:p>
      <w:pPr>
        <w:rPr>
          <w:rFonts w:eastAsia="Times New Roman"/>
          <w:noProof/>
        </w:rPr>
      </w:pPr>
      <w:r>
        <w:rPr>
          <w:noProof/>
        </w:rPr>
        <w:t>X państwom trzecim lub organom przez nie wyznaczonym;</w:t>
      </w:r>
    </w:p>
    <w:p>
      <w:pPr>
        <w:rPr>
          <w:rFonts w:eastAsia="Times New Roman"/>
          <w:noProof/>
        </w:rPr>
      </w:pPr>
      <w:r>
        <w:rPr>
          <w:noProof/>
        </w:rPr>
        <w:t>X organizacjom międzynarodowym i ich agencjom (należy wyszczególnić);</w:t>
      </w:r>
    </w:p>
    <w:p>
      <w:pPr>
        <w:rPr>
          <w:rFonts w:eastAsia="Times New Roman"/>
          <w:noProof/>
        </w:rPr>
      </w:pPr>
      <w:r>
        <w:rPr>
          <w:noProof/>
        </w:rPr>
        <w:t>X EBI oraz Europejskiemu Funduszowi Inwestycyjnemu;</w:t>
      </w:r>
    </w:p>
    <w:p>
      <w:pPr>
        <w:rPr>
          <w:rFonts w:eastAsia="Times New Roman"/>
          <w:noProof/>
        </w:rPr>
      </w:pPr>
      <w:r>
        <w:rPr>
          <w:noProof/>
        </w:rPr>
        <w:t>X organom, o których mowa w art. 70 i 71 rozporządzenia finansowego;</w:t>
      </w:r>
    </w:p>
    <w:p>
      <w:pPr>
        <w:rPr>
          <w:rFonts w:eastAsia="Times New Roman"/>
          <w:noProof/>
        </w:rPr>
      </w:pPr>
      <w:r>
        <w:rPr>
          <w:noProof/>
        </w:rPr>
        <w:t>X organom prawa publicznego;</w:t>
      </w:r>
    </w:p>
    <w:p>
      <w:pPr>
        <w:rPr>
          <w:rFonts w:eastAsia="Times New Roman"/>
          <w:noProof/>
        </w:rPr>
      </w:pPr>
      <w:r>
        <w:rPr>
          <w:noProof/>
        </w:rPr>
        <w:t>X podmiotom podlegającym prawu prywatnemu, które świadczą usługi użyteczności publicznej, o ile zapewniają one odpowiednie gwarancje finansowe;</w:t>
      </w:r>
    </w:p>
    <w:p>
      <w:pPr>
        <w:rPr>
          <w:rFonts w:eastAsia="Times New Roman"/>
          <w:noProof/>
        </w:rPr>
      </w:pPr>
      <w:r>
        <w:rPr>
          <w:noProof/>
        </w:rPr>
        <w:t>X podmiotom podlegającym prawu prywatnemu państwa członkowskiego, którym powierzono realizację partnerstwa publiczno-prywatnego oraz które zapewniają odpowiednie gwarancje finansowe;</w:t>
      </w:r>
    </w:p>
    <w:p>
      <w:pPr>
        <w:rPr>
          <w:rFonts w:eastAsia="Times New Roman"/>
          <w:noProof/>
        </w:rPr>
      </w:pPr>
      <w:r>
        <w:rPr>
          <w:noProof/>
        </w:rPr>
        <w:t>X osobom odpowiedzialnym za wykonanie określonych działań w dziedzinie wspólnej polityki zagranicznej i bezpieczeństwa na mocy tytułu V Traktatu o Unii Europejskiej oraz określonym we właściwym podstawowym akcie prawnym.</w:t>
      </w:r>
    </w:p>
    <w:p>
      <w:pPr>
        <w:rPr>
          <w:noProof/>
        </w:rPr>
      </w:pPr>
      <w:r>
        <w:rPr>
          <w:noProof/>
        </w:rPr>
        <w:t>Uwagi:</w:t>
      </w:r>
    </w:p>
    <w:p>
      <w:pPr>
        <w:pBdr>
          <w:top w:val="single" w:sz="4" w:space="1" w:color="auto"/>
          <w:left w:val="single" w:sz="4" w:space="4" w:color="auto"/>
          <w:bottom w:val="single" w:sz="4" w:space="1" w:color="auto"/>
          <w:right w:val="single" w:sz="4" w:space="4" w:color="auto"/>
        </w:pBdr>
        <w:rPr>
          <w:noProof/>
        </w:rPr>
      </w:pPr>
      <w:r>
        <w:rPr>
          <w:noProof/>
        </w:rPr>
        <w:t>Komisja może podjąć decyzję o przekazaniu agencji wykonawczej części zadań związanych ze wzmocnieniem programu „Horyzont Europa”, zgodnie z decyzją dotyczącą sposobu zarządzania wzmacnianymi działaniami.</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ŚRODKI ZARZĄDZANIA</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Zasady nadzoru i sprawozdawczości</w:t>
      </w:r>
      <w:bookmarkEnd w:id="31"/>
      <w:bookmarkEnd w:id="32"/>
      <w:bookmarkEnd w:id="33"/>
      <w:bookmarkEnd w:id="34"/>
      <w:r>
        <w:rPr>
          <w:b/>
          <w:bCs/>
          <w:noProof/>
          <w:szCs w:val="26"/>
        </w:rPr>
        <w:t xml:space="preserve"> </w:t>
      </w:r>
    </w:p>
    <w:p>
      <w:pPr>
        <w:ind w:left="850"/>
        <w:rPr>
          <w:i/>
          <w:noProof/>
          <w:sz w:val="20"/>
          <w:szCs w:val="20"/>
        </w:rPr>
      </w:pPr>
      <w:r>
        <w:rPr>
          <w:i/>
          <w:noProof/>
          <w:sz w:val="20"/>
          <w:szCs w:val="20"/>
        </w:rPr>
        <w:t>Określić częstotliwość i warunki</w:t>
      </w:r>
    </w:p>
    <w:p>
      <w:pPr>
        <w:pBdr>
          <w:top w:val="single" w:sz="4" w:space="1" w:color="auto"/>
          <w:left w:val="single" w:sz="4" w:space="4" w:color="auto"/>
          <w:bottom w:val="single" w:sz="4" w:space="1" w:color="auto"/>
          <w:right w:val="single" w:sz="4" w:space="4" w:color="auto"/>
        </w:pBdr>
        <w:ind w:left="850"/>
        <w:rPr>
          <w:noProof/>
        </w:rPr>
      </w:pPr>
      <w:r>
        <w:rPr>
          <w:noProof/>
          <w:color w:val="0000FF"/>
        </w:rPr>
        <w:t>Zob. oceny skutków finansowych wniosków Komisji: COM(2018) 460 final, COM(2018) 435 final, COM(2018) 436 final i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System zarządzania i kontroli</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Zob. oceny skutków finansowych wniosków Komisji: COM(2018) 460 final, COM(2018) 435 final, COM(2018) 436 final i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Środki zapobiegania nadużyciom finansowym i nieprawidłowościom</w:t>
      </w:r>
      <w:bookmarkEnd w:id="42"/>
      <w:bookmarkEnd w:id="43"/>
      <w:bookmarkEnd w:id="44"/>
      <w:bookmarkEnd w:id="45"/>
      <w:r>
        <w:rPr>
          <w:b/>
          <w:bCs/>
          <w:noProof/>
          <w:szCs w:val="26"/>
        </w:rPr>
        <w:t xml:space="preserve"> </w:t>
      </w:r>
    </w:p>
    <w:p>
      <w:pPr>
        <w:ind w:left="850"/>
        <w:rPr>
          <w:i/>
          <w:noProof/>
          <w:sz w:val="20"/>
          <w:szCs w:val="20"/>
        </w:rPr>
      </w:pPr>
      <w:r>
        <w:rPr>
          <w:i/>
          <w:noProof/>
          <w:sz w:val="20"/>
          <w:szCs w:val="20"/>
        </w:rPr>
        <w:t>Określić istniejące lub przewidywane środki zapobiegania i ochrony, np. ze strategii zwalczania nadużyć finansowych.</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Zob. oceny skutków finansowych wniosków Komisji: COM(2018) 460 final, COM(2018) 435 final, COM(2018) 436 final i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bookmarkStart w:id="46" w:name="_Toc40374726"/>
      <w:bookmarkStart w:id="47" w:name="_Toc40374727"/>
      <w:bookmarkStart w:id="48" w:name="_Toc514941989"/>
      <w:bookmarkStart w:id="49" w:name="_Toc40376075"/>
      <w:bookmarkEnd w:id="46"/>
      <w:bookmarkEnd w:id="47"/>
      <w:r>
        <w:rPr>
          <w:b/>
          <w:bCs/>
          <w:smallCaps/>
          <w:noProof/>
          <w:szCs w:val="28"/>
        </w:rPr>
        <w:t>SZACUNKOWY WPŁYW FINANSOWY WNIOSKU/INICJATYWY</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Działy wieloletnich ram finansowych i proponowane nowe linie budżetowe po stronie wydatków</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Dział wieloletnich ram finansowych</w:t>
            </w:r>
          </w:p>
        </w:tc>
        <w:tc>
          <w:tcPr>
            <w:tcW w:w="3960" w:type="dxa"/>
            <w:vAlign w:val="center"/>
          </w:tcPr>
          <w:p>
            <w:pPr>
              <w:spacing w:before="60" w:after="60"/>
              <w:jc w:val="center"/>
              <w:rPr>
                <w:noProof/>
              </w:rPr>
            </w:pPr>
            <w:r>
              <w:rPr>
                <w:noProof/>
                <w:sz w:val="20"/>
              </w:rPr>
              <w:t>Linia budżetowa</w:t>
            </w:r>
          </w:p>
        </w:tc>
        <w:tc>
          <w:tcPr>
            <w:tcW w:w="1080" w:type="dxa"/>
            <w:vAlign w:val="center"/>
          </w:tcPr>
          <w:p>
            <w:pPr>
              <w:spacing w:before="60" w:after="60"/>
              <w:jc w:val="center"/>
              <w:rPr>
                <w:noProof/>
              </w:rPr>
            </w:pPr>
            <w:r>
              <w:rPr>
                <w:noProof/>
                <w:sz w:val="18"/>
              </w:rPr>
              <w:t>Rodzaj środków</w:t>
            </w:r>
          </w:p>
        </w:tc>
        <w:tc>
          <w:tcPr>
            <w:tcW w:w="4440" w:type="dxa"/>
            <w:gridSpan w:val="4"/>
            <w:vAlign w:val="center"/>
          </w:tcPr>
          <w:p>
            <w:pPr>
              <w:spacing w:before="60" w:after="60"/>
              <w:jc w:val="center"/>
              <w:rPr>
                <w:noProof/>
              </w:rPr>
            </w:pPr>
            <w:r>
              <w:rPr>
                <w:noProof/>
                <w:sz w:val="20"/>
              </w:rPr>
              <w:t xml:space="preserve">Wkład </w:t>
            </w:r>
          </w:p>
        </w:tc>
      </w:tr>
      <w:tr>
        <w:tc>
          <w:tcPr>
            <w:tcW w:w="1080" w:type="dxa"/>
            <w:vAlign w:val="center"/>
          </w:tcPr>
          <w:p>
            <w:pPr>
              <w:jc w:val="center"/>
              <w:rPr>
                <w:noProof/>
              </w:rPr>
            </w:pPr>
          </w:p>
        </w:tc>
        <w:tc>
          <w:tcPr>
            <w:tcW w:w="3960" w:type="dxa"/>
            <w:vAlign w:val="center"/>
          </w:tcPr>
          <w:p>
            <w:pPr>
              <w:rPr>
                <w:b/>
                <w:noProof/>
                <w:sz w:val="20"/>
              </w:rPr>
            </w:pPr>
            <w:r>
              <w:rPr>
                <w:b/>
                <w:noProof/>
                <w:sz w:val="20"/>
              </w:rPr>
              <w:t>Dział 1. Jednolity rynek, innowacje i gospodarka cyfrowa</w:t>
            </w:r>
          </w:p>
        </w:tc>
        <w:tc>
          <w:tcPr>
            <w:tcW w:w="1080" w:type="dxa"/>
            <w:vAlign w:val="center"/>
          </w:tcPr>
          <w:p>
            <w:pPr>
              <w:jc w:val="center"/>
              <w:rPr>
                <w:noProof/>
                <w:sz w:val="18"/>
              </w:rPr>
            </w:pPr>
            <w:r>
              <w:rPr>
                <w:noProof/>
                <w:sz w:val="18"/>
                <w:szCs w:val="18"/>
              </w:rPr>
              <w:t>Zróżn. / niezróżn.</w:t>
            </w:r>
            <w:r>
              <w:rPr>
                <w:rStyle w:val="FootnoteReference"/>
                <w:noProof/>
              </w:rPr>
              <w:footnoteReference w:id="6"/>
            </w:r>
          </w:p>
        </w:tc>
        <w:tc>
          <w:tcPr>
            <w:tcW w:w="1044" w:type="dxa"/>
            <w:vAlign w:val="center"/>
          </w:tcPr>
          <w:p>
            <w:pPr>
              <w:jc w:val="center"/>
              <w:rPr>
                <w:noProof/>
              </w:rPr>
            </w:pPr>
            <w:r>
              <w:rPr>
                <w:noProof/>
                <w:sz w:val="18"/>
                <w:szCs w:val="18"/>
              </w:rPr>
              <w:t>państw EFTA</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krajów kandydujących</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państw trzecich</w:t>
            </w:r>
          </w:p>
        </w:tc>
        <w:tc>
          <w:tcPr>
            <w:tcW w:w="1448" w:type="dxa"/>
            <w:vAlign w:val="center"/>
          </w:tcPr>
          <w:p>
            <w:pPr>
              <w:jc w:val="center"/>
              <w:rPr>
                <w:noProof/>
                <w:sz w:val="16"/>
              </w:rPr>
            </w:pPr>
            <w:r>
              <w:rPr>
                <w:noProof/>
                <w:sz w:val="16"/>
              </w:rPr>
              <w:t xml:space="preserve">w rozumieniu art. [21 ust. 2 lit. b)] rozporządzenia finansowego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01 01 01, 01 01 01 02, 01 01 01 03, 01 01 01 61, 01 01 01 62, 01 01 01 62, 01 01 01 63, 01 01 01 64 Wydatki na wsparcie programu „Horyzont Europa”, w tym wkłady na rzecz agencji wykonawczych realizujących program</w:t>
            </w:r>
          </w:p>
          <w:p>
            <w:pPr>
              <w:rPr>
                <w:noProof/>
                <w:sz w:val="20"/>
              </w:rPr>
            </w:pPr>
          </w:p>
        </w:tc>
        <w:tc>
          <w:tcPr>
            <w:tcW w:w="1080" w:type="dxa"/>
            <w:vAlign w:val="center"/>
          </w:tcPr>
          <w:p>
            <w:pPr>
              <w:jc w:val="center"/>
              <w:rPr>
                <w:noProof/>
                <w:sz w:val="22"/>
              </w:rPr>
            </w:pPr>
            <w:r>
              <w:rPr>
                <w:noProof/>
                <w:sz w:val="22"/>
              </w:rPr>
              <w:t>Niezróżn.</w:t>
            </w:r>
          </w:p>
        </w:tc>
        <w:tc>
          <w:tcPr>
            <w:tcW w:w="1044" w:type="dxa"/>
            <w:vAlign w:val="center"/>
          </w:tcPr>
          <w:p>
            <w:pPr>
              <w:jc w:val="center"/>
              <w:rPr>
                <w:noProof/>
                <w:sz w:val="18"/>
              </w:rPr>
            </w:pPr>
            <w:r>
              <w:rPr>
                <w:noProof/>
                <w:sz w:val="22"/>
              </w:rPr>
              <w:t>TAK</w:t>
            </w:r>
          </w:p>
        </w:tc>
        <w:tc>
          <w:tcPr>
            <w:tcW w:w="1134" w:type="dxa"/>
            <w:vAlign w:val="center"/>
          </w:tcPr>
          <w:p>
            <w:pPr>
              <w:jc w:val="center"/>
              <w:rPr>
                <w:noProof/>
                <w:sz w:val="18"/>
              </w:rPr>
            </w:pPr>
            <w:r>
              <w:rPr>
                <w:noProof/>
                <w:sz w:val="22"/>
              </w:rPr>
              <w:t>TAK</w:t>
            </w:r>
          </w:p>
        </w:tc>
        <w:tc>
          <w:tcPr>
            <w:tcW w:w="814" w:type="dxa"/>
            <w:vAlign w:val="center"/>
          </w:tcPr>
          <w:p>
            <w:pPr>
              <w:jc w:val="center"/>
              <w:rPr>
                <w:noProof/>
                <w:sz w:val="18"/>
              </w:rPr>
            </w:pPr>
            <w:r>
              <w:rPr>
                <w:noProof/>
                <w:sz w:val="22"/>
              </w:rPr>
              <w:t>TAK</w:t>
            </w:r>
          </w:p>
        </w:tc>
        <w:tc>
          <w:tcPr>
            <w:tcW w:w="1448" w:type="dxa"/>
            <w:vAlign w:val="center"/>
          </w:tcPr>
          <w:p>
            <w:pPr>
              <w:jc w:val="center"/>
              <w:rPr>
                <w:noProof/>
                <w:sz w:val="16"/>
              </w:rPr>
            </w:pPr>
            <w:r>
              <w:rPr>
                <w:noProof/>
                <w:sz w:val="22"/>
              </w:rPr>
              <w:t>NIE</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10 Klaster „Zdrowie”</w:t>
            </w:r>
          </w:p>
        </w:tc>
        <w:tc>
          <w:tcPr>
            <w:tcW w:w="1080" w:type="dxa"/>
            <w:vAlign w:val="center"/>
          </w:tcPr>
          <w:p>
            <w:pPr>
              <w:jc w:val="center"/>
              <w:rPr>
                <w:noProof/>
                <w:sz w:val="18"/>
              </w:rPr>
            </w:pPr>
            <w:r>
              <w:rPr>
                <w:noProof/>
                <w:sz w:val="22"/>
              </w:rPr>
              <w:t>Zróżn.</w:t>
            </w:r>
          </w:p>
        </w:tc>
        <w:tc>
          <w:tcPr>
            <w:tcW w:w="1044" w:type="dxa"/>
            <w:vAlign w:val="center"/>
          </w:tcPr>
          <w:p>
            <w:pPr>
              <w:jc w:val="center"/>
              <w:rPr>
                <w:noProof/>
                <w:sz w:val="18"/>
              </w:rPr>
            </w:pPr>
            <w:r>
              <w:rPr>
                <w:noProof/>
                <w:sz w:val="22"/>
              </w:rPr>
              <w:t>TAK</w:t>
            </w:r>
          </w:p>
        </w:tc>
        <w:tc>
          <w:tcPr>
            <w:tcW w:w="1134" w:type="dxa"/>
            <w:vAlign w:val="center"/>
          </w:tcPr>
          <w:p>
            <w:pPr>
              <w:jc w:val="center"/>
              <w:rPr>
                <w:noProof/>
                <w:sz w:val="18"/>
              </w:rPr>
            </w:pPr>
            <w:r>
              <w:rPr>
                <w:noProof/>
                <w:sz w:val="22"/>
              </w:rPr>
              <w:t>TAK</w:t>
            </w:r>
          </w:p>
        </w:tc>
        <w:tc>
          <w:tcPr>
            <w:tcW w:w="814" w:type="dxa"/>
            <w:vAlign w:val="center"/>
          </w:tcPr>
          <w:p>
            <w:pPr>
              <w:jc w:val="center"/>
              <w:rPr>
                <w:noProof/>
                <w:sz w:val="18"/>
              </w:rPr>
            </w:pPr>
            <w:r>
              <w:rPr>
                <w:noProof/>
                <w:sz w:val="22"/>
              </w:rPr>
              <w:t>TAK</w:t>
            </w:r>
          </w:p>
        </w:tc>
        <w:tc>
          <w:tcPr>
            <w:tcW w:w="1448" w:type="dxa"/>
            <w:vAlign w:val="center"/>
          </w:tcPr>
          <w:p>
            <w:pPr>
              <w:jc w:val="center"/>
              <w:rPr>
                <w:noProof/>
                <w:sz w:val="16"/>
              </w:rPr>
            </w:pPr>
            <w:r>
              <w:rPr>
                <w:noProof/>
                <w:sz w:val="22"/>
              </w:rPr>
              <w:t>NIE</w:t>
            </w:r>
          </w:p>
        </w:tc>
      </w:tr>
      <w:tr>
        <w:tc>
          <w:tcPr>
            <w:tcW w:w="1080" w:type="dxa"/>
            <w:vAlign w:val="center"/>
          </w:tcPr>
          <w:p>
            <w:pPr>
              <w:jc w:val="center"/>
              <w:rPr>
                <w:noProof/>
                <w:color w:val="0000FF"/>
              </w:rPr>
            </w:pPr>
            <w:r>
              <w:rPr>
                <w:noProof/>
                <w:color w:val="0000FF"/>
              </w:rPr>
              <w:lastRenderedPageBreak/>
              <w:t>1</w:t>
            </w:r>
          </w:p>
        </w:tc>
        <w:tc>
          <w:tcPr>
            <w:tcW w:w="3960" w:type="dxa"/>
            <w:vAlign w:val="center"/>
          </w:tcPr>
          <w:p>
            <w:pPr>
              <w:spacing w:before="60"/>
              <w:rPr>
                <w:noProof/>
                <w:color w:val="0000FF"/>
                <w:sz w:val="22"/>
              </w:rPr>
            </w:pPr>
            <w:r>
              <w:rPr>
                <w:noProof/>
                <w:color w:val="0000FF"/>
                <w:sz w:val="22"/>
              </w:rPr>
              <w:t>01 02 02 40 Klaster „Technologie cyfrowe, przemysł i przestrzeń kosmiczna”</w:t>
            </w:r>
          </w:p>
        </w:tc>
        <w:tc>
          <w:tcPr>
            <w:tcW w:w="1080" w:type="dxa"/>
            <w:vAlign w:val="center"/>
          </w:tcPr>
          <w:p>
            <w:pPr>
              <w:jc w:val="center"/>
              <w:rPr>
                <w:noProof/>
                <w:sz w:val="18"/>
              </w:rPr>
            </w:pPr>
            <w:r>
              <w:rPr>
                <w:noProof/>
                <w:sz w:val="22"/>
              </w:rPr>
              <w:t>Zróżn.</w:t>
            </w:r>
          </w:p>
        </w:tc>
        <w:tc>
          <w:tcPr>
            <w:tcW w:w="1044" w:type="dxa"/>
            <w:vAlign w:val="center"/>
          </w:tcPr>
          <w:p>
            <w:pPr>
              <w:jc w:val="center"/>
              <w:rPr>
                <w:noProof/>
                <w:sz w:val="18"/>
              </w:rPr>
            </w:pPr>
            <w:r>
              <w:rPr>
                <w:noProof/>
                <w:sz w:val="22"/>
              </w:rPr>
              <w:t>TAK</w:t>
            </w:r>
          </w:p>
        </w:tc>
        <w:tc>
          <w:tcPr>
            <w:tcW w:w="1134" w:type="dxa"/>
            <w:vAlign w:val="center"/>
          </w:tcPr>
          <w:p>
            <w:pPr>
              <w:jc w:val="center"/>
              <w:rPr>
                <w:noProof/>
                <w:sz w:val="18"/>
              </w:rPr>
            </w:pPr>
            <w:r>
              <w:rPr>
                <w:noProof/>
                <w:sz w:val="22"/>
              </w:rPr>
              <w:t>TAK</w:t>
            </w:r>
          </w:p>
        </w:tc>
        <w:tc>
          <w:tcPr>
            <w:tcW w:w="814" w:type="dxa"/>
            <w:vAlign w:val="center"/>
          </w:tcPr>
          <w:p>
            <w:pPr>
              <w:jc w:val="center"/>
              <w:rPr>
                <w:noProof/>
                <w:sz w:val="18"/>
              </w:rPr>
            </w:pPr>
            <w:r>
              <w:rPr>
                <w:noProof/>
                <w:sz w:val="22"/>
              </w:rPr>
              <w:t>TAK</w:t>
            </w:r>
          </w:p>
        </w:tc>
        <w:tc>
          <w:tcPr>
            <w:tcW w:w="1448" w:type="dxa"/>
            <w:vAlign w:val="center"/>
          </w:tcPr>
          <w:p>
            <w:pPr>
              <w:jc w:val="center"/>
              <w:rPr>
                <w:noProof/>
                <w:sz w:val="16"/>
              </w:rPr>
            </w:pPr>
            <w:r>
              <w:rPr>
                <w:noProof/>
                <w:sz w:val="22"/>
              </w:rPr>
              <w:t>NIE</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50 Klaster „Klimat, energetyka i mobilność”</w:t>
            </w:r>
          </w:p>
        </w:tc>
        <w:tc>
          <w:tcPr>
            <w:tcW w:w="1080" w:type="dxa"/>
            <w:vAlign w:val="center"/>
          </w:tcPr>
          <w:p>
            <w:pPr>
              <w:jc w:val="center"/>
              <w:rPr>
                <w:noProof/>
                <w:sz w:val="18"/>
              </w:rPr>
            </w:pPr>
            <w:r>
              <w:rPr>
                <w:noProof/>
                <w:sz w:val="22"/>
              </w:rPr>
              <w:t>Zróżn.</w:t>
            </w:r>
          </w:p>
        </w:tc>
        <w:tc>
          <w:tcPr>
            <w:tcW w:w="1044" w:type="dxa"/>
            <w:vAlign w:val="center"/>
          </w:tcPr>
          <w:p>
            <w:pPr>
              <w:jc w:val="center"/>
              <w:rPr>
                <w:noProof/>
                <w:sz w:val="18"/>
              </w:rPr>
            </w:pPr>
            <w:r>
              <w:rPr>
                <w:noProof/>
                <w:sz w:val="22"/>
              </w:rPr>
              <w:t>TAK</w:t>
            </w:r>
          </w:p>
        </w:tc>
        <w:tc>
          <w:tcPr>
            <w:tcW w:w="1134" w:type="dxa"/>
            <w:vAlign w:val="center"/>
          </w:tcPr>
          <w:p>
            <w:pPr>
              <w:jc w:val="center"/>
              <w:rPr>
                <w:noProof/>
                <w:sz w:val="18"/>
              </w:rPr>
            </w:pPr>
            <w:r>
              <w:rPr>
                <w:noProof/>
                <w:sz w:val="22"/>
              </w:rPr>
              <w:t>TAK</w:t>
            </w:r>
          </w:p>
        </w:tc>
        <w:tc>
          <w:tcPr>
            <w:tcW w:w="814" w:type="dxa"/>
            <w:vAlign w:val="center"/>
          </w:tcPr>
          <w:p>
            <w:pPr>
              <w:jc w:val="center"/>
              <w:rPr>
                <w:noProof/>
                <w:sz w:val="18"/>
              </w:rPr>
            </w:pPr>
            <w:r>
              <w:rPr>
                <w:noProof/>
                <w:sz w:val="22"/>
              </w:rPr>
              <w:t>TAK</w:t>
            </w:r>
          </w:p>
        </w:tc>
        <w:tc>
          <w:tcPr>
            <w:tcW w:w="1448" w:type="dxa"/>
            <w:vAlign w:val="center"/>
          </w:tcPr>
          <w:p>
            <w:pPr>
              <w:jc w:val="center"/>
              <w:rPr>
                <w:noProof/>
                <w:sz w:val="16"/>
              </w:rPr>
            </w:pPr>
            <w:r>
              <w:rPr>
                <w:noProof/>
                <w:sz w:val="22"/>
              </w:rPr>
              <w:t>NIE</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Europejska Rada ds. Innowacji</w:t>
            </w:r>
          </w:p>
        </w:tc>
        <w:tc>
          <w:tcPr>
            <w:tcW w:w="1080" w:type="dxa"/>
            <w:vAlign w:val="center"/>
          </w:tcPr>
          <w:p>
            <w:pPr>
              <w:jc w:val="center"/>
              <w:rPr>
                <w:noProof/>
                <w:sz w:val="18"/>
              </w:rPr>
            </w:pPr>
            <w:r>
              <w:rPr>
                <w:noProof/>
                <w:sz w:val="22"/>
              </w:rPr>
              <w:t>Zróżn.</w:t>
            </w:r>
          </w:p>
        </w:tc>
        <w:tc>
          <w:tcPr>
            <w:tcW w:w="1044" w:type="dxa"/>
            <w:vAlign w:val="center"/>
          </w:tcPr>
          <w:p>
            <w:pPr>
              <w:jc w:val="center"/>
              <w:rPr>
                <w:noProof/>
                <w:sz w:val="18"/>
              </w:rPr>
            </w:pPr>
            <w:r>
              <w:rPr>
                <w:noProof/>
                <w:sz w:val="22"/>
              </w:rPr>
              <w:t>TAK</w:t>
            </w:r>
          </w:p>
        </w:tc>
        <w:tc>
          <w:tcPr>
            <w:tcW w:w="1134" w:type="dxa"/>
            <w:vAlign w:val="center"/>
          </w:tcPr>
          <w:p>
            <w:pPr>
              <w:jc w:val="center"/>
              <w:rPr>
                <w:noProof/>
                <w:sz w:val="18"/>
              </w:rPr>
            </w:pPr>
            <w:r>
              <w:rPr>
                <w:noProof/>
                <w:sz w:val="22"/>
              </w:rPr>
              <w:t>TAK</w:t>
            </w:r>
          </w:p>
        </w:tc>
        <w:tc>
          <w:tcPr>
            <w:tcW w:w="814" w:type="dxa"/>
            <w:vAlign w:val="center"/>
          </w:tcPr>
          <w:p>
            <w:pPr>
              <w:jc w:val="center"/>
              <w:rPr>
                <w:noProof/>
                <w:sz w:val="18"/>
              </w:rPr>
            </w:pPr>
            <w:r>
              <w:rPr>
                <w:noProof/>
                <w:sz w:val="22"/>
              </w:rPr>
              <w:t>TAK</w:t>
            </w:r>
          </w:p>
        </w:tc>
        <w:tc>
          <w:tcPr>
            <w:tcW w:w="1448" w:type="dxa"/>
            <w:vAlign w:val="center"/>
          </w:tcPr>
          <w:p>
            <w:pPr>
              <w:jc w:val="center"/>
              <w:rPr>
                <w:noProof/>
                <w:sz w:val="16"/>
              </w:rPr>
            </w:pPr>
            <w:r>
              <w:rPr>
                <w:noProof/>
                <w:sz w:val="22"/>
              </w:rPr>
              <w:t>NIE</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Dział 3. Zasoby naturalne i środowisko</w:t>
            </w:r>
          </w:p>
        </w:tc>
        <w:tc>
          <w:tcPr>
            <w:tcW w:w="1080" w:type="dxa"/>
            <w:vAlign w:val="center"/>
          </w:tcPr>
          <w:p>
            <w:pPr>
              <w:jc w:val="center"/>
              <w:rPr>
                <w:noProof/>
                <w:sz w:val="18"/>
                <w:szCs w:val="18"/>
              </w:rPr>
            </w:pPr>
            <w:r>
              <w:rPr>
                <w:noProof/>
                <w:sz w:val="18"/>
                <w:szCs w:val="18"/>
              </w:rPr>
              <w:t>Zróżn. / niezróżn.</w:t>
            </w:r>
            <w:r>
              <w:rPr>
                <w:rStyle w:val="FootnoteReference"/>
                <w:noProof/>
              </w:rPr>
              <w:footnoteReference w:id="9"/>
            </w:r>
          </w:p>
        </w:tc>
        <w:tc>
          <w:tcPr>
            <w:tcW w:w="1044" w:type="dxa"/>
            <w:vAlign w:val="center"/>
          </w:tcPr>
          <w:p>
            <w:pPr>
              <w:jc w:val="center"/>
              <w:rPr>
                <w:noProof/>
              </w:rPr>
            </w:pPr>
            <w:r>
              <w:rPr>
                <w:noProof/>
                <w:sz w:val="18"/>
                <w:szCs w:val="18"/>
              </w:rPr>
              <w:t>państw EFTA</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krajów kandydujących</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państw trzecich</w:t>
            </w:r>
          </w:p>
        </w:tc>
        <w:tc>
          <w:tcPr>
            <w:tcW w:w="1448" w:type="dxa"/>
            <w:vAlign w:val="center"/>
          </w:tcPr>
          <w:p>
            <w:pPr>
              <w:jc w:val="center"/>
              <w:rPr>
                <w:noProof/>
                <w:sz w:val="16"/>
                <w:szCs w:val="16"/>
              </w:rPr>
            </w:pPr>
            <w:r>
              <w:rPr>
                <w:noProof/>
                <w:sz w:val="16"/>
                <w:szCs w:val="16"/>
              </w:rPr>
              <w:t xml:space="preserve">w rozumieniu art. [21 ust. 2 lit. b)] rozporządzenia finansowego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Wydatki na wsparcie Europejskiego Funduszu Rolnego na rzecz Rozwoju Obszarów Wiejskich (EFRROW)</w:t>
            </w:r>
          </w:p>
        </w:tc>
        <w:tc>
          <w:tcPr>
            <w:tcW w:w="1080" w:type="dxa"/>
            <w:vAlign w:val="center"/>
          </w:tcPr>
          <w:p>
            <w:pPr>
              <w:jc w:val="center"/>
              <w:rPr>
                <w:noProof/>
                <w:sz w:val="18"/>
                <w:szCs w:val="18"/>
              </w:rPr>
            </w:pPr>
            <w:r>
              <w:rPr>
                <w:noProof/>
                <w:sz w:val="22"/>
              </w:rPr>
              <w:t>Niezróżn.</w:t>
            </w:r>
          </w:p>
        </w:tc>
        <w:tc>
          <w:tcPr>
            <w:tcW w:w="1044" w:type="dxa"/>
            <w:vAlign w:val="center"/>
          </w:tcPr>
          <w:p>
            <w:pPr>
              <w:jc w:val="center"/>
              <w:rPr>
                <w:noProof/>
                <w:sz w:val="18"/>
                <w:szCs w:val="18"/>
              </w:rPr>
            </w:pPr>
            <w:r>
              <w:rPr>
                <w:noProof/>
                <w:sz w:val="22"/>
              </w:rPr>
              <w:t>NIE</w:t>
            </w:r>
          </w:p>
        </w:tc>
        <w:tc>
          <w:tcPr>
            <w:tcW w:w="1134" w:type="dxa"/>
            <w:vAlign w:val="center"/>
          </w:tcPr>
          <w:p>
            <w:pPr>
              <w:jc w:val="center"/>
              <w:rPr>
                <w:noProof/>
                <w:sz w:val="18"/>
                <w:szCs w:val="18"/>
              </w:rPr>
            </w:pPr>
            <w:r>
              <w:rPr>
                <w:noProof/>
                <w:sz w:val="22"/>
              </w:rPr>
              <w:t>NIE</w:t>
            </w:r>
          </w:p>
        </w:tc>
        <w:tc>
          <w:tcPr>
            <w:tcW w:w="814" w:type="dxa"/>
            <w:vAlign w:val="center"/>
          </w:tcPr>
          <w:p>
            <w:pPr>
              <w:jc w:val="center"/>
              <w:rPr>
                <w:noProof/>
                <w:sz w:val="18"/>
                <w:szCs w:val="18"/>
              </w:rPr>
            </w:pPr>
            <w:r>
              <w:rPr>
                <w:noProof/>
                <w:sz w:val="22"/>
              </w:rPr>
              <w:t>NIE</w:t>
            </w:r>
          </w:p>
        </w:tc>
        <w:tc>
          <w:tcPr>
            <w:tcW w:w="1448" w:type="dxa"/>
            <w:vAlign w:val="center"/>
          </w:tcPr>
          <w:p>
            <w:pPr>
              <w:jc w:val="center"/>
              <w:rPr>
                <w:noProof/>
                <w:sz w:val="16"/>
                <w:szCs w:val="16"/>
              </w:rPr>
            </w:pPr>
            <w:r>
              <w:rPr>
                <w:noProof/>
                <w:sz w:val="22"/>
              </w:rPr>
              <w:t>NIE</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01 03 Rodzaje interwencji związane z rozwojem obszarów wiejskich w ramach planów strategicznych WPR finansowanych z EURI</w:t>
            </w:r>
          </w:p>
        </w:tc>
        <w:tc>
          <w:tcPr>
            <w:tcW w:w="1080" w:type="dxa"/>
            <w:vAlign w:val="center"/>
          </w:tcPr>
          <w:p>
            <w:pPr>
              <w:jc w:val="center"/>
              <w:rPr>
                <w:noProof/>
                <w:sz w:val="18"/>
                <w:szCs w:val="18"/>
              </w:rPr>
            </w:pPr>
            <w:r>
              <w:rPr>
                <w:noProof/>
                <w:sz w:val="22"/>
              </w:rPr>
              <w:t>Zróżn.</w:t>
            </w:r>
          </w:p>
        </w:tc>
        <w:tc>
          <w:tcPr>
            <w:tcW w:w="1044" w:type="dxa"/>
            <w:vAlign w:val="center"/>
          </w:tcPr>
          <w:p>
            <w:pPr>
              <w:jc w:val="center"/>
              <w:rPr>
                <w:noProof/>
                <w:sz w:val="18"/>
                <w:szCs w:val="18"/>
              </w:rPr>
            </w:pPr>
            <w:r>
              <w:rPr>
                <w:noProof/>
                <w:sz w:val="22"/>
              </w:rPr>
              <w:t>Nie</w:t>
            </w:r>
          </w:p>
        </w:tc>
        <w:tc>
          <w:tcPr>
            <w:tcW w:w="1134" w:type="dxa"/>
            <w:vAlign w:val="center"/>
          </w:tcPr>
          <w:p>
            <w:pPr>
              <w:jc w:val="center"/>
              <w:rPr>
                <w:noProof/>
                <w:sz w:val="18"/>
                <w:szCs w:val="18"/>
              </w:rPr>
            </w:pPr>
            <w:r>
              <w:rPr>
                <w:noProof/>
                <w:sz w:val="22"/>
              </w:rPr>
              <w:t>Nie</w:t>
            </w:r>
          </w:p>
        </w:tc>
        <w:tc>
          <w:tcPr>
            <w:tcW w:w="814" w:type="dxa"/>
            <w:vAlign w:val="center"/>
          </w:tcPr>
          <w:p>
            <w:pPr>
              <w:jc w:val="center"/>
              <w:rPr>
                <w:noProof/>
                <w:sz w:val="18"/>
                <w:szCs w:val="18"/>
              </w:rPr>
            </w:pPr>
            <w:r>
              <w:rPr>
                <w:noProof/>
                <w:sz w:val="22"/>
              </w:rPr>
              <w:t>Nie</w:t>
            </w:r>
          </w:p>
        </w:tc>
        <w:tc>
          <w:tcPr>
            <w:tcW w:w="1448" w:type="dxa"/>
            <w:vAlign w:val="center"/>
          </w:tcPr>
          <w:p>
            <w:pPr>
              <w:jc w:val="center"/>
              <w:rPr>
                <w:noProof/>
                <w:sz w:val="16"/>
                <w:szCs w:val="16"/>
              </w:rPr>
            </w:pPr>
            <w:r>
              <w:rPr>
                <w:noProof/>
                <w:sz w:val="22"/>
              </w:rPr>
              <w:t>NIE</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EFRROW – Operacyjna pomoc techniczna</w:t>
            </w:r>
          </w:p>
        </w:tc>
        <w:tc>
          <w:tcPr>
            <w:tcW w:w="1080" w:type="dxa"/>
            <w:vAlign w:val="center"/>
          </w:tcPr>
          <w:p>
            <w:pPr>
              <w:jc w:val="center"/>
              <w:rPr>
                <w:noProof/>
                <w:sz w:val="22"/>
              </w:rPr>
            </w:pPr>
            <w:r>
              <w:rPr>
                <w:noProof/>
                <w:sz w:val="22"/>
              </w:rPr>
              <w:t>Zróżn.</w:t>
            </w:r>
          </w:p>
        </w:tc>
        <w:tc>
          <w:tcPr>
            <w:tcW w:w="1044" w:type="dxa"/>
            <w:vAlign w:val="center"/>
          </w:tcPr>
          <w:p>
            <w:pPr>
              <w:jc w:val="center"/>
              <w:rPr>
                <w:noProof/>
                <w:sz w:val="22"/>
              </w:rPr>
            </w:pPr>
            <w:r>
              <w:rPr>
                <w:noProof/>
                <w:sz w:val="22"/>
              </w:rPr>
              <w:t>Nie</w:t>
            </w:r>
          </w:p>
        </w:tc>
        <w:tc>
          <w:tcPr>
            <w:tcW w:w="1134" w:type="dxa"/>
            <w:vAlign w:val="center"/>
          </w:tcPr>
          <w:p>
            <w:pPr>
              <w:jc w:val="center"/>
              <w:rPr>
                <w:noProof/>
                <w:sz w:val="22"/>
              </w:rPr>
            </w:pPr>
            <w:r>
              <w:rPr>
                <w:noProof/>
                <w:sz w:val="22"/>
              </w:rPr>
              <w:t>Nie</w:t>
            </w:r>
          </w:p>
        </w:tc>
        <w:tc>
          <w:tcPr>
            <w:tcW w:w="814" w:type="dxa"/>
            <w:vAlign w:val="center"/>
          </w:tcPr>
          <w:p>
            <w:pPr>
              <w:jc w:val="center"/>
              <w:rPr>
                <w:noProof/>
                <w:sz w:val="22"/>
              </w:rPr>
            </w:pPr>
            <w:r>
              <w:rPr>
                <w:noProof/>
                <w:sz w:val="22"/>
              </w:rPr>
              <w:t>Nie</w:t>
            </w:r>
          </w:p>
        </w:tc>
        <w:tc>
          <w:tcPr>
            <w:tcW w:w="1448" w:type="dxa"/>
            <w:vAlign w:val="center"/>
          </w:tcPr>
          <w:p>
            <w:pPr>
              <w:jc w:val="center"/>
              <w:rPr>
                <w:noProof/>
                <w:sz w:val="22"/>
              </w:rPr>
            </w:pPr>
            <w:r>
              <w:rPr>
                <w:noProof/>
                <w:sz w:val="22"/>
              </w:rPr>
              <w:t>NIE</w:t>
            </w:r>
          </w:p>
        </w:tc>
      </w:tr>
      <w:tr>
        <w:tc>
          <w:tcPr>
            <w:tcW w:w="1080" w:type="dxa"/>
            <w:vAlign w:val="center"/>
          </w:tcPr>
          <w:p>
            <w:pPr>
              <w:jc w:val="center"/>
              <w:rPr>
                <w:noProof/>
              </w:rPr>
            </w:pPr>
          </w:p>
        </w:tc>
        <w:tc>
          <w:tcPr>
            <w:tcW w:w="3960" w:type="dxa"/>
            <w:vAlign w:val="center"/>
          </w:tcPr>
          <w:p>
            <w:pPr>
              <w:rPr>
                <w:b/>
                <w:noProof/>
              </w:rPr>
            </w:pPr>
            <w:r>
              <w:rPr>
                <w:b/>
                <w:noProof/>
                <w:sz w:val="20"/>
              </w:rPr>
              <w:t>Dział 6. Sąsiedztwo i świat</w:t>
            </w:r>
          </w:p>
        </w:tc>
        <w:tc>
          <w:tcPr>
            <w:tcW w:w="1080" w:type="dxa"/>
            <w:vAlign w:val="center"/>
          </w:tcPr>
          <w:p>
            <w:pPr>
              <w:jc w:val="center"/>
              <w:rPr>
                <w:noProof/>
              </w:rPr>
            </w:pPr>
            <w:r>
              <w:rPr>
                <w:noProof/>
                <w:sz w:val="18"/>
                <w:szCs w:val="18"/>
              </w:rPr>
              <w:t>Zróżn. / niezróżn.</w:t>
            </w:r>
            <w:r>
              <w:rPr>
                <w:rStyle w:val="FootnoteReference"/>
                <w:noProof/>
              </w:rPr>
              <w:footnoteReference w:id="12"/>
            </w:r>
          </w:p>
        </w:tc>
        <w:tc>
          <w:tcPr>
            <w:tcW w:w="1044" w:type="dxa"/>
            <w:vAlign w:val="center"/>
          </w:tcPr>
          <w:p>
            <w:pPr>
              <w:jc w:val="center"/>
              <w:rPr>
                <w:noProof/>
              </w:rPr>
            </w:pPr>
            <w:r>
              <w:rPr>
                <w:noProof/>
                <w:sz w:val="18"/>
                <w:szCs w:val="18"/>
              </w:rPr>
              <w:t>państw EFTA</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krajów kandydujących</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państw trzecich</w:t>
            </w:r>
          </w:p>
        </w:tc>
        <w:tc>
          <w:tcPr>
            <w:tcW w:w="1448" w:type="dxa"/>
            <w:vAlign w:val="center"/>
          </w:tcPr>
          <w:p>
            <w:pPr>
              <w:jc w:val="center"/>
              <w:rPr>
                <w:noProof/>
              </w:rPr>
            </w:pPr>
            <w:r>
              <w:rPr>
                <w:noProof/>
                <w:sz w:val="16"/>
              </w:rPr>
              <w:t xml:space="preserve">w rozumieniu art. [21 ust. 2 lit. b)] rozporządzenia finansowego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Wydatki na wsparcie Instrumentu Sąsiedztwa oraz Współpracy Międzynarodowej i Rozwojowej</w:t>
            </w:r>
          </w:p>
          <w:p>
            <w:pPr>
              <w:spacing w:after="60"/>
              <w:rPr>
                <w:noProof/>
              </w:rPr>
            </w:pPr>
          </w:p>
        </w:tc>
        <w:tc>
          <w:tcPr>
            <w:tcW w:w="1080" w:type="dxa"/>
            <w:vAlign w:val="center"/>
          </w:tcPr>
          <w:p>
            <w:pPr>
              <w:jc w:val="center"/>
              <w:rPr>
                <w:noProof/>
                <w:color w:val="0000FF"/>
              </w:rPr>
            </w:pPr>
            <w:r>
              <w:rPr>
                <w:noProof/>
                <w:sz w:val="22"/>
              </w:rPr>
              <w:t>Niezróżn.</w:t>
            </w:r>
          </w:p>
        </w:tc>
        <w:tc>
          <w:tcPr>
            <w:tcW w:w="1044" w:type="dxa"/>
            <w:vAlign w:val="center"/>
          </w:tcPr>
          <w:p>
            <w:pPr>
              <w:jc w:val="center"/>
              <w:rPr>
                <w:noProof/>
              </w:rPr>
            </w:pPr>
            <w:r>
              <w:rPr>
                <w:noProof/>
                <w:sz w:val="22"/>
              </w:rPr>
              <w:t>NIE</w:t>
            </w:r>
          </w:p>
        </w:tc>
        <w:tc>
          <w:tcPr>
            <w:tcW w:w="1134" w:type="dxa"/>
            <w:vAlign w:val="center"/>
          </w:tcPr>
          <w:p>
            <w:pPr>
              <w:jc w:val="center"/>
              <w:rPr>
                <w:noProof/>
              </w:rPr>
            </w:pPr>
            <w:r>
              <w:rPr>
                <w:noProof/>
                <w:sz w:val="22"/>
              </w:rPr>
              <w:t>NIE</w:t>
            </w:r>
          </w:p>
        </w:tc>
        <w:tc>
          <w:tcPr>
            <w:tcW w:w="814" w:type="dxa"/>
            <w:vAlign w:val="center"/>
          </w:tcPr>
          <w:p>
            <w:pPr>
              <w:jc w:val="center"/>
              <w:rPr>
                <w:noProof/>
              </w:rPr>
            </w:pPr>
            <w:r>
              <w:rPr>
                <w:noProof/>
                <w:sz w:val="22"/>
              </w:rPr>
              <w:t>NIE</w:t>
            </w:r>
          </w:p>
        </w:tc>
        <w:tc>
          <w:tcPr>
            <w:tcW w:w="1448" w:type="dxa"/>
            <w:vAlign w:val="center"/>
          </w:tcPr>
          <w:p>
            <w:pPr>
              <w:jc w:val="center"/>
              <w:rPr>
                <w:noProof/>
              </w:rPr>
            </w:pPr>
            <w:r>
              <w:rPr>
                <w:noProof/>
                <w:sz w:val="22"/>
              </w:rPr>
              <w:t>NIE</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Tworzenie rezerw gwarancji na działania zewnętrzne przez EURI</w:t>
            </w:r>
          </w:p>
        </w:tc>
        <w:tc>
          <w:tcPr>
            <w:tcW w:w="1080" w:type="dxa"/>
            <w:vAlign w:val="center"/>
          </w:tcPr>
          <w:p>
            <w:pPr>
              <w:jc w:val="center"/>
              <w:rPr>
                <w:noProof/>
                <w:sz w:val="22"/>
              </w:rPr>
            </w:pPr>
            <w:r>
              <w:rPr>
                <w:noProof/>
                <w:sz w:val="22"/>
              </w:rPr>
              <w:t>Zróżn.</w:t>
            </w:r>
          </w:p>
        </w:tc>
        <w:tc>
          <w:tcPr>
            <w:tcW w:w="1044" w:type="dxa"/>
            <w:vAlign w:val="center"/>
          </w:tcPr>
          <w:p>
            <w:pPr>
              <w:jc w:val="center"/>
              <w:rPr>
                <w:noProof/>
                <w:sz w:val="22"/>
              </w:rPr>
            </w:pPr>
            <w:r>
              <w:rPr>
                <w:noProof/>
                <w:sz w:val="22"/>
              </w:rPr>
              <w:t>TAK</w:t>
            </w:r>
          </w:p>
        </w:tc>
        <w:tc>
          <w:tcPr>
            <w:tcW w:w="1134" w:type="dxa"/>
            <w:vAlign w:val="center"/>
          </w:tcPr>
          <w:p>
            <w:pPr>
              <w:jc w:val="center"/>
              <w:rPr>
                <w:noProof/>
                <w:sz w:val="22"/>
              </w:rPr>
            </w:pPr>
            <w:r>
              <w:rPr>
                <w:noProof/>
                <w:sz w:val="22"/>
              </w:rPr>
              <w:t>TAK</w:t>
            </w:r>
          </w:p>
        </w:tc>
        <w:tc>
          <w:tcPr>
            <w:tcW w:w="814" w:type="dxa"/>
            <w:vAlign w:val="center"/>
          </w:tcPr>
          <w:p>
            <w:pPr>
              <w:jc w:val="center"/>
              <w:rPr>
                <w:noProof/>
                <w:sz w:val="22"/>
              </w:rPr>
            </w:pPr>
            <w:r>
              <w:rPr>
                <w:noProof/>
                <w:sz w:val="22"/>
              </w:rPr>
              <w:t>TAK</w:t>
            </w:r>
          </w:p>
        </w:tc>
        <w:tc>
          <w:tcPr>
            <w:tcW w:w="1448" w:type="dxa"/>
            <w:vAlign w:val="center"/>
          </w:tcPr>
          <w:p>
            <w:pPr>
              <w:jc w:val="center"/>
              <w:rPr>
                <w:noProof/>
                <w:sz w:val="22"/>
              </w:rPr>
            </w:pPr>
            <w:r>
              <w:rPr>
                <w:noProof/>
                <w:sz w:val="22"/>
              </w:rPr>
              <w:t>NIE</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Szacunkowy wpływ na wydatki</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Synteza szacunkowego wpływu na wydatki</w:t>
      </w:r>
      <w:bookmarkEnd w:id="54"/>
      <w:bookmarkEnd w:id="55"/>
      <w:r>
        <w:rPr>
          <w:bCs/>
          <w:i/>
          <w:noProof/>
        </w:rPr>
        <w:t xml:space="preserve"> </w:t>
      </w:r>
    </w:p>
    <w:p>
      <w:pPr>
        <w:jc w:val="right"/>
        <w:rPr>
          <w:noProof/>
          <w:sz w:val="20"/>
        </w:rPr>
      </w:pPr>
      <w:r>
        <w:rPr>
          <w:noProof/>
          <w:sz w:val="20"/>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 xml:space="preserve">Dział wieloletnich ram finansowych </w:t>
            </w:r>
          </w:p>
        </w:tc>
        <w:tc>
          <w:tcPr>
            <w:tcW w:w="1080" w:type="dxa"/>
            <w:vAlign w:val="center"/>
          </w:tcPr>
          <w:p>
            <w:pPr>
              <w:spacing w:before="60" w:after="60"/>
              <w:jc w:val="center"/>
              <w:rPr>
                <w:noProof/>
              </w:rPr>
            </w:pPr>
            <w:r>
              <w:rPr>
                <w:b/>
                <w:noProof/>
                <w:sz w:val="22"/>
              </w:rPr>
              <w:t>&lt; 1, 3 i 6 &gt;</w:t>
            </w:r>
          </w:p>
        </w:tc>
        <w:tc>
          <w:tcPr>
            <w:tcW w:w="7817" w:type="dxa"/>
            <w:vAlign w:val="center"/>
          </w:tcPr>
          <w:p>
            <w:pPr>
              <w:spacing w:before="60" w:after="60"/>
              <w:jc w:val="left"/>
              <w:rPr>
                <w:noProof/>
              </w:rPr>
            </w:pPr>
            <w:r>
              <w:rPr>
                <w:noProof/>
                <w:color w:val="0000FF"/>
                <w:sz w:val="22"/>
              </w:rPr>
              <w:t xml:space="preserve"> </w:t>
            </w:r>
            <w:r>
              <w:rPr>
                <w:noProof/>
                <w:sz w:val="22"/>
              </w:rPr>
              <w:t>[Dział 1 – Jednolity rynek, innowacje i gospodarka cyfrowa, dział 3 – Zasoby naturalne i środowisko, dział 6 – Sąsiedztwo i świat]</w:t>
            </w:r>
          </w:p>
        </w:tc>
      </w:tr>
    </w:tbl>
    <w:p>
      <w:pPr>
        <w:rPr>
          <w:i/>
          <w:iCs/>
          <w:noProof/>
        </w:rPr>
      </w:pPr>
    </w:p>
    <w:p>
      <w:pPr>
        <w:rPr>
          <w:i/>
          <w:noProof/>
        </w:rPr>
      </w:pPr>
      <w:r>
        <w:rPr>
          <w:i/>
          <w:noProof/>
        </w:rPr>
        <w:t>Oprócz puli środków finansowych określonej w art. 9 proponowanego rozporządzenia COM (2018) 435 (rozporządzenie w sprawie programu ramowego „Horyzont Europa”) i art. 4 proponowanej decyzji w sprawie programu szczegółowego „Horyzont Europa” dostępna będzie kwota 14 647 mln EUR (w cenach bieżących) w postaci zewnętrznych dochodów przeznaczonych na określony cel w rozumieniu art. 21 ust. 5 rozporządzenia finansowego jako finansowanie z Instrumentu Unii Europejskiej na rzecz Odbudowy.</w:t>
      </w:r>
      <w:r>
        <w:rPr>
          <w:i/>
          <w:iCs/>
          <w:noProof/>
        </w:rPr>
        <w:t xml:space="preserve"> Z</w:t>
      </w:r>
      <w:r>
        <w:rPr>
          <w:i/>
          <w:noProof/>
        </w:rPr>
        <w:t> </w:t>
      </w:r>
      <w:r>
        <w:rPr>
          <w:i/>
          <w:iCs/>
          <w:noProof/>
        </w:rPr>
        <w:t>tej kwoty do 689,160 mln EUR można przeznaczyć na wydatki administracyjne, w tym koszty personelu zewnętrznego.</w:t>
      </w:r>
    </w:p>
    <w:p>
      <w:pPr>
        <w:rPr>
          <w:i/>
          <w:noProof/>
        </w:rPr>
      </w:pPr>
      <w:r>
        <w:rPr>
          <w:i/>
          <w:noProof/>
        </w:rPr>
        <w:t>Szacunkowy podział wydatków w ramach zewnętrznych dochodów przeznaczonych na określony cel jest następujący:</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[Horyzont Europa]</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 r.</w:t>
            </w:r>
          </w:p>
        </w:tc>
        <w:tc>
          <w:tcPr>
            <w:tcW w:w="990" w:type="dxa"/>
            <w:vAlign w:val="center"/>
          </w:tcPr>
          <w:p>
            <w:pPr>
              <w:jc w:val="center"/>
              <w:rPr>
                <w:noProof/>
                <w:sz w:val="20"/>
              </w:rPr>
            </w:pPr>
            <w:r>
              <w:rPr>
                <w:b/>
                <w:noProof/>
                <w:sz w:val="20"/>
              </w:rPr>
              <w:t>2022 r.</w:t>
            </w:r>
          </w:p>
        </w:tc>
        <w:tc>
          <w:tcPr>
            <w:tcW w:w="990" w:type="dxa"/>
            <w:vAlign w:val="center"/>
          </w:tcPr>
          <w:p>
            <w:pPr>
              <w:jc w:val="center"/>
              <w:rPr>
                <w:noProof/>
                <w:sz w:val="20"/>
              </w:rPr>
            </w:pPr>
            <w:r>
              <w:rPr>
                <w:b/>
                <w:noProof/>
                <w:sz w:val="20"/>
              </w:rPr>
              <w:t>2023 r.</w:t>
            </w:r>
          </w:p>
        </w:tc>
        <w:tc>
          <w:tcPr>
            <w:tcW w:w="976" w:type="dxa"/>
            <w:vAlign w:val="center"/>
          </w:tcPr>
          <w:p>
            <w:pPr>
              <w:jc w:val="center"/>
              <w:rPr>
                <w:noProof/>
                <w:sz w:val="20"/>
              </w:rPr>
            </w:pPr>
            <w:r>
              <w:rPr>
                <w:b/>
                <w:noProof/>
                <w:sz w:val="20"/>
              </w:rPr>
              <w:t>2024 r.</w:t>
            </w:r>
          </w:p>
        </w:tc>
        <w:tc>
          <w:tcPr>
            <w:tcW w:w="1004" w:type="dxa"/>
            <w:vAlign w:val="center"/>
          </w:tcPr>
          <w:p>
            <w:pPr>
              <w:jc w:val="center"/>
              <w:rPr>
                <w:b/>
                <w:noProof/>
                <w:sz w:val="20"/>
              </w:rPr>
            </w:pPr>
            <w:r>
              <w:rPr>
                <w:b/>
                <w:noProof/>
                <w:sz w:val="20"/>
              </w:rPr>
              <w:t>2025 r.</w:t>
            </w:r>
          </w:p>
        </w:tc>
        <w:tc>
          <w:tcPr>
            <w:tcW w:w="990" w:type="dxa"/>
            <w:vAlign w:val="center"/>
          </w:tcPr>
          <w:p>
            <w:pPr>
              <w:jc w:val="center"/>
              <w:rPr>
                <w:b/>
                <w:noProof/>
                <w:sz w:val="20"/>
              </w:rPr>
            </w:pPr>
            <w:r>
              <w:rPr>
                <w:b/>
                <w:noProof/>
                <w:sz w:val="20"/>
              </w:rPr>
              <w:t>2026 r.</w:t>
            </w:r>
          </w:p>
        </w:tc>
        <w:tc>
          <w:tcPr>
            <w:tcW w:w="990" w:type="dxa"/>
            <w:vAlign w:val="center"/>
          </w:tcPr>
          <w:p>
            <w:pPr>
              <w:jc w:val="center"/>
              <w:rPr>
                <w:b/>
                <w:noProof/>
                <w:sz w:val="20"/>
              </w:rPr>
            </w:pPr>
            <w:r>
              <w:rPr>
                <w:b/>
                <w:noProof/>
                <w:sz w:val="20"/>
              </w:rPr>
              <w:t>2027 r.</w:t>
            </w:r>
          </w:p>
        </w:tc>
        <w:tc>
          <w:tcPr>
            <w:tcW w:w="1033" w:type="dxa"/>
          </w:tcPr>
          <w:p>
            <w:pPr>
              <w:jc w:val="center"/>
              <w:rPr>
                <w:b/>
                <w:noProof/>
                <w:sz w:val="20"/>
              </w:rPr>
            </w:pPr>
            <w:r>
              <w:rPr>
                <w:b/>
                <w:i/>
                <w:noProof/>
                <w:sz w:val="20"/>
              </w:rPr>
              <w:t>po 2027 r.</w:t>
            </w:r>
          </w:p>
        </w:tc>
        <w:tc>
          <w:tcPr>
            <w:tcW w:w="1127" w:type="dxa"/>
            <w:vAlign w:val="center"/>
          </w:tcPr>
          <w:p>
            <w:pPr>
              <w:jc w:val="center"/>
              <w:rPr>
                <w:b/>
                <w:noProof/>
                <w:sz w:val="20"/>
              </w:rPr>
            </w:pPr>
            <w:r>
              <w:rPr>
                <w:b/>
                <w:noProof/>
                <w:sz w:val="20"/>
              </w:rPr>
              <w:t>OGÓŁEM</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Wydatki operacyjne z zewnętrznych dochodów przeznaczonych na określony cel w ramach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Wydatki na wsparcie administracyjne z zewnętrznych dochodów przeznaczonych na określony cel w ramach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Środki na zobowiązania = środki na płatności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 xml:space="preserve">Ogółem zewnętrzne dochody </w:t>
            </w:r>
            <w:r>
              <w:rPr>
                <w:noProof/>
                <w:sz w:val="22"/>
              </w:rPr>
              <w:lastRenderedPageBreak/>
              <w:t>przeznaczone na określony cel</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lastRenderedPageBreak/>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noProof/>
        </w:rPr>
        <w:t>Oprócz puli środków finansowych określonej w art. 83 proponowanego rozporządzenia COM (2018) 392 (interwencje EFRROW w ramach planów strategicznych WPR) dostępna będzie kwota 16 483 mln EUR (w cenach bieżących) w postaci zewnętrznych dochodów przeznaczonych na określony cel na lata 2022–2024</w:t>
      </w:r>
      <w:r>
        <w:rPr>
          <w:rStyle w:val="FootnoteReference"/>
          <w:i/>
          <w:iCs/>
          <w:noProof/>
        </w:rPr>
        <w:footnoteReference w:id="15"/>
      </w:r>
      <w:r>
        <w:rPr>
          <w:i/>
          <w:noProof/>
        </w:rPr>
        <w:t xml:space="preserve"> w rozumieniu art. 21 ust. 5 rozporządzenia finansowego jako finansowanie z Instrumentu Unii Europejskiej na rzecz Odbudowy.</w:t>
      </w:r>
      <w:r>
        <w:rPr>
          <w:i/>
          <w:iCs/>
          <w:noProof/>
        </w:rPr>
        <w:t xml:space="preserve"> Z</w:t>
      </w:r>
      <w:r>
        <w:rPr>
          <w:i/>
          <w:noProof/>
        </w:rPr>
        <w:t> </w:t>
      </w:r>
      <w:r>
        <w:rPr>
          <w:i/>
          <w:iCs/>
          <w:noProof/>
        </w:rPr>
        <w:t>tej kwoty do 6,000 mln EUR można przeznaczyć na wydatki administracyjne, w tym koszty personelu zewnętrznego. Operacyjna pomoc techniczna jest uwzględniona w kwocie wydatków operacyjnych i zostanie obliczona po ustaleniu podziału zasobów dodatkowych, o których mowa w ust. 1, dla poszczególnych państw członkowskich zgodnie z art. 83 ust. 3 wniosku COM(2018) 392.</w:t>
      </w:r>
    </w:p>
    <w:p>
      <w:pPr>
        <w:rPr>
          <w:i/>
          <w:noProof/>
        </w:rPr>
      </w:pPr>
      <w:r>
        <w:rPr>
          <w:i/>
          <w:noProof/>
        </w:rPr>
        <w:t>Szacunkowy podział wydatków w ramach zewnętrznych dochodów przeznaczonych na określony cel jest następujący:</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[EFRROW]</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 r.</w:t>
            </w:r>
          </w:p>
        </w:tc>
        <w:tc>
          <w:tcPr>
            <w:tcW w:w="990" w:type="dxa"/>
            <w:vAlign w:val="center"/>
          </w:tcPr>
          <w:p>
            <w:pPr>
              <w:jc w:val="center"/>
              <w:rPr>
                <w:noProof/>
                <w:sz w:val="20"/>
                <w:szCs w:val="20"/>
              </w:rPr>
            </w:pPr>
            <w:r>
              <w:rPr>
                <w:b/>
                <w:noProof/>
                <w:sz w:val="20"/>
                <w:szCs w:val="20"/>
              </w:rPr>
              <w:t>2022 r.</w:t>
            </w:r>
          </w:p>
        </w:tc>
        <w:tc>
          <w:tcPr>
            <w:tcW w:w="990" w:type="dxa"/>
            <w:vAlign w:val="center"/>
          </w:tcPr>
          <w:p>
            <w:pPr>
              <w:jc w:val="center"/>
              <w:rPr>
                <w:noProof/>
                <w:sz w:val="20"/>
                <w:szCs w:val="20"/>
              </w:rPr>
            </w:pPr>
            <w:r>
              <w:rPr>
                <w:b/>
                <w:noProof/>
                <w:sz w:val="20"/>
                <w:szCs w:val="20"/>
              </w:rPr>
              <w:t>2023 r.</w:t>
            </w:r>
          </w:p>
        </w:tc>
        <w:tc>
          <w:tcPr>
            <w:tcW w:w="976" w:type="dxa"/>
            <w:vAlign w:val="center"/>
          </w:tcPr>
          <w:p>
            <w:pPr>
              <w:jc w:val="center"/>
              <w:rPr>
                <w:noProof/>
                <w:sz w:val="20"/>
                <w:szCs w:val="20"/>
              </w:rPr>
            </w:pPr>
            <w:r>
              <w:rPr>
                <w:b/>
                <w:noProof/>
                <w:sz w:val="20"/>
                <w:szCs w:val="20"/>
              </w:rPr>
              <w:t>2024 r.</w:t>
            </w:r>
          </w:p>
        </w:tc>
        <w:tc>
          <w:tcPr>
            <w:tcW w:w="1004" w:type="dxa"/>
            <w:vAlign w:val="center"/>
          </w:tcPr>
          <w:p>
            <w:pPr>
              <w:jc w:val="center"/>
              <w:rPr>
                <w:b/>
                <w:noProof/>
                <w:sz w:val="20"/>
                <w:szCs w:val="20"/>
              </w:rPr>
            </w:pPr>
            <w:r>
              <w:rPr>
                <w:b/>
                <w:noProof/>
                <w:sz w:val="20"/>
                <w:szCs w:val="20"/>
              </w:rPr>
              <w:t>2025 r.</w:t>
            </w:r>
          </w:p>
        </w:tc>
        <w:tc>
          <w:tcPr>
            <w:tcW w:w="990" w:type="dxa"/>
            <w:vAlign w:val="center"/>
          </w:tcPr>
          <w:p>
            <w:pPr>
              <w:jc w:val="center"/>
              <w:rPr>
                <w:b/>
                <w:noProof/>
                <w:sz w:val="20"/>
                <w:szCs w:val="20"/>
              </w:rPr>
            </w:pPr>
            <w:r>
              <w:rPr>
                <w:b/>
                <w:noProof/>
                <w:sz w:val="20"/>
                <w:szCs w:val="20"/>
              </w:rPr>
              <w:t>2026 r.</w:t>
            </w:r>
          </w:p>
        </w:tc>
        <w:tc>
          <w:tcPr>
            <w:tcW w:w="990" w:type="dxa"/>
            <w:vAlign w:val="center"/>
          </w:tcPr>
          <w:p>
            <w:pPr>
              <w:jc w:val="center"/>
              <w:rPr>
                <w:b/>
                <w:noProof/>
                <w:sz w:val="20"/>
                <w:szCs w:val="20"/>
              </w:rPr>
            </w:pPr>
            <w:r>
              <w:rPr>
                <w:b/>
                <w:noProof/>
                <w:sz w:val="20"/>
                <w:szCs w:val="20"/>
              </w:rPr>
              <w:t>2027 r.</w:t>
            </w:r>
          </w:p>
        </w:tc>
        <w:tc>
          <w:tcPr>
            <w:tcW w:w="1033" w:type="dxa"/>
          </w:tcPr>
          <w:p>
            <w:pPr>
              <w:jc w:val="center"/>
              <w:rPr>
                <w:b/>
                <w:noProof/>
                <w:sz w:val="20"/>
                <w:szCs w:val="20"/>
              </w:rPr>
            </w:pPr>
            <w:r>
              <w:rPr>
                <w:b/>
                <w:i/>
                <w:noProof/>
                <w:sz w:val="20"/>
                <w:szCs w:val="20"/>
              </w:rPr>
              <w:t>po 2027 r.</w:t>
            </w:r>
          </w:p>
        </w:tc>
        <w:tc>
          <w:tcPr>
            <w:tcW w:w="1127" w:type="dxa"/>
            <w:vAlign w:val="center"/>
          </w:tcPr>
          <w:p>
            <w:pPr>
              <w:jc w:val="center"/>
              <w:rPr>
                <w:b/>
                <w:noProof/>
                <w:sz w:val="20"/>
                <w:szCs w:val="20"/>
              </w:rPr>
            </w:pPr>
            <w:r>
              <w:rPr>
                <w:b/>
                <w:noProof/>
                <w:sz w:val="20"/>
                <w:szCs w:val="20"/>
              </w:rPr>
              <w:t>OGÓŁEM</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Wydatki operacyjne finansowane z zewnętrznych dochodów przeznaczonych na określony cel w ramach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EFRROW – Operacyjna pomoc techniczna (wkład z zewnętrznych dochodów przeznaczonych na określony cel w ramach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Wydatki na wsparcie administracyjne (wkład z zewnętrznych dochodów przeznaczonych na określony cel </w:t>
            </w:r>
            <w:r>
              <w:rPr>
                <w:noProof/>
                <w:sz w:val="22"/>
              </w:rPr>
              <w:lastRenderedPageBreak/>
              <w:t>w ramach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lastRenderedPageBreak/>
              <w:t>Środki na zobowiązania = środki na płatności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lastRenderedPageBreak/>
              <w:t>Ogółem zewnętrzne dochody przeznaczone na określony cel</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t>Oprócz puli środków finansowych określonej w art. 6 rozporządzenia</w:t>
      </w:r>
      <w:r>
        <w:rPr>
          <w:noProof/>
        </w:rPr>
        <w:t xml:space="preserve"> </w:t>
      </w:r>
      <w:r>
        <w:rPr>
          <w:noProof/>
          <w:color w:val="0000FF"/>
        </w:rPr>
        <w:t>COM(2018) 460 final</w:t>
      </w:r>
      <w:r>
        <w:rPr>
          <w:i/>
          <w:iCs/>
          <w:noProof/>
        </w:rPr>
        <w:t xml:space="preserve"> („ISWMR”) dostępna będzie kwota 11 448,070 mln EUR (w cenach bieżących) w postaci zewnętrznych dochodów przeznaczonych na określony cel w rozumieniu art. 21 ust. 5 rozporządzenia finansowego jako finansowanie z Instrumentu Unii Europejskiej na rzecz Odbudowy. Z tej kwoty do 162,308 mln EUR można przeznaczyć na wydatki administracyjne, w tym koszty personelu zewnętrznego.</w:t>
      </w:r>
    </w:p>
    <w:p>
      <w:pPr>
        <w:rPr>
          <w:noProof/>
          <w:color w:val="0000FF"/>
        </w:rPr>
      </w:pPr>
    </w:p>
    <w:p>
      <w:pPr>
        <w:rPr>
          <w:i/>
          <w:noProof/>
        </w:rPr>
      </w:pPr>
      <w:r>
        <w:rPr>
          <w:i/>
          <w:noProof/>
        </w:rPr>
        <w:t>Szacunkowy podział wydatków w ramach zewnętrznych dochodów przeznaczonych na określony cel jest następujący:</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[Gwarancja na działania zewnętrzne – ISWMR]</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 r.</w:t>
            </w:r>
          </w:p>
        </w:tc>
        <w:tc>
          <w:tcPr>
            <w:tcW w:w="990" w:type="dxa"/>
            <w:vAlign w:val="center"/>
          </w:tcPr>
          <w:p>
            <w:pPr>
              <w:jc w:val="center"/>
              <w:rPr>
                <w:noProof/>
                <w:sz w:val="20"/>
              </w:rPr>
            </w:pPr>
            <w:r>
              <w:rPr>
                <w:b/>
                <w:noProof/>
                <w:sz w:val="20"/>
              </w:rPr>
              <w:t>2022 r.</w:t>
            </w:r>
          </w:p>
        </w:tc>
        <w:tc>
          <w:tcPr>
            <w:tcW w:w="990" w:type="dxa"/>
            <w:vAlign w:val="center"/>
          </w:tcPr>
          <w:p>
            <w:pPr>
              <w:jc w:val="center"/>
              <w:rPr>
                <w:noProof/>
                <w:sz w:val="20"/>
              </w:rPr>
            </w:pPr>
            <w:r>
              <w:rPr>
                <w:b/>
                <w:noProof/>
                <w:sz w:val="20"/>
              </w:rPr>
              <w:t>2023 r.</w:t>
            </w:r>
          </w:p>
        </w:tc>
        <w:tc>
          <w:tcPr>
            <w:tcW w:w="976" w:type="dxa"/>
            <w:vAlign w:val="center"/>
          </w:tcPr>
          <w:p>
            <w:pPr>
              <w:jc w:val="center"/>
              <w:rPr>
                <w:noProof/>
                <w:sz w:val="20"/>
              </w:rPr>
            </w:pPr>
            <w:r>
              <w:rPr>
                <w:b/>
                <w:noProof/>
                <w:sz w:val="20"/>
              </w:rPr>
              <w:t>2024 r.</w:t>
            </w:r>
          </w:p>
        </w:tc>
        <w:tc>
          <w:tcPr>
            <w:tcW w:w="1004" w:type="dxa"/>
            <w:vAlign w:val="center"/>
          </w:tcPr>
          <w:p>
            <w:pPr>
              <w:jc w:val="center"/>
              <w:rPr>
                <w:b/>
                <w:noProof/>
                <w:sz w:val="20"/>
              </w:rPr>
            </w:pPr>
            <w:r>
              <w:rPr>
                <w:b/>
                <w:noProof/>
                <w:sz w:val="20"/>
              </w:rPr>
              <w:t>2025 r.</w:t>
            </w:r>
          </w:p>
        </w:tc>
        <w:tc>
          <w:tcPr>
            <w:tcW w:w="990" w:type="dxa"/>
            <w:vAlign w:val="center"/>
          </w:tcPr>
          <w:p>
            <w:pPr>
              <w:jc w:val="center"/>
              <w:rPr>
                <w:b/>
                <w:noProof/>
                <w:sz w:val="20"/>
              </w:rPr>
            </w:pPr>
            <w:r>
              <w:rPr>
                <w:b/>
                <w:noProof/>
                <w:sz w:val="20"/>
              </w:rPr>
              <w:t>2026 r.</w:t>
            </w:r>
          </w:p>
        </w:tc>
        <w:tc>
          <w:tcPr>
            <w:tcW w:w="990" w:type="dxa"/>
            <w:vAlign w:val="center"/>
          </w:tcPr>
          <w:p>
            <w:pPr>
              <w:jc w:val="center"/>
              <w:rPr>
                <w:b/>
                <w:noProof/>
                <w:sz w:val="20"/>
              </w:rPr>
            </w:pPr>
            <w:r>
              <w:rPr>
                <w:b/>
                <w:noProof/>
                <w:sz w:val="20"/>
              </w:rPr>
              <w:t>2027 r.</w:t>
            </w:r>
          </w:p>
        </w:tc>
        <w:tc>
          <w:tcPr>
            <w:tcW w:w="1127" w:type="dxa"/>
            <w:vAlign w:val="center"/>
          </w:tcPr>
          <w:p>
            <w:pPr>
              <w:jc w:val="center"/>
              <w:rPr>
                <w:b/>
                <w:noProof/>
                <w:sz w:val="20"/>
              </w:rPr>
            </w:pPr>
            <w:r>
              <w:rPr>
                <w:b/>
                <w:noProof/>
                <w:sz w:val="20"/>
              </w:rPr>
              <w:t>OGÓŁEM</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Wydatki operacyjne z zewnętrznych dochodów przeznaczonych na określony cel w ramach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Wydatki na wsparcie administracyjne z zewnętrznych dochodów przeznaczonych na określony cel w ramach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Środki na zobowiązania = środki na płatności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 xml:space="preserve">Ogółem zewnętrzne dochody </w:t>
            </w:r>
            <w:r>
              <w:rPr>
                <w:noProof/>
                <w:sz w:val="22"/>
              </w:rPr>
              <w:lastRenderedPageBreak/>
              <w:t>przeznaczone na określony cel</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lastRenderedPageBreak/>
              <w:t>Środki na zobowiązania</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Środki na płatności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Dział wieloletnich ram finansowych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„Wydatki administracyjne”</w:t>
            </w:r>
          </w:p>
        </w:tc>
      </w:tr>
    </w:tbl>
    <w:p>
      <w:pPr>
        <w:jc w:val="left"/>
        <w:rPr>
          <w:noProof/>
          <w:color w:val="0000FF"/>
        </w:rPr>
      </w:pPr>
    </w:p>
    <w:p>
      <w:pPr>
        <w:jc w:val="left"/>
        <w:rPr>
          <w:noProof/>
        </w:rPr>
      </w:pPr>
    </w:p>
    <w:p>
      <w:pPr>
        <w:jc w:val="right"/>
        <w:rPr>
          <w:noProof/>
          <w:sz w:val="20"/>
        </w:rPr>
      </w:pPr>
      <w:r>
        <w:rPr>
          <w:noProof/>
          <w:sz w:val="20"/>
        </w:rPr>
        <w:t>w mln EUR (do trzech miejsc po przecinku)</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 r.</w:t>
            </w:r>
          </w:p>
        </w:tc>
        <w:tc>
          <w:tcPr>
            <w:tcW w:w="868" w:type="dxa"/>
            <w:vAlign w:val="center"/>
          </w:tcPr>
          <w:p>
            <w:pPr>
              <w:jc w:val="center"/>
              <w:rPr>
                <w:b/>
                <w:noProof/>
                <w:sz w:val="20"/>
              </w:rPr>
            </w:pPr>
            <w:r>
              <w:rPr>
                <w:b/>
                <w:noProof/>
                <w:sz w:val="20"/>
              </w:rPr>
              <w:t>2022 r.</w:t>
            </w:r>
          </w:p>
        </w:tc>
        <w:tc>
          <w:tcPr>
            <w:tcW w:w="868" w:type="dxa"/>
            <w:vAlign w:val="center"/>
          </w:tcPr>
          <w:p>
            <w:pPr>
              <w:jc w:val="center"/>
              <w:rPr>
                <w:b/>
                <w:noProof/>
                <w:sz w:val="20"/>
              </w:rPr>
            </w:pPr>
            <w:r>
              <w:rPr>
                <w:b/>
                <w:noProof/>
                <w:sz w:val="20"/>
              </w:rPr>
              <w:t>2023 r.</w:t>
            </w:r>
          </w:p>
        </w:tc>
        <w:tc>
          <w:tcPr>
            <w:tcW w:w="868" w:type="dxa"/>
            <w:vAlign w:val="center"/>
          </w:tcPr>
          <w:p>
            <w:pPr>
              <w:jc w:val="center"/>
              <w:rPr>
                <w:b/>
                <w:noProof/>
                <w:sz w:val="20"/>
              </w:rPr>
            </w:pPr>
            <w:r>
              <w:rPr>
                <w:b/>
                <w:noProof/>
                <w:sz w:val="20"/>
              </w:rPr>
              <w:t>2024 r.</w:t>
            </w:r>
          </w:p>
        </w:tc>
        <w:tc>
          <w:tcPr>
            <w:tcW w:w="868" w:type="dxa"/>
            <w:vAlign w:val="center"/>
          </w:tcPr>
          <w:p>
            <w:pPr>
              <w:jc w:val="center"/>
              <w:rPr>
                <w:b/>
                <w:noProof/>
                <w:sz w:val="18"/>
              </w:rPr>
            </w:pPr>
            <w:r>
              <w:rPr>
                <w:b/>
                <w:noProof/>
                <w:sz w:val="18"/>
              </w:rPr>
              <w:t>2025 r.</w:t>
            </w:r>
          </w:p>
        </w:tc>
        <w:tc>
          <w:tcPr>
            <w:tcW w:w="868" w:type="dxa"/>
            <w:vAlign w:val="center"/>
          </w:tcPr>
          <w:p>
            <w:pPr>
              <w:jc w:val="center"/>
              <w:rPr>
                <w:b/>
                <w:noProof/>
                <w:sz w:val="18"/>
              </w:rPr>
            </w:pPr>
            <w:r>
              <w:rPr>
                <w:b/>
                <w:noProof/>
                <w:sz w:val="18"/>
              </w:rPr>
              <w:t>2026 r.</w:t>
            </w:r>
          </w:p>
        </w:tc>
        <w:tc>
          <w:tcPr>
            <w:tcW w:w="868" w:type="dxa"/>
            <w:vAlign w:val="center"/>
          </w:tcPr>
          <w:p>
            <w:pPr>
              <w:jc w:val="center"/>
              <w:rPr>
                <w:b/>
                <w:noProof/>
                <w:sz w:val="18"/>
              </w:rPr>
            </w:pPr>
            <w:r>
              <w:rPr>
                <w:b/>
                <w:noProof/>
                <w:sz w:val="18"/>
              </w:rPr>
              <w:t>2027 r.</w:t>
            </w:r>
          </w:p>
        </w:tc>
        <w:tc>
          <w:tcPr>
            <w:tcW w:w="1291" w:type="dxa"/>
            <w:vAlign w:val="center"/>
          </w:tcPr>
          <w:p>
            <w:pPr>
              <w:jc w:val="center"/>
              <w:rPr>
                <w:b/>
                <w:noProof/>
                <w:sz w:val="20"/>
              </w:rPr>
            </w:pPr>
            <w:r>
              <w:rPr>
                <w:b/>
                <w:noProof/>
                <w:sz w:val="20"/>
              </w:rPr>
              <w:t>OGÓŁEM</w:t>
            </w:r>
          </w:p>
        </w:tc>
      </w:tr>
      <w:tr>
        <w:trPr>
          <w:trHeight w:val="313"/>
          <w:jc w:val="center"/>
        </w:trPr>
        <w:tc>
          <w:tcPr>
            <w:tcW w:w="6245" w:type="dxa"/>
            <w:gridSpan w:val="2"/>
            <w:vAlign w:val="center"/>
          </w:tcPr>
          <w:p>
            <w:pPr>
              <w:spacing w:before="20" w:after="20"/>
              <w:rPr>
                <w:noProof/>
              </w:rPr>
            </w:pPr>
            <w:r>
              <w:rPr>
                <w:noProof/>
                <w:sz w:val="22"/>
              </w:rPr>
              <w:t xml:space="preserve">Zasoby ludzkie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Pozostałe wydatki administracyjne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OGÓŁEM środki na DZIAŁ 7 wieloletnich ram finansowych</w:t>
            </w:r>
          </w:p>
        </w:tc>
        <w:tc>
          <w:tcPr>
            <w:tcW w:w="2046" w:type="dxa"/>
            <w:vAlign w:val="center"/>
          </w:tcPr>
          <w:p>
            <w:pPr>
              <w:spacing w:before="20" w:after="20"/>
              <w:rPr>
                <w:noProof/>
                <w:sz w:val="22"/>
              </w:rPr>
            </w:pPr>
            <w:r>
              <w:rPr>
                <w:noProof/>
                <w:sz w:val="18"/>
              </w:rPr>
              <w:t>(Środki na zobowiązania ogółem = środki na płatności ogółem)</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Podsumowanie szacunkowego wpływu na środki administracyjne</w:t>
      </w:r>
      <w:bookmarkEnd w:id="56"/>
      <w:bookmarkEnd w:id="57"/>
    </w:p>
    <w:p>
      <w:pPr>
        <w:rPr>
          <w:rFonts w:eastAsia="Times New Roman"/>
          <w:noProof/>
        </w:rPr>
      </w:pPr>
      <w:r>
        <w:rPr>
          <w:noProof/>
        </w:rPr>
        <w:sym w:font="Wingdings" w:char="F0A8"/>
      </w:r>
      <w:r>
        <w:rPr>
          <w:noProof/>
        </w:rPr>
        <w:tab/>
        <w:t xml:space="preserve">Wniosek/inicjatywa nie wiąże się z koniecznością wykorzystania środków administracyjnych </w:t>
      </w:r>
    </w:p>
    <w:p>
      <w:pPr>
        <w:rPr>
          <w:rFonts w:eastAsia="Times New Roman"/>
          <w:noProof/>
        </w:rPr>
      </w:pPr>
      <w:r>
        <w:rPr>
          <w:noProof/>
        </w:rPr>
        <w:t>X</w:t>
      </w:r>
      <w:r>
        <w:rPr>
          <w:noProof/>
        </w:rPr>
        <w:tab/>
        <w:t>Wniosek/inicjatywa wiąże się z koniecznością wykorzystania środków administracyjnych, jak określono poniżej:</w:t>
      </w:r>
    </w:p>
    <w:p>
      <w:pPr>
        <w:rPr>
          <w:noProof/>
          <w:sz w:val="20"/>
        </w:rPr>
      </w:pPr>
      <w:r>
        <w:rPr>
          <w:noProof/>
          <w:sz w:val="20"/>
        </w:rPr>
        <w:t>w mln EUR (do trzech miejsc po przecinku)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Rok</w:t>
            </w:r>
          </w:p>
        </w:tc>
        <w:tc>
          <w:tcPr>
            <w:tcW w:w="1080" w:type="dxa"/>
            <w:vAlign w:val="center"/>
          </w:tcPr>
          <w:p>
            <w:pPr>
              <w:spacing w:before="60" w:after="60" w:line="200" w:lineRule="exact"/>
              <w:jc w:val="center"/>
              <w:rPr>
                <w:noProof/>
                <w:sz w:val="16"/>
                <w:szCs w:val="16"/>
              </w:rPr>
            </w:pPr>
            <w:r>
              <w:rPr>
                <w:b/>
                <w:noProof/>
                <w:sz w:val="20"/>
              </w:rPr>
              <w:t>2021 r.</w:t>
            </w:r>
          </w:p>
        </w:tc>
        <w:tc>
          <w:tcPr>
            <w:tcW w:w="1080" w:type="dxa"/>
            <w:vAlign w:val="center"/>
          </w:tcPr>
          <w:p>
            <w:pPr>
              <w:spacing w:before="60" w:after="60" w:line="200" w:lineRule="exact"/>
              <w:jc w:val="center"/>
              <w:rPr>
                <w:noProof/>
                <w:sz w:val="16"/>
                <w:szCs w:val="16"/>
              </w:rPr>
            </w:pPr>
            <w:r>
              <w:rPr>
                <w:b/>
                <w:noProof/>
                <w:sz w:val="20"/>
              </w:rPr>
              <w:t>2022 r.</w:t>
            </w:r>
          </w:p>
        </w:tc>
        <w:tc>
          <w:tcPr>
            <w:tcW w:w="1080" w:type="dxa"/>
            <w:vAlign w:val="center"/>
          </w:tcPr>
          <w:p>
            <w:pPr>
              <w:spacing w:before="60" w:after="60" w:line="200" w:lineRule="exact"/>
              <w:jc w:val="center"/>
              <w:rPr>
                <w:noProof/>
                <w:sz w:val="16"/>
                <w:szCs w:val="16"/>
              </w:rPr>
            </w:pPr>
            <w:r>
              <w:rPr>
                <w:b/>
                <w:noProof/>
                <w:sz w:val="20"/>
              </w:rPr>
              <w:t>2023 r.</w:t>
            </w:r>
          </w:p>
        </w:tc>
        <w:tc>
          <w:tcPr>
            <w:tcW w:w="1080" w:type="dxa"/>
            <w:vAlign w:val="center"/>
          </w:tcPr>
          <w:p>
            <w:pPr>
              <w:spacing w:before="60" w:after="60" w:line="200" w:lineRule="exact"/>
              <w:jc w:val="center"/>
              <w:rPr>
                <w:noProof/>
                <w:sz w:val="16"/>
                <w:szCs w:val="16"/>
              </w:rPr>
            </w:pPr>
            <w:r>
              <w:rPr>
                <w:b/>
                <w:noProof/>
                <w:sz w:val="20"/>
              </w:rPr>
              <w:t>2024 r.</w:t>
            </w:r>
          </w:p>
        </w:tc>
        <w:tc>
          <w:tcPr>
            <w:tcW w:w="1080" w:type="dxa"/>
            <w:vAlign w:val="center"/>
          </w:tcPr>
          <w:p>
            <w:pPr>
              <w:spacing w:before="60" w:after="60" w:line="200" w:lineRule="exact"/>
              <w:jc w:val="center"/>
              <w:rPr>
                <w:b/>
                <w:noProof/>
                <w:sz w:val="20"/>
              </w:rPr>
            </w:pPr>
            <w:r>
              <w:rPr>
                <w:b/>
                <w:noProof/>
                <w:sz w:val="20"/>
              </w:rPr>
              <w:t>2025 r.</w:t>
            </w:r>
          </w:p>
        </w:tc>
        <w:tc>
          <w:tcPr>
            <w:tcW w:w="1080" w:type="dxa"/>
            <w:vAlign w:val="center"/>
          </w:tcPr>
          <w:p>
            <w:pPr>
              <w:spacing w:before="60" w:after="60" w:line="200" w:lineRule="exact"/>
              <w:jc w:val="center"/>
              <w:rPr>
                <w:b/>
                <w:noProof/>
                <w:sz w:val="20"/>
              </w:rPr>
            </w:pPr>
            <w:r>
              <w:rPr>
                <w:b/>
                <w:noProof/>
                <w:sz w:val="20"/>
              </w:rPr>
              <w:t>2026 r.</w:t>
            </w:r>
          </w:p>
        </w:tc>
        <w:tc>
          <w:tcPr>
            <w:tcW w:w="1080" w:type="dxa"/>
            <w:vAlign w:val="center"/>
          </w:tcPr>
          <w:p>
            <w:pPr>
              <w:spacing w:before="60" w:after="60" w:line="200" w:lineRule="exact"/>
              <w:jc w:val="center"/>
              <w:rPr>
                <w:b/>
                <w:noProof/>
                <w:sz w:val="20"/>
              </w:rPr>
            </w:pPr>
            <w:r>
              <w:rPr>
                <w:b/>
                <w:noProof/>
                <w:sz w:val="20"/>
              </w:rPr>
              <w:t>2027 r.</w:t>
            </w:r>
          </w:p>
        </w:tc>
        <w:tc>
          <w:tcPr>
            <w:tcW w:w="1080" w:type="dxa"/>
            <w:vAlign w:val="center"/>
          </w:tcPr>
          <w:p>
            <w:pPr>
              <w:spacing w:before="60" w:after="60" w:line="200" w:lineRule="exact"/>
              <w:jc w:val="center"/>
              <w:rPr>
                <w:b/>
                <w:noProof/>
                <w:sz w:val="16"/>
                <w:szCs w:val="16"/>
              </w:rPr>
            </w:pPr>
            <w:r>
              <w:rPr>
                <w:b/>
                <w:noProof/>
                <w:sz w:val="20"/>
              </w:rPr>
              <w:t>OGÓŁEM</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DZIAŁ 7</w:t>
            </w:r>
            <w:r>
              <w:rPr>
                <w:noProof/>
              </w:rPr>
              <w:t xml:space="preserve"> </w:t>
            </w:r>
            <w:r>
              <w:rPr>
                <w:noProof/>
              </w:rPr>
              <w:br/>
            </w:r>
            <w:r>
              <w:rPr>
                <w:b/>
                <w:noProof/>
                <w:sz w:val="16"/>
              </w:rPr>
              <w:t>wieloletnich ram finansowych</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Zasoby ludzkie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Pozostałe wydatki administracyjne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Suma cząstkowa DZIAŁU 7</w:t>
            </w:r>
            <w:r>
              <w:rPr>
                <w:noProof/>
              </w:rPr>
              <w:t xml:space="preserve"> </w:t>
            </w:r>
            <w:r>
              <w:rPr>
                <w:noProof/>
              </w:rPr>
              <w:br/>
            </w:r>
            <w:r>
              <w:rPr>
                <w:b/>
                <w:noProof/>
                <w:sz w:val="16"/>
              </w:rPr>
              <w:t xml:space="preserve">wieloletnich ram finansowych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Poza DZIAŁEM 7</w:t>
            </w:r>
            <w:r>
              <w:rPr>
                <w:rStyle w:val="FootnoteReference"/>
                <w:noProof/>
              </w:rPr>
              <w:footnoteReference w:id="16"/>
            </w:r>
            <w:r>
              <w:rPr>
                <w:noProof/>
              </w:rPr>
              <w:t xml:space="preserve"> </w:t>
            </w:r>
            <w:r>
              <w:rPr>
                <w:noProof/>
              </w:rPr>
              <w:br/>
            </w:r>
            <w:r>
              <w:rPr>
                <w:b/>
                <w:noProof/>
                <w:sz w:val="16"/>
              </w:rPr>
              <w:t>wieloletnich ram finansowych</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Zasoby ludzkie – zewnętrzne dochody przeznaczone na określony cel (badania naukowe)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Inne wydatki o charakterze administracyjnym – zewnętrzne dochody przeznaczone na określony cel (badania naukowe)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Suma cząstkowa – zewnętrzne dochody przeznaczone na określony cel (badania naukowe)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Zasoby ludzkie – zewnętrzne dochody przeznaczone na określony cel (inny niż badania naukowe) – ISWMR</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Pozostałe wydatki administracyjne – </w:t>
            </w:r>
            <w:r>
              <w:rPr>
                <w:noProof/>
                <w:sz w:val="16"/>
                <w:szCs w:val="16"/>
              </w:rPr>
              <w:lastRenderedPageBreak/>
              <w:t>zewnętrzne dochody przeznaczone na określony cel (inny niż badania naukowe) – ISWMR</w:t>
            </w:r>
          </w:p>
        </w:tc>
        <w:tc>
          <w:tcPr>
            <w:tcW w:w="1080" w:type="dxa"/>
          </w:tcPr>
          <w:p>
            <w:pPr>
              <w:spacing w:before="60" w:after="60" w:line="200" w:lineRule="exact"/>
              <w:jc w:val="right"/>
              <w:rPr>
                <w:noProof/>
                <w:sz w:val="16"/>
                <w:szCs w:val="16"/>
              </w:rPr>
            </w:pPr>
            <w:r>
              <w:rPr>
                <w:noProof/>
                <w:sz w:val="16"/>
                <w:szCs w:val="16"/>
              </w:rPr>
              <w:lastRenderedPageBreak/>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lastRenderedPageBreak/>
              <w:t>Zasoby ludzkie – zewnętrzne dochody przeznaczone na określony cel (inny niż badania naukowe) – EFRROW</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Pozostałe wydatki administracyjne – zewnętrzne dochody przeznaczone na określony cel (inny niż badania naukowe) – EFRROW</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t>Suma cząstkowa – zewnętrzne dochody przeznaczone na określony cel (inny niż badania naukowe)</w:t>
            </w:r>
          </w:p>
        </w:tc>
        <w:tc>
          <w:tcPr>
            <w:tcW w:w="1080" w:type="dxa"/>
            <w:vAlign w:val="bottom"/>
          </w:tcPr>
          <w:p>
            <w:pPr>
              <w:spacing w:before="60" w:after="60" w:line="200" w:lineRule="exact"/>
              <w:rPr>
                <w:noProof/>
                <w:sz w:val="16"/>
                <w:szCs w:val="16"/>
              </w:rPr>
            </w:pPr>
            <w:r>
              <w:rPr>
                <w:rFonts w:ascii="Calibri" w:hAnsi="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Suma cząstkowa </w:t>
            </w:r>
            <w:r>
              <w:rPr>
                <w:b/>
                <w:noProof/>
                <w:sz w:val="16"/>
              </w:rPr>
              <w:br/>
              <w:t>poza DZIAŁEM 7</w:t>
            </w:r>
            <w:r>
              <w:rPr>
                <w:noProof/>
              </w:rPr>
              <w:t xml:space="preserve"> </w:t>
            </w:r>
            <w:r>
              <w:rPr>
                <w:noProof/>
              </w:rPr>
              <w:br/>
            </w:r>
            <w:r>
              <w:rPr>
                <w:b/>
                <w:noProof/>
                <w:sz w:val="16"/>
              </w:rPr>
              <w:t xml:space="preserve">wieloletnich ram finansowych </w:t>
            </w:r>
          </w:p>
        </w:tc>
        <w:tc>
          <w:tcPr>
            <w:tcW w:w="1080" w:type="dxa"/>
            <w:vAlign w:val="bottom"/>
          </w:tcPr>
          <w:p>
            <w:pPr>
              <w:spacing w:before="60" w:after="60" w:line="200" w:lineRule="exact"/>
              <w:jc w:val="right"/>
              <w:rPr>
                <w:noProof/>
                <w:sz w:val="16"/>
                <w:szCs w:val="16"/>
              </w:rPr>
            </w:pPr>
            <w:r>
              <w:rPr>
                <w:rFonts w:ascii="Calibri" w:hAnsi="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noProof/>
                <w:color w:val="000000"/>
                <w:sz w:val="22"/>
              </w:rPr>
              <w:t>857,467</w:t>
            </w:r>
          </w:p>
        </w:tc>
      </w:tr>
    </w:tbl>
    <w:p>
      <w:pPr>
        <w:spacing w:line="200" w:lineRule="exact"/>
        <w:rPr>
          <w:noProof/>
          <w:sz w:val="16"/>
          <w:szCs w:val="16"/>
        </w:rPr>
      </w:pPr>
    </w:p>
    <w:p>
      <w:pPr>
        <w:rPr>
          <w:noProof/>
          <w:sz w:val="18"/>
          <w:szCs w:val="18"/>
        </w:rPr>
      </w:pPr>
      <w:r>
        <w:rPr>
          <w:noProof/>
          <w:sz w:val="18"/>
          <w:szCs w:val="18"/>
        </w:rPr>
        <w:t>Potrzeby w zakresie środków na zasoby ludzkie i inne wydatki o charakterze administracyjnym zostaną pokryte z zasobów dyrekcji generalnej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 Dodatkowym personelem będzie wyłącznie personel zewnętrzny, finansowany wyłącznie z dochodów przeznaczonych na określony cel.</w:t>
      </w:r>
    </w:p>
    <w:p>
      <w:pPr>
        <w:keepNext/>
        <w:outlineLvl w:val="3"/>
        <w:rPr>
          <w:rFonts w:eastAsiaTheme="majorEastAsia"/>
          <w:iCs/>
          <w:noProof/>
          <w:szCs w:val="24"/>
        </w:rPr>
      </w:pPr>
      <w:r>
        <w:rPr>
          <w:noProof/>
        </w:rPr>
        <w:t>Szacowane zapotrzebowanie na zasoby ludzkie</w:t>
      </w:r>
    </w:p>
    <w:p>
      <w:pPr>
        <w:rPr>
          <w:rFonts w:eastAsia="Times New Roman"/>
          <w:noProof/>
        </w:rPr>
      </w:pPr>
      <w:r>
        <w:rPr>
          <w:noProof/>
        </w:rPr>
        <w:sym w:font="Wingdings" w:char="F0A8"/>
      </w:r>
      <w:r>
        <w:rPr>
          <w:noProof/>
        </w:rPr>
        <w:tab/>
        <w:t xml:space="preserve">Wniosek/inicjatywa nie wiąże się z koniecznością wykorzystania zasobów ludzkich. </w:t>
      </w:r>
    </w:p>
    <w:p>
      <w:pPr>
        <w:rPr>
          <w:rFonts w:eastAsia="Times New Roman"/>
          <w:noProof/>
        </w:rPr>
      </w:pPr>
      <w:r>
        <w:rPr>
          <w:noProof/>
        </w:rPr>
        <w:sym w:font="Wingdings" w:char="F0FE"/>
      </w:r>
      <w:r>
        <w:rPr>
          <w:noProof/>
        </w:rPr>
        <w:tab/>
        <w:t>Wniosek/inicjatywa wiąże się z koniecznością wykorzystania zasobów ludzkich, jak określono poniżej:</w:t>
      </w:r>
    </w:p>
    <w:p>
      <w:pPr>
        <w:spacing w:after="60"/>
        <w:jc w:val="right"/>
        <w:rPr>
          <w:i/>
          <w:noProof/>
          <w:sz w:val="20"/>
        </w:rPr>
      </w:pPr>
      <w:r>
        <w:rPr>
          <w:i/>
          <w:noProof/>
          <w:sz w:val="20"/>
        </w:rPr>
        <w:t>Wartości szacunkowe należy wyrazić w ekwiwalentach pełnego czasu pracy</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Rok</w:t>
            </w:r>
          </w:p>
        </w:tc>
        <w:tc>
          <w:tcPr>
            <w:tcW w:w="466" w:type="pct"/>
            <w:shd w:val="clear" w:color="auto" w:fill="auto"/>
            <w:vAlign w:val="center"/>
          </w:tcPr>
          <w:p>
            <w:pPr>
              <w:spacing w:before="20" w:after="20"/>
              <w:jc w:val="center"/>
              <w:rPr>
                <w:b/>
                <w:noProof/>
                <w:sz w:val="16"/>
                <w:szCs w:val="16"/>
              </w:rPr>
            </w:pPr>
            <w:r>
              <w:rPr>
                <w:b/>
                <w:noProof/>
                <w:sz w:val="20"/>
              </w:rPr>
              <w:t>2021 r.</w:t>
            </w:r>
          </w:p>
        </w:tc>
        <w:tc>
          <w:tcPr>
            <w:tcW w:w="534" w:type="pct"/>
            <w:shd w:val="clear" w:color="auto" w:fill="auto"/>
            <w:vAlign w:val="center"/>
          </w:tcPr>
          <w:p>
            <w:pPr>
              <w:spacing w:before="20" w:after="20"/>
              <w:jc w:val="center"/>
              <w:rPr>
                <w:b/>
                <w:noProof/>
                <w:sz w:val="20"/>
              </w:rPr>
            </w:pPr>
            <w:r>
              <w:rPr>
                <w:b/>
                <w:noProof/>
                <w:sz w:val="20"/>
              </w:rPr>
              <w:t>2022 r.</w:t>
            </w:r>
          </w:p>
        </w:tc>
        <w:tc>
          <w:tcPr>
            <w:tcW w:w="466" w:type="pct"/>
            <w:shd w:val="clear" w:color="auto" w:fill="auto"/>
            <w:vAlign w:val="center"/>
          </w:tcPr>
          <w:p>
            <w:pPr>
              <w:spacing w:before="20" w:after="20"/>
              <w:jc w:val="center"/>
              <w:rPr>
                <w:b/>
                <w:noProof/>
                <w:sz w:val="20"/>
              </w:rPr>
            </w:pPr>
            <w:r>
              <w:rPr>
                <w:b/>
                <w:noProof/>
                <w:sz w:val="20"/>
              </w:rPr>
              <w:t>2023 r.</w:t>
            </w:r>
          </w:p>
        </w:tc>
        <w:tc>
          <w:tcPr>
            <w:tcW w:w="534" w:type="pct"/>
            <w:shd w:val="clear" w:color="auto" w:fill="auto"/>
            <w:vAlign w:val="center"/>
          </w:tcPr>
          <w:p>
            <w:pPr>
              <w:spacing w:before="20" w:after="20"/>
              <w:jc w:val="center"/>
              <w:rPr>
                <w:b/>
                <w:noProof/>
                <w:sz w:val="20"/>
              </w:rPr>
            </w:pPr>
            <w:r>
              <w:rPr>
                <w:b/>
                <w:noProof/>
                <w:sz w:val="20"/>
              </w:rPr>
              <w:t>2024 r.</w:t>
            </w:r>
          </w:p>
        </w:tc>
        <w:tc>
          <w:tcPr>
            <w:tcW w:w="533" w:type="pct"/>
            <w:shd w:val="clear" w:color="auto" w:fill="auto"/>
            <w:vAlign w:val="center"/>
          </w:tcPr>
          <w:p>
            <w:pPr>
              <w:jc w:val="center"/>
              <w:rPr>
                <w:b/>
                <w:noProof/>
                <w:sz w:val="20"/>
              </w:rPr>
            </w:pPr>
            <w:r>
              <w:rPr>
                <w:b/>
                <w:noProof/>
                <w:sz w:val="20"/>
              </w:rPr>
              <w:t>2025 r.</w:t>
            </w:r>
          </w:p>
        </w:tc>
        <w:tc>
          <w:tcPr>
            <w:tcW w:w="468" w:type="pct"/>
            <w:shd w:val="clear" w:color="auto" w:fill="auto"/>
            <w:vAlign w:val="center"/>
          </w:tcPr>
          <w:p>
            <w:pPr>
              <w:jc w:val="center"/>
              <w:rPr>
                <w:b/>
                <w:noProof/>
                <w:sz w:val="20"/>
              </w:rPr>
            </w:pPr>
            <w:r>
              <w:rPr>
                <w:b/>
                <w:noProof/>
                <w:sz w:val="20"/>
              </w:rPr>
              <w:t>2026 r.</w:t>
            </w:r>
          </w:p>
        </w:tc>
        <w:tc>
          <w:tcPr>
            <w:tcW w:w="527" w:type="pct"/>
            <w:shd w:val="clear" w:color="auto" w:fill="auto"/>
            <w:vAlign w:val="center"/>
          </w:tcPr>
          <w:p>
            <w:pPr>
              <w:jc w:val="center"/>
              <w:rPr>
                <w:b/>
                <w:noProof/>
                <w:sz w:val="20"/>
              </w:rPr>
            </w:pPr>
            <w:r>
              <w:rPr>
                <w:b/>
                <w:noProof/>
                <w:sz w:val="20"/>
              </w:rPr>
              <w:t>2027 r.</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Stanowiska przewidziane w planie zatrudnienia (stanowiska urzędników i pracowników zatrudnionych na czas określony)</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W centrali i w biurach przedstawicielstw Komisji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W delegaturach</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Badania naukowe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Personel zewnętrzny (w ekwiwalentach pełnego czasu pracy: EPC) – CA, LA, SNE, INT i JED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Dział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Finansowanie z DZIAŁU 7 wieloletnich ram finansowych</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w centrali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w delegaturach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lastRenderedPageBreak/>
              <w:t>Finansowanie ze środków przydzielonych na program</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w centrali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w delegaturach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Inne: zewnętrzne dochody przeznaczone na określony cel (badania naukowe)</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Inne: zewnętrzne dochody przeznaczone na określony cel (inny niż badania naukowe) – ISWMR</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Inne: zewnętrzne dochody przeznaczone na określony cel (inny niż badania naukowe) – EFRROW</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OGÓŁEM</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Potrzeby w zakresie zasobów ludzkich zostaną pokryte z zasobów dyrekcji generalnej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r>
        <w:rPr>
          <w:noProof/>
        </w:rPr>
        <w:t xml:space="preserve"> </w:t>
      </w:r>
      <w:r>
        <w:rPr>
          <w:noProof/>
          <w:sz w:val="18"/>
          <w:szCs w:val="18"/>
        </w:rPr>
        <w:t>Dodatkowym personelem będzie wyłącznie personel zewnętrzny, finansowany wyłącznie z dochodów przeznaczonych na określony cel.</w:t>
      </w:r>
    </w:p>
    <w:p>
      <w:pPr>
        <w:rPr>
          <w:noProof/>
          <w:sz w:val="20"/>
        </w:rPr>
      </w:pPr>
      <w:r>
        <w:rPr>
          <w:noProof/>
          <w:sz w:val="20"/>
        </w:rPr>
        <w:t>Opis zadań do wykonania:</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Personel zewnętrzny</w:t>
            </w:r>
          </w:p>
        </w:tc>
        <w:tc>
          <w:tcPr>
            <w:tcW w:w="7392" w:type="dxa"/>
          </w:tcPr>
          <w:p>
            <w:pPr>
              <w:rPr>
                <w:noProof/>
                <w:sz w:val="20"/>
              </w:rPr>
            </w:pPr>
            <w:r>
              <w:rPr>
                <w:noProof/>
                <w:sz w:val="20"/>
              </w:rPr>
              <w:t xml:space="preserve">Personel zewnętrzny będzie wspomagać urzędników i pracowników tymczasowych w pracach służących wdrożeniu działań, o których mowa w rozporządzeniu ustanawiającym Instrument Unii Europejskiej na rzecz Odbudowy, realizowanych w ramach odnośnych programów.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Szacunkowy wpływ na dochody</w:t>
      </w:r>
      <w:bookmarkEnd w:id="58"/>
      <w:bookmarkEnd w:id="59"/>
      <w:r>
        <w:rPr>
          <w:b/>
          <w:bCs/>
          <w:noProof/>
          <w:szCs w:val="26"/>
        </w:rPr>
        <w:t xml:space="preserve"> </w:t>
      </w:r>
    </w:p>
    <w:p>
      <w:pPr>
        <w:rPr>
          <w:rFonts w:eastAsia="Times New Roman"/>
          <w:noProof/>
        </w:rPr>
      </w:pPr>
      <w:r>
        <w:rPr>
          <w:noProof/>
        </w:rPr>
        <w:t>X</w:t>
      </w:r>
      <w:r>
        <w:rPr>
          <w:noProof/>
        </w:rPr>
        <w:tab/>
        <w:t>Wniosek/inicjatywa nie ma wpływu finansowego na dochody</w:t>
      </w:r>
    </w:p>
    <w:p>
      <w:pPr>
        <w:rPr>
          <w:rFonts w:eastAsia="Times New Roman"/>
          <w:noProof/>
        </w:rPr>
      </w:pPr>
      <w:r>
        <w:rPr>
          <w:noProof/>
        </w:rPr>
        <w:sym w:font="Wingdings" w:char="F0A8"/>
      </w:r>
      <w:r>
        <w:rPr>
          <w:noProof/>
        </w:rPr>
        <w:tab/>
        <w:t>Wniosek/inicjatywa ma wpływ finansowy określony poniżej:</w:t>
      </w:r>
    </w:p>
    <w:p>
      <w:pPr>
        <w:ind w:left="2126" w:hanging="709"/>
        <w:rPr>
          <w:rFonts w:eastAsia="Times New Roman"/>
          <w:noProof/>
        </w:rPr>
      </w:pPr>
      <w:r>
        <w:rPr>
          <w:noProof/>
        </w:rPr>
        <w:sym w:font="Wingdings" w:char="F0A8"/>
      </w:r>
      <w:r>
        <w:rPr>
          <w:noProof/>
        </w:rPr>
        <w:tab/>
        <w:t xml:space="preserve">wpływ na zasoby własne </w:t>
      </w:r>
    </w:p>
    <w:p>
      <w:pPr>
        <w:ind w:left="2126" w:hanging="709"/>
        <w:rPr>
          <w:rFonts w:eastAsia="Times New Roman"/>
          <w:noProof/>
        </w:rPr>
      </w:pPr>
      <w:r>
        <w:rPr>
          <w:noProof/>
        </w:rPr>
        <w:sym w:font="Wingdings" w:char="F0A8"/>
      </w:r>
      <w:r>
        <w:rPr>
          <w:noProof/>
        </w:rPr>
        <w:tab/>
        <w:t>wpływ na dochody inne</w:t>
      </w:r>
    </w:p>
    <w:p>
      <w:pPr>
        <w:rPr>
          <w:noProof/>
        </w:rPr>
      </w:pPr>
      <w:r>
        <w:rPr>
          <w:noProof/>
        </w:rPr>
        <w:t>Wskazać, czy dochody są przypisane do linii budżetowej po stronie wydatków X</w:t>
      </w:r>
      <w:r>
        <w:rPr>
          <w:noProof/>
        </w:rPr>
        <w:tab/>
      </w:r>
    </w:p>
    <w:p>
      <w:pPr>
        <w:jc w:val="right"/>
        <w:rPr>
          <w:i/>
          <w:noProof/>
          <w:sz w:val="20"/>
        </w:rPr>
      </w:pPr>
      <w:r>
        <w:rPr>
          <w:noProof/>
        </w:rPr>
        <w:t>w mln EUR (do trzech miejsc po przecinku)</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Linia budżetowa po stronie dochodów</w:t>
            </w:r>
          </w:p>
        </w:tc>
        <w:tc>
          <w:tcPr>
            <w:tcW w:w="7200" w:type="dxa"/>
            <w:gridSpan w:val="7"/>
            <w:vAlign w:val="center"/>
          </w:tcPr>
          <w:p>
            <w:pPr>
              <w:jc w:val="center"/>
              <w:rPr>
                <w:noProof/>
                <w:sz w:val="18"/>
              </w:rPr>
            </w:pPr>
            <w:r>
              <w:rPr>
                <w:noProof/>
                <w:sz w:val="18"/>
              </w:rPr>
              <w:t>Wpływ wniosku/inicjatywy</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 r.</w:t>
            </w:r>
          </w:p>
        </w:tc>
        <w:tc>
          <w:tcPr>
            <w:tcW w:w="900" w:type="dxa"/>
            <w:vAlign w:val="center"/>
          </w:tcPr>
          <w:p>
            <w:pPr>
              <w:jc w:val="center"/>
              <w:rPr>
                <w:b/>
                <w:noProof/>
                <w:sz w:val="20"/>
              </w:rPr>
            </w:pPr>
            <w:r>
              <w:rPr>
                <w:b/>
                <w:noProof/>
                <w:sz w:val="20"/>
              </w:rPr>
              <w:t>2022 r.</w:t>
            </w:r>
          </w:p>
        </w:tc>
        <w:tc>
          <w:tcPr>
            <w:tcW w:w="900" w:type="dxa"/>
            <w:vAlign w:val="center"/>
          </w:tcPr>
          <w:p>
            <w:pPr>
              <w:jc w:val="center"/>
              <w:rPr>
                <w:b/>
                <w:noProof/>
                <w:sz w:val="20"/>
              </w:rPr>
            </w:pPr>
            <w:r>
              <w:rPr>
                <w:b/>
                <w:noProof/>
                <w:sz w:val="20"/>
              </w:rPr>
              <w:t>2023 r.</w:t>
            </w:r>
          </w:p>
        </w:tc>
        <w:tc>
          <w:tcPr>
            <w:tcW w:w="1080" w:type="dxa"/>
            <w:vAlign w:val="center"/>
          </w:tcPr>
          <w:p>
            <w:pPr>
              <w:jc w:val="center"/>
              <w:rPr>
                <w:b/>
                <w:noProof/>
                <w:sz w:val="20"/>
              </w:rPr>
            </w:pPr>
            <w:r>
              <w:rPr>
                <w:b/>
                <w:noProof/>
                <w:sz w:val="20"/>
              </w:rPr>
              <w:t>2024 r.</w:t>
            </w:r>
          </w:p>
        </w:tc>
        <w:tc>
          <w:tcPr>
            <w:tcW w:w="1080" w:type="dxa"/>
            <w:vAlign w:val="center"/>
          </w:tcPr>
          <w:p>
            <w:pPr>
              <w:jc w:val="center"/>
              <w:rPr>
                <w:b/>
                <w:noProof/>
                <w:sz w:val="20"/>
              </w:rPr>
            </w:pPr>
            <w:r>
              <w:rPr>
                <w:b/>
                <w:noProof/>
                <w:sz w:val="20"/>
              </w:rPr>
              <w:t>2025 r.</w:t>
            </w:r>
          </w:p>
        </w:tc>
        <w:tc>
          <w:tcPr>
            <w:tcW w:w="1080" w:type="dxa"/>
            <w:vAlign w:val="center"/>
          </w:tcPr>
          <w:p>
            <w:pPr>
              <w:jc w:val="center"/>
              <w:rPr>
                <w:b/>
                <w:noProof/>
                <w:sz w:val="20"/>
              </w:rPr>
            </w:pPr>
            <w:r>
              <w:rPr>
                <w:b/>
                <w:noProof/>
                <w:sz w:val="20"/>
              </w:rPr>
              <w:t>2026 r.</w:t>
            </w:r>
          </w:p>
        </w:tc>
        <w:tc>
          <w:tcPr>
            <w:tcW w:w="1080" w:type="dxa"/>
            <w:vAlign w:val="center"/>
          </w:tcPr>
          <w:p>
            <w:pPr>
              <w:jc w:val="center"/>
              <w:rPr>
                <w:b/>
                <w:noProof/>
                <w:sz w:val="20"/>
              </w:rPr>
            </w:pPr>
            <w:r>
              <w:rPr>
                <w:b/>
                <w:noProof/>
                <w:sz w:val="20"/>
              </w:rPr>
              <w:t>2027 r.</w:t>
            </w:r>
          </w:p>
        </w:tc>
      </w:tr>
      <w:tr>
        <w:trPr>
          <w:trHeight w:val="388"/>
          <w:jc w:val="center"/>
        </w:trPr>
        <w:tc>
          <w:tcPr>
            <w:tcW w:w="2144" w:type="dxa"/>
            <w:vAlign w:val="center"/>
          </w:tcPr>
          <w:p>
            <w:pPr>
              <w:spacing w:before="40" w:after="40"/>
              <w:rPr>
                <w:noProof/>
                <w:sz w:val="18"/>
              </w:rPr>
            </w:pPr>
            <w:r>
              <w:rPr>
                <w:noProof/>
                <w:sz w:val="18"/>
              </w:rPr>
              <w:t>Artykuł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W przypadku wpływu na dochody przeznaczone na określony cel należy wskazać linie budżetowe po stronie wydatków, które ten wpływ obejmie.</w:t>
      </w:r>
    </w:p>
    <w:p>
      <w:pPr>
        <w:ind w:left="850"/>
        <w:rPr>
          <w:noProof/>
        </w:rPr>
      </w:pPr>
      <w:r>
        <w:rPr>
          <w:noProof/>
          <w:color w:val="0000FF"/>
        </w:rPr>
        <w:t>[…]</w:t>
      </w:r>
    </w:p>
    <w:p>
      <w:pPr>
        <w:ind w:left="850"/>
        <w:rPr>
          <w:noProof/>
          <w:sz w:val="16"/>
          <w:szCs w:val="16"/>
        </w:rPr>
      </w:pPr>
      <w:r>
        <w:rPr>
          <w:noProof/>
          <w:sz w:val="20"/>
          <w:szCs w:val="20"/>
        </w:rPr>
        <w:t>Pozostałe uwagi (np. metoda/wzór użyte do obliczenia wpływu na dochody albo inne informacje).</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PL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Europejska prognoza gospodarcza, Institutional Paper nr 125, maj 2020 r.</w:t>
      </w:r>
    </w:p>
  </w:footnote>
  <w:footnote w:id="3">
    <w:p>
      <w:pPr>
        <w:pStyle w:val="FootnoteText"/>
        <w:rPr>
          <w:szCs w:val="24"/>
        </w:rPr>
      </w:pPr>
      <w:r>
        <w:rPr>
          <w:rStyle w:val="FootnoteReference"/>
        </w:rPr>
        <w:footnoteRef/>
      </w:r>
      <w:r>
        <w:tab/>
        <w:t>O którym mowa w art. 58 ust. 2 lit. a) lub b) rozporządzenia finansowego.</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 xml:space="preserve">Wyjaśnienia dotyczące trybów zarządzania oraz odniesienia do rozporządzenia finansowego znajdują się na następującej stronie: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Środki zróżnicowane / środki niezróżnicowane</w:t>
      </w:r>
    </w:p>
  </w:footnote>
  <w:footnote w:id="7">
    <w:p>
      <w:pPr>
        <w:pStyle w:val="FootnoteText"/>
        <w:rPr>
          <w:szCs w:val="24"/>
        </w:rPr>
      </w:pPr>
      <w:r>
        <w:rPr>
          <w:rStyle w:val="FootnoteReference"/>
        </w:rPr>
        <w:footnoteRef/>
      </w:r>
      <w:r>
        <w:tab/>
        <w:t xml:space="preserve">EFTA: Europejskie Stowarzyszenie Wolnego Handlu </w:t>
      </w:r>
    </w:p>
  </w:footnote>
  <w:footnote w:id="8">
    <w:p>
      <w:pPr>
        <w:pStyle w:val="FootnoteText"/>
      </w:pPr>
      <w:r>
        <w:rPr>
          <w:rStyle w:val="FootnoteReference"/>
        </w:rPr>
        <w:footnoteRef/>
      </w:r>
      <w:r>
        <w:tab/>
        <w:t>Kraje kandydujące oraz w stosownych przypadkach potencjalne kraje kandydujące Bałkanów Zachodnich.</w:t>
      </w:r>
    </w:p>
  </w:footnote>
  <w:footnote w:id="9">
    <w:p>
      <w:pPr>
        <w:pStyle w:val="FootnoteText"/>
        <w:rPr>
          <w:szCs w:val="24"/>
        </w:rPr>
      </w:pPr>
      <w:r>
        <w:rPr>
          <w:rStyle w:val="FootnoteReference"/>
        </w:rPr>
        <w:footnoteRef/>
      </w:r>
      <w:r>
        <w:tab/>
        <w:t>Środki zróżnicowane / środki niezróżnicowane</w:t>
      </w:r>
    </w:p>
  </w:footnote>
  <w:footnote w:id="10">
    <w:p>
      <w:pPr>
        <w:pStyle w:val="FootnoteText"/>
        <w:rPr>
          <w:szCs w:val="24"/>
        </w:rPr>
      </w:pPr>
      <w:r>
        <w:rPr>
          <w:rStyle w:val="FootnoteReference"/>
        </w:rPr>
        <w:footnoteRef/>
      </w:r>
      <w:r>
        <w:tab/>
        <w:t xml:space="preserve">EFTA: Europejskie Stowarzyszenie Wolnego Handlu </w:t>
      </w:r>
    </w:p>
  </w:footnote>
  <w:footnote w:id="11">
    <w:p>
      <w:pPr>
        <w:pStyle w:val="FootnoteText"/>
      </w:pPr>
      <w:r>
        <w:rPr>
          <w:rStyle w:val="FootnoteReference"/>
        </w:rPr>
        <w:footnoteRef/>
      </w:r>
      <w:r>
        <w:tab/>
        <w:t>Kraje kandydujące oraz w stosownych przypadkach potencjalne kraje kandydujące Bałkanów Zachodnich.</w:t>
      </w:r>
    </w:p>
  </w:footnote>
  <w:footnote w:id="12">
    <w:p>
      <w:pPr>
        <w:pStyle w:val="FootnoteText"/>
        <w:rPr>
          <w:szCs w:val="24"/>
        </w:rPr>
      </w:pPr>
      <w:r>
        <w:rPr>
          <w:rStyle w:val="FootnoteReference"/>
        </w:rPr>
        <w:footnoteRef/>
      </w:r>
      <w:r>
        <w:tab/>
        <w:t>Środki zróżnicowane / środki niezróżnicowane</w:t>
      </w:r>
    </w:p>
  </w:footnote>
  <w:footnote w:id="13">
    <w:p>
      <w:pPr>
        <w:pStyle w:val="FootnoteText"/>
        <w:rPr>
          <w:szCs w:val="24"/>
        </w:rPr>
      </w:pPr>
      <w:r>
        <w:rPr>
          <w:rStyle w:val="FootnoteReference"/>
        </w:rPr>
        <w:footnoteRef/>
      </w:r>
      <w:r>
        <w:tab/>
        <w:t xml:space="preserve">EFTA: Europejskie Stowarzyszenie Wolnego Handlu </w:t>
      </w:r>
    </w:p>
  </w:footnote>
  <w:footnote w:id="14">
    <w:p>
      <w:pPr>
        <w:pStyle w:val="FootnoteText"/>
      </w:pPr>
      <w:r>
        <w:rPr>
          <w:rStyle w:val="FootnoteReference"/>
        </w:rPr>
        <w:footnoteRef/>
      </w:r>
      <w:r>
        <w:tab/>
        <w:t>Kraje kandydujące oraz w stosownych przypadkach potencjalne kraje kandydujące Bałkanów Zachodnich.</w:t>
      </w:r>
    </w:p>
  </w:footnote>
  <w:footnote w:id="15">
    <w:p>
      <w:pPr>
        <w:pStyle w:val="FootnoteText"/>
      </w:pPr>
      <w:r>
        <w:rPr>
          <w:rStyle w:val="FootnoteReference"/>
        </w:rPr>
        <w:footnoteRef/>
      </w:r>
      <w:r>
        <w:tab/>
      </w:r>
      <w:r>
        <w:rPr>
          <w:i/>
        </w:rPr>
        <w:t>W odniesieniu do takich aktywności jak monitorowanie wdrażania, w tym audyt i zarządzanie finansowe, uczestnictwo w procesie zamknięcia programów, finansowane z wydatków administracyjnych, możliwe jest zaciąganie zobowiązań do 2027 r. (zob. szczegóły w tabeli powyżej).</w:t>
      </w:r>
    </w:p>
  </w:footnote>
  <w:footnote w:id="16">
    <w:p>
      <w:pPr>
        <w:pStyle w:val="FootnoteText"/>
        <w:rPr>
          <w:szCs w:val="24"/>
        </w:rPr>
      </w:pPr>
      <w:r>
        <w:rPr>
          <w:rStyle w:val="FootnoteReference"/>
        </w:rPr>
        <w:footnoteRef/>
      </w:r>
      <w:r>
        <w:tab/>
        <w:t>Wsparcie techniczne lub administracyjne oraz wydatki na wsparcie realizacji programów lub działań UE (dawne linie „BA”), pośrednie badania naukowe, bezpośrednie badania naukowe.</w:t>
      </w:r>
    </w:p>
  </w:footnote>
  <w:footnote w:id="17">
    <w:p>
      <w:pPr>
        <w:pStyle w:val="FootnoteText"/>
        <w:rPr>
          <w:szCs w:val="24"/>
        </w:rPr>
      </w:pPr>
      <w:r>
        <w:rPr>
          <w:rStyle w:val="FootnoteReference"/>
        </w:rPr>
        <w:footnoteRef/>
      </w:r>
      <w:r>
        <w:tab/>
        <w:t xml:space="preserve">CA = personel kontraktowy; LA = personel miejscowy; SNE = oddelegowany ekspert krajowy; INT = personel tymczasowy; JED = młodszy oddelegowany ekspert. </w:t>
      </w:r>
    </w:p>
  </w:footnote>
  <w:footnote w:id="18">
    <w:p>
      <w:pPr>
        <w:pStyle w:val="FootnoteText"/>
        <w:rPr>
          <w:szCs w:val="24"/>
        </w:rPr>
      </w:pPr>
      <w:r>
        <w:rPr>
          <w:rStyle w:val="FootnoteReference"/>
        </w:rPr>
        <w:footnoteRef/>
      </w:r>
      <w:r>
        <w:tab/>
        <w:t>W ramach podpułapu na personel zewnętrzny ze środków operacyjnych (dawne linie „BA”).</w:t>
      </w:r>
    </w:p>
  </w:footnote>
  <w:footnote w:id="19">
    <w:p>
      <w:pPr>
        <w:pStyle w:val="FootnoteText"/>
      </w:pPr>
      <w:r>
        <w:rPr>
          <w:rStyle w:val="FootnoteReference"/>
        </w:rPr>
        <w:footnoteRef/>
      </w:r>
      <w:r>
        <w:tab/>
        <w:t>Te oszacowania nie przesądzają potrzeb w zakresie dodatkowego personelu w agencjach wykonawczych, finansowanego z dochodów przeznaczonych na określony cel na podstawie dokładnej oceny wpływu na zasoby.</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num>
  <w:num w:numId="10">
    <w:abstractNumId w:val="22"/>
    <w:lvlOverride w:ilvl="0">
      <w:startOverride w:val="1"/>
    </w:lvlOverride>
  </w:num>
  <w:num w:numId="11">
    <w:abstractNumId w:val="16"/>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14"/>
    <w:lvlOverride w:ilvl="0">
      <w:startOverride w:val="1"/>
    </w:lvlOverride>
  </w:num>
  <w:num w:numId="17">
    <w:abstractNumId w:val="20"/>
    <w:lvlOverride w:ilvl="0">
      <w:startOverride w:val="1"/>
    </w:lvlOverride>
  </w:num>
  <w:num w:numId="18">
    <w:abstractNumId w:val="20"/>
  </w:num>
  <w:num w:numId="19">
    <w:abstractNumId w:val="12"/>
  </w:num>
  <w:num w:numId="20">
    <w:abstractNumId w:val="22"/>
  </w:num>
  <w:num w:numId="21">
    <w:abstractNumId w:val="11"/>
  </w:num>
  <w:num w:numId="22">
    <w:abstractNumId w:val="13"/>
  </w:num>
  <w:num w:numId="23">
    <w:abstractNumId w:val="9"/>
  </w:num>
  <w:num w:numId="24">
    <w:abstractNumId w:val="21"/>
  </w:num>
  <w:num w:numId="25">
    <w:abstractNumId w:val="8"/>
  </w:num>
  <w:num w:numId="26">
    <w:abstractNumId w:val="14"/>
  </w:num>
  <w:num w:numId="27">
    <w:abstractNumId w:val="18"/>
  </w:num>
  <w:num w:numId="28">
    <w:abstractNumId w:val="19"/>
  </w:num>
  <w:num w:numId="29">
    <w:abstractNumId w:val="10"/>
  </w:num>
  <w:num w:numId="30">
    <w:abstractNumId w:val="17"/>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1: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2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F09F4C9-FE11-4790-B8AE-80DCE865EC19"/>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ksela, dnia "/>
    <w:docVar w:name="LW_EMISSION_SUFFIX" w:val=" r."/>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Zmieniony wniosek"/>
    <w:docVar w:name="LW_SUPERTITRE" w:val="&lt;UNUSED&gt;"/>
    <w:docVar w:name="LW_TITRE.OBJ.CP" w:val="ustanawiaj\u261?ce program ramowy w zakresie bada\u324? naukowych i innowacji \u8222?Horyzont Europa\u8221? oraz zasady uczestnictwa i upowszechniania obowi\u261?zuj\u261?ce w tym programie, _x000b_ _x000b_DECYZJA PARLAMENTU EUROPEJSKIEGO I RADY _x000b_ustanawiaj\u261?ca program szczegó\u322?owy s\u322?u\u380?\u261?cy realizacji programu ramowego w zakresie bada\u324? naukowych i innowacji \u8222?Horyzont Europa\u8221?, _x000b_ _x000b_ROZPORZ\u260?DZENIE PARLAMENTU EUROPEJSKIEGO I RADY ustanawiaj\u261?ce Instrument S\u261?siedztwa oraz Wspó\u322?pracy Mi\u281?dzynarodowej i Rozwojowej,_x000b_ _x000b_ROZPORZ\u260?DZENIE PARLAMENTU EUROPEJSKIEGO I RADY ustanawiaj\u261?ce przepisy dotycz\u261?ce wsparcia na podstawie planów strategicznych sporz\u261?dzanych przez pa\u324?stwa cz\u322?onkowskie w ramach wspólnej polityki rolnej (planów strategicznych WPR) i finansowanych z Europejskiego Funduszu Rolniczego Gwarancji (EFRG) i z Europejskiego Funduszu Rolnego na rzecz Rozwoju Obszarów Wiejskich (EFRROW) oraz uchylaj\u261?ce rozporz\u261?dzenie Parlamentu Europejskiego i Rady (UE) nr 1305/2013 i rozporz\u261?dzenie Parlamentu Europejskiego i Rady (UE) nr 1307/2013"/>
    <w:docVar w:name="LW_TYPE.DOC.CP" w:val="ROZPORZ\u260?DZENIE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pl-PL"/>
    </w:rPr>
  </w:style>
  <w:style w:type="character" w:customStyle="1" w:styleId="FooterSensitivityChar">
    <w:name w:val="Footer Sensitivity Char"/>
    <w:basedOn w:val="DefaultParagraphFont"/>
    <w:rPr>
      <w:rFonts w:ascii="Times New Roman" w:hAnsi="Times New Roman" w:cs="Times New Roman"/>
      <w:b/>
      <w:sz w:val="32"/>
      <w:lang w:val="pl-PL"/>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pl-PL"/>
    </w:rPr>
  </w:style>
  <w:style w:type="character" w:customStyle="1" w:styleId="HeaderSensitivityChar">
    <w:name w:val="Header Sensitivity Char"/>
    <w:basedOn w:val="DefaultParagraphFont"/>
    <w:rPr>
      <w:rFonts w:ascii="Times New Roman" w:hAnsi="Times New Roman" w:cs="Times New Roman"/>
      <w:b/>
      <w:sz w:val="32"/>
      <w:lang w:val="pl-P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pl-PL"/>
    </w:rPr>
  </w:style>
  <w:style w:type="character" w:customStyle="1" w:styleId="FooterSensitivityChar">
    <w:name w:val="Footer Sensitivity Char"/>
    <w:basedOn w:val="DefaultParagraphFont"/>
    <w:rPr>
      <w:rFonts w:ascii="Times New Roman" w:hAnsi="Times New Roman" w:cs="Times New Roman"/>
      <w:b/>
      <w:sz w:val="32"/>
      <w:lang w:val="pl-PL"/>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pl-PL"/>
    </w:rPr>
  </w:style>
  <w:style w:type="character" w:customStyle="1" w:styleId="HeaderSensitivityChar">
    <w:name w:val="Header Sensitivity Char"/>
    <w:basedOn w:val="DefaultParagraphFont"/>
    <w:rPr>
      <w:rFonts w:ascii="Times New Roman" w:hAnsi="Times New Roman" w:cs="Times New Roman"/>
      <w:b/>
      <w:sz w:val="32"/>
      <w:lang w:val="pl-P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2F9AB1-4B86-47BF-BE60-053414D77EEB}">
  <ds:schemaRef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4.xml><?xml version="1.0" encoding="utf-8"?>
<ds:datastoreItem xmlns:ds="http://schemas.openxmlformats.org/officeDocument/2006/customXml" ds:itemID="{E4F263F0-606B-45DE-BCAE-66CB5AFE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23</Pages>
  <Words>6381</Words>
  <Characters>40715</Characters>
  <Application>Microsoft Office Word</Application>
  <DocSecurity>0</DocSecurity>
  <Lines>1507</Lines>
  <Paragraphs>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2020-05-29T13:02:00Z</dcterms:created>
  <dcterms:modified xsi:type="dcterms:W3CDTF">2020-05-29T14:11:00Z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