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BC908" w14:textId="1CDA8702" w:rsidR="00EF513A" w:rsidRDefault="003E3CB6" w:rsidP="003E3CB6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57752C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21493104-7FE6-4E57-BD18-98F86815F626" style="width:455.25pt;height:366pt">
            <v:imagedata r:id="rId11" o:title=""/>
          </v:shape>
        </w:pict>
      </w:r>
    </w:p>
    <w:p w14:paraId="4C05F8E6" w14:textId="77777777" w:rsidR="00552F94" w:rsidRDefault="00552F94" w:rsidP="00552F94">
      <w:pPr>
        <w:rPr>
          <w:noProof/>
        </w:rPr>
        <w:sectPr w:rsidR="00552F94" w:rsidSect="003E3C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26"/>
        </w:sectPr>
      </w:pPr>
      <w:bookmarkStart w:id="1" w:name="_30j0zll"/>
      <w:bookmarkEnd w:id="1"/>
      <w:bookmarkEnd w:id="0"/>
    </w:p>
    <w:p w14:paraId="2E62F6FB" w14:textId="0F141BAE" w:rsidR="005C7E87" w:rsidRDefault="005C7E87">
      <w:pPr>
        <w:rPr>
          <w:noProof/>
        </w:rPr>
      </w:pPr>
      <w:bookmarkStart w:id="2" w:name="_GoBack"/>
      <w:bookmarkEnd w:id="2"/>
    </w:p>
    <w:sdt>
      <w:sdt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fr-BE"/>
        </w:rPr>
        <w:id w:val="14498140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B3D1C7F" w14:textId="67FE8B5C" w:rsidR="005C7E87" w:rsidRPr="00B82D78" w:rsidRDefault="005C7E87" w:rsidP="005C7E87">
          <w:pPr>
            <w:pStyle w:val="TOCHeading"/>
            <w:jc w:val="center"/>
            <w:rPr>
              <w:rFonts w:ascii="Times New Roman" w:hAnsi="Times New Roman" w:cs="Times New Roman"/>
              <w:noProof/>
              <w:color w:val="auto"/>
              <w:sz w:val="24"/>
              <w:szCs w:val="24"/>
            </w:rPr>
          </w:pPr>
          <w:r>
            <w:rPr>
              <w:rFonts w:ascii="Times New Roman" w:hAnsi="Times New Roman"/>
              <w:noProof/>
              <w:color w:val="auto"/>
              <w:sz w:val="24"/>
            </w:rPr>
            <w:t>Spis treści</w:t>
          </w:r>
        </w:p>
        <w:p w14:paraId="2AFFDF64" w14:textId="77777777" w:rsidR="005C7E87" w:rsidRPr="00B82D78" w:rsidRDefault="005C7E87" w:rsidP="003E7C4F">
          <w:pPr>
            <w:pStyle w:val="TOC1"/>
            <w:rPr>
              <w:noProof/>
            </w:rPr>
          </w:pPr>
        </w:p>
        <w:p w14:paraId="6B8B7EE6" w14:textId="17912012" w:rsidR="00E0191D" w:rsidRDefault="005C7E87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r w:rsidRPr="00B82D78">
            <w:rPr>
              <w:noProof/>
            </w:rPr>
            <w:fldChar w:fldCharType="begin"/>
          </w:r>
          <w:r w:rsidRPr="00B82D78">
            <w:rPr>
              <w:noProof/>
            </w:rPr>
            <w:instrText xml:space="preserve"> TOC \o "1-3" \h \z \u </w:instrText>
          </w:r>
          <w:r w:rsidRPr="00B82D78">
            <w:rPr>
              <w:noProof/>
            </w:rPr>
            <w:fldChar w:fldCharType="separate"/>
          </w:r>
          <w:hyperlink w:anchor="_Toc191630898" w:history="1">
            <w:r w:rsidR="00E0191D" w:rsidRPr="00927093">
              <w:rPr>
                <w:rStyle w:val="Hyperlink"/>
                <w:noProof/>
              </w:rPr>
              <w:t>1.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Wspólne kształtowanie unijnego sektora rolnego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spo</w:t>
            </w:r>
            <w:r w:rsidR="00E0191D" w:rsidRPr="00927093">
              <w:rPr>
                <w:rStyle w:val="Hyperlink"/>
                <w:noProof/>
              </w:rPr>
              <w:t>żywczego, atrakcyjnego dla przyszłych pokoleń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_Toc191630898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2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619029F9" w14:textId="428EA8C2" w:rsidR="00E0191D" w:rsidRDefault="003E3CB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899" w:history="1">
            <w:r w:rsidR="00E0191D" w:rsidRPr="00927093">
              <w:rPr>
                <w:rStyle w:val="Hyperlink"/>
                <w:noProof/>
              </w:rPr>
              <w:t>2.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Wizja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cel</w:t>
            </w:r>
            <w:r w:rsidR="00E0191D" w:rsidRPr="00927093">
              <w:rPr>
                <w:rStyle w:val="Hyperlink"/>
                <w:noProof/>
              </w:rPr>
              <w:t xml:space="preserve">e </w:t>
            </w:r>
            <w:r w:rsidR="00E0191D" w:rsidRPr="00D12858">
              <w:rPr>
                <w:rStyle w:val="Hyperlink"/>
                <w:noProof/>
              </w:rPr>
              <w:t>na</w:t>
            </w:r>
            <w:r w:rsidR="00D12858" w:rsidRPr="00D12858">
              <w:rPr>
                <w:rStyle w:val="Hyperlink"/>
                <w:noProof/>
              </w:rPr>
              <w:t> </w:t>
            </w:r>
            <w:r w:rsidR="00E0191D" w:rsidRPr="00D12858">
              <w:rPr>
                <w:rStyle w:val="Hyperlink"/>
                <w:noProof/>
              </w:rPr>
              <w:t>2</w:t>
            </w:r>
            <w:r w:rsidR="00E0191D" w:rsidRPr="00927093">
              <w:rPr>
                <w:rStyle w:val="Hyperlink"/>
                <w:noProof/>
              </w:rPr>
              <w:t>0</w:t>
            </w:r>
            <w:r w:rsidR="00E0191D" w:rsidRPr="00D12858">
              <w:rPr>
                <w:rStyle w:val="Hyperlink"/>
                <w:noProof/>
              </w:rPr>
              <w:t>40</w:t>
            </w:r>
            <w:r w:rsidR="00D12858" w:rsidRPr="00D12858">
              <w:rPr>
                <w:rStyle w:val="Hyperlink"/>
                <w:noProof/>
              </w:rPr>
              <w:t> </w:t>
            </w:r>
            <w:r w:rsidR="00E0191D" w:rsidRPr="00D12858">
              <w:rPr>
                <w:rStyle w:val="Hyperlink"/>
                <w:noProof/>
              </w:rPr>
              <w:t>r.</w:t>
            </w:r>
            <w:r w:rsidR="00E0191D" w:rsidRPr="00927093">
              <w:rPr>
                <w:rStyle w:val="Hyperlink"/>
                <w:noProof/>
              </w:rPr>
              <w:t>: system rolno-spożywczy, który jest atrakcyjny, konkurencyjny, zrównoważony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spr</w:t>
            </w:r>
            <w:r w:rsidR="00E0191D" w:rsidRPr="00927093">
              <w:rPr>
                <w:rStyle w:val="Hyperlink"/>
                <w:noProof/>
              </w:rPr>
              <w:t>awiedliwy dla obecnych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prz</w:t>
            </w:r>
            <w:r w:rsidR="00E0191D" w:rsidRPr="00927093">
              <w:rPr>
                <w:rStyle w:val="Hyperlink"/>
                <w:noProof/>
              </w:rPr>
              <w:t>yszłych pokoleń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_Toc191630899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5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72A72F5D" w14:textId="1D51A584" w:rsidR="00E0191D" w:rsidRDefault="003E3CB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0" w:history="1">
            <w:r w:rsidR="00E0191D" w:rsidRPr="00927093">
              <w:rPr>
                <w:rStyle w:val="Hyperlink"/>
                <w:noProof/>
              </w:rPr>
              <w:t>3.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Wspólne opracowanie odpowiedzi politycznej na rzecz dobrze prosperującego sektora rolno-spożywczego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_Toc191630900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6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12D0F0EF" w14:textId="30D7F576" w:rsidR="00E0191D" w:rsidRDefault="003E3CB6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1" w:history="1">
            <w:r w:rsidR="00E0191D" w:rsidRPr="00927093">
              <w:rPr>
                <w:rStyle w:val="Hyperlink"/>
                <w:bCs/>
                <w:noProof/>
              </w:rPr>
              <w:t>3.1.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Budowanie atrakcyjnego sektora zapewniającego odpowiedni poziom życia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będ</w:t>
            </w:r>
            <w:r w:rsidR="00E0191D" w:rsidRPr="00927093">
              <w:rPr>
                <w:rStyle w:val="Hyperlink"/>
                <w:noProof/>
              </w:rPr>
              <w:t>ącego dźwignią dla nowych możliwości zarobkowych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_Toc191630901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7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74B7B4E6" w14:textId="0D732962" w:rsidR="00E0191D" w:rsidRDefault="003E3CB6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2" w:history="1">
            <w:r w:rsidR="00E0191D" w:rsidRPr="00927093">
              <w:rPr>
                <w:rStyle w:val="Hyperlink"/>
                <w:bCs/>
                <w:noProof/>
              </w:rPr>
              <w:t>3.2.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Konkurencyjny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odp</w:t>
            </w:r>
            <w:r w:rsidR="00E0191D" w:rsidRPr="00927093">
              <w:rPr>
                <w:rStyle w:val="Hyperlink"/>
                <w:noProof/>
              </w:rPr>
              <w:t>orny sektor</w:t>
            </w:r>
            <w:r w:rsidR="00D12858" w:rsidRPr="00927093">
              <w:rPr>
                <w:rStyle w:val="Hyperlink"/>
                <w:noProof/>
              </w:rPr>
              <w:t xml:space="preserve"> w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obl</w:t>
            </w:r>
            <w:r w:rsidR="00E0191D" w:rsidRPr="00927093">
              <w:rPr>
                <w:rStyle w:val="Hyperlink"/>
                <w:noProof/>
              </w:rPr>
              <w:t>iczu globalnych wyzwań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_Toc191630902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12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46A3BE9C" w14:textId="3230E43F" w:rsidR="00E0191D" w:rsidRDefault="003E3CB6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3" w:history="1">
            <w:r w:rsidR="00E0191D" w:rsidRPr="00927093">
              <w:rPr>
                <w:rStyle w:val="Hyperlink"/>
                <w:bCs/>
                <w:noProof/>
              </w:rPr>
              <w:t>3.3.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Sektor rolno-spożywczy dostosowany do przyszłych wyzwań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idą</w:t>
            </w:r>
            <w:r w:rsidR="00E0191D" w:rsidRPr="00927093">
              <w:rPr>
                <w:rStyle w:val="Hyperlink"/>
                <w:noProof/>
              </w:rPr>
              <w:t>cy</w:t>
            </w:r>
            <w:r w:rsidR="00D12858" w:rsidRPr="00927093">
              <w:rPr>
                <w:rStyle w:val="Hyperlink"/>
                <w:noProof/>
              </w:rPr>
              <w:t xml:space="preserve"> w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par</w:t>
            </w:r>
            <w:r w:rsidR="00E0191D" w:rsidRPr="00927093">
              <w:rPr>
                <w:rStyle w:val="Hyperlink"/>
                <w:noProof/>
              </w:rPr>
              <w:t>ze</w:t>
            </w:r>
            <w:r w:rsidR="00D12858" w:rsidRPr="00927093">
              <w:rPr>
                <w:rStyle w:val="Hyperlink"/>
                <w:noProof/>
              </w:rPr>
              <w:t xml:space="preserve"> z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prz</w:t>
            </w:r>
            <w:r w:rsidR="00E0191D" w:rsidRPr="00927093">
              <w:rPr>
                <w:rStyle w:val="Hyperlink"/>
                <w:noProof/>
              </w:rPr>
              <w:t>yrodą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_Toc191630903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19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12D4459C" w14:textId="5CCF646F" w:rsidR="00E0191D" w:rsidRDefault="003E3CB6">
          <w:pPr>
            <w:pStyle w:val="TOC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4" w:history="1">
            <w:r w:rsidR="00E0191D" w:rsidRPr="00927093">
              <w:rPr>
                <w:rStyle w:val="Hyperlink"/>
                <w:bCs/>
                <w:noProof/>
              </w:rPr>
              <w:t>3.4.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Waloryzacja żywności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pro</w:t>
            </w:r>
            <w:r w:rsidR="00E0191D" w:rsidRPr="00927093">
              <w:rPr>
                <w:rStyle w:val="Hyperlink"/>
                <w:noProof/>
              </w:rPr>
              <w:t>pagowanie sprawiedliwych warunków życia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pra</w:t>
            </w:r>
            <w:r w:rsidR="00E0191D" w:rsidRPr="00927093">
              <w:rPr>
                <w:rStyle w:val="Hyperlink"/>
                <w:noProof/>
              </w:rPr>
              <w:t>cy na dynamicznych obszarach wiejskich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_Toc191630904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23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747F2A77" w14:textId="6C8A308C" w:rsidR="00E0191D" w:rsidRDefault="003E3CB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5" w:history="1">
            <w:r w:rsidR="00E0191D" w:rsidRPr="00927093">
              <w:rPr>
                <w:rStyle w:val="Hyperlink"/>
                <w:noProof/>
              </w:rPr>
              <w:t>4.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Tworzenie sprzyjających warunków: umieszczenie badań naukowych, innowacji, wiedzy</w:t>
            </w:r>
            <w:r w:rsidR="00D12858" w:rsidRPr="00927093">
              <w:rPr>
                <w:rStyle w:val="Hyperlink"/>
                <w:noProof/>
              </w:rPr>
              <w:t xml:space="preserve"> i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umi</w:t>
            </w:r>
            <w:r w:rsidR="00E0191D" w:rsidRPr="00927093">
              <w:rPr>
                <w:rStyle w:val="Hyperlink"/>
                <w:noProof/>
              </w:rPr>
              <w:t>ejętności</w:t>
            </w:r>
            <w:r w:rsidR="00D12858" w:rsidRPr="00927093">
              <w:rPr>
                <w:rStyle w:val="Hyperlink"/>
                <w:noProof/>
              </w:rPr>
              <w:t xml:space="preserve"> w</w:t>
            </w:r>
            <w:r w:rsidR="00D12858">
              <w:rPr>
                <w:rStyle w:val="Hyperlink"/>
                <w:noProof/>
              </w:rPr>
              <w:t> </w:t>
            </w:r>
            <w:r w:rsidR="00D12858" w:rsidRPr="00927093">
              <w:rPr>
                <w:rStyle w:val="Hyperlink"/>
                <w:noProof/>
              </w:rPr>
              <w:t>cen</w:t>
            </w:r>
            <w:r w:rsidR="00E0191D" w:rsidRPr="00927093">
              <w:rPr>
                <w:rStyle w:val="Hyperlink"/>
                <w:noProof/>
              </w:rPr>
              <w:t>trum europejskiej gospodarki rolno-spożywczej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_Toc191630905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28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4D8D0B4B" w14:textId="0F9356D2" w:rsidR="00E0191D" w:rsidRDefault="003E3CB6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n-IE" w:eastAsia="en-IE"/>
              <w14:ligatures w14:val="standardContextual"/>
            </w:rPr>
          </w:pPr>
          <w:hyperlink w:anchor="_Toc191630906" w:history="1">
            <w:r w:rsidR="00E0191D" w:rsidRPr="00927093">
              <w:rPr>
                <w:rStyle w:val="Hyperlink"/>
                <w:noProof/>
              </w:rPr>
              <w:t>5.</w:t>
            </w:r>
            <w:r w:rsidR="00E0191D">
              <w:rPr>
                <w:rFonts w:asciiTheme="minorHAnsi" w:eastAsiaTheme="minorEastAsia" w:hAnsiTheme="minorHAnsi" w:cstheme="minorBidi"/>
                <w:noProof/>
                <w:kern w:val="2"/>
                <w:lang w:val="en-IE" w:eastAsia="en-IE"/>
                <w14:ligatures w14:val="standardContextual"/>
              </w:rPr>
              <w:tab/>
            </w:r>
            <w:r w:rsidR="00E0191D" w:rsidRPr="00927093">
              <w:rPr>
                <w:rStyle w:val="Hyperlink"/>
                <w:noProof/>
              </w:rPr>
              <w:t>WNIOSKI</w:t>
            </w:r>
            <w:r w:rsidR="00E0191D">
              <w:rPr>
                <w:noProof/>
                <w:webHidden/>
              </w:rPr>
              <w:tab/>
            </w:r>
            <w:r w:rsidR="00E0191D">
              <w:rPr>
                <w:noProof/>
                <w:webHidden/>
              </w:rPr>
              <w:fldChar w:fldCharType="begin"/>
            </w:r>
            <w:r w:rsidR="00E0191D">
              <w:rPr>
                <w:noProof/>
                <w:webHidden/>
              </w:rPr>
              <w:instrText xml:space="preserve"> PAGEREF _Toc191630906 \h </w:instrText>
            </w:r>
            <w:r w:rsidR="00E0191D">
              <w:rPr>
                <w:noProof/>
                <w:webHidden/>
              </w:rPr>
            </w:r>
            <w:r w:rsidR="00E0191D">
              <w:rPr>
                <w:noProof/>
                <w:webHidden/>
              </w:rPr>
              <w:fldChar w:fldCharType="separate"/>
            </w:r>
            <w:r w:rsidR="00881F52">
              <w:rPr>
                <w:noProof/>
                <w:webHidden/>
              </w:rPr>
              <w:t>30</w:t>
            </w:r>
            <w:r w:rsidR="00E0191D">
              <w:rPr>
                <w:noProof/>
                <w:webHidden/>
              </w:rPr>
              <w:fldChar w:fldCharType="end"/>
            </w:r>
          </w:hyperlink>
        </w:p>
        <w:p w14:paraId="727B3839" w14:textId="36F72406" w:rsidR="005C7E87" w:rsidRPr="00B82D78" w:rsidRDefault="005C7E87">
          <w:pPr>
            <w:rPr>
              <w:noProof/>
            </w:rPr>
          </w:pPr>
          <w:r w:rsidRPr="00B82D78">
            <w:rPr>
              <w:b/>
              <w:noProof/>
            </w:rPr>
            <w:fldChar w:fldCharType="end"/>
          </w:r>
        </w:p>
      </w:sdtContent>
    </w:sdt>
    <w:p w14:paraId="0B594873" w14:textId="77777777" w:rsidR="005C7E87" w:rsidRDefault="005C7E87" w:rsidP="005C7E87">
      <w:pPr>
        <w:rPr>
          <w:noProof/>
        </w:rPr>
        <w:sectPr w:rsidR="005C7E87" w:rsidSect="0017748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134" w:right="1417" w:bottom="1134" w:left="1417" w:header="709" w:footer="709" w:gutter="0"/>
          <w:pgNumType w:start="1"/>
          <w:cols w:space="720"/>
          <w:docGrid w:linePitch="326"/>
        </w:sectPr>
      </w:pPr>
    </w:p>
    <w:p w14:paraId="5D9BFFFC" w14:textId="4B7DADD2" w:rsidR="00EF513A" w:rsidRDefault="00BF5473">
      <w:pPr>
        <w:pStyle w:val="Heading1"/>
        <w:numPr>
          <w:ilvl w:val="0"/>
          <w:numId w:val="2"/>
        </w:numPr>
        <w:rPr>
          <w:noProof/>
        </w:rPr>
      </w:pPr>
      <w:bookmarkStart w:id="3" w:name="_Toc191630898"/>
      <w:r>
        <w:rPr>
          <w:noProof/>
        </w:rPr>
        <w:t>Wspólne kształtowanie unijnego sektora rolnego</w:t>
      </w:r>
      <w:r w:rsidR="00D12858">
        <w:rPr>
          <w:noProof/>
        </w:rPr>
        <w:t xml:space="preserve"> i spo</w:t>
      </w:r>
      <w:r>
        <w:rPr>
          <w:noProof/>
        </w:rPr>
        <w:t>żywczego, atrakcyjnego dla przyszłych pokoleń</w:t>
      </w:r>
      <w:bookmarkEnd w:id="3"/>
      <w:r>
        <w:rPr>
          <w:noProof/>
        </w:rPr>
        <w:t xml:space="preserve"> </w:t>
      </w:r>
    </w:p>
    <w:p w14:paraId="44B85CB5" w14:textId="76F305DD" w:rsidR="00EF513A" w:rsidRDefault="00BF5473">
      <w:pPr>
        <w:rPr>
          <w:noProof/>
        </w:rPr>
      </w:pPr>
      <w:r>
        <w:rPr>
          <w:noProof/>
        </w:rPr>
        <w:t>Rolnictwo</w:t>
      </w:r>
      <w:r w:rsidR="00D12858">
        <w:rPr>
          <w:noProof/>
        </w:rPr>
        <w:t xml:space="preserve"> i żyw</w:t>
      </w:r>
      <w:r>
        <w:rPr>
          <w:noProof/>
        </w:rPr>
        <w:t>ność mają kluczowe znaczenie dla europejskiego stylu życia. Zakorzenione</w:t>
      </w:r>
      <w:r w:rsidR="00D12858">
        <w:rPr>
          <w:noProof/>
        </w:rPr>
        <w:t xml:space="preserve"> w bog</w:t>
      </w:r>
      <w:r>
        <w:rPr>
          <w:noProof/>
        </w:rPr>
        <w:t>atej tradycji sposoby produkowania żywności</w:t>
      </w:r>
      <w:r w:rsidR="00D12858">
        <w:rPr>
          <w:noProof/>
        </w:rPr>
        <w:t xml:space="preserve"> i kor</w:t>
      </w:r>
      <w:r>
        <w:rPr>
          <w:noProof/>
        </w:rPr>
        <w:t>zystania</w:t>
      </w:r>
      <w:r w:rsidR="00D12858">
        <w:rPr>
          <w:noProof/>
        </w:rPr>
        <w:t xml:space="preserve"> z nie</w:t>
      </w:r>
      <w:r>
        <w:rPr>
          <w:noProof/>
        </w:rPr>
        <w:t>j ukształtowały społeczności, kultury</w:t>
      </w:r>
      <w:r w:rsidR="00D12858">
        <w:rPr>
          <w:noProof/>
        </w:rPr>
        <w:t xml:space="preserve"> i kra</w:t>
      </w:r>
      <w:r>
        <w:rPr>
          <w:noProof/>
        </w:rPr>
        <w:t xml:space="preserve">jobrazy, które definiują Europę. </w:t>
      </w:r>
    </w:p>
    <w:p w14:paraId="6FC976C0" w14:textId="7B4A7963" w:rsidR="00EF513A" w:rsidRDefault="00BF5473">
      <w:pPr>
        <w:rPr>
          <w:noProof/>
        </w:rPr>
      </w:pPr>
      <w:r>
        <w:rPr>
          <w:b/>
          <w:noProof/>
        </w:rPr>
        <w:t>Rolnictwo</w:t>
      </w:r>
      <w:r w:rsidR="00D12858">
        <w:rPr>
          <w:b/>
          <w:noProof/>
        </w:rPr>
        <w:t xml:space="preserve"> i żyw</w:t>
      </w:r>
      <w:r>
        <w:rPr>
          <w:b/>
          <w:noProof/>
        </w:rPr>
        <w:t>ność,</w:t>
      </w:r>
      <w:r w:rsidR="00D12858">
        <w:rPr>
          <w:b/>
          <w:noProof/>
        </w:rPr>
        <w:t xml:space="preserve"> w tym</w:t>
      </w:r>
      <w:r>
        <w:rPr>
          <w:b/>
          <w:noProof/>
        </w:rPr>
        <w:t xml:space="preserve"> rybołówstwo, są sektorami strategicznymi dla Unii</w:t>
      </w:r>
      <w:r>
        <w:rPr>
          <w:noProof/>
        </w:rPr>
        <w:t>, zapewniającymi bezpieczną</w:t>
      </w:r>
      <w:r w:rsidR="00D12858">
        <w:rPr>
          <w:noProof/>
        </w:rPr>
        <w:t xml:space="preserve"> i wys</w:t>
      </w:r>
      <w:r>
        <w:rPr>
          <w:noProof/>
        </w:rPr>
        <w:t xml:space="preserve">okiej jakości żywność </w:t>
      </w:r>
      <w:r w:rsidRPr="00D12858">
        <w:rPr>
          <w:noProof/>
        </w:rPr>
        <w:t>dla</w:t>
      </w:r>
      <w:r w:rsidR="00D12858" w:rsidRPr="00D12858">
        <w:rPr>
          <w:noProof/>
        </w:rPr>
        <w:t> </w:t>
      </w:r>
      <w:r w:rsidRPr="00D12858">
        <w:rPr>
          <w:noProof/>
        </w:rPr>
        <w:t>4</w:t>
      </w:r>
      <w:r>
        <w:rPr>
          <w:noProof/>
        </w:rPr>
        <w:t>50 milionów Europejczyków</w:t>
      </w:r>
      <w:r w:rsidR="00D12858">
        <w:rPr>
          <w:noProof/>
        </w:rPr>
        <w:t xml:space="preserve"> i odg</w:t>
      </w:r>
      <w:r>
        <w:rPr>
          <w:noProof/>
        </w:rPr>
        <w:t>rywającymi zasadniczą rolę</w:t>
      </w:r>
      <w:r w:rsidR="00D12858">
        <w:rPr>
          <w:noProof/>
        </w:rPr>
        <w:t xml:space="preserve"> w glo</w:t>
      </w:r>
      <w:r>
        <w:rPr>
          <w:noProof/>
        </w:rPr>
        <w:t>balnym bezpieczeństwie żywnościowym</w:t>
      </w:r>
      <w:r w:rsidR="00D12858">
        <w:rPr>
          <w:noProof/>
        </w:rPr>
        <w:t>. W spr</w:t>
      </w:r>
      <w:r>
        <w:rPr>
          <w:noProof/>
        </w:rPr>
        <w:t>awozdaniu Sauliego Niinistö</w:t>
      </w:r>
      <w:r w:rsidR="00FB22DF">
        <w:rPr>
          <w:rStyle w:val="FootnoteReference"/>
          <w:noProof/>
        </w:rPr>
        <w:footnoteReference w:id="2"/>
      </w:r>
      <w:r>
        <w:rPr>
          <w:noProof/>
        </w:rPr>
        <w:t xml:space="preserve"> uznano żywność za jeden</w:t>
      </w:r>
      <w:r w:rsidR="00D12858">
        <w:rPr>
          <w:noProof/>
        </w:rPr>
        <w:t xml:space="preserve"> z sek</w:t>
      </w:r>
      <w:r>
        <w:rPr>
          <w:noProof/>
        </w:rPr>
        <w:t>torów</w:t>
      </w:r>
      <w:r w:rsidR="00D12858">
        <w:rPr>
          <w:noProof/>
        </w:rPr>
        <w:t xml:space="preserve"> o naj</w:t>
      </w:r>
      <w:r>
        <w:rPr>
          <w:noProof/>
        </w:rPr>
        <w:t>większym znaczeniu</w:t>
      </w:r>
      <w:r w:rsidR="00D12858">
        <w:rPr>
          <w:noProof/>
        </w:rPr>
        <w:t xml:space="preserve"> w świ</w:t>
      </w:r>
      <w:r>
        <w:rPr>
          <w:noProof/>
        </w:rPr>
        <w:t>adczeniu podstawowych usług na rzecz obywateli. Wsparcie Unii</w:t>
      </w:r>
      <w:r w:rsidR="00D12858">
        <w:rPr>
          <w:noProof/>
        </w:rPr>
        <w:t xml:space="preserve"> w ram</w:t>
      </w:r>
      <w:r>
        <w:rPr>
          <w:noProof/>
        </w:rPr>
        <w:t>ach wspólnej polityki rolnej (WPR) jest</w:t>
      </w:r>
      <w:r w:rsidR="00D12858">
        <w:rPr>
          <w:noProof/>
        </w:rPr>
        <w:t xml:space="preserve"> z uza</w:t>
      </w:r>
      <w:r>
        <w:rPr>
          <w:noProof/>
        </w:rPr>
        <w:t>sadnionych powodów centralnym elementem projektu europejskiego. Europejskie bezpieczeństwo żywnościowe</w:t>
      </w:r>
      <w:r w:rsidR="00D12858">
        <w:rPr>
          <w:noProof/>
        </w:rPr>
        <w:t xml:space="preserve"> i suw</w:t>
      </w:r>
      <w:r>
        <w:rPr>
          <w:noProof/>
        </w:rPr>
        <w:t>erenność żywnościowa nie podlegają negocjacjom. Potwierdzają to obywatele Unii: 94 % respondentów ostatniego badania Eurobarometru uważa, że ważne jest zapewnienie stabilnych dostaw żywności w UE przez cały czas</w:t>
      </w:r>
      <w:r w:rsidRPr="0719D775">
        <w:rPr>
          <w:rStyle w:val="FootnoteReference"/>
          <w:noProof/>
        </w:rPr>
        <w:footnoteReference w:id="3"/>
      </w:r>
      <w:r>
        <w:rPr>
          <w:noProof/>
        </w:rPr>
        <w:t>.</w:t>
      </w:r>
    </w:p>
    <w:p w14:paraId="1EDD8C47" w14:textId="13329AF1" w:rsidR="00EF513A" w:rsidRDefault="00BF5473">
      <w:pPr>
        <w:rPr>
          <w:noProof/>
        </w:rPr>
      </w:pPr>
      <w:r>
        <w:rPr>
          <w:b/>
          <w:noProof/>
        </w:rPr>
        <w:t>Żywność jest również elementem naszej konkurencyjności.</w:t>
      </w:r>
      <w:r>
        <w:rPr>
          <w:noProof/>
        </w:rPr>
        <w:t xml:space="preserve"> System rolno-spożywczy, oparty na jednolitym rynku europejskim</w:t>
      </w:r>
      <w:r w:rsidR="00D12858">
        <w:rPr>
          <w:noProof/>
        </w:rPr>
        <w:t xml:space="preserve"> i jeg</w:t>
      </w:r>
      <w:r>
        <w:rPr>
          <w:noProof/>
        </w:rPr>
        <w:t>o różnorodnych przedsiębiorstwach, zakresie, skali</w:t>
      </w:r>
      <w:r w:rsidR="00D12858">
        <w:rPr>
          <w:noProof/>
        </w:rPr>
        <w:t xml:space="preserve"> i met</w:t>
      </w:r>
      <w:r>
        <w:rPr>
          <w:noProof/>
        </w:rPr>
        <w:t>odach produkcji, wygenerował wartość dodaną</w:t>
      </w:r>
      <w:r w:rsidR="00D12858">
        <w:rPr>
          <w:noProof/>
        </w:rPr>
        <w:t xml:space="preserve"> w wys</w:t>
      </w:r>
      <w:r>
        <w:rPr>
          <w:noProof/>
        </w:rPr>
        <w:t>okości ponad 900 mld EUR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22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>, zapewniając zatrudnienie około 30 mln osób</w:t>
      </w:r>
      <w:r w:rsidR="007D54B1">
        <w:rPr>
          <w:noProof/>
          <w:vertAlign w:val="superscript"/>
        </w:rPr>
        <w:footnoteReference w:id="4"/>
      </w:r>
      <w:r>
        <w:rPr>
          <w:noProof/>
        </w:rPr>
        <w:t>, co stanowi około 15 % całkowitego zatrudnienia w UE. Jako największy eksporter produktów rolno-spożywczych na świecie UE na przestrzeni lat stale zwiększała nadwyżkę handlową, która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23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osiągnęła 70 mld EUR</w:t>
      </w:r>
      <w:r w:rsidR="00C81EE8">
        <w:rPr>
          <w:rStyle w:val="FootnoteReference"/>
          <w:noProof/>
        </w:rPr>
        <w:footnoteReference w:id="5"/>
      </w:r>
      <w:r>
        <w:rPr>
          <w:noProof/>
        </w:rPr>
        <w:t>. Jednocześnie sytuacja jest odmienna, jeśli chodzi</w:t>
      </w:r>
      <w:r w:rsidR="00D12858">
        <w:rPr>
          <w:noProof/>
        </w:rPr>
        <w:t xml:space="preserve"> o dos</w:t>
      </w:r>
      <w:r>
        <w:rPr>
          <w:noProof/>
        </w:rPr>
        <w:t>tawy m.in. produktów rybołówstwa</w:t>
      </w:r>
      <w:r w:rsidR="00D12858">
        <w:rPr>
          <w:noProof/>
        </w:rPr>
        <w:t xml:space="preserve"> i akw</w:t>
      </w:r>
      <w:r>
        <w:rPr>
          <w:noProof/>
        </w:rPr>
        <w:t>akultury, nasion oleistych</w:t>
      </w:r>
      <w:r w:rsidR="00D12858">
        <w:rPr>
          <w:noProof/>
        </w:rPr>
        <w:t xml:space="preserve"> i roś</w:t>
      </w:r>
      <w:r>
        <w:rPr>
          <w:noProof/>
        </w:rPr>
        <w:t>lin wysokobiałkowych,</w:t>
      </w:r>
      <w:r w:rsidR="00D12858">
        <w:rPr>
          <w:noProof/>
        </w:rPr>
        <w:t xml:space="preserve"> w prz</w:t>
      </w:r>
      <w:r>
        <w:rPr>
          <w:noProof/>
        </w:rPr>
        <w:t>ypadku których UE jest</w:t>
      </w:r>
      <w:r w:rsidR="00D12858">
        <w:rPr>
          <w:noProof/>
        </w:rPr>
        <w:t xml:space="preserve"> w duż</w:t>
      </w:r>
      <w:r>
        <w:rPr>
          <w:noProof/>
        </w:rPr>
        <w:t>ym stopniu zależna od przywozu.</w:t>
      </w:r>
    </w:p>
    <w:p w14:paraId="345B4241" w14:textId="73D097F8" w:rsidR="00EF513A" w:rsidRDefault="00BF5473">
      <w:pPr>
        <w:rPr>
          <w:noProof/>
        </w:rPr>
      </w:pPr>
      <w:r>
        <w:rPr>
          <w:b/>
          <w:noProof/>
        </w:rPr>
        <w:t>Rolnictwo</w:t>
      </w:r>
      <w:r w:rsidR="00D12858">
        <w:rPr>
          <w:b/>
          <w:noProof/>
        </w:rPr>
        <w:t xml:space="preserve"> i żyw</w:t>
      </w:r>
      <w:r>
        <w:rPr>
          <w:b/>
          <w:noProof/>
        </w:rPr>
        <w:t>ność mają zasadnicze znaczenie dla utrzymania dynamicznych</w:t>
      </w:r>
      <w:r w:rsidR="00D12858">
        <w:rPr>
          <w:b/>
          <w:noProof/>
        </w:rPr>
        <w:t xml:space="preserve"> i dob</w:t>
      </w:r>
      <w:r>
        <w:rPr>
          <w:b/>
          <w:noProof/>
        </w:rPr>
        <w:t>rze prosperujących społeczności na obszarach wiejskich</w:t>
      </w:r>
      <w:r w:rsidR="00D12858">
        <w:rPr>
          <w:b/>
          <w:noProof/>
        </w:rPr>
        <w:t xml:space="preserve"> i prz</w:t>
      </w:r>
      <w:r>
        <w:rPr>
          <w:b/>
          <w:noProof/>
        </w:rPr>
        <w:t>ybrzeżnych.</w:t>
      </w:r>
      <w:r>
        <w:rPr>
          <w:noProof/>
        </w:rPr>
        <w:t xml:space="preserve"> Obszary wiejskie zamieszkuje 25 % ludności UE</w:t>
      </w:r>
      <w:r w:rsidR="00D12858">
        <w:rPr>
          <w:noProof/>
        </w:rPr>
        <w:t xml:space="preserve"> i zaj</w:t>
      </w:r>
      <w:r>
        <w:rPr>
          <w:noProof/>
        </w:rPr>
        <w:t xml:space="preserve">mują </w:t>
      </w:r>
      <w:r w:rsidRPr="00D12858">
        <w:rPr>
          <w:noProof/>
        </w:rPr>
        <w:t>one</w:t>
      </w:r>
      <w:r w:rsidR="00D12858" w:rsidRPr="00D12858">
        <w:rPr>
          <w:noProof/>
        </w:rPr>
        <w:t> </w:t>
      </w:r>
      <w:r w:rsidRPr="00D12858">
        <w:rPr>
          <w:noProof/>
        </w:rPr>
        <w:t>7</w:t>
      </w:r>
      <w:r>
        <w:rPr>
          <w:noProof/>
        </w:rPr>
        <w:t>5 % jej terytorium, co sprawia, że stanowią integralną część tożsamości europejskiej</w:t>
      </w:r>
      <w:r w:rsidR="005F492E">
        <w:rPr>
          <w:rStyle w:val="FootnoteReference"/>
          <w:noProof/>
        </w:rPr>
        <w:footnoteReference w:id="6"/>
      </w:r>
      <w:r>
        <w:rPr>
          <w:noProof/>
        </w:rPr>
        <w:t>. Dynamiczne obszary wiejskie</w:t>
      </w:r>
      <w:r w:rsidR="00D12858">
        <w:rPr>
          <w:noProof/>
        </w:rPr>
        <w:t xml:space="preserve"> i prz</w:t>
      </w:r>
      <w:r>
        <w:rPr>
          <w:noProof/>
        </w:rPr>
        <w:t>ybrzeżne mają kluczowe znaczenie</w:t>
      </w:r>
      <w:r w:rsidR="00D12858">
        <w:rPr>
          <w:noProof/>
        </w:rPr>
        <w:t xml:space="preserve"> w wal</w:t>
      </w:r>
      <w:r>
        <w:rPr>
          <w:noProof/>
        </w:rPr>
        <w:t>ce</w:t>
      </w:r>
      <w:r w:rsidR="00D12858">
        <w:rPr>
          <w:noProof/>
        </w:rPr>
        <w:t xml:space="preserve"> z dep</w:t>
      </w:r>
      <w:r>
        <w:rPr>
          <w:noProof/>
        </w:rPr>
        <w:t>opulacją</w:t>
      </w:r>
      <w:r w:rsidR="00D12858">
        <w:rPr>
          <w:noProof/>
        </w:rPr>
        <w:t xml:space="preserve"> i w zag</w:t>
      </w:r>
      <w:r>
        <w:rPr>
          <w:noProof/>
        </w:rPr>
        <w:t>warantowaniu „prawa do pozostania”.</w:t>
      </w:r>
    </w:p>
    <w:p w14:paraId="2C0995E0" w14:textId="06E21EAD" w:rsidR="00EF513A" w:rsidRDefault="00BF5473">
      <w:pPr>
        <w:rPr>
          <w:noProof/>
        </w:rPr>
      </w:pPr>
      <w:r>
        <w:rPr>
          <w:b/>
          <w:noProof/>
        </w:rPr>
        <w:t>Rolnictwo</w:t>
      </w:r>
      <w:r w:rsidR="00D12858">
        <w:rPr>
          <w:b/>
          <w:noProof/>
        </w:rPr>
        <w:t xml:space="preserve"> i ryb</w:t>
      </w:r>
      <w:r>
        <w:rPr>
          <w:b/>
          <w:noProof/>
        </w:rPr>
        <w:t>ołówstwo to praca</w:t>
      </w:r>
      <w:r w:rsidR="00D12858">
        <w:rPr>
          <w:b/>
          <w:noProof/>
        </w:rPr>
        <w:t xml:space="preserve"> z prz</w:t>
      </w:r>
      <w:r>
        <w:rPr>
          <w:b/>
          <w:noProof/>
        </w:rPr>
        <w:t>yrodą.</w:t>
      </w:r>
      <w:r>
        <w:rPr>
          <w:noProof/>
        </w:rPr>
        <w:t xml:space="preserve"> Rolnicy</w:t>
      </w:r>
      <w:r w:rsidR="00D12858">
        <w:rPr>
          <w:noProof/>
        </w:rPr>
        <w:t xml:space="preserve"> i ryb</w:t>
      </w:r>
      <w:r>
        <w:rPr>
          <w:noProof/>
        </w:rPr>
        <w:t>acy są strażnikami przyrody, fundamentem odpornej Europy</w:t>
      </w:r>
      <w:r w:rsidR="00D12858">
        <w:rPr>
          <w:noProof/>
        </w:rPr>
        <w:t xml:space="preserve"> i odg</w:t>
      </w:r>
      <w:r>
        <w:rPr>
          <w:noProof/>
        </w:rPr>
        <w:t xml:space="preserve">rywają istotną </w:t>
      </w:r>
      <w:r>
        <w:rPr>
          <w:b/>
          <w:noProof/>
        </w:rPr>
        <w:t>rolę</w:t>
      </w:r>
      <w:r w:rsidR="00D12858">
        <w:rPr>
          <w:b/>
          <w:noProof/>
        </w:rPr>
        <w:t xml:space="preserve"> w roz</w:t>
      </w:r>
      <w:r>
        <w:rPr>
          <w:b/>
          <w:noProof/>
        </w:rPr>
        <w:t>wiązaniu</w:t>
      </w:r>
      <w:r>
        <w:rPr>
          <w:noProof/>
        </w:rPr>
        <w:t xml:space="preserve"> kwestii ochrony</w:t>
      </w:r>
      <w:r w:rsidR="00D12858">
        <w:rPr>
          <w:noProof/>
        </w:rPr>
        <w:t xml:space="preserve"> i odp</w:t>
      </w:r>
      <w:r>
        <w:rPr>
          <w:noProof/>
        </w:rPr>
        <w:t>orności naszej przyrody, gleb, wody, powietrza, różnorodności biologicznej, oceanów</w:t>
      </w:r>
      <w:r w:rsidR="00D12858">
        <w:rPr>
          <w:noProof/>
        </w:rPr>
        <w:t xml:space="preserve"> i kli</w:t>
      </w:r>
      <w:r>
        <w:rPr>
          <w:noProof/>
        </w:rPr>
        <w:t xml:space="preserve">matu. </w:t>
      </w:r>
      <w:r>
        <w:rPr>
          <w:b/>
          <w:noProof/>
        </w:rPr>
        <w:t>Rolnicy, rybacy</w:t>
      </w:r>
      <w:r w:rsidR="00D12858">
        <w:rPr>
          <w:b/>
          <w:noProof/>
        </w:rPr>
        <w:t xml:space="preserve"> i prz</w:t>
      </w:r>
      <w:r>
        <w:rPr>
          <w:b/>
          <w:noProof/>
        </w:rPr>
        <w:t>edsiębiorstwa spożywcze są innowatorami</w:t>
      </w:r>
      <w:r w:rsidR="00D12858">
        <w:rPr>
          <w:b/>
          <w:noProof/>
        </w:rPr>
        <w:t xml:space="preserve"> i prz</w:t>
      </w:r>
      <w:r>
        <w:rPr>
          <w:b/>
          <w:noProof/>
        </w:rPr>
        <w:t>edsiębiorcami.</w:t>
      </w:r>
      <w:r>
        <w:rPr>
          <w:noProof/>
        </w:rPr>
        <w:t xml:space="preserve"> Dzięki innowacjom otwierają się nowe modele biznesowe</w:t>
      </w:r>
      <w:r w:rsidR="00D12858">
        <w:rPr>
          <w:noProof/>
        </w:rPr>
        <w:t xml:space="preserve"> i poj</w:t>
      </w:r>
      <w:r>
        <w:rPr>
          <w:noProof/>
        </w:rPr>
        <w:t>awiają się nagrody, co sprawia, że transformacja przynosi korzyści zarówno rolnikom</w:t>
      </w:r>
      <w:r w:rsidR="00D12858">
        <w:rPr>
          <w:noProof/>
        </w:rPr>
        <w:t xml:space="preserve"> i ryb</w:t>
      </w:r>
      <w:r>
        <w:rPr>
          <w:noProof/>
        </w:rPr>
        <w:t>akom, jak</w:t>
      </w:r>
      <w:r w:rsidR="00D12858">
        <w:rPr>
          <w:noProof/>
        </w:rPr>
        <w:t xml:space="preserve"> i prz</w:t>
      </w:r>
      <w:r>
        <w:rPr>
          <w:noProof/>
        </w:rPr>
        <w:t>yrodzie, przy jednoczesnym wspieraniu konkurencyjności.</w:t>
      </w:r>
    </w:p>
    <w:p w14:paraId="06C77930" w14:textId="546AD248" w:rsidR="00EF513A" w:rsidRDefault="00BF5473">
      <w:pPr>
        <w:rPr>
          <w:noProof/>
        </w:rPr>
      </w:pPr>
      <w:r>
        <w:rPr>
          <w:b/>
          <w:noProof/>
        </w:rPr>
        <w:t>Nie powinniśmy jednak nigdy brać naszej suwerenności żywnościowej za pewnik.</w:t>
      </w:r>
      <w:r>
        <w:rPr>
          <w:noProof/>
        </w:rPr>
        <w:t xml:space="preserve"> Sektor rolno-spożywczy przetrwał wstrząsy związane</w:t>
      </w:r>
      <w:r w:rsidR="00D12858">
        <w:rPr>
          <w:noProof/>
        </w:rPr>
        <w:t xml:space="preserve"> z pan</w:t>
      </w:r>
      <w:r>
        <w:rPr>
          <w:noProof/>
        </w:rPr>
        <w:t>demią</w:t>
      </w:r>
      <w:r w:rsidR="00D12858">
        <w:rPr>
          <w:noProof/>
        </w:rPr>
        <w:t xml:space="preserve"> i wys</w:t>
      </w:r>
      <w:r>
        <w:rPr>
          <w:noProof/>
        </w:rPr>
        <w:t>okimi kosztami nakładów, co pokazało jego niewiarygodną odporność. Presja napięć geopolitycznych, skutki ostatnich kryzysów, niszczycielski wpływ ekstremalnych zdarzeń pogodowych</w:t>
      </w:r>
      <w:r w:rsidR="00D12858">
        <w:rPr>
          <w:noProof/>
        </w:rPr>
        <w:t xml:space="preserve"> i deg</w:t>
      </w:r>
      <w:r>
        <w:rPr>
          <w:noProof/>
        </w:rPr>
        <w:t>radacji środowiska,</w:t>
      </w:r>
      <w:r w:rsidR="00D12858">
        <w:rPr>
          <w:noProof/>
        </w:rPr>
        <w:t xml:space="preserve"> a tak</w:t>
      </w:r>
      <w:r>
        <w:rPr>
          <w:noProof/>
        </w:rPr>
        <w:t>że konsekwencje tendencji strukturalnych zagrażają jednak rentowności tego ważnego sektora</w:t>
      </w:r>
      <w:r w:rsidR="00D12858">
        <w:rPr>
          <w:noProof/>
        </w:rPr>
        <w:t xml:space="preserve"> i str</w:t>
      </w:r>
      <w:r>
        <w:rPr>
          <w:noProof/>
        </w:rPr>
        <w:t>ategicznej autonomii UE.</w:t>
      </w:r>
    </w:p>
    <w:p w14:paraId="1FACD054" w14:textId="6054B6DC" w:rsidR="00EF513A" w:rsidRDefault="00BF5473">
      <w:pPr>
        <w:rPr>
          <w:noProof/>
        </w:rPr>
      </w:pPr>
      <w:r>
        <w:rPr>
          <w:noProof/>
        </w:rPr>
        <w:t>Dzisiejszy sektor rolno-spożywczy stoi</w:t>
      </w:r>
      <w:r w:rsidR="00D12858">
        <w:rPr>
          <w:noProof/>
        </w:rPr>
        <w:t xml:space="preserve"> w obl</w:t>
      </w:r>
      <w:r>
        <w:rPr>
          <w:noProof/>
        </w:rPr>
        <w:t>iczu trudnych przemian strukturalnych,</w:t>
      </w:r>
      <w:r w:rsidR="00D12858">
        <w:rPr>
          <w:noProof/>
        </w:rPr>
        <w:t xml:space="preserve"> w tym</w:t>
      </w:r>
      <w:r>
        <w:rPr>
          <w:noProof/>
        </w:rPr>
        <w:t xml:space="preserve"> wynikających ze znacznych rozbieżności</w:t>
      </w:r>
      <w:r w:rsidR="00D12858">
        <w:rPr>
          <w:noProof/>
        </w:rPr>
        <w:t xml:space="preserve"> w ska</w:t>
      </w:r>
      <w:r>
        <w:rPr>
          <w:noProof/>
        </w:rPr>
        <w:t>li działalności rolniczej</w:t>
      </w:r>
      <w:r w:rsidR="00D12858">
        <w:rPr>
          <w:noProof/>
        </w:rPr>
        <w:t xml:space="preserve"> i sta</w:t>
      </w:r>
      <w:r>
        <w:rPr>
          <w:noProof/>
        </w:rPr>
        <w:t>rzenia się populacji rolniczej. Jedynie około 12 % rolników w UE ma mniej niż 40 lat</w:t>
      </w:r>
      <w:r w:rsidR="001314A2">
        <w:rPr>
          <w:rStyle w:val="FootnoteReference"/>
          <w:noProof/>
        </w:rPr>
        <w:footnoteReference w:id="7"/>
      </w:r>
      <w:r>
        <w:rPr>
          <w:noProof/>
        </w:rPr>
        <w:t>. Chociaż</w:t>
      </w:r>
      <w:r w:rsidR="00D12858">
        <w:rPr>
          <w:noProof/>
        </w:rPr>
        <w:t xml:space="preserve"> w ost</w:t>
      </w:r>
      <w:r>
        <w:rPr>
          <w:noProof/>
        </w:rPr>
        <w:t>atnich dziesięcioleciach dochód na osobę prowadzącą działalność rolniczą rósł, pozostaje on znacznie niższy od średniej obserwowanej</w:t>
      </w:r>
      <w:r w:rsidR="00D12858">
        <w:rPr>
          <w:noProof/>
        </w:rPr>
        <w:t xml:space="preserve"> w poz</w:t>
      </w:r>
      <w:r>
        <w:rPr>
          <w:noProof/>
        </w:rPr>
        <w:t>ostałej części gospodarki</w:t>
      </w:r>
      <w:r w:rsidR="003337CD">
        <w:rPr>
          <w:rStyle w:val="FootnoteReference"/>
          <w:noProof/>
        </w:rPr>
        <w:footnoteReference w:id="8"/>
      </w:r>
      <w:r>
        <w:rPr>
          <w:noProof/>
        </w:rPr>
        <w:t>, co bezpośrednio wpływa na źródła utrzymania rolników</w:t>
      </w:r>
      <w:r w:rsidR="00D12858">
        <w:rPr>
          <w:noProof/>
        </w:rPr>
        <w:t xml:space="preserve"> i ogr</w:t>
      </w:r>
      <w:r>
        <w:rPr>
          <w:noProof/>
        </w:rPr>
        <w:t>anicza ich zdolność do inwestowania, planowania</w:t>
      </w:r>
      <w:r w:rsidR="00D12858">
        <w:rPr>
          <w:noProof/>
        </w:rPr>
        <w:t xml:space="preserve"> i inn</w:t>
      </w:r>
      <w:r>
        <w:rPr>
          <w:noProof/>
        </w:rPr>
        <w:t>owacji. Jest to nadal główny powód protestów rolników, jakich ostatnio doświadczyła UE.</w:t>
      </w:r>
    </w:p>
    <w:p w14:paraId="2D80CC81" w14:textId="34632A65" w:rsidR="00EF513A" w:rsidRDefault="00BF5473">
      <w:pPr>
        <w:rPr>
          <w:noProof/>
        </w:rPr>
      </w:pPr>
      <w:r>
        <w:rPr>
          <w:noProof/>
        </w:rPr>
        <w:t>Chociaż wielu młodych ludzi wyraża zainteresowanie rolnictwem jako karierą zawodową,</w:t>
      </w:r>
      <w:r w:rsidR="00D12858">
        <w:rPr>
          <w:noProof/>
        </w:rPr>
        <w:t xml:space="preserve"> a nie</w:t>
      </w:r>
      <w:r>
        <w:rPr>
          <w:noProof/>
        </w:rPr>
        <w:t>którzy</w:t>
      </w:r>
      <w:r w:rsidR="00D12858">
        <w:rPr>
          <w:noProof/>
        </w:rPr>
        <w:t xml:space="preserve"> z pow</w:t>
      </w:r>
      <w:r>
        <w:rPr>
          <w:noProof/>
        </w:rPr>
        <w:t>odzeniem angażują się</w:t>
      </w:r>
      <w:r w:rsidR="00D12858">
        <w:rPr>
          <w:noProof/>
        </w:rPr>
        <w:t xml:space="preserve"> w dob</w:t>
      </w:r>
      <w:r>
        <w:rPr>
          <w:noProof/>
        </w:rPr>
        <w:t>rze prosperujące rodzinne przedsiębiorstwa rolnicze, istnieje wiele wyzwań</w:t>
      </w:r>
      <w:r w:rsidR="00D12858">
        <w:rPr>
          <w:noProof/>
        </w:rPr>
        <w:t xml:space="preserve"> i bar</w:t>
      </w:r>
      <w:r>
        <w:rPr>
          <w:noProof/>
        </w:rPr>
        <w:t>ier. Bardzo niepewne perspektywy dochodów</w:t>
      </w:r>
      <w:r w:rsidR="00D12858">
        <w:rPr>
          <w:noProof/>
        </w:rPr>
        <w:t xml:space="preserve"> w poł</w:t>
      </w:r>
      <w:r>
        <w:rPr>
          <w:noProof/>
        </w:rPr>
        <w:t>ączeniu ze złożonymi wymogami regulacyjnymi, które mogą przełożyć się na krępujące obciążenia biurokratyczne, niska rentowność utrudniająca inwestycje, produkcja podatna na kryzysy, zmiany demograficzne, zróżnicowanie sytuacji kobiet</w:t>
      </w:r>
      <w:r w:rsidR="00D12858">
        <w:rPr>
          <w:noProof/>
        </w:rPr>
        <w:t xml:space="preserve"> i męż</w:t>
      </w:r>
      <w:r>
        <w:rPr>
          <w:noProof/>
        </w:rPr>
        <w:t>czyzn, brak dostępu do podstawowych usług na niektórych obszarach wiejskich oraz trudny charakter zawodu – to czynniki, które mogą sprawiać, że rolnictwo staje się coraz mniej atrakcyjne dla przyszłych pokoleń. Skumulowany wpływ sektora rolno-spożywczego często zwiększa presję na środowisko</w:t>
      </w:r>
      <w:r w:rsidR="00D12858">
        <w:rPr>
          <w:noProof/>
        </w:rPr>
        <w:t xml:space="preserve"> i kli</w:t>
      </w:r>
      <w:r>
        <w:rPr>
          <w:noProof/>
        </w:rPr>
        <w:t>mat,</w:t>
      </w:r>
      <w:r w:rsidR="00D12858">
        <w:rPr>
          <w:noProof/>
        </w:rPr>
        <w:t xml:space="preserve"> a jed</w:t>
      </w:r>
      <w:r>
        <w:rPr>
          <w:noProof/>
        </w:rPr>
        <w:t>nocześnie przyszła produkcja rolnicza jest uzależniona od przyrody. Większość</w:t>
      </w:r>
      <w:r w:rsidR="00D12858">
        <w:rPr>
          <w:noProof/>
        </w:rPr>
        <w:t xml:space="preserve"> z tyc</w:t>
      </w:r>
      <w:r>
        <w:rPr>
          <w:noProof/>
        </w:rPr>
        <w:t>h wyzwań dotyczy nie tylko producentów surowców</w:t>
      </w:r>
      <w:r w:rsidR="00D12858">
        <w:rPr>
          <w:noProof/>
        </w:rPr>
        <w:t xml:space="preserve"> w sek</w:t>
      </w:r>
      <w:r>
        <w:rPr>
          <w:noProof/>
        </w:rPr>
        <w:t>torach rybołówstwa</w:t>
      </w:r>
      <w:r w:rsidR="00D12858">
        <w:rPr>
          <w:noProof/>
        </w:rPr>
        <w:t xml:space="preserve"> i akw</w:t>
      </w:r>
      <w:r>
        <w:rPr>
          <w:noProof/>
        </w:rPr>
        <w:t>akultury,</w:t>
      </w:r>
      <w:r w:rsidR="00D12858">
        <w:rPr>
          <w:noProof/>
        </w:rPr>
        <w:t xml:space="preserve"> a tak</w:t>
      </w:r>
      <w:r>
        <w:rPr>
          <w:noProof/>
        </w:rPr>
        <w:t>że całego sektora rolno-spożywczego.</w:t>
      </w:r>
    </w:p>
    <w:p w14:paraId="3D3B5D2C" w14:textId="79A71388" w:rsidR="00EF513A" w:rsidRDefault="00BF5473">
      <w:pPr>
        <w:rPr>
          <w:noProof/>
          <w:color w:val="00B050"/>
          <w:sz w:val="22"/>
          <w:szCs w:val="22"/>
        </w:rPr>
      </w:pPr>
      <w:r>
        <w:rPr>
          <w:noProof/>
        </w:rPr>
        <w:t>Brak stabilności</w:t>
      </w:r>
      <w:r w:rsidR="00D12858">
        <w:rPr>
          <w:noProof/>
        </w:rPr>
        <w:t xml:space="preserve"> i pew</w:t>
      </w:r>
      <w:r>
        <w:rPr>
          <w:noProof/>
        </w:rPr>
        <w:t>ności co do przyszłości zawodowej unijnych rolników doprowadził do niedawnych szeroko zakrojonych protestów w UE</w:t>
      </w:r>
      <w:r w:rsidR="00D12858">
        <w:rPr>
          <w:noProof/>
        </w:rPr>
        <w:t>. W tym</w:t>
      </w:r>
      <w:r>
        <w:rPr>
          <w:noProof/>
        </w:rPr>
        <w:t xml:space="preserve"> kontekście UE musi </w:t>
      </w:r>
      <w:r>
        <w:rPr>
          <w:b/>
          <w:noProof/>
        </w:rPr>
        <w:t>uznać kluczową rolę, jaką rolnicy odgrywają</w:t>
      </w:r>
      <w:r w:rsidR="00D12858">
        <w:rPr>
          <w:b/>
          <w:noProof/>
        </w:rPr>
        <w:t xml:space="preserve"> w nas</w:t>
      </w:r>
      <w:r>
        <w:rPr>
          <w:b/>
          <w:noProof/>
        </w:rPr>
        <w:t>zym życiu</w:t>
      </w:r>
      <w:r w:rsidR="00D12858">
        <w:rPr>
          <w:b/>
          <w:noProof/>
        </w:rPr>
        <w:t xml:space="preserve"> i źró</w:t>
      </w:r>
      <w:r>
        <w:rPr>
          <w:b/>
          <w:noProof/>
        </w:rPr>
        <w:t>dłach utrzymania, ożywić konkurencyjność</w:t>
      </w:r>
      <w:r w:rsidR="00D12858">
        <w:rPr>
          <w:b/>
          <w:noProof/>
        </w:rPr>
        <w:t xml:space="preserve"> i zwi</w:t>
      </w:r>
      <w:r>
        <w:rPr>
          <w:b/>
          <w:noProof/>
        </w:rPr>
        <w:t>ększyć atrakcyjność tego zawodu, tak aby rolnicy mogli prosperować, wprowadzać innowacje</w:t>
      </w:r>
      <w:r w:rsidR="00D12858">
        <w:rPr>
          <w:b/>
          <w:noProof/>
        </w:rPr>
        <w:t xml:space="preserve"> i dos</w:t>
      </w:r>
      <w:r>
        <w:rPr>
          <w:b/>
          <w:noProof/>
        </w:rPr>
        <w:t>tarczać wielu korzyści naszemu społeczeństwu – dziś, jutro i</w:t>
      </w:r>
      <w:r w:rsidR="00D12858">
        <w:rPr>
          <w:b/>
          <w:noProof/>
        </w:rPr>
        <w:t xml:space="preserve"> w 2</w:t>
      </w:r>
      <w:r>
        <w:rPr>
          <w:b/>
          <w:noProof/>
        </w:rPr>
        <w:t>0</w:t>
      </w:r>
      <w:r w:rsidRPr="00D12858">
        <w:rPr>
          <w:b/>
          <w:noProof/>
        </w:rPr>
        <w:t>40</w:t>
      </w:r>
      <w:r w:rsidR="00D12858" w:rsidRPr="00D12858">
        <w:rPr>
          <w:b/>
          <w:noProof/>
        </w:rPr>
        <w:t> </w:t>
      </w:r>
      <w:r w:rsidRPr="00D12858">
        <w:rPr>
          <w:b/>
          <w:noProof/>
        </w:rPr>
        <w:t>r.</w:t>
      </w:r>
      <w:r>
        <w:rPr>
          <w:noProof/>
        </w:rPr>
        <w:t xml:space="preserve"> </w:t>
      </w:r>
      <w:r>
        <w:rPr>
          <w:noProof/>
          <w:highlight w:val="white"/>
        </w:rPr>
        <w:t>Jest to tym bardziej istotne</w:t>
      </w:r>
      <w:r w:rsidR="00D12858">
        <w:rPr>
          <w:noProof/>
          <w:highlight w:val="white"/>
        </w:rPr>
        <w:t xml:space="preserve"> w świ</w:t>
      </w:r>
      <w:r>
        <w:rPr>
          <w:noProof/>
          <w:highlight w:val="white"/>
        </w:rPr>
        <w:t>etle przyszłego rozszerzenia oraz związanych</w:t>
      </w:r>
      <w:r w:rsidR="00D12858">
        <w:rPr>
          <w:noProof/>
          <w:highlight w:val="white"/>
        </w:rPr>
        <w:t xml:space="preserve"> z nim</w:t>
      </w:r>
      <w:r>
        <w:rPr>
          <w:noProof/>
          <w:highlight w:val="white"/>
        </w:rPr>
        <w:t xml:space="preserve"> wyzwań</w:t>
      </w:r>
      <w:r w:rsidR="00D12858">
        <w:rPr>
          <w:noProof/>
          <w:highlight w:val="white"/>
        </w:rPr>
        <w:t xml:space="preserve"> i moż</w:t>
      </w:r>
      <w:r>
        <w:rPr>
          <w:noProof/>
          <w:highlight w:val="white"/>
        </w:rPr>
        <w:t>liwości dla rolnictwa</w:t>
      </w:r>
      <w:r w:rsidR="00D12858">
        <w:rPr>
          <w:noProof/>
          <w:highlight w:val="white"/>
        </w:rPr>
        <w:t xml:space="preserve"> i rol</w:t>
      </w:r>
      <w:r>
        <w:rPr>
          <w:noProof/>
          <w:highlight w:val="white"/>
        </w:rPr>
        <w:t>ników</w:t>
      </w:r>
      <w:r w:rsidR="00D12858">
        <w:rPr>
          <w:noProof/>
          <w:highlight w:val="white"/>
        </w:rPr>
        <w:t xml:space="preserve"> w obe</w:t>
      </w:r>
      <w:r>
        <w:rPr>
          <w:noProof/>
          <w:highlight w:val="white"/>
        </w:rPr>
        <w:t>cnych</w:t>
      </w:r>
      <w:r w:rsidR="00D12858">
        <w:rPr>
          <w:noProof/>
          <w:highlight w:val="white"/>
        </w:rPr>
        <w:t xml:space="preserve"> i prz</w:t>
      </w:r>
      <w:r>
        <w:rPr>
          <w:noProof/>
          <w:highlight w:val="white"/>
        </w:rPr>
        <w:t>yszłych państwach członkowskich UE.</w:t>
      </w:r>
    </w:p>
    <w:p w14:paraId="297238E1" w14:textId="5A228EDD" w:rsidR="00EF513A" w:rsidRDefault="00BF5473">
      <w:pPr>
        <w:rPr>
          <w:noProof/>
        </w:rPr>
      </w:pPr>
      <w:r>
        <w:rPr>
          <w:noProof/>
        </w:rPr>
        <w:t xml:space="preserve">W niniejszym komunikacie przedstawiono wizję dla europejskiego systemu rolno-spożywczego </w:t>
      </w:r>
      <w:r w:rsidRPr="00D12858">
        <w:rPr>
          <w:noProof/>
        </w:rPr>
        <w:t>na</w:t>
      </w:r>
      <w:r w:rsidR="00D12858" w:rsidRPr="00D12858">
        <w:rPr>
          <w:noProof/>
        </w:rPr>
        <w:t> </w:t>
      </w:r>
      <w:r w:rsidRPr="00D12858">
        <w:rPr>
          <w:noProof/>
        </w:rPr>
        <w:t>2</w:t>
      </w:r>
      <w:r>
        <w:rPr>
          <w:noProof/>
        </w:rPr>
        <w:t>0</w:t>
      </w:r>
      <w:r w:rsidRPr="00D12858">
        <w:rPr>
          <w:noProof/>
        </w:rPr>
        <w:t>40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 w:rsidR="00D12858">
        <w:rPr>
          <w:noProof/>
        </w:rPr>
        <w:t xml:space="preserve"> i kol</w:t>
      </w:r>
      <w:r>
        <w:rPr>
          <w:noProof/>
        </w:rPr>
        <w:t xml:space="preserve">ejne lata oraz plan działania, który wyznacza kierunek dla całej unijnej polityki, tak aby </w:t>
      </w:r>
      <w:r>
        <w:rPr>
          <w:b/>
          <w:noProof/>
        </w:rPr>
        <w:t>była ona zgodna z tą wizją</w:t>
      </w:r>
      <w:r w:rsidR="00D12858">
        <w:rPr>
          <w:noProof/>
        </w:rPr>
        <w:t xml:space="preserve"> i dos</w:t>
      </w:r>
      <w:r>
        <w:rPr>
          <w:noProof/>
        </w:rPr>
        <w:t>tosowana do nowych realiów</w:t>
      </w:r>
      <w:r w:rsidR="00D12858">
        <w:rPr>
          <w:noProof/>
        </w:rPr>
        <w:t>. W wie</w:t>
      </w:r>
      <w:r>
        <w:rPr>
          <w:noProof/>
        </w:rPr>
        <w:t>lu obszarach osiągnięcie celów będzie wymagało lepszego dopasowania polityki krajowej</w:t>
      </w:r>
      <w:r w:rsidR="00D12858">
        <w:rPr>
          <w:noProof/>
        </w:rPr>
        <w:t xml:space="preserve"> i uni</w:t>
      </w:r>
      <w:r>
        <w:rPr>
          <w:noProof/>
        </w:rPr>
        <w:t>jnej. Niniejsza wizja wspiera również realizację Kompasu konkurencyjności dla UE, nadrzędnej unijnej inicjatywy przewodniej mającej na celu zwiększenie naszej konkurencyjności</w:t>
      </w:r>
      <w:r w:rsidR="0016632D">
        <w:rPr>
          <w:rStyle w:val="FootnoteReference"/>
          <w:noProof/>
        </w:rPr>
        <w:footnoteReference w:id="9"/>
      </w:r>
      <w:r>
        <w:rPr>
          <w:noProof/>
        </w:rPr>
        <w:t xml:space="preserve">. Przyszły </w:t>
      </w:r>
      <w:r>
        <w:rPr>
          <w:b/>
          <w:noProof/>
        </w:rPr>
        <w:t>pakt na rzecz oceanów</w:t>
      </w:r>
      <w:r>
        <w:rPr>
          <w:noProof/>
        </w:rPr>
        <w:t xml:space="preserve"> ustanowi również ramy dla wykorzystania rozległego obszaru morskiego</w:t>
      </w:r>
      <w:r w:rsidR="00D12858">
        <w:rPr>
          <w:noProof/>
        </w:rPr>
        <w:t xml:space="preserve"> i wyb</w:t>
      </w:r>
      <w:r>
        <w:rPr>
          <w:noProof/>
        </w:rPr>
        <w:t>rzeży UE</w:t>
      </w:r>
      <w:r w:rsidR="00D12858">
        <w:rPr>
          <w:noProof/>
        </w:rPr>
        <w:t xml:space="preserve"> w cel</w:t>
      </w:r>
      <w:r>
        <w:rPr>
          <w:noProof/>
        </w:rPr>
        <w:t>u zwiększenia bezpieczeństwa żywnościowego, przy jednoczesnym zachowaniu zasobów naturalnych, od których zależy sektor rybołówstwa,</w:t>
      </w:r>
      <w:r w:rsidR="00D12858">
        <w:rPr>
          <w:noProof/>
        </w:rPr>
        <w:t xml:space="preserve"> i zwi</w:t>
      </w:r>
      <w:r>
        <w:rPr>
          <w:noProof/>
        </w:rPr>
        <w:t>ększeniu konkurencyjności dzięki innowacjom. Ponadto Komisja przygotuje wizję dla sektora rybołówstwa</w:t>
      </w:r>
      <w:r w:rsidR="00D12858">
        <w:rPr>
          <w:noProof/>
        </w:rPr>
        <w:t xml:space="preserve"> i akw</w:t>
      </w:r>
      <w:r>
        <w:rPr>
          <w:noProof/>
        </w:rPr>
        <w:t xml:space="preserve">akultury </w:t>
      </w:r>
      <w:r w:rsidRPr="00D12858">
        <w:rPr>
          <w:noProof/>
        </w:rPr>
        <w:t>na</w:t>
      </w:r>
      <w:r w:rsidR="00D12858" w:rsidRPr="00D12858">
        <w:rPr>
          <w:noProof/>
        </w:rPr>
        <w:t> </w:t>
      </w:r>
      <w:r w:rsidRPr="00D12858">
        <w:rPr>
          <w:noProof/>
        </w:rPr>
        <w:t>2</w:t>
      </w:r>
      <w:r>
        <w:rPr>
          <w:noProof/>
        </w:rPr>
        <w:t>0</w:t>
      </w:r>
      <w:r w:rsidRPr="00D12858">
        <w:rPr>
          <w:noProof/>
        </w:rPr>
        <w:t>40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>, aby zapewnić jego długoterminową konkurencyjność</w:t>
      </w:r>
      <w:r w:rsidR="00D12858">
        <w:rPr>
          <w:noProof/>
        </w:rPr>
        <w:t xml:space="preserve"> i zró</w:t>
      </w:r>
      <w:r>
        <w:rPr>
          <w:noProof/>
        </w:rPr>
        <w:t>wnoważony rozwój, działać na rzecz tworzenia miejsc pracy</w:t>
      </w:r>
      <w:r w:rsidR="00D12858">
        <w:rPr>
          <w:noProof/>
        </w:rPr>
        <w:t xml:space="preserve"> i roz</w:t>
      </w:r>
      <w:r>
        <w:rPr>
          <w:noProof/>
        </w:rPr>
        <w:t>wiązać pilne problemy mające wpływ na społeczność rybacką.</w:t>
      </w:r>
    </w:p>
    <w:p w14:paraId="2A2211BE" w14:textId="690E27C2" w:rsidR="3D02C841" w:rsidRDefault="53682206">
      <w:pPr>
        <w:rPr>
          <w:noProof/>
        </w:rPr>
      </w:pPr>
      <w:bookmarkStart w:id="4" w:name="_Hlk190349158"/>
      <w:r>
        <w:rPr>
          <w:noProof/>
        </w:rPr>
        <w:t>Niniejszy komunikat czerpie</w:t>
      </w:r>
      <w:r w:rsidR="00D12858">
        <w:rPr>
          <w:noProof/>
        </w:rPr>
        <w:t xml:space="preserve"> z wie</w:t>
      </w:r>
      <w:r>
        <w:rPr>
          <w:noProof/>
        </w:rPr>
        <w:t>lu rozważań strategicznych,</w:t>
      </w:r>
      <w:r w:rsidR="00D12858">
        <w:rPr>
          <w:noProof/>
        </w:rPr>
        <w:t xml:space="preserve"> w tym w szc</w:t>
      </w:r>
      <w:r>
        <w:rPr>
          <w:noProof/>
        </w:rPr>
        <w:t>zególności strategicznego dialogu na temat przyszłości rolnictwa w UE</w:t>
      </w:r>
      <w:r w:rsidRPr="64BD01FB">
        <w:rPr>
          <w:rStyle w:val="FootnoteReference"/>
          <w:noProof/>
        </w:rPr>
        <w:footnoteReference w:id="10"/>
      </w:r>
      <w:r>
        <w:rPr>
          <w:noProof/>
        </w:rPr>
        <w:t>,</w:t>
      </w:r>
      <w:r w:rsidR="00D12858">
        <w:rPr>
          <w:noProof/>
        </w:rPr>
        <w:t xml:space="preserve"> a tak</w:t>
      </w:r>
      <w:r>
        <w:rPr>
          <w:noProof/>
        </w:rPr>
        <w:t>że ze sprawozdań Mario Draghiego</w:t>
      </w:r>
      <w:r w:rsidRPr="30577F5E">
        <w:rPr>
          <w:rStyle w:val="FootnoteReference"/>
          <w:noProof/>
        </w:rPr>
        <w:footnoteReference w:id="11"/>
      </w:r>
      <w:r>
        <w:rPr>
          <w:noProof/>
        </w:rPr>
        <w:t>, Enrico Letty</w:t>
      </w:r>
      <w:r w:rsidRPr="68C50343">
        <w:rPr>
          <w:rStyle w:val="FootnoteReference"/>
          <w:noProof/>
        </w:rPr>
        <w:footnoteReference w:id="12"/>
      </w:r>
      <w:r w:rsidR="00D12858">
        <w:rPr>
          <w:noProof/>
        </w:rPr>
        <w:t xml:space="preserve"> i Sau</w:t>
      </w:r>
      <w:r>
        <w:rPr>
          <w:noProof/>
        </w:rPr>
        <w:t>liego Niinistö</w:t>
      </w:r>
      <w:r w:rsidRPr="6C7C4CFA">
        <w:rPr>
          <w:rStyle w:val="FootnoteReference"/>
          <w:noProof/>
        </w:rPr>
        <w:footnoteReference w:id="13"/>
      </w:r>
      <w:r>
        <w:rPr>
          <w:noProof/>
        </w:rPr>
        <w:t>. Opiera się on również na konkluzjach szefów państw</w:t>
      </w:r>
      <w:r w:rsidR="00D12858">
        <w:rPr>
          <w:noProof/>
        </w:rPr>
        <w:t xml:space="preserve"> i rzą</w:t>
      </w:r>
      <w:r>
        <w:rPr>
          <w:noProof/>
        </w:rPr>
        <w:t>dów UE</w:t>
      </w:r>
      <w:r w:rsidR="00152234">
        <w:rPr>
          <w:rStyle w:val="FootnoteReference"/>
          <w:noProof/>
        </w:rPr>
        <w:footnoteReference w:id="14"/>
      </w:r>
      <w:r>
        <w:rPr>
          <w:noProof/>
        </w:rPr>
        <w:t>, konkluzjach belgijskiej prezydencji Rady dotyczących przyszłości rolnictwa (20</w:t>
      </w:r>
      <w:r w:rsidRPr="00D12858">
        <w:rPr>
          <w:noProof/>
        </w:rPr>
        <w:t>24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>),</w:t>
      </w:r>
      <w:r w:rsidR="00D12858">
        <w:rPr>
          <w:noProof/>
        </w:rPr>
        <w:t xml:space="preserve"> a tak</w:t>
      </w:r>
      <w:r>
        <w:rPr>
          <w:noProof/>
        </w:rPr>
        <w:t>że na konkluzjach Rady</w:t>
      </w:r>
      <w:r w:rsidR="00D12858">
        <w:rPr>
          <w:noProof/>
        </w:rPr>
        <w:t xml:space="preserve"> z 2</w:t>
      </w:r>
      <w:r>
        <w:rPr>
          <w:noProof/>
        </w:rPr>
        <w:t>0</w:t>
      </w:r>
      <w:r w:rsidRPr="00D12858">
        <w:rPr>
          <w:noProof/>
        </w:rPr>
        <w:t>24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 w:rsidR="00D12858">
        <w:rPr>
          <w:noProof/>
        </w:rPr>
        <w:t xml:space="preserve"> w spr</w:t>
      </w:r>
      <w:r>
        <w:rPr>
          <w:noProof/>
        </w:rPr>
        <w:t>awie przyszłości WPR. Korzystamy</w:t>
      </w:r>
      <w:r w:rsidR="00D12858">
        <w:rPr>
          <w:noProof/>
        </w:rPr>
        <w:t xml:space="preserve"> w nim</w:t>
      </w:r>
      <w:r>
        <w:rPr>
          <w:noProof/>
        </w:rPr>
        <w:t xml:space="preserve"> ponadto</w:t>
      </w:r>
      <w:r w:rsidR="00D12858">
        <w:rPr>
          <w:noProof/>
        </w:rPr>
        <w:t xml:space="preserve"> z opi</w:t>
      </w:r>
      <w:r>
        <w:rPr>
          <w:noProof/>
        </w:rPr>
        <w:t>nii</w:t>
      </w:r>
      <w:r w:rsidR="00D12858">
        <w:rPr>
          <w:noProof/>
        </w:rPr>
        <w:t xml:space="preserve"> i rez</w:t>
      </w:r>
      <w:r>
        <w:rPr>
          <w:noProof/>
        </w:rPr>
        <w:t>olucji Parlamentu Europejskiego, Europejskiego Komitetu Ekonomiczno-Społecznego</w:t>
      </w:r>
      <w:r w:rsidR="00D12858">
        <w:rPr>
          <w:noProof/>
        </w:rPr>
        <w:t xml:space="preserve"> i Kom</w:t>
      </w:r>
      <w:r>
        <w:rPr>
          <w:noProof/>
        </w:rPr>
        <w:t xml:space="preserve">itetu Regionów. </w:t>
      </w:r>
    </w:p>
    <w:bookmarkEnd w:id="4"/>
    <w:p w14:paraId="1DFCC5B0" w14:textId="2F8F662D" w:rsidR="00EF513A" w:rsidRPr="00D12858" w:rsidRDefault="00BF5473">
      <w:pPr>
        <w:rPr>
          <w:noProof/>
          <w:sz w:val="22"/>
          <w:szCs w:val="22"/>
        </w:rPr>
      </w:pPr>
      <w:r>
        <w:rPr>
          <w:noProof/>
        </w:rPr>
        <w:t xml:space="preserve">Reakcja polityczna skupia się wokół </w:t>
      </w:r>
      <w:r>
        <w:rPr>
          <w:b/>
          <w:noProof/>
        </w:rPr>
        <w:t>czterech podstawowych obszarów priorytetowych</w:t>
      </w:r>
      <w:r w:rsidR="00D12858">
        <w:rPr>
          <w:noProof/>
        </w:rPr>
        <w:t>. W kom</w:t>
      </w:r>
      <w:r>
        <w:rPr>
          <w:noProof/>
        </w:rPr>
        <w:t xml:space="preserve">unikacie określono </w:t>
      </w:r>
      <w:r>
        <w:rPr>
          <w:b/>
          <w:noProof/>
        </w:rPr>
        <w:t>kierunki prac</w:t>
      </w:r>
      <w:r>
        <w:rPr>
          <w:noProof/>
        </w:rPr>
        <w:t xml:space="preserve"> nad tym, jak te inicjatywy polityczne będą kształtowane</w:t>
      </w:r>
      <w:r w:rsidR="00D12858">
        <w:rPr>
          <w:noProof/>
        </w:rPr>
        <w:t xml:space="preserve"> w spo</w:t>
      </w:r>
      <w:r>
        <w:rPr>
          <w:noProof/>
        </w:rPr>
        <w:t>sób sprzyjający włączeniu społecznemu</w:t>
      </w:r>
      <w:r w:rsidR="00D12858">
        <w:rPr>
          <w:noProof/>
        </w:rPr>
        <w:t xml:space="preserve"> i opa</w:t>
      </w:r>
      <w:r>
        <w:rPr>
          <w:noProof/>
        </w:rPr>
        <w:t>rty na współpracy. Realizacja celów</w:t>
      </w:r>
      <w:r w:rsidR="00D12858">
        <w:rPr>
          <w:noProof/>
        </w:rPr>
        <w:t xml:space="preserve"> w zak</w:t>
      </w:r>
      <w:r>
        <w:rPr>
          <w:noProof/>
        </w:rPr>
        <w:t>resie tych obszarów priorytetowych opiera się</w:t>
      </w:r>
      <w:r w:rsidR="00D12858">
        <w:rPr>
          <w:noProof/>
        </w:rPr>
        <w:t xml:space="preserve"> w duż</w:t>
      </w:r>
      <w:r>
        <w:rPr>
          <w:noProof/>
        </w:rPr>
        <w:t>ej mierze na istotnych elementach towarzyszących,</w:t>
      </w:r>
      <w:r w:rsidR="00D12858">
        <w:rPr>
          <w:noProof/>
        </w:rPr>
        <w:t xml:space="preserve"> a mia</w:t>
      </w:r>
      <w:r>
        <w:rPr>
          <w:noProof/>
        </w:rPr>
        <w:t xml:space="preserve">nowicie na </w:t>
      </w:r>
      <w:r>
        <w:rPr>
          <w:b/>
          <w:noProof/>
        </w:rPr>
        <w:t>uproszczeniu</w:t>
      </w:r>
      <w:r>
        <w:rPr>
          <w:noProof/>
        </w:rPr>
        <w:t xml:space="preserve"> ram regulacyjnych, które mają wpływ na rolników</w:t>
      </w:r>
      <w:r w:rsidR="00D12858">
        <w:rPr>
          <w:noProof/>
        </w:rPr>
        <w:t xml:space="preserve"> i cał</w:t>
      </w:r>
      <w:r>
        <w:rPr>
          <w:noProof/>
        </w:rPr>
        <w:t>y łańcuch wartości</w:t>
      </w:r>
      <w:r w:rsidR="00D12858">
        <w:rPr>
          <w:noProof/>
        </w:rPr>
        <w:t xml:space="preserve"> w sek</w:t>
      </w:r>
      <w:r>
        <w:rPr>
          <w:noProof/>
        </w:rPr>
        <w:t xml:space="preserve">torze rolno-spożywczym, oraz na </w:t>
      </w:r>
      <w:r>
        <w:rPr>
          <w:b/>
          <w:noProof/>
        </w:rPr>
        <w:t>innowacjach</w:t>
      </w:r>
      <w:r>
        <w:rPr>
          <w:noProof/>
        </w:rPr>
        <w:t>, które oferują rozwiązania na rzecz zrównoważonej transformacji</w:t>
      </w:r>
      <w:r w:rsidRPr="00D12858">
        <w:rPr>
          <w:noProof/>
        </w:rPr>
        <w:t>.</w:t>
      </w:r>
      <w:r w:rsidR="00D12858" w:rsidRPr="00D12858">
        <w:rPr>
          <w:noProof/>
          <w:sz w:val="22"/>
        </w:rPr>
        <w:t xml:space="preserve"> </w:t>
      </w:r>
    </w:p>
    <w:p w14:paraId="0538C263" w14:textId="0614343A" w:rsidR="00EF513A" w:rsidRDefault="00BF5473">
      <w:pPr>
        <w:rPr>
          <w:b/>
          <w:bCs/>
          <w:i/>
          <w:noProof/>
        </w:rPr>
      </w:pPr>
      <w:r>
        <w:rPr>
          <w:b/>
          <w:i/>
          <w:noProof/>
        </w:rPr>
        <w:t>Nowy sposób pracy: budowanie zaufania</w:t>
      </w:r>
      <w:r w:rsidR="00D12858">
        <w:rPr>
          <w:b/>
          <w:i/>
          <w:noProof/>
        </w:rPr>
        <w:t xml:space="preserve"> i dia</w:t>
      </w:r>
      <w:r>
        <w:rPr>
          <w:b/>
          <w:i/>
          <w:noProof/>
        </w:rPr>
        <w:t>log</w:t>
      </w:r>
    </w:p>
    <w:p w14:paraId="6D861472" w14:textId="60BA00AC" w:rsidR="00EF513A" w:rsidRDefault="00BF5473">
      <w:pPr>
        <w:rPr>
          <w:noProof/>
        </w:rPr>
      </w:pPr>
      <w:r>
        <w:rPr>
          <w:noProof/>
        </w:rPr>
        <w:t>Doświadczenie pokazuje, że niektóre tematy związane</w:t>
      </w:r>
      <w:r w:rsidR="00D12858">
        <w:rPr>
          <w:noProof/>
        </w:rPr>
        <w:t xml:space="preserve"> z żyw</w:t>
      </w:r>
      <w:r>
        <w:rPr>
          <w:noProof/>
        </w:rPr>
        <w:t>nością</w:t>
      </w:r>
      <w:r w:rsidR="00D12858">
        <w:rPr>
          <w:noProof/>
        </w:rPr>
        <w:t xml:space="preserve"> i rol</w:t>
      </w:r>
      <w:r>
        <w:rPr>
          <w:noProof/>
        </w:rPr>
        <w:t>nictwem mogą być bardzo polaryzujące,</w:t>
      </w:r>
      <w:r w:rsidR="00D12858">
        <w:rPr>
          <w:noProof/>
        </w:rPr>
        <w:t xml:space="preserve"> a osi</w:t>
      </w:r>
      <w:r>
        <w:rPr>
          <w:noProof/>
        </w:rPr>
        <w:t>ągnięcie konsensusu społecznego jest bardziej prawdopodobne przy podejściach sprzyjających włączeniu społecznemu. Istotą tej wizji jest zatem nowy sposób pracy – budowanie zaufania</w:t>
      </w:r>
      <w:r w:rsidR="00D12858">
        <w:rPr>
          <w:noProof/>
        </w:rPr>
        <w:t xml:space="preserve"> i dia</w:t>
      </w:r>
      <w:r>
        <w:rPr>
          <w:noProof/>
        </w:rPr>
        <w:t>log</w:t>
      </w:r>
      <w:r w:rsidR="00D12858">
        <w:rPr>
          <w:noProof/>
        </w:rPr>
        <w:t xml:space="preserve"> w cał</w:t>
      </w:r>
      <w:r>
        <w:rPr>
          <w:noProof/>
        </w:rPr>
        <w:t xml:space="preserve">ym systemie rolno-spożywczym, w UE i na całym świecie. </w:t>
      </w:r>
    </w:p>
    <w:p w14:paraId="47FF2ACA" w14:textId="08557CA2" w:rsidR="001255D9" w:rsidRDefault="00BF5473" w:rsidP="76CE804D">
      <w:pPr>
        <w:spacing w:line="259" w:lineRule="auto"/>
        <w:rPr>
          <w:noProof/>
        </w:rPr>
      </w:pPr>
      <w:r>
        <w:rPr>
          <w:noProof/>
        </w:rPr>
        <w:t>Pierwsze kroki zrobiono już dzięki strategicznemu dialogowi</w:t>
      </w:r>
      <w:r w:rsidR="00D12858">
        <w:rPr>
          <w:noProof/>
        </w:rPr>
        <w:t xml:space="preserve"> i zes</w:t>
      </w:r>
      <w:r>
        <w:rPr>
          <w:noProof/>
        </w:rPr>
        <w:t>tawowi jednogłośnie uzgodnionych zaleceń. Dialog</w:t>
      </w:r>
      <w:r w:rsidR="00D12858">
        <w:rPr>
          <w:noProof/>
        </w:rPr>
        <w:t xml:space="preserve"> w ter</w:t>
      </w:r>
      <w:r>
        <w:rPr>
          <w:noProof/>
        </w:rPr>
        <w:t>enie musi być jednak bardziej pogłębiony, ze stałą</w:t>
      </w:r>
      <w:r w:rsidR="00D12858">
        <w:rPr>
          <w:noProof/>
        </w:rPr>
        <w:t xml:space="preserve"> i sku</w:t>
      </w:r>
      <w:r>
        <w:rPr>
          <w:noProof/>
        </w:rPr>
        <w:t>teczniejszą interakcją</w:t>
      </w:r>
      <w:r w:rsidR="00D12858">
        <w:rPr>
          <w:noProof/>
        </w:rPr>
        <w:t xml:space="preserve"> z rol</w:t>
      </w:r>
      <w:r>
        <w:rPr>
          <w:noProof/>
        </w:rPr>
        <w:t>nikami, podmiotami łańcucha żywnościowego</w:t>
      </w:r>
      <w:r w:rsidR="00D12858">
        <w:rPr>
          <w:noProof/>
        </w:rPr>
        <w:t xml:space="preserve"> i spo</w:t>
      </w:r>
      <w:r>
        <w:rPr>
          <w:noProof/>
        </w:rPr>
        <w:t>łeczeństwem obywatelskim na szczeblu lokalnym</w:t>
      </w:r>
      <w:r w:rsidR="00D12858">
        <w:rPr>
          <w:noProof/>
        </w:rPr>
        <w:t xml:space="preserve"> i reg</w:t>
      </w:r>
      <w:r>
        <w:rPr>
          <w:noProof/>
        </w:rPr>
        <w:t>ionalnym</w:t>
      </w:r>
      <w:r w:rsidR="00D12858">
        <w:rPr>
          <w:noProof/>
        </w:rPr>
        <w:t xml:space="preserve"> w cał</w:t>
      </w:r>
      <w:r>
        <w:rPr>
          <w:noProof/>
        </w:rPr>
        <w:t>ej Europie,</w:t>
      </w:r>
      <w:r w:rsidR="00D12858">
        <w:rPr>
          <w:noProof/>
        </w:rPr>
        <w:t xml:space="preserve"> a tak</w:t>
      </w:r>
      <w:r>
        <w:rPr>
          <w:noProof/>
        </w:rPr>
        <w:t>że</w:t>
      </w:r>
      <w:r w:rsidR="00D12858">
        <w:rPr>
          <w:noProof/>
        </w:rPr>
        <w:t xml:space="preserve"> z wys</w:t>
      </w:r>
      <w:r>
        <w:rPr>
          <w:noProof/>
        </w:rPr>
        <w:t>łuchaniem ich obaw</w:t>
      </w:r>
      <w:r w:rsidR="00D12858">
        <w:rPr>
          <w:noProof/>
        </w:rPr>
        <w:t xml:space="preserve"> i pom</w:t>
      </w:r>
      <w:r>
        <w:rPr>
          <w:noProof/>
        </w:rPr>
        <w:t>ysłów. Jednocześnie konieczne będzie dokonanie przeglądu istniejących mechanizmów wspierania dialogu</w:t>
      </w:r>
      <w:r w:rsidR="00D12858">
        <w:rPr>
          <w:noProof/>
        </w:rPr>
        <w:t xml:space="preserve"> i wsp</w:t>
      </w:r>
      <w:r>
        <w:rPr>
          <w:noProof/>
        </w:rPr>
        <w:t>ółpracy</w:t>
      </w:r>
      <w:r w:rsidR="00D12858">
        <w:rPr>
          <w:noProof/>
        </w:rPr>
        <w:t xml:space="preserve"> z zai</w:t>
      </w:r>
      <w:r>
        <w:rPr>
          <w:noProof/>
        </w:rPr>
        <w:t xml:space="preserve">nteresowanymi stronami na szczeblu UE, </w:t>
      </w:r>
      <w:r>
        <w:rPr>
          <w:b/>
          <w:noProof/>
        </w:rPr>
        <w:t>takich jak obecne grupy dialogu obywatelskiego</w:t>
      </w:r>
      <w:r>
        <w:rPr>
          <w:noProof/>
        </w:rPr>
        <w:t>, aby zagwarantować bardziej znaczący</w:t>
      </w:r>
      <w:r w:rsidR="00D12858">
        <w:rPr>
          <w:noProof/>
        </w:rPr>
        <w:t xml:space="preserve"> i sku</w:t>
      </w:r>
      <w:r>
        <w:rPr>
          <w:noProof/>
        </w:rPr>
        <w:t>teczny udział</w:t>
      </w:r>
      <w:r w:rsidR="00D12858">
        <w:rPr>
          <w:noProof/>
        </w:rPr>
        <w:t xml:space="preserve"> w opr</w:t>
      </w:r>
      <w:r>
        <w:rPr>
          <w:noProof/>
        </w:rPr>
        <w:t xml:space="preserve">acowywaniu przyszłych strategii politycznych. Nowa </w:t>
      </w:r>
      <w:r>
        <w:rPr>
          <w:b/>
          <w:noProof/>
        </w:rPr>
        <w:t>Europejska Rada ds. Rolnictwa</w:t>
      </w:r>
      <w:r w:rsidR="00D12858">
        <w:rPr>
          <w:b/>
          <w:noProof/>
        </w:rPr>
        <w:t xml:space="preserve"> i Żyw</w:t>
      </w:r>
      <w:r>
        <w:rPr>
          <w:b/>
          <w:noProof/>
        </w:rPr>
        <w:t>ności</w:t>
      </w:r>
      <w:r w:rsidR="00AA3D24">
        <w:rPr>
          <w:rStyle w:val="FootnoteReference"/>
          <w:b/>
          <w:noProof/>
        </w:rPr>
        <w:footnoteReference w:id="15"/>
      </w:r>
      <w:r>
        <w:rPr>
          <w:noProof/>
        </w:rPr>
        <w:t xml:space="preserve"> będzie wspierać Komisję</w:t>
      </w:r>
      <w:r w:rsidR="00D12858">
        <w:rPr>
          <w:noProof/>
        </w:rPr>
        <w:t xml:space="preserve"> w two</w:t>
      </w:r>
      <w:r>
        <w:rPr>
          <w:noProof/>
        </w:rPr>
        <w:t>rzeniu polityki sprzyjającej włączeniu społecznemu, zapewniając doradztwo strategiczne</w:t>
      </w:r>
      <w:r w:rsidR="00D12858">
        <w:rPr>
          <w:noProof/>
        </w:rPr>
        <w:t xml:space="preserve"> i wsp</w:t>
      </w:r>
      <w:r>
        <w:rPr>
          <w:noProof/>
        </w:rPr>
        <w:t xml:space="preserve">ierając nową kulturę dialogu między różnymi podmiotami łańcucha rolno-spożywczego. Ponadto </w:t>
      </w:r>
      <w:r>
        <w:rPr>
          <w:b/>
          <w:noProof/>
        </w:rPr>
        <w:t>europejska sieć WPR</w:t>
      </w:r>
      <w:r>
        <w:rPr>
          <w:noProof/>
        </w:rPr>
        <w:t xml:space="preserve"> będzie nadal ułatwiać wymianę między wszystkimi odpowiednimi podmiotami,</w:t>
      </w:r>
      <w:r w:rsidR="00D12858">
        <w:rPr>
          <w:noProof/>
        </w:rPr>
        <w:t xml:space="preserve"> a </w:t>
      </w:r>
      <w:r w:rsidR="00D12858">
        <w:rPr>
          <w:b/>
          <w:noProof/>
        </w:rPr>
        <w:t>cor</w:t>
      </w:r>
      <w:r>
        <w:rPr>
          <w:b/>
          <w:noProof/>
        </w:rPr>
        <w:t>oczne dialogi</w:t>
      </w:r>
      <w:r w:rsidR="00D12858">
        <w:rPr>
          <w:b/>
          <w:noProof/>
        </w:rPr>
        <w:t xml:space="preserve"> z mło</w:t>
      </w:r>
      <w:r>
        <w:rPr>
          <w:b/>
          <w:noProof/>
        </w:rPr>
        <w:t>dzieżą na temat polityki</w:t>
      </w:r>
      <w:r>
        <w:rPr>
          <w:noProof/>
        </w:rPr>
        <w:t xml:space="preserve"> przyczynią się do znaczącego włączenia młodych obywateli</w:t>
      </w:r>
      <w:r w:rsidR="00D12858">
        <w:rPr>
          <w:noProof/>
        </w:rPr>
        <w:t xml:space="preserve"> i rol</w:t>
      </w:r>
      <w:r>
        <w:rPr>
          <w:noProof/>
        </w:rPr>
        <w:t>ników</w:t>
      </w:r>
      <w:r w:rsidR="00D12858">
        <w:rPr>
          <w:noProof/>
        </w:rPr>
        <w:t xml:space="preserve"> w dys</w:t>
      </w:r>
      <w:r>
        <w:rPr>
          <w:noProof/>
        </w:rPr>
        <w:t>kusje polityczne. </w:t>
      </w:r>
    </w:p>
    <w:p w14:paraId="46FB8378" w14:textId="0613AD51" w:rsidR="001255D9" w:rsidRDefault="00BF5473" w:rsidP="00C47040">
      <w:pPr>
        <w:spacing w:line="259" w:lineRule="auto"/>
        <w:rPr>
          <w:noProof/>
        </w:rPr>
      </w:pPr>
      <w:r>
        <w:rPr>
          <w:noProof/>
        </w:rPr>
        <w:t xml:space="preserve">Ponadto Komisja będzie nadal prowadzić </w:t>
      </w:r>
      <w:r>
        <w:rPr>
          <w:b/>
          <w:noProof/>
        </w:rPr>
        <w:t>stały dialog ze wszystkimi innymi instytucjami</w:t>
      </w:r>
      <w:r w:rsidR="00D12858">
        <w:rPr>
          <w:b/>
          <w:noProof/>
        </w:rPr>
        <w:t xml:space="preserve"> i org</w:t>
      </w:r>
      <w:r>
        <w:rPr>
          <w:b/>
          <w:noProof/>
        </w:rPr>
        <w:t>anami UE</w:t>
      </w:r>
      <w:r>
        <w:rPr>
          <w:noProof/>
        </w:rPr>
        <w:t>,</w:t>
      </w:r>
      <w:r w:rsidR="00D12858">
        <w:rPr>
          <w:noProof/>
        </w:rPr>
        <w:t xml:space="preserve"> w szc</w:t>
      </w:r>
      <w:r>
        <w:rPr>
          <w:noProof/>
        </w:rPr>
        <w:t>zególności</w:t>
      </w:r>
      <w:r w:rsidR="00D12858">
        <w:rPr>
          <w:noProof/>
        </w:rPr>
        <w:t xml:space="preserve"> z Par</w:t>
      </w:r>
      <w:r>
        <w:rPr>
          <w:noProof/>
        </w:rPr>
        <w:t>lamentem Europejskim</w:t>
      </w:r>
      <w:r w:rsidR="00D12858">
        <w:rPr>
          <w:noProof/>
        </w:rPr>
        <w:t xml:space="preserve"> i Rad</w:t>
      </w:r>
      <w:r>
        <w:rPr>
          <w:noProof/>
        </w:rPr>
        <w:t>ą UE, Komitetem Regionów</w:t>
      </w:r>
      <w:r w:rsidR="00D12858">
        <w:rPr>
          <w:noProof/>
        </w:rPr>
        <w:t xml:space="preserve"> i Eur</w:t>
      </w:r>
      <w:r>
        <w:rPr>
          <w:noProof/>
        </w:rPr>
        <w:t>opejskim Komitetem Ekonomiczno-Społecznym,</w:t>
      </w:r>
      <w:r w:rsidR="00D12858">
        <w:rPr>
          <w:noProof/>
        </w:rPr>
        <w:t xml:space="preserve"> a tak</w:t>
      </w:r>
      <w:r>
        <w:rPr>
          <w:noProof/>
        </w:rPr>
        <w:t>że</w:t>
      </w:r>
      <w:r w:rsidR="00D12858">
        <w:rPr>
          <w:noProof/>
        </w:rPr>
        <w:t xml:space="preserve"> z klu</w:t>
      </w:r>
      <w:r>
        <w:rPr>
          <w:noProof/>
        </w:rPr>
        <w:t>czowymi organizacjami</w:t>
      </w:r>
      <w:r w:rsidR="00D12858">
        <w:rPr>
          <w:noProof/>
        </w:rPr>
        <w:t xml:space="preserve"> i par</w:t>
      </w:r>
      <w:r>
        <w:rPr>
          <w:noProof/>
        </w:rPr>
        <w:t>tnerami międzynarodowymi</w:t>
      </w:r>
      <w:r w:rsidRPr="00D12858">
        <w:rPr>
          <w:noProof/>
        </w:rPr>
        <w:t>.</w:t>
      </w:r>
      <w:r w:rsidR="00D12858" w:rsidRPr="00D12858">
        <w:rPr>
          <w:noProof/>
        </w:rPr>
        <w:t xml:space="preserve"> </w:t>
      </w:r>
      <w:r w:rsidRPr="00D12858">
        <w:rPr>
          <w:noProof/>
        </w:rPr>
        <w:t>A</w:t>
      </w:r>
      <w:r>
        <w:rPr>
          <w:noProof/>
        </w:rPr>
        <w:t xml:space="preserve">by zapewnić </w:t>
      </w:r>
      <w:r>
        <w:rPr>
          <w:b/>
          <w:noProof/>
        </w:rPr>
        <w:t>skuteczne monitorowanie realizacji niniejszej wizji</w:t>
      </w:r>
      <w:r>
        <w:rPr>
          <w:noProof/>
        </w:rPr>
        <w:t>, Komisja będzie regularnie składać wszystkim instytucjom UE sprawozdania</w:t>
      </w:r>
      <w:r w:rsidR="00D12858">
        <w:rPr>
          <w:noProof/>
        </w:rPr>
        <w:t xml:space="preserve"> z pos</w:t>
      </w:r>
      <w:r>
        <w:rPr>
          <w:noProof/>
        </w:rPr>
        <w:t>tępów</w:t>
      </w:r>
      <w:r w:rsidR="00D12858">
        <w:rPr>
          <w:noProof/>
        </w:rPr>
        <w:t xml:space="preserve"> w zak</w:t>
      </w:r>
      <w:r>
        <w:rPr>
          <w:noProof/>
        </w:rPr>
        <w:t>resie pomyślnej realizacji różnych inicjatyw.</w:t>
      </w:r>
    </w:p>
    <w:p w14:paraId="777607ED" w14:textId="77777777" w:rsidR="001255D9" w:rsidRDefault="001255D9" w:rsidP="001255D9">
      <w:pPr>
        <w:rPr>
          <w:noProof/>
        </w:rPr>
      </w:pPr>
    </w:p>
    <w:p w14:paraId="3B4C92B5" w14:textId="4001F43C" w:rsidR="00EF513A" w:rsidRPr="0017748F" w:rsidRDefault="00BF5473" w:rsidP="001255D9">
      <w:pPr>
        <w:pStyle w:val="Heading1"/>
        <w:numPr>
          <w:ilvl w:val="0"/>
          <w:numId w:val="2"/>
        </w:numPr>
        <w:rPr>
          <w:noProof/>
        </w:rPr>
      </w:pPr>
      <w:bookmarkStart w:id="5" w:name="_1fob9te"/>
      <w:bookmarkStart w:id="6" w:name="_Toc191630899"/>
      <w:bookmarkEnd w:id="5"/>
      <w:r>
        <w:rPr>
          <w:noProof/>
        </w:rPr>
        <w:t>Wizja</w:t>
      </w:r>
      <w:r w:rsidR="00D12858">
        <w:rPr>
          <w:noProof/>
        </w:rPr>
        <w:t xml:space="preserve"> i cel</w:t>
      </w:r>
      <w:r>
        <w:rPr>
          <w:noProof/>
        </w:rPr>
        <w:t xml:space="preserve">e </w:t>
      </w:r>
      <w:r w:rsidRPr="00D12858">
        <w:rPr>
          <w:noProof/>
        </w:rPr>
        <w:t>na</w:t>
      </w:r>
      <w:r w:rsidR="00D12858" w:rsidRPr="00D12858">
        <w:rPr>
          <w:noProof/>
        </w:rPr>
        <w:t> </w:t>
      </w:r>
      <w:r w:rsidRPr="00D12858">
        <w:rPr>
          <w:noProof/>
        </w:rPr>
        <w:t>2</w:t>
      </w:r>
      <w:r>
        <w:rPr>
          <w:noProof/>
        </w:rPr>
        <w:t>0</w:t>
      </w:r>
      <w:r w:rsidRPr="00D12858">
        <w:rPr>
          <w:noProof/>
        </w:rPr>
        <w:t>40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>: system rolno-spożywczy, który jest atrakcyjny, konkurencyjny, zrównoważony</w:t>
      </w:r>
      <w:r w:rsidR="00D12858">
        <w:rPr>
          <w:noProof/>
        </w:rPr>
        <w:t xml:space="preserve"> i spr</w:t>
      </w:r>
      <w:r>
        <w:rPr>
          <w:noProof/>
        </w:rPr>
        <w:t>awiedliwy dla obecnych</w:t>
      </w:r>
      <w:r w:rsidR="00D12858">
        <w:rPr>
          <w:noProof/>
        </w:rPr>
        <w:t xml:space="preserve"> i prz</w:t>
      </w:r>
      <w:r>
        <w:rPr>
          <w:noProof/>
        </w:rPr>
        <w:t>yszłych pokoleń</w:t>
      </w:r>
      <w:bookmarkEnd w:id="6"/>
    </w:p>
    <w:p w14:paraId="03A4F79C" w14:textId="18F8D191" w:rsidR="00EF513A" w:rsidRDefault="00BF5473">
      <w:pPr>
        <w:rPr>
          <w:noProof/>
        </w:rPr>
      </w:pPr>
      <w:r>
        <w:rPr>
          <w:noProof/>
        </w:rPr>
        <w:t>Unia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40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musi być miejscem,</w:t>
      </w:r>
      <w:r w:rsidR="00D12858">
        <w:rPr>
          <w:noProof/>
        </w:rPr>
        <w:t xml:space="preserve"> w któ</w:t>
      </w:r>
      <w:r>
        <w:rPr>
          <w:noProof/>
        </w:rPr>
        <w:t>rym rolnictwo</w:t>
      </w:r>
      <w:r w:rsidR="00D12858">
        <w:rPr>
          <w:noProof/>
        </w:rPr>
        <w:t xml:space="preserve"> i pro</w:t>
      </w:r>
      <w:r>
        <w:rPr>
          <w:noProof/>
        </w:rPr>
        <w:t>dukcja żywności rozwijają się na całym kontynencie</w:t>
      </w:r>
      <w:r w:rsidR="00D12858">
        <w:rPr>
          <w:noProof/>
        </w:rPr>
        <w:t xml:space="preserve"> w cał</w:t>
      </w:r>
      <w:r>
        <w:rPr>
          <w:noProof/>
        </w:rPr>
        <w:t>ej swojej różnorodności. Miejscem,</w:t>
      </w:r>
      <w:r w:rsidR="00D12858">
        <w:rPr>
          <w:noProof/>
        </w:rPr>
        <w:t xml:space="preserve"> w któ</w:t>
      </w:r>
      <w:r>
        <w:rPr>
          <w:noProof/>
        </w:rPr>
        <w:t>rym rolnictwo jest atrakcyjne dla przyszłych pokoleń,</w:t>
      </w:r>
      <w:r w:rsidR="00D12858">
        <w:rPr>
          <w:noProof/>
        </w:rPr>
        <w:t xml:space="preserve"> a sek</w:t>
      </w:r>
      <w:r>
        <w:rPr>
          <w:noProof/>
        </w:rPr>
        <w:t>tor rolno-spożywczy jest konkurencyjny, odporny, dostosowany do przyszłych wyzwań</w:t>
      </w:r>
      <w:r w:rsidR="00D12858">
        <w:rPr>
          <w:noProof/>
        </w:rPr>
        <w:t xml:space="preserve"> i spr</w:t>
      </w:r>
      <w:r>
        <w:rPr>
          <w:noProof/>
        </w:rPr>
        <w:t>awiedliwy.</w:t>
      </w:r>
    </w:p>
    <w:p w14:paraId="6ABBC495" w14:textId="4BCE1095" w:rsidR="00EF513A" w:rsidRDefault="00BF5473">
      <w:pPr>
        <w:rPr>
          <w:noProof/>
        </w:rPr>
      </w:pPr>
      <w:r>
        <w:rPr>
          <w:noProof/>
        </w:rPr>
        <w:t>Przyszłość tego strategicznego sektora zależy od zdolności Unii</w:t>
      </w:r>
      <w:r w:rsidR="00D12858">
        <w:rPr>
          <w:noProof/>
        </w:rPr>
        <w:t xml:space="preserve"> i jej</w:t>
      </w:r>
      <w:r>
        <w:rPr>
          <w:noProof/>
        </w:rPr>
        <w:t xml:space="preserve"> państw członkowskich do stworzenia odpowiednich warunków, dzięki którym istnieć będzie:</w:t>
      </w:r>
    </w:p>
    <w:p w14:paraId="407168B6" w14:textId="6556DB28" w:rsidR="00EF513A" w:rsidRDefault="00BF5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b/>
          <w:noProof/>
          <w:color w:val="000000"/>
        </w:rPr>
        <w:t>atrakcyjny</w:t>
      </w:r>
      <w:r w:rsidR="00D12858">
        <w:rPr>
          <w:b/>
          <w:noProof/>
          <w:color w:val="000000"/>
        </w:rPr>
        <w:t xml:space="preserve"> i prz</w:t>
      </w:r>
      <w:r>
        <w:rPr>
          <w:b/>
          <w:noProof/>
          <w:color w:val="000000"/>
        </w:rPr>
        <w:t>ewidywalny sektor rolno-spożywczy,</w:t>
      </w:r>
      <w:r w:rsidR="00D12858">
        <w:rPr>
          <w:b/>
          <w:noProof/>
          <w:color w:val="000000"/>
        </w:rPr>
        <w:t xml:space="preserve"> w któ</w:t>
      </w:r>
      <w:r>
        <w:rPr>
          <w:b/>
          <w:noProof/>
          <w:color w:val="000000"/>
        </w:rPr>
        <w:t>rym dochody umożliwiają rolnikom rozwój</w:t>
      </w:r>
      <w:r>
        <w:rPr>
          <w:noProof/>
          <w:color w:val="000000"/>
        </w:rPr>
        <w:t>, przyciągając przyszłe pokolenia</w:t>
      </w:r>
      <w:r w:rsidR="002573B5">
        <w:rPr>
          <w:rStyle w:val="FootnoteReference"/>
          <w:noProof/>
          <w:color w:val="000000"/>
        </w:rPr>
        <w:footnoteReference w:id="16"/>
      </w:r>
      <w:r>
        <w:rPr>
          <w:noProof/>
          <w:color w:val="000000"/>
        </w:rPr>
        <w:t>, które będą nadal produkować żywność przystępną cenowo dla wszystkich</w:t>
      </w:r>
      <w:r w:rsidR="00D12858">
        <w:rPr>
          <w:noProof/>
          <w:color w:val="000000"/>
        </w:rPr>
        <w:t xml:space="preserve"> i zas</w:t>
      </w:r>
      <w:r>
        <w:rPr>
          <w:noProof/>
          <w:color w:val="000000"/>
        </w:rPr>
        <w:t>pokajającą potrzeby konsumentów;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istnieją sprzyjające warunki pozwalające sektorowi rolno-spożywczemu na mobilizowanie swego potencjału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przedsiębiorczości, wspieranego przez różne źródła dochodów</w:t>
      </w:r>
      <w:r w:rsidR="00D12858">
        <w:rPr>
          <w:noProof/>
          <w:color w:val="000000"/>
        </w:rPr>
        <w:t xml:space="preserve"> i umi</w:t>
      </w:r>
      <w:r>
        <w:rPr>
          <w:noProof/>
          <w:color w:val="000000"/>
        </w:rPr>
        <w:t>ejętności,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>u wykorzystania możliwości związanych</w:t>
      </w:r>
      <w:r w:rsidR="00D12858">
        <w:rPr>
          <w:noProof/>
          <w:color w:val="000000"/>
        </w:rPr>
        <w:t xml:space="preserve"> z inn</w:t>
      </w:r>
      <w:r>
        <w:rPr>
          <w:noProof/>
          <w:color w:val="000000"/>
        </w:rPr>
        <w:t>owacjami, technologią</w:t>
      </w:r>
      <w:r w:rsidR="00D12858">
        <w:rPr>
          <w:noProof/>
          <w:color w:val="000000"/>
        </w:rPr>
        <w:t xml:space="preserve"> i tra</w:t>
      </w:r>
      <w:r>
        <w:rPr>
          <w:noProof/>
          <w:color w:val="000000"/>
        </w:rPr>
        <w:t>nsformacją ekologiczną;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usługi ekosystemowe korzystne dla środowiska, wody, gleby lub jakości powietrza – np.</w:t>
      </w:r>
      <w:r w:rsidR="00D12858">
        <w:rPr>
          <w:noProof/>
          <w:color w:val="000000"/>
        </w:rPr>
        <w:t xml:space="preserve"> w roz</w:t>
      </w:r>
      <w:r>
        <w:rPr>
          <w:noProof/>
          <w:color w:val="000000"/>
        </w:rPr>
        <w:t>wijającym się sektorze ekologicznym – są odpowiednio wynagradzane;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funkcjonujący sprawiedliwie łańcuch żywnościowy zapewnia sprawiedliwy podział obciążeń</w:t>
      </w:r>
      <w:r w:rsidR="00D12858">
        <w:rPr>
          <w:noProof/>
          <w:color w:val="000000"/>
        </w:rPr>
        <w:t xml:space="preserve"> i kos</w:t>
      </w:r>
      <w:r>
        <w:rPr>
          <w:noProof/>
          <w:color w:val="000000"/>
        </w:rPr>
        <w:t>ztów transformacji</w:t>
      </w:r>
      <w:r w:rsidR="00D12858">
        <w:rPr>
          <w:noProof/>
          <w:color w:val="000000"/>
        </w:rPr>
        <w:t xml:space="preserve"> w cał</w:t>
      </w:r>
      <w:r>
        <w:rPr>
          <w:noProof/>
          <w:color w:val="000000"/>
        </w:rPr>
        <w:t>ym łańcuchu,</w:t>
      </w:r>
    </w:p>
    <w:p w14:paraId="59CAED20" w14:textId="07C04464" w:rsidR="00EF513A" w:rsidRDefault="00BF5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bookmarkStart w:id="7" w:name="_17dp8vu"/>
      <w:bookmarkEnd w:id="7"/>
      <w:r>
        <w:rPr>
          <w:b/>
          <w:noProof/>
          <w:color w:val="000000"/>
        </w:rPr>
        <w:t>konkurencyjny</w:t>
      </w:r>
      <w:r w:rsidR="00D12858">
        <w:rPr>
          <w:b/>
          <w:noProof/>
          <w:color w:val="000000"/>
        </w:rPr>
        <w:t xml:space="preserve"> i odp</w:t>
      </w:r>
      <w:r>
        <w:rPr>
          <w:b/>
          <w:noProof/>
          <w:color w:val="000000"/>
        </w:rPr>
        <w:t>orny sektor rolno-spożywczy stawiający czoła rosnącej globalnej konkurencji</w:t>
      </w:r>
      <w:r w:rsidR="00D12858">
        <w:rPr>
          <w:b/>
          <w:noProof/>
          <w:color w:val="000000"/>
        </w:rPr>
        <w:t xml:space="preserve"> i wst</w:t>
      </w:r>
      <w:r>
        <w:rPr>
          <w:b/>
          <w:noProof/>
          <w:color w:val="000000"/>
        </w:rPr>
        <w:t xml:space="preserve">rząsom. </w:t>
      </w:r>
      <w:r>
        <w:rPr>
          <w:noProof/>
          <w:color w:val="000000"/>
        </w:rPr>
        <w:t>Zależy to od zdolności UE do dywersyfikowania stosunków handlowych, tworzenia nowych możliwości eksportowych dla tego sektora</w:t>
      </w:r>
      <w:r w:rsidR="00D12858">
        <w:rPr>
          <w:noProof/>
          <w:color w:val="000000"/>
        </w:rPr>
        <w:t xml:space="preserve"> i zmn</w:t>
      </w:r>
      <w:r>
        <w:rPr>
          <w:noProof/>
          <w:color w:val="000000"/>
        </w:rPr>
        <w:t>iejszania krytycznych zależności. Sektor,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ramy</w:t>
      </w:r>
      <w:r w:rsidR="00D12858">
        <w:rPr>
          <w:noProof/>
          <w:color w:val="000000"/>
        </w:rPr>
        <w:t xml:space="preserve"> i dzi</w:t>
      </w:r>
      <w:r>
        <w:rPr>
          <w:noProof/>
          <w:color w:val="000000"/>
        </w:rPr>
        <w:t>ałania globalne umożliwiają rolnikom konkurowanie na równych warunkach na całym świecie, wewnętrzne obciążenia biurokratyczne są mniejsze,</w:t>
      </w:r>
      <w:r w:rsidR="00D12858">
        <w:rPr>
          <w:noProof/>
          <w:color w:val="000000"/>
        </w:rPr>
        <w:t xml:space="preserve"> a odp</w:t>
      </w:r>
      <w:r>
        <w:rPr>
          <w:noProof/>
          <w:color w:val="000000"/>
        </w:rPr>
        <w:t>orność sektora wzrasta, tak że jest on</w:t>
      </w:r>
      <w:r w:rsidR="00D12858">
        <w:rPr>
          <w:noProof/>
          <w:color w:val="000000"/>
        </w:rPr>
        <w:t xml:space="preserve"> w sta</w:t>
      </w:r>
      <w:r>
        <w:rPr>
          <w:noProof/>
          <w:color w:val="000000"/>
        </w:rPr>
        <w:t>nie nie tylko wytrzymać wstrząsy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ezwyciężać ich skutki, ale również dostosowywać się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ekształcać. UE nadal przyczynia się do światowego bezpieczeństwa żywnościowego</w:t>
      </w:r>
      <w:r w:rsidR="00D12858">
        <w:rPr>
          <w:noProof/>
          <w:color w:val="000000"/>
        </w:rPr>
        <w:t xml:space="preserve"> i spe</w:t>
      </w:r>
      <w:r>
        <w:rPr>
          <w:noProof/>
          <w:color w:val="000000"/>
        </w:rPr>
        <w:t>łnia swoją rolę</w:t>
      </w:r>
      <w:r w:rsidR="00D12858">
        <w:rPr>
          <w:noProof/>
          <w:color w:val="000000"/>
        </w:rPr>
        <w:t xml:space="preserve"> w bud</w:t>
      </w:r>
      <w:r>
        <w:rPr>
          <w:noProof/>
          <w:color w:val="000000"/>
        </w:rPr>
        <w:t>owaniu partnerstwa na całym świecie,</w:t>
      </w:r>
    </w:p>
    <w:p w14:paraId="58F7CAC0" w14:textId="618660D4" w:rsidR="00EF513A" w:rsidRDefault="00BF5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b/>
          <w:noProof/>
          <w:color w:val="000000"/>
        </w:rPr>
        <w:t>dostosowany do przyszłych wyzwań sektor rolno-spożywczy, który funkcjonuje</w:t>
      </w:r>
      <w:r w:rsidR="00D12858">
        <w:rPr>
          <w:b/>
          <w:noProof/>
          <w:color w:val="000000"/>
        </w:rPr>
        <w:t xml:space="preserve"> z uwz</w:t>
      </w:r>
      <w:r>
        <w:rPr>
          <w:b/>
          <w:noProof/>
          <w:color w:val="000000"/>
        </w:rPr>
        <w:t>ględnieniem ograniczeń planety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rolnictwo</w:t>
      </w:r>
      <w:r w:rsidR="00D12858">
        <w:rPr>
          <w:noProof/>
          <w:color w:val="000000"/>
        </w:rPr>
        <w:t xml:space="preserve"> i sek</w:t>
      </w:r>
      <w:r>
        <w:rPr>
          <w:noProof/>
          <w:color w:val="000000"/>
        </w:rPr>
        <w:t>tor spożywczy wspólnie przyczyniają się do realizacji celów klimatycznych UE, przy jednoczesnym zachowaniu zdrowych gleb, czystej wody</w:t>
      </w:r>
      <w:r w:rsidR="00D12858">
        <w:rPr>
          <w:noProof/>
          <w:color w:val="000000"/>
        </w:rPr>
        <w:t xml:space="preserve"> i pow</w:t>
      </w:r>
      <w:r>
        <w:rPr>
          <w:noProof/>
          <w:color w:val="000000"/>
        </w:rPr>
        <w:t>ietrza oraz jednoczesnej ochronie</w:t>
      </w:r>
      <w:r w:rsidR="00D12858">
        <w:rPr>
          <w:noProof/>
          <w:color w:val="000000"/>
        </w:rPr>
        <w:t xml:space="preserve"> i odb</w:t>
      </w:r>
      <w:r>
        <w:rPr>
          <w:noProof/>
          <w:color w:val="000000"/>
        </w:rPr>
        <w:t>udowie różnorodności biologicznej Europy. Zainteresowane strony</w:t>
      </w:r>
      <w:r w:rsidR="00D12858">
        <w:rPr>
          <w:noProof/>
          <w:color w:val="000000"/>
        </w:rPr>
        <w:t xml:space="preserve"> w cał</w:t>
      </w:r>
      <w:r>
        <w:rPr>
          <w:noProof/>
          <w:color w:val="000000"/>
        </w:rPr>
        <w:t>ym łańcuchu żywnościowym wspólnie przyczyniają się do osiągnięcia tych wyników</w:t>
      </w:r>
      <w:r w:rsidR="00D12858">
        <w:rPr>
          <w:noProof/>
          <w:color w:val="000000"/>
        </w:rPr>
        <w:t xml:space="preserve"> i dzi</w:t>
      </w:r>
      <w:r>
        <w:rPr>
          <w:noProof/>
          <w:color w:val="000000"/>
        </w:rPr>
        <w:t>elą się ryzykiem związanym</w:t>
      </w:r>
      <w:r w:rsidR="00D12858">
        <w:rPr>
          <w:noProof/>
          <w:color w:val="000000"/>
        </w:rPr>
        <w:t xml:space="preserve"> z tra</w:t>
      </w:r>
      <w:r>
        <w:rPr>
          <w:noProof/>
          <w:color w:val="000000"/>
        </w:rPr>
        <w:t>nsformacją. Wszystkie segmenty systemu rolno-spożywczego są znacznie lepiej przygotowane do stawienia czoła skutkom zmiany klimatu, utraty różnorodności biologicznej</w:t>
      </w:r>
      <w:r w:rsidR="00D12858">
        <w:rPr>
          <w:noProof/>
          <w:color w:val="000000"/>
        </w:rPr>
        <w:t xml:space="preserve"> i zan</w:t>
      </w:r>
      <w:r>
        <w:rPr>
          <w:noProof/>
          <w:color w:val="000000"/>
        </w:rPr>
        <w:t>ieczyszczenia, do zrównoważonego</w:t>
      </w:r>
      <w:r w:rsidR="00D12858">
        <w:rPr>
          <w:noProof/>
          <w:color w:val="000000"/>
        </w:rPr>
        <w:t xml:space="preserve"> i efe</w:t>
      </w:r>
      <w:r>
        <w:rPr>
          <w:noProof/>
          <w:color w:val="000000"/>
        </w:rPr>
        <w:t>ktywnego wykorzystywania zasobów naturalnych oraz do działania zgodnie</w:t>
      </w:r>
      <w:r w:rsidR="00D12858">
        <w:rPr>
          <w:noProof/>
          <w:color w:val="000000"/>
        </w:rPr>
        <w:t xml:space="preserve"> z pod</w:t>
      </w:r>
      <w:r>
        <w:rPr>
          <w:noProof/>
          <w:color w:val="000000"/>
        </w:rPr>
        <w:t>ejściem „Jedno zdrowie”,</w:t>
      </w:r>
    </w:p>
    <w:p w14:paraId="352A17B2" w14:textId="3D167255" w:rsidR="00EF513A" w:rsidRDefault="00BF54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noProof/>
        </w:rPr>
      </w:pPr>
      <w:r>
        <w:rPr>
          <w:b/>
          <w:noProof/>
          <w:color w:val="000000" w:themeColor="text1"/>
        </w:rPr>
        <w:t>sektor rolno-spożywczy, któr</w:t>
      </w:r>
      <w:r w:rsidRPr="00D12858">
        <w:rPr>
          <w:b/>
          <w:noProof/>
          <w:color w:val="000000" w:themeColor="text1"/>
        </w:rPr>
        <w:t>y</w:t>
      </w:r>
      <w:r w:rsidR="00D12858" w:rsidRPr="00D12858">
        <w:rPr>
          <w:b/>
          <w:noProof/>
          <w:color w:val="000000" w:themeColor="text1"/>
        </w:rPr>
        <w:t xml:space="preserve"> </w:t>
      </w:r>
      <w:r w:rsidRPr="00D12858">
        <w:rPr>
          <w:b/>
          <w:noProof/>
          <w:color w:val="000000" w:themeColor="text1"/>
        </w:rPr>
        <w:t>d</w:t>
      </w:r>
      <w:r>
        <w:rPr>
          <w:b/>
          <w:noProof/>
          <w:color w:val="000000" w:themeColor="text1"/>
        </w:rPr>
        <w:t>ba</w:t>
      </w:r>
      <w:r w:rsidR="00D12858">
        <w:rPr>
          <w:b/>
          <w:noProof/>
          <w:color w:val="000000" w:themeColor="text1"/>
        </w:rPr>
        <w:t xml:space="preserve"> o ade</w:t>
      </w:r>
      <w:r>
        <w:rPr>
          <w:b/>
          <w:noProof/>
          <w:color w:val="000000" w:themeColor="text1"/>
        </w:rPr>
        <w:t>kwatne ceny żywności, wspiera sprawiedliwe warunki pracy</w:t>
      </w:r>
      <w:r w:rsidR="00D12858">
        <w:rPr>
          <w:b/>
          <w:noProof/>
          <w:color w:val="000000" w:themeColor="text1"/>
        </w:rPr>
        <w:t xml:space="preserve"> i życ</w:t>
      </w:r>
      <w:r>
        <w:rPr>
          <w:b/>
          <w:noProof/>
          <w:color w:val="000000" w:themeColor="text1"/>
        </w:rPr>
        <w:t>ia oraz dynamiczne</w:t>
      </w:r>
      <w:r w:rsidR="00D12858">
        <w:rPr>
          <w:b/>
          <w:noProof/>
          <w:color w:val="000000" w:themeColor="text1"/>
        </w:rPr>
        <w:t xml:space="preserve"> i dob</w:t>
      </w:r>
      <w:r>
        <w:rPr>
          <w:b/>
          <w:noProof/>
          <w:color w:val="000000" w:themeColor="text1"/>
        </w:rPr>
        <w:t>rze połączone obszary wiejskie</w:t>
      </w:r>
      <w:r w:rsidR="00D12858">
        <w:rPr>
          <w:b/>
          <w:noProof/>
          <w:color w:val="000000" w:themeColor="text1"/>
        </w:rPr>
        <w:t xml:space="preserve"> i prz</w:t>
      </w:r>
      <w:r>
        <w:rPr>
          <w:b/>
          <w:noProof/>
          <w:color w:val="000000" w:themeColor="text1"/>
        </w:rPr>
        <w:t>ybrzeżne</w:t>
      </w:r>
      <w:r>
        <w:rPr>
          <w:noProof/>
          <w:color w:val="000000" w:themeColor="text1"/>
        </w:rPr>
        <w:t>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regiony najbardziej oddalone;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obszary wiejskie gwarantują obywatelom prawo do pozostania;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związek między żywnością, terytorium, sezonowością</w:t>
      </w:r>
      <w:r w:rsidR="00D12858">
        <w:rPr>
          <w:noProof/>
          <w:color w:val="000000" w:themeColor="text1"/>
        </w:rPr>
        <w:t xml:space="preserve"> i tra</w:t>
      </w:r>
      <w:r>
        <w:rPr>
          <w:noProof/>
          <w:color w:val="000000" w:themeColor="text1"/>
        </w:rPr>
        <w:t>dycjami jest ceniony jako integralny element europejskiego stylu życia;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UE pozostaje światowym liderem</w:t>
      </w:r>
      <w:r w:rsidR="00D12858">
        <w:rPr>
          <w:noProof/>
          <w:color w:val="000000" w:themeColor="text1"/>
        </w:rPr>
        <w:t xml:space="preserve"> w dzi</w:t>
      </w:r>
      <w:r>
        <w:rPr>
          <w:noProof/>
          <w:color w:val="000000" w:themeColor="text1"/>
        </w:rPr>
        <w:t>edzinie innowacji</w:t>
      </w:r>
      <w:r w:rsidR="00D12858">
        <w:rPr>
          <w:noProof/>
          <w:color w:val="000000" w:themeColor="text1"/>
        </w:rPr>
        <w:t xml:space="preserve"> i bez</w:t>
      </w:r>
      <w:r>
        <w:rPr>
          <w:noProof/>
          <w:color w:val="000000" w:themeColor="text1"/>
        </w:rPr>
        <w:t>pieczeństwa żywności,</w:t>
      </w:r>
      <w:r w:rsidR="00D12858">
        <w:rPr>
          <w:noProof/>
          <w:color w:val="000000" w:themeColor="text1"/>
        </w:rPr>
        <w:t xml:space="preserve"> a żyw</w:t>
      </w:r>
      <w:r>
        <w:rPr>
          <w:noProof/>
          <w:color w:val="000000" w:themeColor="text1"/>
        </w:rPr>
        <w:t>ność jest przystępna cenowo dla obywateli;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zdrowie psychiczne nie jest tematem tabu, lecz częścią systemu wsparcia społecznego dla rolników</w:t>
      </w:r>
      <w:r w:rsidR="00D12858">
        <w:rPr>
          <w:noProof/>
          <w:color w:val="000000" w:themeColor="text1"/>
        </w:rPr>
        <w:t xml:space="preserve"> i pra</w:t>
      </w:r>
      <w:r>
        <w:rPr>
          <w:noProof/>
          <w:color w:val="000000" w:themeColor="text1"/>
        </w:rPr>
        <w:t>cowników;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warunki życia</w:t>
      </w:r>
      <w:r w:rsidR="00D12858">
        <w:rPr>
          <w:noProof/>
          <w:color w:val="000000" w:themeColor="text1"/>
        </w:rPr>
        <w:t xml:space="preserve"> i pra</w:t>
      </w:r>
      <w:r>
        <w:rPr>
          <w:noProof/>
          <w:color w:val="000000" w:themeColor="text1"/>
        </w:rPr>
        <w:t>cy przyciągają do zawodu więcej kobiet</w:t>
      </w:r>
      <w:r w:rsidR="00D12858">
        <w:rPr>
          <w:noProof/>
          <w:color w:val="000000" w:themeColor="text1"/>
        </w:rPr>
        <w:t xml:space="preserve"> i osó</w:t>
      </w:r>
      <w:r>
        <w:rPr>
          <w:noProof/>
          <w:color w:val="000000" w:themeColor="text1"/>
        </w:rPr>
        <w:t>b młodych oraz zapewniają ochronę praw pracowników</w:t>
      </w:r>
      <w:r w:rsidR="00D12858">
        <w:rPr>
          <w:noProof/>
          <w:color w:val="000000" w:themeColor="text1"/>
        </w:rPr>
        <w:t xml:space="preserve"> w gos</w:t>
      </w:r>
      <w:r>
        <w:rPr>
          <w:noProof/>
          <w:color w:val="000000" w:themeColor="text1"/>
        </w:rPr>
        <w:t>podarstwach rolnych</w:t>
      </w:r>
      <w:r w:rsidR="00D12858">
        <w:rPr>
          <w:noProof/>
          <w:color w:val="000000" w:themeColor="text1"/>
        </w:rPr>
        <w:t xml:space="preserve"> i w cał</w:t>
      </w:r>
      <w:r>
        <w:rPr>
          <w:noProof/>
          <w:color w:val="000000" w:themeColor="text1"/>
        </w:rPr>
        <w:t>ym łańcuchu wartości żywności.</w:t>
      </w:r>
    </w:p>
    <w:p w14:paraId="2ADBC961" w14:textId="75DFD6AE" w:rsidR="00EF513A" w:rsidRDefault="00BF5473">
      <w:pPr>
        <w:rPr>
          <w:noProof/>
        </w:rPr>
      </w:pPr>
      <w:r>
        <w:rPr>
          <w:noProof/>
        </w:rPr>
        <w:t>Wreszcie, co ma zasadnicze znaczenie</w:t>
      </w:r>
      <w:r w:rsidR="00D12858">
        <w:rPr>
          <w:noProof/>
        </w:rPr>
        <w:t xml:space="preserve"> w rea</w:t>
      </w:r>
      <w:r>
        <w:rPr>
          <w:noProof/>
        </w:rPr>
        <w:t>lizacji tej wizji, europejski system rolno-spożywczy inwestuje</w:t>
      </w:r>
      <w:r w:rsidR="00D12858">
        <w:rPr>
          <w:noProof/>
        </w:rPr>
        <w:t xml:space="preserve"> i wyk</w:t>
      </w:r>
      <w:r>
        <w:rPr>
          <w:noProof/>
        </w:rPr>
        <w:t xml:space="preserve">orzystuje potencjał transformacyjny, jaki </w:t>
      </w:r>
      <w:r>
        <w:rPr>
          <w:b/>
          <w:noProof/>
        </w:rPr>
        <w:t>oferują badania naukowe, wiedza, umiejętności</w:t>
      </w:r>
      <w:r w:rsidR="00D12858">
        <w:rPr>
          <w:b/>
          <w:noProof/>
        </w:rPr>
        <w:t xml:space="preserve"> i inn</w:t>
      </w:r>
      <w:r>
        <w:rPr>
          <w:b/>
          <w:noProof/>
        </w:rPr>
        <w:t>owacje</w:t>
      </w:r>
      <w:r>
        <w:rPr>
          <w:noProof/>
        </w:rPr>
        <w:t>.</w:t>
      </w:r>
    </w:p>
    <w:p w14:paraId="4CC94D2D" w14:textId="176F684E" w:rsidR="00EF513A" w:rsidRDefault="00BF5473">
      <w:pPr>
        <w:pStyle w:val="Heading1"/>
        <w:numPr>
          <w:ilvl w:val="0"/>
          <w:numId w:val="2"/>
        </w:numPr>
        <w:rPr>
          <w:noProof/>
        </w:rPr>
      </w:pPr>
      <w:bookmarkStart w:id="8" w:name="_3znysh7"/>
      <w:bookmarkStart w:id="9" w:name="_Toc191630900"/>
      <w:bookmarkEnd w:id="8"/>
      <w:r>
        <w:rPr>
          <w:noProof/>
        </w:rPr>
        <w:t>Wspólne opracowanie odpowiedzi politycznej na rzecz dobrze prosperującego sektora rolno-spożywczego</w:t>
      </w:r>
      <w:bookmarkEnd w:id="9"/>
    </w:p>
    <w:p w14:paraId="61A2A75D" w14:textId="6002C780" w:rsidR="00EF513A" w:rsidRDefault="00BF5473">
      <w:pPr>
        <w:rPr>
          <w:noProof/>
        </w:rPr>
      </w:pPr>
      <w:bookmarkStart w:id="10" w:name="_3rdcrjn"/>
      <w:bookmarkEnd w:id="10"/>
      <w:r>
        <w:rPr>
          <w:noProof/>
        </w:rPr>
        <w:t>Wizję tę można zrealizować jedynie poprzez perspektywiczną</w:t>
      </w:r>
      <w:r w:rsidR="00D12858">
        <w:rPr>
          <w:noProof/>
        </w:rPr>
        <w:t xml:space="preserve"> i spó</w:t>
      </w:r>
      <w:r>
        <w:rPr>
          <w:noProof/>
        </w:rPr>
        <w:t>jną odpowiedź polityczną skupioną wokół kluczowego pytania: Jak zbudować system rolno-spożywczy, który będzie zrównoważony pod względem gospodarczym, społecznym</w:t>
      </w:r>
      <w:r w:rsidR="00D12858">
        <w:rPr>
          <w:noProof/>
        </w:rPr>
        <w:t xml:space="preserve"> i śro</w:t>
      </w:r>
      <w:r>
        <w:rPr>
          <w:noProof/>
        </w:rPr>
        <w:t>dowiskowym,</w:t>
      </w:r>
      <w:r w:rsidR="00D12858">
        <w:rPr>
          <w:noProof/>
        </w:rPr>
        <w:t xml:space="preserve"> a tym</w:t>
      </w:r>
      <w:r>
        <w:rPr>
          <w:noProof/>
        </w:rPr>
        <w:t xml:space="preserve"> samym atrakcyjny, konkurencyjny, dostosowany do przyszłych wyzwań</w:t>
      </w:r>
      <w:r w:rsidR="00D12858">
        <w:rPr>
          <w:noProof/>
        </w:rPr>
        <w:t xml:space="preserve"> i spr</w:t>
      </w:r>
      <w:r>
        <w:rPr>
          <w:noProof/>
        </w:rPr>
        <w:t>awiedliwy dla obecnych</w:t>
      </w:r>
      <w:r w:rsidR="00D12858">
        <w:rPr>
          <w:noProof/>
        </w:rPr>
        <w:t xml:space="preserve"> i prz</w:t>
      </w:r>
      <w:r>
        <w:rPr>
          <w:noProof/>
        </w:rPr>
        <w:t>yszłych pokoleń?</w:t>
      </w:r>
    </w:p>
    <w:p w14:paraId="37FB89D4" w14:textId="460AFDB3" w:rsidR="00EF513A" w:rsidRDefault="00BF5473">
      <w:pPr>
        <w:pStyle w:val="Heading2"/>
        <w:numPr>
          <w:ilvl w:val="1"/>
          <w:numId w:val="2"/>
        </w:numPr>
        <w:rPr>
          <w:noProof/>
        </w:rPr>
      </w:pPr>
      <w:bookmarkStart w:id="11" w:name="_2et92p0"/>
      <w:bookmarkStart w:id="12" w:name="_Toc191630901"/>
      <w:bookmarkEnd w:id="11"/>
      <w:r>
        <w:rPr>
          <w:noProof/>
        </w:rPr>
        <w:t>Budowanie atrakcyjnego sektora zapewniającego odpowiedni poziom życia</w:t>
      </w:r>
      <w:r w:rsidR="00D12858">
        <w:rPr>
          <w:noProof/>
        </w:rPr>
        <w:t xml:space="preserve"> i będ</w:t>
      </w:r>
      <w:r>
        <w:rPr>
          <w:noProof/>
        </w:rPr>
        <w:t>ącego dźwignią dla nowych możliwości zarobkowych</w:t>
      </w:r>
      <w:bookmarkEnd w:id="12"/>
    </w:p>
    <w:p w14:paraId="47E36B33" w14:textId="21A6074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Ponad 60 lat temu UE zobowiązała się do zapewnienia odpowiedniego poziomu życia ludności wiejskiej, zgodnie</w:t>
      </w:r>
      <w:r w:rsidR="00D12858">
        <w:rPr>
          <w:noProof/>
          <w:color w:val="000000"/>
        </w:rPr>
        <w:t xml:space="preserve"> z </w:t>
      </w:r>
      <w:r w:rsidR="00D12858" w:rsidRPr="00D12858">
        <w:rPr>
          <w:noProof/>
          <w:color w:val="000000"/>
        </w:rPr>
        <w:t>art</w:t>
      </w:r>
      <w:r w:rsidRPr="00D12858">
        <w:rPr>
          <w:noProof/>
          <w:color w:val="000000"/>
        </w:rPr>
        <w:t>.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3</w:t>
      </w:r>
      <w:r>
        <w:rPr>
          <w:noProof/>
          <w:color w:val="000000"/>
        </w:rPr>
        <w:t>9 Traktatu</w:t>
      </w:r>
      <w:r w:rsidR="00D12858">
        <w:rPr>
          <w:noProof/>
          <w:color w:val="000000"/>
        </w:rPr>
        <w:t xml:space="preserve"> o fun</w:t>
      </w:r>
      <w:r>
        <w:rPr>
          <w:noProof/>
          <w:color w:val="000000"/>
        </w:rPr>
        <w:t>kcjonowaniu Unii Europejskiej. Zobowiązanie to jest obecnie tak samo ważne, jak wtedy. Pomimo poczynionych wysiłków ogólny dochód</w:t>
      </w:r>
      <w:r w:rsidR="00D12858">
        <w:rPr>
          <w:noProof/>
          <w:color w:val="000000"/>
        </w:rPr>
        <w:t xml:space="preserve"> z dzi</w:t>
      </w:r>
      <w:r>
        <w:rPr>
          <w:noProof/>
          <w:color w:val="000000"/>
        </w:rPr>
        <w:t>ałalności rolniczej na pracownika jest nadal znacznie niższy niż średnie wynagrodzenia</w:t>
      </w:r>
      <w:r w:rsidR="00D12858">
        <w:rPr>
          <w:noProof/>
          <w:color w:val="000000"/>
        </w:rPr>
        <w:t xml:space="preserve"> w cał</w:t>
      </w:r>
      <w:r>
        <w:rPr>
          <w:noProof/>
          <w:color w:val="000000"/>
        </w:rPr>
        <w:t>ej gospodarce (60 % średniego wynagrodzenia</w:t>
      </w:r>
      <w:r w:rsidR="00D12858">
        <w:rPr>
          <w:noProof/>
          <w:color w:val="000000"/>
        </w:rPr>
        <w:t xml:space="preserve"> w 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23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>)</w:t>
      </w:r>
      <w:r>
        <w:rPr>
          <w:noProof/>
          <w:color w:val="000000"/>
          <w:vertAlign w:val="superscript"/>
        </w:rPr>
        <w:footnoteReference w:id="17"/>
      </w:r>
      <w:r>
        <w:rPr>
          <w:noProof/>
          <w:color w:val="000000"/>
        </w:rPr>
        <w:t>.</w:t>
      </w:r>
    </w:p>
    <w:p w14:paraId="7A944D8E" w14:textId="66EE48B8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Rolnicy nie chcą uzależniać się od wsparcia publicznego, ale często wymaga tego niestabilny charakter tego zawodu</w:t>
      </w:r>
      <w:r w:rsidR="00D12858">
        <w:rPr>
          <w:noProof/>
          <w:color w:val="000000"/>
        </w:rPr>
        <w:t xml:space="preserve"> i zak</w:t>
      </w:r>
      <w:r>
        <w:rPr>
          <w:noProof/>
          <w:color w:val="000000"/>
        </w:rPr>
        <w:t xml:space="preserve">łócenia równowagi na rynku. Przy określaniu różnych środków mających na celu osiągnięcie odpowiedniego poziomu życia, </w:t>
      </w:r>
      <w:r>
        <w:rPr>
          <w:b/>
          <w:noProof/>
          <w:color w:val="000000"/>
        </w:rPr>
        <w:t>musimy brać pod uwagę wszystkie źródła dochodów</w:t>
      </w:r>
      <w:r>
        <w:rPr>
          <w:noProof/>
          <w:color w:val="000000"/>
        </w:rPr>
        <w:t>: dochody rynkowe, wsparcie publiczne oraz zróżnicowane</w:t>
      </w:r>
      <w:r w:rsidR="00D12858">
        <w:rPr>
          <w:noProof/>
          <w:color w:val="000000"/>
        </w:rPr>
        <w:t xml:space="preserve"> i now</w:t>
      </w:r>
      <w:r>
        <w:rPr>
          <w:noProof/>
          <w:color w:val="000000"/>
        </w:rPr>
        <w:t>e uzupełniające źródła dochodu.</w:t>
      </w:r>
    </w:p>
    <w:p w14:paraId="26702C1C" w14:textId="20A759B5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Sprawiedliwy</w:t>
      </w:r>
      <w:r w:rsidR="00D12858">
        <w:rPr>
          <w:b/>
          <w:i/>
          <w:noProof/>
          <w:color w:val="000000"/>
        </w:rPr>
        <w:t xml:space="preserve"> i opa</w:t>
      </w:r>
      <w:r>
        <w:rPr>
          <w:b/>
          <w:i/>
          <w:noProof/>
          <w:color w:val="000000"/>
        </w:rPr>
        <w:t>rty na zasadzie równości łańcuch żywnościowy</w:t>
      </w:r>
    </w:p>
    <w:p w14:paraId="3858FAD3" w14:textId="4041526B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 xml:space="preserve">Przede wszystkim rolnicy muszą uzyskiwać </w:t>
      </w:r>
      <w:r>
        <w:rPr>
          <w:b/>
          <w:noProof/>
          <w:color w:val="000000" w:themeColor="text1"/>
        </w:rPr>
        <w:t>większe dochody</w:t>
      </w:r>
      <w:r w:rsidR="00D12858">
        <w:rPr>
          <w:b/>
          <w:noProof/>
          <w:color w:val="000000" w:themeColor="text1"/>
        </w:rPr>
        <w:t xml:space="preserve"> z ryn</w:t>
      </w:r>
      <w:r>
        <w:rPr>
          <w:b/>
          <w:noProof/>
          <w:color w:val="000000" w:themeColor="text1"/>
        </w:rPr>
        <w:t>ku</w:t>
      </w:r>
      <w:r>
        <w:rPr>
          <w:noProof/>
          <w:color w:val="000000" w:themeColor="text1"/>
        </w:rPr>
        <w:t>, co pozwoli im również na dokonanie niezbędnych inwestycji, aby dostosować swoje gospodarstwa do przyszłych wyzwań</w:t>
      </w:r>
      <w:r w:rsidR="00D12858">
        <w:rPr>
          <w:noProof/>
          <w:color w:val="000000" w:themeColor="text1"/>
        </w:rPr>
        <w:t xml:space="preserve"> i zwi</w:t>
      </w:r>
      <w:r>
        <w:rPr>
          <w:noProof/>
          <w:color w:val="000000" w:themeColor="text1"/>
        </w:rPr>
        <w:t>ększyć ich odporność. Warunkiem wstępnym jest skorygowanie obecnej nierównowagi</w:t>
      </w:r>
      <w:r w:rsidR="00D12858">
        <w:rPr>
          <w:noProof/>
          <w:color w:val="000000" w:themeColor="text1"/>
        </w:rPr>
        <w:t xml:space="preserve"> w łań</w:t>
      </w:r>
      <w:r>
        <w:rPr>
          <w:noProof/>
          <w:color w:val="000000" w:themeColor="text1"/>
        </w:rPr>
        <w:t>cuchu żywnościowym,</w:t>
      </w:r>
      <w:r w:rsidR="00D12858">
        <w:rPr>
          <w:noProof/>
          <w:color w:val="000000" w:themeColor="text1"/>
        </w:rPr>
        <w:t xml:space="preserve"> w któ</w:t>
      </w:r>
      <w:r>
        <w:rPr>
          <w:noProof/>
          <w:color w:val="000000" w:themeColor="text1"/>
        </w:rPr>
        <w:t>rym niesprawiedliwa dystrybucja dochodów, ryzyko</w:t>
      </w:r>
      <w:r w:rsidR="00D12858">
        <w:rPr>
          <w:noProof/>
          <w:color w:val="000000" w:themeColor="text1"/>
        </w:rPr>
        <w:t xml:space="preserve"> i obc</w:t>
      </w:r>
      <w:r>
        <w:rPr>
          <w:noProof/>
          <w:color w:val="000000" w:themeColor="text1"/>
        </w:rPr>
        <w:t>iążenie kosztami często</w:t>
      </w:r>
      <w:r w:rsidR="00D12858">
        <w:rPr>
          <w:noProof/>
          <w:color w:val="000000" w:themeColor="text1"/>
        </w:rPr>
        <w:t xml:space="preserve"> w spo</w:t>
      </w:r>
      <w:r>
        <w:rPr>
          <w:noProof/>
          <w:color w:val="000000" w:themeColor="text1"/>
        </w:rPr>
        <w:t xml:space="preserve">sób nieproporcjonalny dotykają producentów surowców. </w:t>
      </w:r>
      <w:r>
        <w:rPr>
          <w:b/>
          <w:noProof/>
          <w:color w:val="000000" w:themeColor="text1"/>
        </w:rPr>
        <w:t>Praktyki polegające na systematycznym zmuszaniu rolników do sprzedaży poniżej kosztów nie będą tolerowane.</w:t>
      </w:r>
    </w:p>
    <w:p w14:paraId="489B4386" w14:textId="144D4AB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Za pomocą wniosków przyjętych przez Komisję 9 grudnia 20</w:t>
      </w:r>
      <w:r w:rsidRPr="00D12858">
        <w:rPr>
          <w:noProof/>
          <w:color w:val="000000"/>
        </w:rPr>
        <w:t>24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podjęto już pierwsze kroki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>u przywrócenia równowagi sił</w:t>
      </w:r>
      <w:r w:rsidR="00D12858">
        <w:rPr>
          <w:noProof/>
          <w:color w:val="000000"/>
        </w:rPr>
        <w:t xml:space="preserve"> i uła</w:t>
      </w:r>
      <w:r>
        <w:rPr>
          <w:noProof/>
          <w:color w:val="000000"/>
        </w:rPr>
        <w:t>twienia właściwego egzekwowania przepisów dotyczących zwalczania nieuczciwych praktyk handlowych</w:t>
      </w:r>
      <w:r w:rsidR="003B02DD">
        <w:rPr>
          <w:rStyle w:val="FootnoteReference"/>
          <w:noProof/>
          <w:color w:val="000000"/>
        </w:rPr>
        <w:footnoteReference w:id="18"/>
      </w:r>
      <w:r>
        <w:rPr>
          <w:noProof/>
          <w:color w:val="000000"/>
        </w:rPr>
        <w:t>. Wzmocnią one pozycję producentów</w:t>
      </w:r>
      <w:r w:rsidR="00D12858">
        <w:rPr>
          <w:noProof/>
          <w:color w:val="000000"/>
        </w:rPr>
        <w:t xml:space="preserve"> w neg</w:t>
      </w:r>
      <w:r>
        <w:rPr>
          <w:noProof/>
          <w:color w:val="000000"/>
        </w:rPr>
        <w:t>ocjacjach</w:t>
      </w:r>
      <w:r w:rsidR="00D12858">
        <w:rPr>
          <w:noProof/>
          <w:color w:val="000000"/>
        </w:rPr>
        <w:t xml:space="preserve"> i zaw</w:t>
      </w:r>
      <w:r>
        <w:rPr>
          <w:noProof/>
          <w:color w:val="000000"/>
        </w:rPr>
        <w:t>ieraniu umów oraz zwiększą ochronę rolników przed nieuczciwymi praktykami handlowymi.</w:t>
      </w:r>
    </w:p>
    <w:p w14:paraId="077A417A" w14:textId="7B5B8A8F" w:rsidR="00EF513A" w:rsidRDefault="00BF5473" w:rsidP="00E27ED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Ponadto kilka państw członkowskich skorzystało</w:t>
      </w:r>
      <w:r w:rsidR="00D12858">
        <w:rPr>
          <w:noProof/>
          <w:color w:val="000000"/>
        </w:rPr>
        <w:t xml:space="preserve"> z prz</w:t>
      </w:r>
      <w:r>
        <w:rPr>
          <w:noProof/>
          <w:color w:val="000000"/>
        </w:rPr>
        <w:t>episów krajowych mających na celu rozwiązanie problemu, jakim jest produkcja poniżej kosztów, co może jednak prowadzić do różnych podejść na jednolitym rynku</w:t>
      </w:r>
      <w:r w:rsidR="00D12858">
        <w:rPr>
          <w:noProof/>
          <w:color w:val="000000"/>
        </w:rPr>
        <w:t>. W ram</w:t>
      </w:r>
      <w:r>
        <w:rPr>
          <w:noProof/>
          <w:color w:val="000000"/>
        </w:rPr>
        <w:t>ach oceny obecnych przepisów zostaną dokładniej zbadane nieuczciwe praktyki handlowe,</w:t>
      </w:r>
      <w:r w:rsidR="00D12858">
        <w:rPr>
          <w:noProof/>
          <w:color w:val="000000"/>
        </w:rPr>
        <w:t xml:space="preserve"> a wra</w:t>
      </w:r>
      <w:r>
        <w:rPr>
          <w:noProof/>
          <w:color w:val="000000"/>
        </w:rPr>
        <w:t>z</w:t>
      </w:r>
      <w:r w:rsidR="00D12858">
        <w:rPr>
          <w:noProof/>
          <w:color w:val="000000"/>
        </w:rPr>
        <w:t xml:space="preserve"> z nim</w:t>
      </w:r>
      <w:r>
        <w:rPr>
          <w:noProof/>
          <w:color w:val="000000"/>
        </w:rPr>
        <w:t>i zostanie dokonany przegląd przepisów krajowych, zgodnie</w:t>
      </w:r>
      <w:r w:rsidR="00D12858">
        <w:rPr>
          <w:noProof/>
          <w:color w:val="000000"/>
        </w:rPr>
        <w:t xml:space="preserve"> z zal</w:t>
      </w:r>
      <w:r>
        <w:rPr>
          <w:noProof/>
          <w:color w:val="000000"/>
        </w:rPr>
        <w:t>eceniami strategicznego dialogu. Na tej podstawie Komisja zaproponuje dalsze inicjatywy</w:t>
      </w:r>
      <w:r>
        <w:rPr>
          <w:noProof/>
        </w:rPr>
        <w:t>,</w:t>
      </w:r>
      <w:r w:rsidR="00D12858">
        <w:rPr>
          <w:noProof/>
        </w:rPr>
        <w:t xml:space="preserve"> </w:t>
      </w:r>
      <w:r w:rsidR="00D12858">
        <w:rPr>
          <w:noProof/>
          <w:color w:val="000000" w:themeColor="text1"/>
        </w:rPr>
        <w:t>w</w:t>
      </w:r>
      <w:r w:rsidR="00D12858">
        <w:rPr>
          <w:noProof/>
        </w:rPr>
        <w:t> </w:t>
      </w:r>
      <w:r w:rsidR="00D12858">
        <w:rPr>
          <w:noProof/>
          <w:color w:val="000000" w:themeColor="text1"/>
        </w:rPr>
        <w:t>szc</w:t>
      </w:r>
      <w:r>
        <w:rPr>
          <w:noProof/>
          <w:color w:val="000000" w:themeColor="text1"/>
        </w:rPr>
        <w:t>zególności przegląd dyrektywy</w:t>
      </w:r>
      <w:r w:rsidR="00D12858">
        <w:rPr>
          <w:noProof/>
          <w:color w:val="000000" w:themeColor="text1"/>
        </w:rPr>
        <w:t xml:space="preserve"> o nie</w:t>
      </w:r>
      <w:r>
        <w:rPr>
          <w:noProof/>
          <w:color w:val="000000" w:themeColor="text1"/>
        </w:rPr>
        <w:t>uczciwych praktykach handlowych</w:t>
      </w:r>
      <w:r>
        <w:rPr>
          <w:noProof/>
        </w:rPr>
        <w:t>,</w:t>
      </w:r>
      <w:r w:rsidR="00D12858">
        <w:rPr>
          <w:noProof/>
        </w:rPr>
        <w:t xml:space="preserve"> </w:t>
      </w:r>
      <w:r w:rsidR="00D12858">
        <w:rPr>
          <w:b/>
          <w:noProof/>
          <w:color w:val="000000"/>
        </w:rPr>
        <w:t>w</w:t>
      </w:r>
      <w:r w:rsidR="00D12858">
        <w:rPr>
          <w:noProof/>
        </w:rPr>
        <w:t> </w:t>
      </w:r>
      <w:r w:rsidR="00D12858">
        <w:rPr>
          <w:b/>
          <w:noProof/>
          <w:color w:val="000000"/>
        </w:rPr>
        <w:t>cel</w:t>
      </w:r>
      <w:r>
        <w:rPr>
          <w:b/>
          <w:noProof/>
          <w:color w:val="000000"/>
        </w:rPr>
        <w:t>u uwzględnienia zasady, zgodnie</w:t>
      </w:r>
      <w:r w:rsidR="00D12858">
        <w:rPr>
          <w:b/>
          <w:noProof/>
          <w:color w:val="000000"/>
        </w:rPr>
        <w:t xml:space="preserve"> z któ</w:t>
      </w:r>
      <w:r>
        <w:rPr>
          <w:b/>
          <w:noProof/>
          <w:color w:val="000000"/>
        </w:rPr>
        <w:t>rą rolnicy nie powinni być zmuszani do systematycznej sprzedaży swoich produktów poniżej kosztów produkcji</w:t>
      </w:r>
      <w:r>
        <w:rPr>
          <w:noProof/>
        </w:rPr>
        <w:t>,</w:t>
      </w:r>
      <w:r w:rsidR="00D12858">
        <w:rPr>
          <w:noProof/>
        </w:rPr>
        <w:t xml:space="preserve"> </w:t>
      </w:r>
      <w:r w:rsidR="00D12858">
        <w:rPr>
          <w:noProof/>
          <w:color w:val="000000" w:themeColor="text1"/>
        </w:rPr>
        <w:t>a</w:t>
      </w:r>
      <w:r w:rsidR="00D12858">
        <w:rPr>
          <w:noProof/>
        </w:rPr>
        <w:t> </w:t>
      </w:r>
      <w:r w:rsidR="00D12858">
        <w:rPr>
          <w:noProof/>
          <w:color w:val="000000" w:themeColor="text1"/>
        </w:rPr>
        <w:t>tak</w:t>
      </w:r>
      <w:r>
        <w:rPr>
          <w:noProof/>
          <w:color w:val="000000" w:themeColor="text1"/>
        </w:rPr>
        <w:t>że przegląd rozporządzenia</w:t>
      </w:r>
      <w:r w:rsidR="00D12858">
        <w:rPr>
          <w:noProof/>
          <w:color w:val="000000" w:themeColor="text1"/>
        </w:rPr>
        <w:t xml:space="preserve"> o wsp</w:t>
      </w:r>
      <w:r>
        <w:rPr>
          <w:noProof/>
          <w:color w:val="000000" w:themeColor="text1"/>
        </w:rPr>
        <w:t>ólnej organizacji rynków</w:t>
      </w:r>
      <w:r w:rsidR="00D12858">
        <w:rPr>
          <w:noProof/>
          <w:color w:val="000000" w:themeColor="text1"/>
        </w:rPr>
        <w:t xml:space="preserve"> w kon</w:t>
      </w:r>
      <w:r>
        <w:rPr>
          <w:noProof/>
          <w:color w:val="000000" w:themeColor="text1"/>
        </w:rPr>
        <w:t xml:space="preserve">tekście wniosków dotyczących WPR </w:t>
      </w:r>
      <w:r w:rsidRPr="00D12858">
        <w:rPr>
          <w:noProof/>
          <w:color w:val="000000" w:themeColor="text1"/>
        </w:rPr>
        <w:t>po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2</w:t>
      </w:r>
      <w:r>
        <w:rPr>
          <w:noProof/>
          <w:color w:val="000000" w:themeColor="text1"/>
        </w:rPr>
        <w:t>0</w:t>
      </w:r>
      <w:r w:rsidRPr="00D12858">
        <w:rPr>
          <w:noProof/>
          <w:color w:val="000000" w:themeColor="text1"/>
        </w:rPr>
        <w:t>27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r.</w:t>
      </w:r>
    </w:p>
    <w:p w14:paraId="2506E12B" w14:textId="4A3EA499" w:rsidR="00EF513A" w:rsidRDefault="60957744" w:rsidP="6A9DECA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 w:themeColor="text1"/>
        </w:rPr>
      </w:pPr>
      <w:r>
        <w:rPr>
          <w:noProof/>
          <w:color w:val="000000" w:themeColor="text1"/>
        </w:rPr>
        <w:t>Jednocześnie, jak zasugerowano</w:t>
      </w:r>
      <w:r w:rsidR="00D12858">
        <w:rPr>
          <w:noProof/>
          <w:color w:val="000000" w:themeColor="text1"/>
        </w:rPr>
        <w:t xml:space="preserve"> w ram</w:t>
      </w:r>
      <w:r>
        <w:rPr>
          <w:noProof/>
          <w:color w:val="000000" w:themeColor="text1"/>
        </w:rPr>
        <w:t>ach strategicznego dialogu, należy wzmocnić pozycję rolników</w:t>
      </w:r>
      <w:r w:rsidR="00D12858">
        <w:rPr>
          <w:noProof/>
          <w:color w:val="000000" w:themeColor="text1"/>
        </w:rPr>
        <w:t xml:space="preserve"> w łań</w:t>
      </w:r>
      <w:r>
        <w:rPr>
          <w:noProof/>
          <w:color w:val="000000" w:themeColor="text1"/>
        </w:rPr>
        <w:t>cuchu wartości poprzez zachęcanie ich do przystępowania do spółdzielni lub stowarzyszeń</w:t>
      </w:r>
      <w:r w:rsidR="00D12858">
        <w:rPr>
          <w:noProof/>
          <w:color w:val="000000" w:themeColor="text1"/>
        </w:rPr>
        <w:t xml:space="preserve"> w cel</w:t>
      </w:r>
      <w:r>
        <w:rPr>
          <w:noProof/>
          <w:color w:val="000000" w:themeColor="text1"/>
        </w:rPr>
        <w:t>u zmniejszenia kosztów, zwiększenia efektywności</w:t>
      </w:r>
      <w:r w:rsidR="00D12858">
        <w:rPr>
          <w:noProof/>
          <w:color w:val="000000" w:themeColor="text1"/>
        </w:rPr>
        <w:t xml:space="preserve"> i pop</w:t>
      </w:r>
      <w:r>
        <w:rPr>
          <w:noProof/>
          <w:color w:val="000000" w:themeColor="text1"/>
        </w:rPr>
        <w:t>rawy cen na rynku. WPR już teraz wspiera rolników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zakresie. </w:t>
      </w:r>
    </w:p>
    <w:p w14:paraId="782E97F8" w14:textId="385B955A" w:rsidR="00EF513A" w:rsidRDefault="00F91D15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>Ponadto kluczowym elementem budującym zaufanie</w:t>
      </w:r>
      <w:r w:rsidR="00D12858">
        <w:rPr>
          <w:noProof/>
          <w:color w:val="000000" w:themeColor="text1"/>
        </w:rPr>
        <w:t xml:space="preserve"> i spr</w:t>
      </w:r>
      <w:r>
        <w:rPr>
          <w:noProof/>
          <w:color w:val="000000" w:themeColor="text1"/>
        </w:rPr>
        <w:t xml:space="preserve">awiedliwość jest </w:t>
      </w:r>
      <w:r>
        <w:rPr>
          <w:b/>
          <w:noProof/>
          <w:color w:val="000000" w:themeColor="text1"/>
        </w:rPr>
        <w:t>przejrzystość</w:t>
      </w:r>
      <w:r>
        <w:rPr>
          <w:noProof/>
          <w:color w:val="000000" w:themeColor="text1"/>
        </w:rPr>
        <w:t xml:space="preserve"> co do sposobu kształtowania</w:t>
      </w:r>
      <w:r w:rsidR="00D12858">
        <w:rPr>
          <w:noProof/>
          <w:color w:val="000000" w:themeColor="text1"/>
        </w:rPr>
        <w:t xml:space="preserve"> i pod</w:t>
      </w:r>
      <w:r>
        <w:rPr>
          <w:noProof/>
          <w:color w:val="000000" w:themeColor="text1"/>
        </w:rPr>
        <w:t>ziału kosztów</w:t>
      </w:r>
      <w:r w:rsidR="00D12858">
        <w:rPr>
          <w:noProof/>
          <w:color w:val="000000" w:themeColor="text1"/>
        </w:rPr>
        <w:t xml:space="preserve"> i mar</w:t>
      </w:r>
      <w:r>
        <w:rPr>
          <w:noProof/>
          <w:color w:val="000000" w:themeColor="text1"/>
        </w:rPr>
        <w:t>ż</w:t>
      </w:r>
      <w:r w:rsidR="00D12858">
        <w:rPr>
          <w:noProof/>
          <w:color w:val="000000" w:themeColor="text1"/>
        </w:rPr>
        <w:t xml:space="preserve"> w łań</w:t>
      </w:r>
      <w:r>
        <w:rPr>
          <w:noProof/>
          <w:color w:val="000000" w:themeColor="text1"/>
        </w:rPr>
        <w:t>cuchu żywnościowym. Komisja będzie nadal zwiększać przejrzystość</w:t>
      </w:r>
      <w:r w:rsidR="00D12858">
        <w:rPr>
          <w:noProof/>
          <w:color w:val="000000" w:themeColor="text1"/>
        </w:rPr>
        <w:t xml:space="preserve"> w cał</w:t>
      </w:r>
      <w:r>
        <w:rPr>
          <w:noProof/>
          <w:color w:val="000000" w:themeColor="text1"/>
        </w:rPr>
        <w:t>ym łańcuchu żywnościowym,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za pośrednictwem nowego </w:t>
      </w:r>
      <w:r>
        <w:rPr>
          <w:b/>
          <w:noProof/>
          <w:color w:val="000000" w:themeColor="text1"/>
        </w:rPr>
        <w:t>Unijnego Obserwatorium Łańcucha Rolno-Spożywczego</w:t>
      </w:r>
      <w:r>
        <w:rPr>
          <w:noProof/>
          <w:color w:val="000000" w:themeColor="text1"/>
        </w:rPr>
        <w:t xml:space="preserve"> (AFCO), które opracuje</w:t>
      </w:r>
      <w:r w:rsidR="00D12858">
        <w:rPr>
          <w:noProof/>
          <w:color w:val="000000" w:themeColor="text1"/>
        </w:rPr>
        <w:t xml:space="preserve"> i opu</w:t>
      </w:r>
      <w:r>
        <w:rPr>
          <w:noProof/>
          <w:color w:val="000000" w:themeColor="text1"/>
        </w:rPr>
        <w:t>blikuje wskaźniki związane</w:t>
      </w:r>
      <w:r w:rsidR="00D12858">
        <w:rPr>
          <w:noProof/>
          <w:color w:val="000000" w:themeColor="text1"/>
        </w:rPr>
        <w:t xml:space="preserve"> z ksz</w:t>
      </w:r>
      <w:r>
        <w:rPr>
          <w:noProof/>
          <w:color w:val="000000" w:themeColor="text1"/>
        </w:rPr>
        <w:t>tałtowaniem się cen</w:t>
      </w:r>
      <w:r w:rsidR="00D12858">
        <w:rPr>
          <w:noProof/>
          <w:color w:val="000000" w:themeColor="text1"/>
        </w:rPr>
        <w:t xml:space="preserve"> w łań</w:t>
      </w:r>
      <w:r>
        <w:rPr>
          <w:noProof/>
          <w:color w:val="000000" w:themeColor="text1"/>
        </w:rPr>
        <w:t>cuchu żywnościowym</w:t>
      </w:r>
      <w:r w:rsidR="00D12858">
        <w:rPr>
          <w:noProof/>
          <w:color w:val="000000" w:themeColor="text1"/>
        </w:rPr>
        <w:t xml:space="preserve"> w cel</w:t>
      </w:r>
      <w:r>
        <w:rPr>
          <w:noProof/>
          <w:color w:val="000000" w:themeColor="text1"/>
        </w:rPr>
        <w:t>u ukierunkowania dalszych działań</w:t>
      </w:r>
      <w:r w:rsidRPr="00D12858">
        <w:rPr>
          <w:noProof/>
          <w:color w:val="000000" w:themeColor="text1"/>
        </w:rPr>
        <w:t>.</w:t>
      </w:r>
      <w:r w:rsidR="00D12858" w:rsidRPr="00D12858">
        <w:rPr>
          <w:noProof/>
          <w:color w:val="000000" w:themeColor="text1"/>
        </w:rPr>
        <w:t xml:space="preserve"> </w:t>
      </w:r>
      <w:r w:rsidRPr="00D12858">
        <w:rPr>
          <w:noProof/>
          <w:color w:val="000000" w:themeColor="text1"/>
        </w:rPr>
        <w:t>I</w:t>
      </w:r>
      <w:r>
        <w:rPr>
          <w:noProof/>
          <w:color w:val="000000" w:themeColor="text1"/>
        </w:rPr>
        <w:t>nstrumenty te powinny również wspierać długoterminową konkurencyjność MŚP</w:t>
      </w:r>
      <w:r w:rsidR="00D12858">
        <w:rPr>
          <w:noProof/>
          <w:color w:val="000000" w:themeColor="text1"/>
        </w:rPr>
        <w:t xml:space="preserve"> w sek</w:t>
      </w:r>
      <w:r>
        <w:rPr>
          <w:noProof/>
          <w:color w:val="000000" w:themeColor="text1"/>
        </w:rPr>
        <w:t>torze żywności</w:t>
      </w:r>
      <w:r w:rsidR="00D12858">
        <w:rPr>
          <w:noProof/>
          <w:color w:val="000000" w:themeColor="text1"/>
        </w:rPr>
        <w:t xml:space="preserve"> i nap</w:t>
      </w:r>
      <w:r>
        <w:rPr>
          <w:noProof/>
          <w:color w:val="000000" w:themeColor="text1"/>
        </w:rPr>
        <w:t>ojów, które zostały szczególnie dotknięte niedawną inflacją.</w:t>
      </w:r>
    </w:p>
    <w:p w14:paraId="2E88FD35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</w:p>
    <w:p w14:paraId="58669452" w14:textId="50C74D1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Bardziej sprawiedliwe</w:t>
      </w:r>
      <w:r w:rsidR="00D12858">
        <w:rPr>
          <w:b/>
          <w:i/>
          <w:noProof/>
          <w:color w:val="000000"/>
        </w:rPr>
        <w:t xml:space="preserve"> i lep</w:t>
      </w:r>
      <w:r>
        <w:rPr>
          <w:b/>
          <w:i/>
          <w:noProof/>
          <w:color w:val="000000"/>
        </w:rPr>
        <w:t>iej ukierunkowane wsparcie publiczne</w:t>
      </w:r>
    </w:p>
    <w:p w14:paraId="72550539" w14:textId="7BBDA218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Aby zapewnić kontynuację rolnictwa przyciągającego przyszłe pokolenia rolników</w:t>
      </w:r>
      <w:r w:rsidR="00D12858">
        <w:rPr>
          <w:noProof/>
          <w:color w:val="000000"/>
        </w:rPr>
        <w:t xml:space="preserve"> w cał</w:t>
      </w:r>
      <w:r>
        <w:rPr>
          <w:noProof/>
          <w:color w:val="000000"/>
        </w:rPr>
        <w:t>ej UE, wsparcie publiczne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 xml:space="preserve">ach </w:t>
      </w:r>
      <w:r>
        <w:rPr>
          <w:b/>
          <w:noProof/>
          <w:color w:val="000000"/>
        </w:rPr>
        <w:t>WPR nadal ma zasadnicze znaczenie we wspieraniu dochodów rolników</w:t>
      </w:r>
      <w:r>
        <w:rPr>
          <w:noProof/>
        </w:rPr>
        <w:t>.</w:t>
      </w:r>
      <w:r>
        <w:rPr>
          <w:noProof/>
          <w:color w:val="000000"/>
        </w:rPr>
        <w:t xml:space="preserve"> </w:t>
      </w:r>
      <w:r>
        <w:rPr>
          <w:noProof/>
        </w:rPr>
        <w:t>Płatności bezpośrednie</w:t>
      </w:r>
      <w:r w:rsidR="00D12858">
        <w:rPr>
          <w:noProof/>
        </w:rPr>
        <w:t xml:space="preserve"> w ram</w:t>
      </w:r>
      <w:r>
        <w:rPr>
          <w:noProof/>
        </w:rPr>
        <w:t>ach WPR nadal odgrywają kluczową rolę we wspieraniu</w:t>
      </w:r>
      <w:r w:rsidR="00D12858">
        <w:rPr>
          <w:noProof/>
        </w:rPr>
        <w:t xml:space="preserve"> i sta</w:t>
      </w:r>
      <w:r>
        <w:rPr>
          <w:noProof/>
        </w:rPr>
        <w:t>bilizowaniu dochodów</w:t>
      </w:r>
      <w:r w:rsidR="00D12858">
        <w:rPr>
          <w:noProof/>
        </w:rPr>
        <w:t xml:space="preserve"> z dzi</w:t>
      </w:r>
      <w:r>
        <w:rPr>
          <w:noProof/>
        </w:rPr>
        <w:t>ałalności rolniczej na poziomie gospodarstwa rolnego, a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20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stanowiły średnio 23 % dochodów gospodarstw rolnych</w:t>
      </w:r>
      <w:r>
        <w:rPr>
          <w:noProof/>
          <w:color w:val="000000"/>
          <w:vertAlign w:val="superscript"/>
        </w:rPr>
        <w:footnoteReference w:id="19"/>
      </w:r>
      <w:r>
        <w:rPr>
          <w:noProof/>
        </w:rPr>
        <w:t>.</w:t>
      </w:r>
    </w:p>
    <w:p w14:paraId="42B64A14" w14:textId="2326DF7C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Przyszła WPR, stanowiąca część przyszłych wniosków dotyczących WRF, będzie prostsza</w:t>
      </w:r>
      <w:r w:rsidR="00D12858">
        <w:rPr>
          <w:noProof/>
          <w:color w:val="000000"/>
        </w:rPr>
        <w:t xml:space="preserve"> i bar</w:t>
      </w:r>
      <w:r>
        <w:rPr>
          <w:noProof/>
          <w:color w:val="000000"/>
        </w:rPr>
        <w:t xml:space="preserve">dziej ukierunkowana, tak aby móc wspierać </w:t>
      </w:r>
      <w:r>
        <w:rPr>
          <w:b/>
          <w:noProof/>
          <w:color w:val="000000"/>
        </w:rPr>
        <w:t>ambitną</w:t>
      </w:r>
      <w:r w:rsidR="00D12858">
        <w:rPr>
          <w:b/>
          <w:noProof/>
          <w:color w:val="000000"/>
        </w:rPr>
        <w:t xml:space="preserve"> i prz</w:t>
      </w:r>
      <w:r>
        <w:rPr>
          <w:b/>
          <w:noProof/>
          <w:color w:val="000000"/>
        </w:rPr>
        <w:t>yszłościową politykę rolną UE</w:t>
      </w:r>
      <w:r>
        <w:rPr>
          <w:noProof/>
          <w:color w:val="000000"/>
        </w:rPr>
        <w:t>. Wprowadzi ona wyraźniejszą równowagę między polityką regulacyjną</w:t>
      </w:r>
      <w:r w:rsidR="00D12858">
        <w:rPr>
          <w:noProof/>
          <w:color w:val="000000"/>
        </w:rPr>
        <w:t xml:space="preserve"> a pol</w:t>
      </w:r>
      <w:r>
        <w:rPr>
          <w:noProof/>
          <w:color w:val="000000"/>
        </w:rPr>
        <w:t>ityką opartą na zachętach, która ma wpływ na rolników.</w:t>
      </w:r>
    </w:p>
    <w:p w14:paraId="6644AA2B" w14:textId="6219F8D3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Ponadto Komisja uznaje, że brak sprawiedliwości, który postrzegano</w:t>
      </w:r>
      <w:r w:rsidR="00D12858">
        <w:rPr>
          <w:noProof/>
          <w:color w:val="000000"/>
        </w:rPr>
        <w:t xml:space="preserve"> w odn</w:t>
      </w:r>
      <w:r>
        <w:rPr>
          <w:noProof/>
          <w:color w:val="000000"/>
        </w:rPr>
        <w:t>iesieniu do dystrybucji płatności na niektórych terytoriach, wpłynął na publiczny wizerunek WPR.</w:t>
      </w:r>
    </w:p>
    <w:p w14:paraId="734129B5" w14:textId="2745B3AC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Co do zasady przyszłe wsparcie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WPR będzie zatem</w:t>
      </w:r>
      <w:r w:rsidR="00D12858">
        <w:rPr>
          <w:noProof/>
          <w:color w:val="000000"/>
        </w:rPr>
        <w:t xml:space="preserve"> w wię</w:t>
      </w:r>
      <w:r>
        <w:rPr>
          <w:noProof/>
          <w:color w:val="000000"/>
        </w:rPr>
        <w:t xml:space="preserve">kszym stopniu ukierunkowane na rolników, którzy </w:t>
      </w:r>
      <w:r>
        <w:rPr>
          <w:b/>
          <w:noProof/>
          <w:color w:val="000000"/>
        </w:rPr>
        <w:t>aktywnie</w:t>
      </w:r>
      <w:r>
        <w:rPr>
          <w:noProof/>
          <w:color w:val="000000"/>
        </w:rPr>
        <w:t xml:space="preserve"> angażują się</w:t>
      </w:r>
      <w:r w:rsidR="00D12858">
        <w:rPr>
          <w:noProof/>
          <w:color w:val="000000"/>
        </w:rPr>
        <w:t xml:space="preserve"> w pro</w:t>
      </w:r>
      <w:r>
        <w:rPr>
          <w:noProof/>
          <w:color w:val="000000"/>
        </w:rPr>
        <w:t>dukcję żywności, na rzecz żywotności gospodarczej gospodarstw</w:t>
      </w:r>
      <w:r w:rsidR="00D12858">
        <w:rPr>
          <w:noProof/>
          <w:color w:val="000000"/>
        </w:rPr>
        <w:t xml:space="preserve"> i och</w:t>
      </w:r>
      <w:r>
        <w:rPr>
          <w:noProof/>
          <w:color w:val="000000"/>
        </w:rPr>
        <w:t>rony naszego środowiska</w:t>
      </w:r>
      <w:r w:rsidR="00D12858">
        <w:rPr>
          <w:noProof/>
          <w:color w:val="000000"/>
        </w:rPr>
        <w:t>. W pod</w:t>
      </w:r>
      <w:r>
        <w:rPr>
          <w:noProof/>
          <w:color w:val="000000"/>
        </w:rPr>
        <w:t>ejściu tym należy również rozważyć priorytetowe traktowanie produkcji produktów rolnych, które mają zasadnicze znaczenie dla strategicznej autonomii</w:t>
      </w:r>
      <w:r w:rsidR="00D12858">
        <w:rPr>
          <w:noProof/>
          <w:color w:val="000000"/>
        </w:rPr>
        <w:t xml:space="preserve"> i odp</w:t>
      </w:r>
      <w:r>
        <w:rPr>
          <w:noProof/>
          <w:color w:val="000000"/>
        </w:rPr>
        <w:t>orności UE.</w:t>
      </w:r>
    </w:p>
    <w:p w14:paraId="25E9E8C9" w14:textId="488D603F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Małe</w:t>
      </w:r>
      <w:r w:rsidR="00D12858">
        <w:rPr>
          <w:noProof/>
          <w:color w:val="000000"/>
        </w:rPr>
        <w:t xml:space="preserve"> i śre</w:t>
      </w:r>
      <w:r>
        <w:rPr>
          <w:noProof/>
          <w:color w:val="000000"/>
        </w:rPr>
        <w:t>dnie gospodarstwa rolne tworzą strukturę społeczną obszarów wiejskich, chroniąc przyrodę</w:t>
      </w:r>
      <w:r w:rsidR="00D12858">
        <w:rPr>
          <w:noProof/>
          <w:color w:val="000000"/>
        </w:rPr>
        <w:t xml:space="preserve"> i źró</w:t>
      </w:r>
      <w:r>
        <w:rPr>
          <w:noProof/>
          <w:color w:val="000000"/>
        </w:rPr>
        <w:t>dła utrzymania. Powinny one posiadać warunki umożliwiające im prowadzenie działalności bez nadmiernych obciążeń administracyjnych. Biorąc pod uwagę ich skalę, Komisja rozważy zwiększenie atrakcyjności</w:t>
      </w:r>
      <w:r w:rsidR="00D12858">
        <w:rPr>
          <w:noProof/>
          <w:color w:val="000000"/>
        </w:rPr>
        <w:t xml:space="preserve"> i roz</w:t>
      </w:r>
      <w:r>
        <w:rPr>
          <w:noProof/>
          <w:color w:val="000000"/>
        </w:rPr>
        <w:t xml:space="preserve">szerzenie stosowania </w:t>
      </w:r>
      <w:r>
        <w:rPr>
          <w:b/>
          <w:noProof/>
          <w:color w:val="000000"/>
        </w:rPr>
        <w:t>uproszczonych narzędzi wsparcia dochodu</w:t>
      </w:r>
      <w:r>
        <w:rPr>
          <w:noProof/>
          <w:color w:val="000000"/>
        </w:rPr>
        <w:t xml:space="preserve"> za pomocą usprawnionego systemu warunków</w:t>
      </w:r>
      <w:r w:rsidR="00D12858">
        <w:rPr>
          <w:noProof/>
          <w:color w:val="000000"/>
        </w:rPr>
        <w:t xml:space="preserve"> i kon</w:t>
      </w:r>
      <w:r>
        <w:rPr>
          <w:noProof/>
          <w:color w:val="000000"/>
        </w:rPr>
        <w:t>troli.</w:t>
      </w:r>
    </w:p>
    <w:p w14:paraId="19942D61" w14:textId="0FE67E7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Wsparcie powinno być dalej kierowane </w:t>
      </w:r>
      <w:r>
        <w:rPr>
          <w:b/>
          <w:noProof/>
          <w:color w:val="000000"/>
        </w:rPr>
        <w:t>do tych rolników, którzy najbardziej tego potrzebują</w:t>
      </w:r>
      <w:r>
        <w:rPr>
          <w:noProof/>
          <w:color w:val="000000"/>
        </w:rPr>
        <w:t>, ze szczególnym uwzględnieniem rolników na obszarach</w:t>
      </w:r>
      <w:r w:rsidR="00D12858">
        <w:rPr>
          <w:noProof/>
          <w:color w:val="000000"/>
        </w:rPr>
        <w:t xml:space="preserve"> z ogr</w:t>
      </w:r>
      <w:r>
        <w:rPr>
          <w:noProof/>
          <w:color w:val="000000"/>
        </w:rPr>
        <w:t>aniczeniami naturalnymi, młodych</w:t>
      </w:r>
      <w:r w:rsidR="00D12858">
        <w:rPr>
          <w:noProof/>
          <w:color w:val="000000"/>
        </w:rPr>
        <w:t xml:space="preserve"> i now</w:t>
      </w:r>
      <w:r>
        <w:rPr>
          <w:noProof/>
          <w:color w:val="000000"/>
        </w:rPr>
        <w:t>ych rolników oraz gospodarstw mieszanych.</w:t>
      </w:r>
    </w:p>
    <w:p w14:paraId="649DAB37" w14:textId="5D0A0620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Rozważone zostanie zwiększone wykorzystanie </w:t>
      </w:r>
      <w:r>
        <w:rPr>
          <w:b/>
          <w:noProof/>
          <w:color w:val="000000"/>
        </w:rPr>
        <w:t>środków takich jak degresywność</w:t>
      </w:r>
      <w:r w:rsidR="00D12858">
        <w:rPr>
          <w:b/>
          <w:noProof/>
          <w:color w:val="000000"/>
        </w:rPr>
        <w:t xml:space="preserve"> i sto</w:t>
      </w:r>
      <w:r>
        <w:rPr>
          <w:b/>
          <w:noProof/>
          <w:color w:val="000000"/>
        </w:rPr>
        <w:t>sowanie górnych limitów płatności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z uwz</w:t>
      </w:r>
      <w:r>
        <w:rPr>
          <w:noProof/>
          <w:color w:val="000000"/>
        </w:rPr>
        <w:t>ględnieniem różnych realiów strukturalnych</w:t>
      </w:r>
      <w:r w:rsidR="00D12858">
        <w:rPr>
          <w:noProof/>
          <w:color w:val="000000"/>
        </w:rPr>
        <w:t xml:space="preserve"> i sek</w:t>
      </w:r>
      <w:r>
        <w:rPr>
          <w:noProof/>
          <w:color w:val="000000"/>
        </w:rPr>
        <w:t>torowych</w:t>
      </w:r>
      <w:r w:rsidR="00D12858">
        <w:rPr>
          <w:noProof/>
          <w:color w:val="000000"/>
        </w:rPr>
        <w:t xml:space="preserve"> w pań</w:t>
      </w:r>
      <w:r>
        <w:rPr>
          <w:noProof/>
          <w:color w:val="000000"/>
        </w:rPr>
        <w:t>stwach członkowskich. Wszyscy rolnicy powinni nadal korzystać</w:t>
      </w:r>
      <w:r w:rsidR="00D12858">
        <w:rPr>
          <w:noProof/>
          <w:color w:val="000000"/>
        </w:rPr>
        <w:t xml:space="preserve"> z ins</w:t>
      </w:r>
      <w:r>
        <w:rPr>
          <w:noProof/>
          <w:color w:val="000000"/>
        </w:rPr>
        <w:t>trumentów takich jak płatności za usługi ekosystemowe, które zostaną usprawnione</w:t>
      </w:r>
      <w:r w:rsidR="00D12858">
        <w:rPr>
          <w:noProof/>
          <w:color w:val="000000"/>
        </w:rPr>
        <w:t xml:space="preserve"> i upr</w:t>
      </w:r>
      <w:r>
        <w:rPr>
          <w:noProof/>
          <w:color w:val="000000"/>
        </w:rPr>
        <w:t>oszczone,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ze wsparcia na inwestycje oraz</w:t>
      </w:r>
      <w:r w:rsidR="00D12858">
        <w:rPr>
          <w:noProof/>
          <w:color w:val="000000"/>
        </w:rPr>
        <w:t xml:space="preserve"> z nar</w:t>
      </w:r>
      <w:r>
        <w:rPr>
          <w:noProof/>
          <w:color w:val="000000"/>
        </w:rPr>
        <w:t>zędzi zarządzania kryzysowego</w:t>
      </w:r>
      <w:r w:rsidR="00D12858">
        <w:rPr>
          <w:noProof/>
          <w:color w:val="000000"/>
        </w:rPr>
        <w:t xml:space="preserve"> i zar</w:t>
      </w:r>
      <w:r>
        <w:rPr>
          <w:noProof/>
          <w:color w:val="000000"/>
        </w:rPr>
        <w:t>ządzania ryzykiem.</w:t>
      </w:r>
    </w:p>
    <w:p w14:paraId="0FBE5A0A" w14:textId="276CBB3B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oparciu</w:t>
      </w:r>
      <w:r w:rsidR="00D12858">
        <w:rPr>
          <w:noProof/>
          <w:color w:val="000000"/>
        </w:rPr>
        <w:t xml:space="preserve"> o doś</w:t>
      </w:r>
      <w:r>
        <w:rPr>
          <w:noProof/>
          <w:color w:val="000000"/>
        </w:rPr>
        <w:t>wiadczenia płynące</w:t>
      </w:r>
      <w:r w:rsidR="00D12858">
        <w:rPr>
          <w:noProof/>
          <w:color w:val="000000"/>
        </w:rPr>
        <w:t xml:space="preserve"> z obe</w:t>
      </w:r>
      <w:r>
        <w:rPr>
          <w:noProof/>
          <w:color w:val="000000"/>
        </w:rPr>
        <w:t xml:space="preserve">cnych planów strategicznych WPR </w:t>
      </w:r>
      <w:r>
        <w:rPr>
          <w:b/>
          <w:noProof/>
          <w:color w:val="000000"/>
        </w:rPr>
        <w:t>niezbędne okazuje się dalsze usprawnienie sposobu wdrażania WPR</w:t>
      </w:r>
      <w:r>
        <w:rPr>
          <w:noProof/>
          <w:color w:val="000000"/>
        </w:rPr>
        <w:t>. Aktualna złożoność wymaga bardziej strategicznego podejścia.</w:t>
      </w:r>
    </w:p>
    <w:p w14:paraId="1490EB2E" w14:textId="1963F30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Przyszła WPR na okres </w:t>
      </w:r>
      <w:r w:rsidRPr="00D12858">
        <w:rPr>
          <w:noProof/>
          <w:color w:val="000000"/>
        </w:rPr>
        <w:t>po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27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będzie opierać się na podstawowych celach polityki</w:t>
      </w:r>
      <w:r w:rsidR="00D12858">
        <w:rPr>
          <w:noProof/>
          <w:color w:val="000000"/>
        </w:rPr>
        <w:t xml:space="preserve"> i uki</w:t>
      </w:r>
      <w:r>
        <w:rPr>
          <w:noProof/>
          <w:color w:val="000000"/>
        </w:rPr>
        <w:t>erunkowanych wymogach politycznych, przy jednoczesnym nałożeniu na państwa członkowskie większej odpowiedzialności</w:t>
      </w:r>
      <w:r w:rsidR="00D12858">
        <w:rPr>
          <w:noProof/>
          <w:color w:val="000000"/>
        </w:rPr>
        <w:t xml:space="preserve"> i roz</w:t>
      </w:r>
      <w:r>
        <w:rPr>
          <w:noProof/>
          <w:color w:val="000000"/>
        </w:rPr>
        <w:t>liczalności</w:t>
      </w:r>
      <w:r w:rsidR="00D12858">
        <w:rPr>
          <w:noProof/>
          <w:color w:val="000000"/>
        </w:rPr>
        <w:t xml:space="preserve"> w odn</w:t>
      </w:r>
      <w:r>
        <w:rPr>
          <w:noProof/>
          <w:color w:val="000000"/>
        </w:rPr>
        <w:t>iesieniu do sposobu realizacji tych celów.</w:t>
      </w:r>
    </w:p>
    <w:p w14:paraId="169B0A5F" w14:textId="428F6C3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Elastyczność zostanie rozszerzona na rolników, co da im większą swobodę</w:t>
      </w:r>
      <w:r w:rsidR="00D12858">
        <w:rPr>
          <w:noProof/>
          <w:color w:val="000000"/>
        </w:rPr>
        <w:t xml:space="preserve"> w opr</w:t>
      </w:r>
      <w:r>
        <w:rPr>
          <w:noProof/>
          <w:color w:val="000000"/>
        </w:rPr>
        <w:t>acowywaniu praktyk rolniczych lepiej dostosowanych do ich gospodarstw</w:t>
      </w:r>
      <w:r w:rsidR="00D12858">
        <w:rPr>
          <w:noProof/>
          <w:color w:val="000000"/>
        </w:rPr>
        <w:t xml:space="preserve"> i syt</w:t>
      </w:r>
      <w:r>
        <w:rPr>
          <w:noProof/>
          <w:color w:val="000000"/>
        </w:rPr>
        <w:t>uacji</w:t>
      </w:r>
      <w:r w:rsidRPr="00D12858">
        <w:rPr>
          <w:noProof/>
          <w:color w:val="000000"/>
        </w:rPr>
        <w:t>.</w:t>
      </w:r>
      <w:r w:rsidR="00D12858" w:rsidRPr="00D12858">
        <w:rPr>
          <w:noProof/>
          <w:color w:val="000000"/>
        </w:rPr>
        <w:t xml:space="preserve"> </w:t>
      </w:r>
      <w:r w:rsidRPr="00D12858">
        <w:rPr>
          <w:noProof/>
          <w:color w:val="000000"/>
        </w:rPr>
        <w:t>O</w:t>
      </w:r>
      <w:r>
        <w:rPr>
          <w:noProof/>
          <w:color w:val="000000"/>
        </w:rPr>
        <w:t>becny system warunkowości zostanie uproszczony. Rolnicy pozytywnie zareagowali na wprowadzenie ekoschematów, które nagradzają ich za świadczenie usług ekosystemowych wykraczających poza obowiązkowe wymogi</w:t>
      </w:r>
      <w:r w:rsidR="00D12858">
        <w:rPr>
          <w:noProof/>
          <w:color w:val="000000"/>
        </w:rPr>
        <w:t>. W prz</w:t>
      </w:r>
      <w:r>
        <w:rPr>
          <w:noProof/>
          <w:color w:val="000000"/>
        </w:rPr>
        <w:t>yszłej WPR Komisj</w:t>
      </w:r>
      <w:r w:rsidRPr="00D12858">
        <w:rPr>
          <w:noProof/>
          <w:color w:val="000000"/>
        </w:rPr>
        <w:t>a</w:t>
      </w:r>
      <w:r w:rsidR="00D12858" w:rsidRPr="00D12858">
        <w:rPr>
          <w:noProof/>
          <w:color w:val="000000"/>
        </w:rPr>
        <w:t xml:space="preserve"> </w:t>
      </w:r>
      <w:r w:rsidRPr="00D12858">
        <w:rPr>
          <w:b/>
          <w:noProof/>
          <w:color w:val="000000"/>
        </w:rPr>
        <w:t>o</w:t>
      </w:r>
      <w:r>
        <w:rPr>
          <w:b/>
          <w:noProof/>
          <w:color w:val="000000"/>
        </w:rPr>
        <w:t>dejdzie od zasady warunkowości na rzecz systemu zachęt</w:t>
      </w:r>
      <w:r>
        <w:rPr>
          <w:noProof/>
          <w:color w:val="000000"/>
        </w:rPr>
        <w:t>.</w:t>
      </w:r>
    </w:p>
    <w:p w14:paraId="54E99D00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</w:p>
    <w:p w14:paraId="2138F593" w14:textId="7777777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Wykorzystanie potencjału systemu nagród za innowacje</w:t>
      </w:r>
    </w:p>
    <w:p w14:paraId="2131C373" w14:textId="1C1570DF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>Rolnicy</w:t>
      </w:r>
      <w:r w:rsidR="00D12858">
        <w:rPr>
          <w:noProof/>
          <w:color w:val="000000" w:themeColor="text1"/>
        </w:rPr>
        <w:t xml:space="preserve"> z nat</w:t>
      </w:r>
      <w:r>
        <w:rPr>
          <w:noProof/>
          <w:color w:val="000000" w:themeColor="text1"/>
        </w:rPr>
        <w:t>ury są innowatorami</w:t>
      </w:r>
      <w:r w:rsidR="00D12858">
        <w:rPr>
          <w:noProof/>
          <w:color w:val="000000" w:themeColor="text1"/>
        </w:rPr>
        <w:t xml:space="preserve"> i prz</w:t>
      </w:r>
      <w:r>
        <w:rPr>
          <w:noProof/>
          <w:color w:val="000000" w:themeColor="text1"/>
        </w:rPr>
        <w:t xml:space="preserve">edsiębiorcami. </w:t>
      </w:r>
      <w:r>
        <w:rPr>
          <w:b/>
          <w:noProof/>
          <w:color w:val="000000" w:themeColor="text1"/>
        </w:rPr>
        <w:t xml:space="preserve">Młodzi rolnicy chcą być siłą napędową innowacji. </w:t>
      </w:r>
      <w:r>
        <w:rPr>
          <w:noProof/>
          <w:color w:val="000000" w:themeColor="text1"/>
        </w:rPr>
        <w:t>Pojawiają się nowe możliwości dodatkowych źródeł dochodu dla rolników</w:t>
      </w:r>
      <w:r w:rsidR="00D12858">
        <w:rPr>
          <w:noProof/>
          <w:color w:val="000000" w:themeColor="text1"/>
        </w:rPr>
        <w:t xml:space="preserve"> i ryb</w:t>
      </w:r>
      <w:r>
        <w:rPr>
          <w:noProof/>
          <w:color w:val="000000" w:themeColor="text1"/>
        </w:rPr>
        <w:t>aków związane</w:t>
      </w:r>
      <w:r w:rsidR="00D12858">
        <w:rPr>
          <w:noProof/>
          <w:color w:val="000000" w:themeColor="text1"/>
        </w:rPr>
        <w:t xml:space="preserve"> z neu</w:t>
      </w:r>
      <w:r>
        <w:rPr>
          <w:noProof/>
          <w:color w:val="000000" w:themeColor="text1"/>
        </w:rPr>
        <w:t>tralną dla klimatu</w:t>
      </w:r>
      <w:r w:rsidR="00D12858">
        <w:rPr>
          <w:noProof/>
          <w:color w:val="000000" w:themeColor="text1"/>
        </w:rPr>
        <w:t xml:space="preserve"> i kor</w:t>
      </w:r>
      <w:r>
        <w:rPr>
          <w:noProof/>
          <w:color w:val="000000" w:themeColor="text1"/>
        </w:rPr>
        <w:t>zystną dla przyrody gospodarką.</w:t>
      </w:r>
    </w:p>
    <w:p w14:paraId="0D23CB5A" w14:textId="5BF744EA" w:rsidR="00EF513A" w:rsidRDefault="00E133DA">
      <w:pPr>
        <w:spacing w:after="120"/>
        <w:rPr>
          <w:noProof/>
        </w:rPr>
      </w:pPr>
      <w:r>
        <w:rPr>
          <w:noProof/>
        </w:rPr>
        <w:t xml:space="preserve">Konkretne przykłady to rozwijający się </w:t>
      </w:r>
      <w:r>
        <w:rPr>
          <w:b/>
          <w:noProof/>
        </w:rPr>
        <w:t>sektor ekologiczny</w:t>
      </w:r>
      <w:r w:rsidR="00D12858">
        <w:rPr>
          <w:b/>
          <w:noProof/>
        </w:rPr>
        <w:t xml:space="preserve"> i agr</w:t>
      </w:r>
      <w:r>
        <w:rPr>
          <w:b/>
          <w:noProof/>
        </w:rPr>
        <w:t>oekologiczne praktyki rolnicze</w:t>
      </w:r>
      <w:r>
        <w:rPr>
          <w:noProof/>
        </w:rPr>
        <w:t>, które okazują się atrakcyjne dla młodszych rolników, łącząc możliwości gospodarcze</w:t>
      </w:r>
      <w:r w:rsidR="00D12858">
        <w:rPr>
          <w:noProof/>
        </w:rPr>
        <w:t xml:space="preserve"> z efe</w:t>
      </w:r>
      <w:r>
        <w:rPr>
          <w:noProof/>
        </w:rPr>
        <w:t>ktami środowiskowymi</w:t>
      </w:r>
      <w:r w:rsidR="00D12858">
        <w:rPr>
          <w:noProof/>
        </w:rPr>
        <w:t xml:space="preserve"> i odp</w:t>
      </w:r>
      <w:r>
        <w:rPr>
          <w:noProof/>
        </w:rPr>
        <w:t>owiedzialnością społeczną.</w:t>
      </w:r>
    </w:p>
    <w:p w14:paraId="313CF47E" w14:textId="258346C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Dla innych innowacje otwierają nowe</w:t>
      </w:r>
      <w:r w:rsidR="00D12858">
        <w:rPr>
          <w:noProof/>
          <w:color w:val="000000"/>
        </w:rPr>
        <w:t xml:space="preserve"> i int</w:t>
      </w:r>
      <w:r>
        <w:rPr>
          <w:noProof/>
          <w:color w:val="000000"/>
        </w:rPr>
        <w:t xml:space="preserve">eresujące możliwości. Na przykład </w:t>
      </w:r>
      <w:r>
        <w:rPr>
          <w:b/>
          <w:noProof/>
          <w:color w:val="000000"/>
        </w:rPr>
        <w:t>biogospodarka</w:t>
      </w:r>
      <w:r w:rsidR="00D12858">
        <w:rPr>
          <w:noProof/>
          <w:color w:val="000000"/>
        </w:rPr>
        <w:t xml:space="preserve"> i </w:t>
      </w:r>
      <w:r w:rsidR="00D12858">
        <w:rPr>
          <w:b/>
          <w:noProof/>
          <w:color w:val="000000"/>
        </w:rPr>
        <w:t>obi</w:t>
      </w:r>
      <w:r>
        <w:rPr>
          <w:b/>
          <w:noProof/>
          <w:color w:val="000000"/>
        </w:rPr>
        <w:t>eg zamknięty</w:t>
      </w:r>
      <w:r>
        <w:rPr>
          <w:noProof/>
          <w:color w:val="000000"/>
        </w:rPr>
        <w:t xml:space="preserve"> oferują ogromne możliwości rozwoju rolnictwu, leśnictwu</w:t>
      </w:r>
      <w:r w:rsidR="00D12858">
        <w:rPr>
          <w:noProof/>
          <w:color w:val="000000"/>
        </w:rPr>
        <w:t xml:space="preserve"> i cał</w:t>
      </w:r>
      <w:r>
        <w:rPr>
          <w:noProof/>
          <w:color w:val="000000"/>
        </w:rPr>
        <w:t>emu systemowi żywnościowemu, także pod kątem zmniejszenia naszych krytycznych zależności.</w:t>
      </w:r>
      <w:r>
        <w:rPr>
          <w:b/>
          <w:noProof/>
          <w:color w:val="000000"/>
        </w:rPr>
        <w:t xml:space="preserve"> </w:t>
      </w:r>
      <w:r>
        <w:rPr>
          <w:noProof/>
          <w:color w:val="000000"/>
        </w:rPr>
        <w:t xml:space="preserve">Celem nowej </w:t>
      </w:r>
      <w:r>
        <w:rPr>
          <w:b/>
          <w:noProof/>
          <w:color w:val="000000"/>
        </w:rPr>
        <w:t>strategii dotyczącej biogospodarki</w:t>
      </w:r>
      <w:r>
        <w:rPr>
          <w:noProof/>
          <w:color w:val="000000"/>
        </w:rPr>
        <w:t>, która ma zostać przedstawiona do końca 20</w:t>
      </w:r>
      <w:r w:rsidRPr="00D12858">
        <w:rPr>
          <w:noProof/>
          <w:color w:val="000000"/>
        </w:rPr>
        <w:t>25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>, będzie uczynienie Unii Europejskiej światowym liderem na szybko rozwijającym się rynku biogospodarki. Musimy przyspieszyć komercjalizację rozwiązań biotechnologicznych</w:t>
      </w:r>
      <w:r w:rsidR="00D12858">
        <w:rPr>
          <w:noProof/>
          <w:color w:val="000000"/>
        </w:rPr>
        <w:t xml:space="preserve"> i roz</w:t>
      </w:r>
      <w:r>
        <w:rPr>
          <w:noProof/>
          <w:color w:val="000000"/>
        </w:rPr>
        <w:t>wiązań opartych na obiegu zamkniętym, zwiększyć skalę przełomowych biotechnologii, wykorzystać pojawiające się możliwości rynkowe</w:t>
      </w:r>
      <w:r w:rsidR="00D12858">
        <w:rPr>
          <w:noProof/>
          <w:color w:val="000000"/>
        </w:rPr>
        <w:t xml:space="preserve"> i wyp</w:t>
      </w:r>
      <w:r>
        <w:rPr>
          <w:noProof/>
          <w:color w:val="000000"/>
        </w:rPr>
        <w:t>ełnić luki inwestycyjne. Będzie to szczególnie korzystne dla społeczności rolniczej dzięki umożliwieniu dywersyfikacji strumieni wartości, waloryzacji pozostałości</w:t>
      </w:r>
      <w:r w:rsidR="00D12858">
        <w:rPr>
          <w:noProof/>
          <w:color w:val="000000"/>
        </w:rPr>
        <w:t xml:space="preserve"> z gos</w:t>
      </w:r>
      <w:r>
        <w:rPr>
          <w:noProof/>
          <w:color w:val="000000"/>
        </w:rPr>
        <w:t>podarstw, wzmocnieniu roli producentów surowców</w:t>
      </w:r>
      <w:r w:rsidR="00D12858">
        <w:rPr>
          <w:noProof/>
          <w:color w:val="000000"/>
        </w:rPr>
        <w:t xml:space="preserve"> w łań</w:t>
      </w:r>
      <w:r>
        <w:rPr>
          <w:noProof/>
          <w:color w:val="000000"/>
        </w:rPr>
        <w:t>cuchu wartości oraz tworzeniu nowych miejsc pracy na obszarach wiejskich. Komisja będzie współpracować</w:t>
      </w:r>
      <w:r w:rsidR="00D12858">
        <w:rPr>
          <w:noProof/>
          <w:color w:val="000000"/>
        </w:rPr>
        <w:t xml:space="preserve"> z par</w:t>
      </w:r>
      <w:r>
        <w:rPr>
          <w:noProof/>
          <w:color w:val="000000"/>
        </w:rPr>
        <w:t>tnerami międzynarodowymi,</w:t>
      </w:r>
      <w:r w:rsidR="00D12858">
        <w:rPr>
          <w:noProof/>
          <w:color w:val="000000"/>
        </w:rPr>
        <w:t xml:space="preserve"> w szc</w:t>
      </w:r>
      <w:r>
        <w:rPr>
          <w:noProof/>
          <w:color w:val="000000"/>
        </w:rPr>
        <w:t>zególności za pośrednictwem Organizacji ds. Wyżywienia</w:t>
      </w:r>
      <w:r w:rsidR="00D12858">
        <w:rPr>
          <w:noProof/>
          <w:color w:val="000000"/>
        </w:rPr>
        <w:t xml:space="preserve"> i Rol</w:t>
      </w:r>
      <w:r>
        <w:rPr>
          <w:noProof/>
          <w:color w:val="000000"/>
        </w:rPr>
        <w:t>nictwa (FAO), aby wspólnie określić zrównoważone sposoby wykorzystania potencjału biogospodarki</w:t>
      </w:r>
      <w:r w:rsidR="00D12858">
        <w:rPr>
          <w:noProof/>
          <w:color w:val="000000"/>
        </w:rPr>
        <w:t xml:space="preserve"> z myś</w:t>
      </w:r>
      <w:r>
        <w:rPr>
          <w:noProof/>
          <w:color w:val="000000"/>
        </w:rPr>
        <w:t>lą</w:t>
      </w:r>
      <w:r w:rsidR="00D12858">
        <w:rPr>
          <w:noProof/>
          <w:color w:val="000000"/>
        </w:rPr>
        <w:t xml:space="preserve"> o rol</w:t>
      </w:r>
      <w:r>
        <w:rPr>
          <w:noProof/>
          <w:color w:val="000000"/>
        </w:rPr>
        <w:t>nikach nie tylko</w:t>
      </w:r>
      <w:r w:rsidR="00D12858">
        <w:rPr>
          <w:noProof/>
          <w:color w:val="000000"/>
        </w:rPr>
        <w:t xml:space="preserve"> w Eur</w:t>
      </w:r>
      <w:r>
        <w:rPr>
          <w:noProof/>
          <w:color w:val="000000"/>
        </w:rPr>
        <w:t xml:space="preserve">opie, ale również na całym świecie. </w:t>
      </w:r>
    </w:p>
    <w:p w14:paraId="0A7C537A" w14:textId="12BB109A" w:rsidR="00EF513A" w:rsidRDefault="00BF5473">
      <w:pPr>
        <w:spacing w:line="257" w:lineRule="auto"/>
        <w:rPr>
          <w:noProof/>
        </w:rPr>
      </w:pPr>
      <w:r>
        <w:rPr>
          <w:noProof/>
        </w:rPr>
        <w:t>Innowacyjne narzędzia finansowania –</w:t>
      </w:r>
      <w:r w:rsidR="00D12858">
        <w:rPr>
          <w:noProof/>
        </w:rPr>
        <w:t xml:space="preserve"> w tym</w:t>
      </w:r>
      <w:r>
        <w:rPr>
          <w:noProof/>
        </w:rPr>
        <w:t xml:space="preserve"> prywatne</w:t>
      </w:r>
      <w:r w:rsidR="00D12858">
        <w:rPr>
          <w:noProof/>
        </w:rPr>
        <w:t xml:space="preserve"> i mie</w:t>
      </w:r>
      <w:r>
        <w:rPr>
          <w:noProof/>
        </w:rPr>
        <w:t>szane finansowanie publiczno-prywatne na rzecz przyrody – mogą,</w:t>
      </w:r>
      <w:r w:rsidR="00D12858">
        <w:rPr>
          <w:noProof/>
        </w:rPr>
        <w:t xml:space="preserve"> w uzu</w:t>
      </w:r>
      <w:r>
        <w:rPr>
          <w:noProof/>
        </w:rPr>
        <w:t>pełnieniu wsparcia publicznego, nagradzać rolników, którzy stosują praktyki pozytywne dla przyrody lub przechodzą na nie,</w:t>
      </w:r>
      <w:r w:rsidR="00D12858">
        <w:rPr>
          <w:noProof/>
        </w:rPr>
        <w:t xml:space="preserve"> i pom</w:t>
      </w:r>
      <w:r>
        <w:rPr>
          <w:noProof/>
        </w:rPr>
        <w:t>óc im nawiązać relacje biznesow</w:t>
      </w:r>
      <w:r w:rsidR="00D12858">
        <w:rPr>
          <w:noProof/>
        </w:rPr>
        <w:t xml:space="preserve"> z prz</w:t>
      </w:r>
      <w:r>
        <w:rPr>
          <w:noProof/>
        </w:rPr>
        <w:t>edsiębiorstwami</w:t>
      </w:r>
      <w:r w:rsidR="00D12858">
        <w:rPr>
          <w:noProof/>
        </w:rPr>
        <w:t xml:space="preserve"> i inw</w:t>
      </w:r>
      <w:r>
        <w:rPr>
          <w:noProof/>
        </w:rPr>
        <w:t>estorami zainteresowanymi takimi praktykami.</w:t>
      </w:r>
    </w:p>
    <w:p w14:paraId="5EC2B3BB" w14:textId="65A2960E" w:rsidR="004A54A9" w:rsidRDefault="00BF5473">
      <w:pPr>
        <w:spacing w:line="257" w:lineRule="auto"/>
        <w:rPr>
          <w:noProof/>
        </w:rPr>
      </w:pPr>
      <w:r>
        <w:rPr>
          <w:b/>
          <w:noProof/>
        </w:rPr>
        <w:t>Techniki węglochłonne</w:t>
      </w:r>
      <w:r>
        <w:rPr>
          <w:noProof/>
        </w:rPr>
        <w:t xml:space="preserve"> już teraz stają się dodatkowym źródłem dochodów. Rozporządzenie</w:t>
      </w:r>
      <w:r w:rsidR="00D12858">
        <w:rPr>
          <w:noProof/>
        </w:rPr>
        <w:t xml:space="preserve"> w spr</w:t>
      </w:r>
      <w:r>
        <w:rPr>
          <w:noProof/>
        </w:rPr>
        <w:t>awie pochłaniania dwutlenku węgla</w:t>
      </w:r>
      <w:r w:rsidR="00D12858">
        <w:rPr>
          <w:noProof/>
        </w:rPr>
        <w:t xml:space="preserve"> i tec</w:t>
      </w:r>
      <w:r>
        <w:rPr>
          <w:noProof/>
        </w:rPr>
        <w:t>hnik węglochłonnych (CRCF)</w:t>
      </w:r>
      <w:r w:rsidR="001B372A" w:rsidRPr="00EA40EB">
        <w:rPr>
          <w:rStyle w:val="FootnoteReference"/>
          <w:noProof/>
        </w:rPr>
        <w:footnoteReference w:id="20"/>
      </w:r>
      <w:r>
        <w:rPr>
          <w:noProof/>
        </w:rPr>
        <w:t xml:space="preserve"> </w:t>
      </w:r>
      <w:r>
        <w:rPr>
          <w:noProof/>
          <w:color w:val="26324B"/>
        </w:rPr>
        <w:t>stworzyło pierwsze ogólnounijne dobrowolne ramy certyfikacji pochłaniania dwutlenku węgla, technik węglochłonnych</w:t>
      </w:r>
      <w:r w:rsidR="00D12858">
        <w:rPr>
          <w:noProof/>
          <w:color w:val="26324B"/>
        </w:rPr>
        <w:t xml:space="preserve"> i skł</w:t>
      </w:r>
      <w:r>
        <w:rPr>
          <w:noProof/>
          <w:color w:val="26324B"/>
        </w:rPr>
        <w:t>adowania dwutlenku węgla</w:t>
      </w:r>
      <w:r w:rsidR="00D12858">
        <w:rPr>
          <w:noProof/>
          <w:color w:val="26324B"/>
        </w:rPr>
        <w:t xml:space="preserve"> w pro</w:t>
      </w:r>
      <w:r>
        <w:rPr>
          <w:noProof/>
          <w:color w:val="26324B"/>
        </w:rPr>
        <w:t>duktach</w:t>
      </w:r>
      <w:r w:rsidR="00D12858">
        <w:rPr>
          <w:noProof/>
          <w:color w:val="26324B"/>
        </w:rPr>
        <w:t xml:space="preserve"> w cał</w:t>
      </w:r>
      <w:r>
        <w:rPr>
          <w:noProof/>
          <w:color w:val="26324B"/>
        </w:rPr>
        <w:t>ej Europie</w:t>
      </w:r>
      <w:r>
        <w:rPr>
          <w:noProof/>
        </w:rPr>
        <w:t>,</w:t>
      </w:r>
      <w:r w:rsidR="00D12858">
        <w:rPr>
          <w:noProof/>
        </w:rPr>
        <w:t xml:space="preserve"> a obe</w:t>
      </w:r>
      <w:r>
        <w:rPr>
          <w:noProof/>
        </w:rPr>
        <w:t>cnie opracowywane są metody certyfikacji</w:t>
      </w:r>
      <w:r w:rsidR="00D12858">
        <w:rPr>
          <w:noProof/>
        </w:rPr>
        <w:t xml:space="preserve"> w cel</w:t>
      </w:r>
      <w:r>
        <w:rPr>
          <w:noProof/>
        </w:rPr>
        <w:t>u wiarygodnego monitorowania, raportowania</w:t>
      </w:r>
      <w:r w:rsidR="00D12858">
        <w:rPr>
          <w:noProof/>
        </w:rPr>
        <w:t xml:space="preserve"> i wer</w:t>
      </w:r>
      <w:r>
        <w:rPr>
          <w:noProof/>
        </w:rPr>
        <w:t>yfikacji pochłaniania dwutlenku węgla, redukcji emisji</w:t>
      </w:r>
      <w:r w:rsidR="00D12858">
        <w:rPr>
          <w:noProof/>
        </w:rPr>
        <w:t xml:space="preserve"> z gle</w:t>
      </w:r>
      <w:r>
        <w:rPr>
          <w:noProof/>
        </w:rPr>
        <w:t>by</w:t>
      </w:r>
      <w:r w:rsidR="00D12858">
        <w:rPr>
          <w:noProof/>
        </w:rPr>
        <w:t xml:space="preserve"> i kor</w:t>
      </w:r>
      <w:r>
        <w:rPr>
          <w:noProof/>
        </w:rPr>
        <w:t>zyści dla różnorodności biologicznej. Metody te będą</w:t>
      </w:r>
      <w:r w:rsidR="00D12858">
        <w:rPr>
          <w:noProof/>
        </w:rPr>
        <w:t xml:space="preserve"> w mia</w:t>
      </w:r>
      <w:r>
        <w:rPr>
          <w:noProof/>
        </w:rPr>
        <w:t>rę możliwości opierać się na istniejących systemach, które już</w:t>
      </w:r>
      <w:r w:rsidR="00D12858">
        <w:rPr>
          <w:noProof/>
        </w:rPr>
        <w:t xml:space="preserve"> z pow</w:t>
      </w:r>
      <w:r>
        <w:rPr>
          <w:noProof/>
        </w:rPr>
        <w:t>odzeniem zapewniają rolnikom dodatkowe dochody. Gdy skuteczne sposoby dopasowywania podaży</w:t>
      </w:r>
      <w:r w:rsidR="00D12858">
        <w:rPr>
          <w:noProof/>
        </w:rPr>
        <w:t xml:space="preserve"> i pop</w:t>
      </w:r>
      <w:r>
        <w:rPr>
          <w:noProof/>
        </w:rPr>
        <w:t>ytu na te dobrowolne jednostki zostaną już</w:t>
      </w:r>
      <w:r w:rsidR="00D12858">
        <w:rPr>
          <w:noProof/>
        </w:rPr>
        <w:t xml:space="preserve"> w peł</w:t>
      </w:r>
      <w:r>
        <w:rPr>
          <w:noProof/>
        </w:rPr>
        <w:t>ni opracowane, konieczna będzie ich stymulacja, aby jak najlepiej wykorzystać ich potencjał do generowania dodatkowych dochodów dla rolników.</w:t>
      </w:r>
    </w:p>
    <w:p w14:paraId="02A685DC" w14:textId="73B27EF4" w:rsidR="00EF513A" w:rsidRDefault="00BF5473">
      <w:pPr>
        <w:spacing w:line="257" w:lineRule="auto"/>
        <w:rPr>
          <w:noProof/>
        </w:rPr>
      </w:pPr>
      <w:r>
        <w:rPr>
          <w:noProof/>
        </w:rPr>
        <w:t>W przyszłości Komisja uzupełni to, rozwijając możliwości</w:t>
      </w:r>
      <w:r w:rsidR="00D12858">
        <w:rPr>
          <w:noProof/>
        </w:rPr>
        <w:t xml:space="preserve"> w zak</w:t>
      </w:r>
      <w:r>
        <w:rPr>
          <w:noProof/>
        </w:rPr>
        <w:t xml:space="preserve">resie </w:t>
      </w:r>
      <w:r>
        <w:rPr>
          <w:b/>
          <w:noProof/>
        </w:rPr>
        <w:t>przyrodniczych punktów kredytowych</w:t>
      </w:r>
      <w:r>
        <w:rPr>
          <w:noProof/>
        </w:rPr>
        <w:t>, jednostek działań przyjaznych dla przyrody, reprezentujących określone ilościowo</w:t>
      </w:r>
      <w:r w:rsidR="00D12858">
        <w:rPr>
          <w:noProof/>
        </w:rPr>
        <w:t xml:space="preserve"> i cer</w:t>
      </w:r>
      <w:r>
        <w:rPr>
          <w:noProof/>
        </w:rPr>
        <w:t>tyfikowane, wysokiej jakości wyniki pozytywne dla przyrody. Szereg istniejących programów opracowanych przez operatorów komercyjnych</w:t>
      </w:r>
      <w:r w:rsidR="00D12858">
        <w:rPr>
          <w:noProof/>
        </w:rPr>
        <w:t xml:space="preserve"> i trw</w:t>
      </w:r>
      <w:r>
        <w:rPr>
          <w:noProof/>
        </w:rPr>
        <w:t>ających obecnie projektów pilotażowych – zarówno na szczeblu unijnym, jak</w:t>
      </w:r>
      <w:r w:rsidR="00D12858">
        <w:rPr>
          <w:noProof/>
        </w:rPr>
        <w:t xml:space="preserve"> i mię</w:t>
      </w:r>
      <w:r>
        <w:rPr>
          <w:noProof/>
        </w:rPr>
        <w:t>dzynarodowym – wskazuje na istotny potencjał takich projektów, na których mogą się opierać dalsze prace.</w:t>
      </w:r>
    </w:p>
    <w:p w14:paraId="496A00D1" w14:textId="5207390C" w:rsidR="00EF513A" w:rsidRPr="00152479" w:rsidRDefault="00BF5473" w:rsidP="00152479">
      <w:pPr>
        <w:pStyle w:val="Text2"/>
        <w:spacing w:after="120"/>
        <w:ind w:left="0"/>
        <w:rPr>
          <w:b/>
          <w:bCs/>
          <w:noProof/>
        </w:rPr>
      </w:pPr>
      <w:r>
        <w:rPr>
          <w:noProof/>
          <w:color w:val="000000"/>
        </w:rPr>
        <w:t>Pojawiają się również istotne możliwości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 xml:space="preserve">resie </w:t>
      </w:r>
      <w:r>
        <w:rPr>
          <w:b/>
          <w:noProof/>
          <w:color w:val="000000"/>
        </w:rPr>
        <w:t>produkcji energii ze źródeł odnawialnych</w:t>
      </w:r>
      <w:r>
        <w:rPr>
          <w:noProof/>
          <w:color w:val="000000"/>
        </w:rPr>
        <w:t>, co zwiększa bezpieczeństwo energetyczne, zmniejsza emisje gazów cieplarnianych oraz oferuje rolnikom</w:t>
      </w:r>
      <w:r w:rsidR="00D12858">
        <w:rPr>
          <w:noProof/>
          <w:color w:val="000000"/>
        </w:rPr>
        <w:t xml:space="preserve"> i leś</w:t>
      </w:r>
      <w:r>
        <w:rPr>
          <w:noProof/>
          <w:color w:val="000000"/>
        </w:rPr>
        <w:t>nikom dodatkowe dochody</w:t>
      </w:r>
      <w:r w:rsidR="00D12858">
        <w:rPr>
          <w:noProof/>
          <w:color w:val="000000"/>
        </w:rPr>
        <w:t xml:space="preserve"> i per</w:t>
      </w:r>
      <w:r>
        <w:rPr>
          <w:noProof/>
          <w:color w:val="000000"/>
        </w:rPr>
        <w:t>spektywy innowacji. Rolnicy powinni być nie tylko</w:t>
      </w:r>
      <w:r w:rsidR="00D12858">
        <w:rPr>
          <w:noProof/>
          <w:color w:val="000000"/>
        </w:rPr>
        <w:t xml:space="preserve"> w jes</w:t>
      </w:r>
      <w:r>
        <w:rPr>
          <w:noProof/>
          <w:color w:val="000000"/>
        </w:rPr>
        <w:t xml:space="preserve">zcze większym stopniu </w:t>
      </w:r>
      <w:r>
        <w:rPr>
          <w:b/>
          <w:noProof/>
          <w:color w:val="000000"/>
        </w:rPr>
        <w:t>niezależni energetycznie, np. dzięki panelom fotowoltaicznym, wiatrakom</w:t>
      </w:r>
      <w:r w:rsidR="00D12858">
        <w:rPr>
          <w:b/>
          <w:noProof/>
          <w:color w:val="000000"/>
        </w:rPr>
        <w:t xml:space="preserve"> i pro</w:t>
      </w:r>
      <w:r>
        <w:rPr>
          <w:b/>
          <w:noProof/>
          <w:color w:val="000000"/>
        </w:rPr>
        <w:t>dukcji biogazu</w:t>
      </w:r>
      <w:r>
        <w:rPr>
          <w:noProof/>
          <w:color w:val="000000"/>
        </w:rPr>
        <w:t>, ale również powinni być</w:t>
      </w:r>
      <w:r w:rsidR="00D12858">
        <w:rPr>
          <w:noProof/>
          <w:color w:val="000000"/>
        </w:rPr>
        <w:t xml:space="preserve"> w sta</w:t>
      </w:r>
      <w:r>
        <w:rPr>
          <w:noProof/>
          <w:color w:val="000000"/>
        </w:rPr>
        <w:t xml:space="preserve">nie </w:t>
      </w:r>
      <w:r>
        <w:rPr>
          <w:b/>
          <w:noProof/>
          <w:color w:val="000000"/>
        </w:rPr>
        <w:t>dostarczać swoje produkty energetyczne na rynek</w:t>
      </w:r>
      <w:r>
        <w:rPr>
          <w:noProof/>
        </w:rPr>
        <w:t>,</w:t>
      </w:r>
      <w:r w:rsidR="00D12858">
        <w:rPr>
          <w:noProof/>
        </w:rPr>
        <w:t xml:space="preserve"> w tym</w:t>
      </w:r>
      <w:r>
        <w:rPr>
          <w:noProof/>
        </w:rPr>
        <w:t xml:space="preserve"> za pośrednictwem społeczności energetycznych.</w:t>
      </w:r>
    </w:p>
    <w:p w14:paraId="02AE3F1A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noProof/>
          <w:color w:val="000000"/>
        </w:rPr>
      </w:pPr>
    </w:p>
    <w:p w14:paraId="71B78582" w14:textId="6EFBEF12" w:rsidR="00EF513A" w:rsidRDefault="00BF54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Przykłady:</w:t>
      </w:r>
    </w:p>
    <w:p w14:paraId="2889CDDB" w14:textId="002D71F8" w:rsidR="00EF513A" w:rsidRDefault="00BF54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Cyfryzacja (w tym sztuczna inteligencja), badania naukowe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owacyjne agrotechnologie mogą zrewolucjonizować rolnictwo</w:t>
      </w:r>
      <w:r w:rsidR="00D12858">
        <w:rPr>
          <w:noProof/>
          <w:color w:val="000000"/>
        </w:rPr>
        <w:t xml:space="preserve"> i obn</w:t>
      </w:r>
      <w:r>
        <w:rPr>
          <w:noProof/>
          <w:color w:val="000000"/>
        </w:rPr>
        <w:t>iżyć koszty ponoszone</w:t>
      </w:r>
      <w:r w:rsidR="00D12858">
        <w:rPr>
          <w:noProof/>
          <w:color w:val="000000"/>
        </w:rPr>
        <w:t xml:space="preserve"> w gos</w:t>
      </w:r>
      <w:r>
        <w:rPr>
          <w:noProof/>
          <w:color w:val="000000"/>
        </w:rPr>
        <w:t>podarstwach, przyczyniając się tym samym do zwiększenia dochodów.</w:t>
      </w:r>
    </w:p>
    <w:p w14:paraId="49AB1E41" w14:textId="606CD3AE" w:rsidR="00EF513A" w:rsidRDefault="00BF54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</w:rPr>
      </w:pPr>
      <w:r>
        <w:rPr>
          <w:noProof/>
          <w:color w:val="000000"/>
        </w:rPr>
        <w:t>Platformy handlu elektronicznego, narzędzia marketingu cyfrowego</w:t>
      </w:r>
      <w:r w:rsidR="00D12858">
        <w:rPr>
          <w:noProof/>
          <w:color w:val="000000"/>
        </w:rPr>
        <w:t xml:space="preserve"> i int</w:t>
      </w:r>
      <w:r>
        <w:rPr>
          <w:noProof/>
          <w:color w:val="000000"/>
        </w:rPr>
        <w:t>ernetowe platformy handlowe mogą pomóc rolnikom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ym podmiotom systemu rolno-spożywczego</w:t>
      </w:r>
      <w:r w:rsidR="00D12858">
        <w:rPr>
          <w:noProof/>
          <w:color w:val="000000"/>
        </w:rPr>
        <w:t xml:space="preserve"> w dot</w:t>
      </w:r>
      <w:r>
        <w:rPr>
          <w:noProof/>
          <w:color w:val="000000"/>
        </w:rPr>
        <w:t>arciu do szerszego grona klientów</w:t>
      </w:r>
      <w:r w:rsidR="00D12858">
        <w:rPr>
          <w:noProof/>
          <w:color w:val="000000"/>
        </w:rPr>
        <w:t xml:space="preserve"> i zró</w:t>
      </w:r>
      <w:r>
        <w:rPr>
          <w:noProof/>
          <w:color w:val="000000"/>
        </w:rPr>
        <w:t>żnicowaniu strumieni dochodów.</w:t>
      </w:r>
    </w:p>
    <w:p w14:paraId="44B47955" w14:textId="18CE3EBB" w:rsidR="00EF513A" w:rsidRDefault="00BF5473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</w:rPr>
      </w:pPr>
      <w:r>
        <w:rPr>
          <w:noProof/>
          <w:color w:val="000000"/>
        </w:rPr>
        <w:t>Rolnictwo precyzyjne</w:t>
      </w:r>
      <w:r w:rsidR="00D12858">
        <w:rPr>
          <w:noProof/>
          <w:color w:val="000000"/>
        </w:rPr>
        <w:t xml:space="preserve"> i roz</w:t>
      </w:r>
      <w:r>
        <w:rPr>
          <w:noProof/>
          <w:color w:val="000000"/>
        </w:rPr>
        <w:t>wiązania oparte na danych mogą zwiększyć rentowność dzięki optymalizacji nakładów.</w:t>
      </w:r>
    </w:p>
    <w:p w14:paraId="4171B0AC" w14:textId="19929302" w:rsidR="001A0677" w:rsidRDefault="00BF5473" w:rsidP="00B94B5E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</w:rPr>
      </w:pPr>
      <w:r>
        <w:rPr>
          <w:noProof/>
          <w:color w:val="000000"/>
        </w:rPr>
        <w:t>100 żywych laboratoriów, którym powierzono misję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badań naukowych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owacji zatytułowaną „Pakt na rzecz zdrowych gleb</w:t>
      </w:r>
      <w:r w:rsidR="00D12858">
        <w:rPr>
          <w:noProof/>
          <w:color w:val="000000"/>
        </w:rPr>
        <w:t xml:space="preserve"> w Eur</w:t>
      </w:r>
      <w:r>
        <w:rPr>
          <w:noProof/>
          <w:color w:val="000000"/>
        </w:rPr>
        <w:t>opie”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programu „Horyzont Europa”, jest bezprecedensowym zasobem wspierającym rolników</w:t>
      </w:r>
      <w:r w:rsidR="00D12858">
        <w:rPr>
          <w:noProof/>
          <w:color w:val="000000"/>
        </w:rPr>
        <w:t xml:space="preserve"> w pop</w:t>
      </w:r>
      <w:r>
        <w:rPr>
          <w:noProof/>
          <w:color w:val="000000"/>
        </w:rPr>
        <w:t>rawie ich gleb</w:t>
      </w:r>
      <w:r w:rsidR="00D12858">
        <w:rPr>
          <w:noProof/>
          <w:color w:val="000000"/>
        </w:rPr>
        <w:t xml:space="preserve"> w kon</w:t>
      </w:r>
      <w:r>
        <w:rPr>
          <w:noProof/>
          <w:color w:val="000000"/>
        </w:rPr>
        <w:t>tekście wysokich cen środków produkcji nawozów</w:t>
      </w:r>
      <w:r w:rsidR="00D12858">
        <w:rPr>
          <w:noProof/>
          <w:color w:val="000000"/>
        </w:rPr>
        <w:t xml:space="preserve"> i nie</w:t>
      </w:r>
      <w:r>
        <w:rPr>
          <w:noProof/>
          <w:color w:val="000000"/>
        </w:rPr>
        <w:t>doboru wody oraz innych ekstremalnych zjawisk takich jak powodzie.</w:t>
      </w:r>
    </w:p>
    <w:p w14:paraId="5AE3911D" w14:textId="77777777" w:rsidR="00142373" w:rsidRDefault="001423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</w:p>
    <w:p w14:paraId="50ED13B7" w14:textId="305F645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Opracowanie ambitnego programu inwestycji</w:t>
      </w:r>
    </w:p>
    <w:p w14:paraId="321A211B" w14:textId="6BF198CF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Odporny</w:t>
      </w:r>
      <w:r w:rsidR="00D12858">
        <w:rPr>
          <w:noProof/>
          <w:color w:val="000000"/>
        </w:rPr>
        <w:t xml:space="preserve"> i zró</w:t>
      </w:r>
      <w:r>
        <w:rPr>
          <w:noProof/>
          <w:color w:val="000000"/>
        </w:rPr>
        <w:t>wnoważony system rolno-spożywczy wymaga</w:t>
      </w:r>
      <w:r>
        <w:rPr>
          <w:noProof/>
        </w:rPr>
        <w:t xml:space="preserve"> znacznych inwestycji,</w:t>
      </w:r>
      <w:r w:rsidR="00D12858">
        <w:rPr>
          <w:noProof/>
        </w:rPr>
        <w:t xml:space="preserve"> a tym</w:t>
      </w:r>
      <w:r>
        <w:rPr>
          <w:noProof/>
        </w:rPr>
        <w:t xml:space="preserve"> samym </w:t>
      </w:r>
      <w:r>
        <w:rPr>
          <w:b/>
          <w:noProof/>
        </w:rPr>
        <w:t>zdecydowanych działań na rzecz finansowania</w:t>
      </w:r>
      <w:r w:rsidR="00D12858">
        <w:rPr>
          <w:b/>
          <w:noProof/>
        </w:rPr>
        <w:t xml:space="preserve"> i ogr</w:t>
      </w:r>
      <w:r>
        <w:rPr>
          <w:b/>
          <w:noProof/>
        </w:rPr>
        <w:t>aniczania ryzyka, jakie wiąże się</w:t>
      </w:r>
      <w:r w:rsidR="00D12858">
        <w:rPr>
          <w:b/>
          <w:noProof/>
        </w:rPr>
        <w:t xml:space="preserve"> z tra</w:t>
      </w:r>
      <w:r>
        <w:rPr>
          <w:b/>
          <w:noProof/>
        </w:rPr>
        <w:t>nsformacją</w:t>
      </w:r>
      <w:r w:rsidR="00D12858">
        <w:rPr>
          <w:b/>
          <w:noProof/>
        </w:rPr>
        <w:t xml:space="preserve"> w str</w:t>
      </w:r>
      <w:r>
        <w:rPr>
          <w:b/>
          <w:noProof/>
        </w:rPr>
        <w:t>onę modelu zrównoważonego</w:t>
      </w:r>
      <w:r>
        <w:rPr>
          <w:noProof/>
        </w:rPr>
        <w:t>.</w:t>
      </w:r>
      <w:r>
        <w:rPr>
          <w:noProof/>
          <w:color w:val="000000"/>
        </w:rPr>
        <w:t xml:space="preserve"> Sektor rolny boryka się ze znaczną luką</w:t>
      </w:r>
      <w:r w:rsidR="00D12858">
        <w:rPr>
          <w:noProof/>
          <w:color w:val="000000"/>
        </w:rPr>
        <w:t xml:space="preserve"> w fin</w:t>
      </w:r>
      <w:r>
        <w:rPr>
          <w:noProof/>
          <w:color w:val="000000"/>
        </w:rPr>
        <w:t xml:space="preserve">ansowaniu, szacowaną </w:t>
      </w:r>
      <w:r w:rsidRPr="00D12858">
        <w:rPr>
          <w:noProof/>
          <w:color w:val="000000"/>
        </w:rPr>
        <w:t>na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6</w:t>
      </w:r>
      <w:r>
        <w:rPr>
          <w:noProof/>
          <w:color w:val="000000"/>
        </w:rPr>
        <w:t>2 mld EUR (w 20</w:t>
      </w:r>
      <w:r w:rsidRPr="00D12858">
        <w:rPr>
          <w:noProof/>
          <w:color w:val="000000"/>
        </w:rPr>
        <w:t>22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>), czyli znacznie większą niż</w:t>
      </w:r>
      <w:r w:rsidR="00D12858">
        <w:rPr>
          <w:noProof/>
          <w:color w:val="000000"/>
        </w:rPr>
        <w:t xml:space="preserve"> w 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17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  <w:vertAlign w:val="superscript"/>
        </w:rPr>
        <w:footnoteReference w:id="21"/>
      </w:r>
      <w:r>
        <w:rPr>
          <w:noProof/>
          <w:color w:val="000000"/>
        </w:rPr>
        <w:t xml:space="preserve"> Jednak otrzymanie kredytu</w:t>
      </w:r>
      <w:r w:rsidR="00D12858">
        <w:rPr>
          <w:noProof/>
          <w:color w:val="000000"/>
        </w:rPr>
        <w:t xml:space="preserve"> z ban</w:t>
      </w:r>
      <w:r>
        <w:rPr>
          <w:noProof/>
          <w:color w:val="000000"/>
        </w:rPr>
        <w:t>ku, instytucji finansowych lub od inwestora prywatnego jest trudne, zwłaszcza dla młodych rolników. Wynika to ze stosunkowo małej wielkości gospodarstw, niskich lub niewielkich zwrotów</w:t>
      </w:r>
      <w:r w:rsidR="00D12858">
        <w:rPr>
          <w:noProof/>
          <w:color w:val="000000"/>
        </w:rPr>
        <w:t xml:space="preserve"> z inw</w:t>
      </w:r>
      <w:r>
        <w:rPr>
          <w:noProof/>
          <w:color w:val="000000"/>
        </w:rPr>
        <w:t>estycji, bardzo zmiennej rentowności</w:t>
      </w:r>
      <w:r w:rsidR="00D12858">
        <w:rPr>
          <w:noProof/>
          <w:color w:val="000000"/>
        </w:rPr>
        <w:t xml:space="preserve"> i ryz</w:t>
      </w:r>
      <w:r>
        <w:rPr>
          <w:noProof/>
          <w:color w:val="000000"/>
        </w:rPr>
        <w:t>yka, produkcji nieprzewidywalnej ze względu na skutki pogodowe</w:t>
      </w:r>
      <w:r w:rsidR="00D12858">
        <w:rPr>
          <w:noProof/>
          <w:color w:val="000000"/>
        </w:rPr>
        <w:t xml:space="preserve"> i kli</w:t>
      </w:r>
      <w:r>
        <w:rPr>
          <w:noProof/>
          <w:color w:val="000000"/>
        </w:rPr>
        <w:t>matyczne oraz narażenia na zmienność (globalnych) rynków towarowych.</w:t>
      </w:r>
    </w:p>
    <w:p w14:paraId="2F74E98B" w14:textId="624848D5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WPR będzie nadal finansować inwestycje wspierające konkurencyjność, zrównoważony rozwój</w:t>
      </w:r>
      <w:r w:rsidR="00D12858">
        <w:rPr>
          <w:noProof/>
          <w:color w:val="000000"/>
        </w:rPr>
        <w:t xml:space="preserve"> i odp</w:t>
      </w:r>
      <w:r>
        <w:rPr>
          <w:noProof/>
          <w:color w:val="000000"/>
        </w:rPr>
        <w:t>orność sektora rolnego. Obejmuje to często stosunkowo niewielkie inwestycje na poziomie gospodarstw,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infrastrukturę publiczną</w:t>
      </w:r>
      <w:r w:rsidR="00D12858">
        <w:rPr>
          <w:noProof/>
          <w:color w:val="000000"/>
        </w:rPr>
        <w:t xml:space="preserve"> i pry</w:t>
      </w:r>
      <w:r>
        <w:rPr>
          <w:noProof/>
          <w:color w:val="000000"/>
        </w:rPr>
        <w:t>watną niezbędną do modernizacji sektora. Istniejące instrumenty mogą się wzajemnie wzmacniać tylko wtedy, gdy</w:t>
      </w:r>
      <w:r w:rsidR="00D12858">
        <w:rPr>
          <w:noProof/>
          <w:color w:val="000000"/>
        </w:rPr>
        <w:t xml:space="preserve"> w prz</w:t>
      </w:r>
      <w:r>
        <w:rPr>
          <w:noProof/>
          <w:color w:val="000000"/>
        </w:rPr>
        <w:t>yszłości będą wykorzystywane</w:t>
      </w:r>
      <w:r w:rsidR="00D12858">
        <w:rPr>
          <w:noProof/>
          <w:color w:val="000000"/>
        </w:rPr>
        <w:t xml:space="preserve"> w bar</w:t>
      </w:r>
      <w:r>
        <w:rPr>
          <w:noProof/>
          <w:color w:val="000000"/>
        </w:rPr>
        <w:t>dziej przemyślany sposób.</w:t>
      </w:r>
    </w:p>
    <w:p w14:paraId="33304014" w14:textId="4846F83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Komisja będzie pracować nad efektywnym wykorzystaniem finansowania publicznego</w:t>
      </w:r>
      <w:r w:rsidR="00D12858">
        <w:rPr>
          <w:noProof/>
          <w:color w:val="000000"/>
        </w:rPr>
        <w:t xml:space="preserve"> i inw</w:t>
      </w:r>
      <w:r>
        <w:rPr>
          <w:noProof/>
          <w:color w:val="000000"/>
        </w:rPr>
        <w:t>estycji oraz lewarowaniem kapitału prywatnego</w:t>
      </w:r>
      <w:r w:rsidR="00D12858">
        <w:rPr>
          <w:noProof/>
          <w:color w:val="000000"/>
        </w:rPr>
        <w:t xml:space="preserve"> i ogr</w:t>
      </w:r>
      <w:r>
        <w:rPr>
          <w:noProof/>
          <w:color w:val="000000"/>
        </w:rPr>
        <w:t>aniczaniem ryzyka</w:t>
      </w:r>
      <w:r w:rsidR="00D12858">
        <w:rPr>
          <w:noProof/>
          <w:color w:val="000000"/>
        </w:rPr>
        <w:t xml:space="preserve"> z nim</w:t>
      </w:r>
      <w:r>
        <w:rPr>
          <w:noProof/>
          <w:color w:val="000000"/>
        </w:rPr>
        <w:t xml:space="preserve"> związanego, ściśle współpracując</w:t>
      </w:r>
      <w:r w:rsidR="00D12858">
        <w:rPr>
          <w:noProof/>
          <w:color w:val="000000"/>
        </w:rPr>
        <w:t xml:space="preserve"> z inw</w:t>
      </w:r>
      <w:r>
        <w:rPr>
          <w:noProof/>
          <w:color w:val="000000"/>
        </w:rPr>
        <w:t xml:space="preserve">estorami instytucjonalnymi takimi jak </w:t>
      </w:r>
      <w:r>
        <w:rPr>
          <w:b/>
          <w:noProof/>
          <w:color w:val="000000"/>
        </w:rPr>
        <w:t>Grupa Europejskiego Banku Inwestycyjnego</w:t>
      </w:r>
      <w:r>
        <w:rPr>
          <w:noProof/>
          <w:color w:val="000000"/>
        </w:rPr>
        <w:t xml:space="preserve"> (grupa EBI),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</w:t>
      </w:r>
      <w:r w:rsidR="00D12858">
        <w:rPr>
          <w:noProof/>
          <w:color w:val="000000"/>
        </w:rPr>
        <w:t xml:space="preserve"> z sek</w:t>
      </w:r>
      <w:r>
        <w:rPr>
          <w:noProof/>
          <w:color w:val="000000"/>
        </w:rPr>
        <w:t>torem bankowym.</w:t>
      </w:r>
    </w:p>
    <w:p w14:paraId="5D171D26" w14:textId="6E624BC0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tym względzie Komisja zbada możliwości ustanowienia systemów ubezpieczeń od ryzyka dla producentów surowców,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przeanalizuje partnerstwa publiczno-prywatne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 xml:space="preserve">u </w:t>
      </w:r>
      <w:r>
        <w:rPr>
          <w:b/>
          <w:noProof/>
          <w:color w:val="000000"/>
        </w:rPr>
        <w:t>przyciągnięcia dla MŚP inwestycji</w:t>
      </w:r>
      <w:r w:rsidR="00D12858">
        <w:rPr>
          <w:b/>
          <w:noProof/>
          <w:color w:val="000000"/>
        </w:rPr>
        <w:t xml:space="preserve"> w rol</w:t>
      </w:r>
      <w:r>
        <w:rPr>
          <w:b/>
          <w:noProof/>
          <w:color w:val="000000"/>
        </w:rPr>
        <w:t>nictwo</w:t>
      </w:r>
      <w:r w:rsidR="00D12858">
        <w:rPr>
          <w:b/>
          <w:noProof/>
          <w:color w:val="000000"/>
        </w:rPr>
        <w:t xml:space="preserve"> i prz</w:t>
      </w:r>
      <w:r>
        <w:rPr>
          <w:b/>
          <w:noProof/>
          <w:color w:val="000000"/>
        </w:rPr>
        <w:t>edsiębiorstwa spożywcze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z myś</w:t>
      </w:r>
      <w:r>
        <w:rPr>
          <w:noProof/>
          <w:color w:val="000000"/>
        </w:rPr>
        <w:t>lą</w:t>
      </w:r>
      <w:r w:rsidR="00D12858">
        <w:rPr>
          <w:noProof/>
          <w:color w:val="000000"/>
        </w:rPr>
        <w:t xml:space="preserve"> o prz</w:t>
      </w:r>
      <w:r>
        <w:rPr>
          <w:noProof/>
          <w:color w:val="000000"/>
        </w:rPr>
        <w:t xml:space="preserve">yspieszeniu transformacji łańcucha rolno-spożywczego. </w:t>
      </w:r>
    </w:p>
    <w:p w14:paraId="5AC62B7F" w14:textId="7777777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Wspieranie przedsiębiorczości: nowa strategia wymiany pokoleń</w:t>
      </w:r>
    </w:p>
    <w:p w14:paraId="7F7F882A" w14:textId="70DFE9FB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  <w:r>
        <w:rPr>
          <w:noProof/>
          <w:color w:val="000000"/>
        </w:rPr>
        <w:t>Przyszłość suwerenności żywnościowej</w:t>
      </w:r>
      <w:r w:rsidR="00D12858">
        <w:rPr>
          <w:noProof/>
          <w:color w:val="000000"/>
        </w:rPr>
        <w:t xml:space="preserve"> w Eur</w:t>
      </w:r>
      <w:r>
        <w:rPr>
          <w:noProof/>
          <w:color w:val="000000"/>
        </w:rPr>
        <w:t>opie</w:t>
      </w:r>
      <w:r w:rsidR="00D12858">
        <w:rPr>
          <w:noProof/>
          <w:color w:val="000000"/>
        </w:rPr>
        <w:t xml:space="preserve"> w 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40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spocznie na barkach pokolenia młodych</w:t>
      </w:r>
      <w:r w:rsidR="00D12858">
        <w:rPr>
          <w:noProof/>
          <w:color w:val="000000"/>
        </w:rPr>
        <w:t xml:space="preserve"> i now</w:t>
      </w:r>
      <w:r>
        <w:rPr>
          <w:noProof/>
          <w:color w:val="000000"/>
        </w:rPr>
        <w:t>ych rolników.</w:t>
      </w:r>
    </w:p>
    <w:p w14:paraId="5A97BC13" w14:textId="3F72A35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  <w:r>
        <w:rPr>
          <w:noProof/>
          <w:color w:val="000000" w:themeColor="text1"/>
        </w:rPr>
        <w:t>Jednym</w:t>
      </w:r>
      <w:r w:rsidR="00D12858">
        <w:rPr>
          <w:noProof/>
          <w:color w:val="000000" w:themeColor="text1"/>
        </w:rPr>
        <w:t xml:space="preserve"> z war</w:t>
      </w:r>
      <w:r>
        <w:rPr>
          <w:noProof/>
          <w:color w:val="000000" w:themeColor="text1"/>
        </w:rPr>
        <w:t xml:space="preserve">unków wstępnych zwiększenia atrakcyjności sektora rolnego jest </w:t>
      </w:r>
      <w:r>
        <w:rPr>
          <w:b/>
          <w:noProof/>
          <w:color w:val="000000" w:themeColor="text1"/>
        </w:rPr>
        <w:t>usunięcie kluczowych barier</w:t>
      </w:r>
      <w:r w:rsidR="00D12858">
        <w:rPr>
          <w:b/>
          <w:noProof/>
          <w:color w:val="000000" w:themeColor="text1"/>
        </w:rPr>
        <w:t xml:space="preserve"> w wym</w:t>
      </w:r>
      <w:r>
        <w:rPr>
          <w:b/>
          <w:noProof/>
          <w:color w:val="000000" w:themeColor="text1"/>
        </w:rPr>
        <w:t>ianie pokoleń</w:t>
      </w:r>
      <w:r>
        <w:rPr>
          <w:noProof/>
          <w:color w:val="000000" w:themeColor="text1"/>
        </w:rPr>
        <w:t>,</w:t>
      </w:r>
      <w:r w:rsidR="00D12858">
        <w:rPr>
          <w:noProof/>
          <w:color w:val="000000" w:themeColor="text1"/>
        </w:rPr>
        <w:t xml:space="preserve"> w szc</w:t>
      </w:r>
      <w:r>
        <w:rPr>
          <w:noProof/>
          <w:color w:val="000000" w:themeColor="text1"/>
        </w:rPr>
        <w:t>zególności</w:t>
      </w:r>
      <w:r w:rsidR="00D12858">
        <w:rPr>
          <w:noProof/>
          <w:color w:val="000000" w:themeColor="text1"/>
        </w:rPr>
        <w:t xml:space="preserve"> w zak</w:t>
      </w:r>
      <w:r>
        <w:rPr>
          <w:noProof/>
          <w:color w:val="000000" w:themeColor="text1"/>
        </w:rPr>
        <w:t>resie dostępu do gruntów, inwestycji, umiejętności itp. „Prawo do pozostania” może mieć zastosowanie do startu zawodowego młodych rolników, którzy chcą pozostać</w:t>
      </w:r>
      <w:r w:rsidR="00D12858">
        <w:rPr>
          <w:noProof/>
          <w:color w:val="000000" w:themeColor="text1"/>
        </w:rPr>
        <w:t xml:space="preserve"> i pro</w:t>
      </w:r>
      <w:r>
        <w:rPr>
          <w:noProof/>
          <w:color w:val="000000" w:themeColor="text1"/>
        </w:rPr>
        <w:t>wadzić działalność rolniczą na swoich terenach.</w:t>
      </w:r>
    </w:p>
    <w:p w14:paraId="0A1718D2" w14:textId="139D8A4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  <w:r>
        <w:rPr>
          <w:noProof/>
          <w:color w:val="000000"/>
        </w:rPr>
        <w:t>Odpowiedzialność ta nie może jednak spoczywać wyłącznie na WPR. Stymulowanie prawdziwej wymiany pokoleń wymaga podejścia obejmującego całe społeczeństwo oraz kombinacji polityki</w:t>
      </w:r>
      <w:r w:rsidR="00D12858">
        <w:rPr>
          <w:noProof/>
          <w:color w:val="000000"/>
        </w:rPr>
        <w:t xml:space="preserve"> w róż</w:t>
      </w:r>
      <w:r>
        <w:rPr>
          <w:noProof/>
          <w:color w:val="000000"/>
        </w:rPr>
        <w:t>nych obszarach i na różnych szczeblach,</w:t>
      </w:r>
      <w:r w:rsidR="00D12858">
        <w:rPr>
          <w:noProof/>
          <w:color w:val="000000"/>
        </w:rPr>
        <w:t xml:space="preserve"> z któ</w:t>
      </w:r>
      <w:r>
        <w:rPr>
          <w:noProof/>
          <w:color w:val="000000"/>
        </w:rPr>
        <w:t>rych wiele należy do kompetencji krajowych</w:t>
      </w:r>
      <w:r w:rsidR="00D12858">
        <w:rPr>
          <w:noProof/>
          <w:color w:val="000000"/>
        </w:rPr>
        <w:t xml:space="preserve"> i reg</w:t>
      </w:r>
      <w:r>
        <w:rPr>
          <w:noProof/>
          <w:color w:val="000000"/>
        </w:rPr>
        <w:t>ionalnych.</w:t>
      </w:r>
    </w:p>
    <w:p w14:paraId="331FE3B1" w14:textId="0B8EA4E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  <w:r>
        <w:rPr>
          <w:noProof/>
          <w:color w:val="000000"/>
        </w:rPr>
        <w:t xml:space="preserve">Komisja będzie przewodzić pracom nad </w:t>
      </w:r>
      <w:r>
        <w:rPr>
          <w:b/>
          <w:noProof/>
          <w:color w:val="000000"/>
        </w:rPr>
        <w:t>strategią odnowy pokoleń</w:t>
      </w:r>
      <w:r>
        <w:rPr>
          <w:noProof/>
          <w:color w:val="000000"/>
        </w:rPr>
        <w:t>, która zostanie przedstawiona</w:t>
      </w:r>
      <w:r w:rsidR="00D12858">
        <w:rPr>
          <w:noProof/>
          <w:color w:val="000000"/>
        </w:rPr>
        <w:t xml:space="preserve"> w 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25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w ści</w:t>
      </w:r>
      <w:r>
        <w:rPr>
          <w:noProof/>
          <w:color w:val="000000"/>
        </w:rPr>
        <w:t>słej współpracy</w:t>
      </w:r>
      <w:r w:rsidR="00D12858">
        <w:rPr>
          <w:noProof/>
          <w:color w:val="000000"/>
        </w:rPr>
        <w:t xml:space="preserve"> z pań</w:t>
      </w:r>
      <w:r>
        <w:rPr>
          <w:noProof/>
          <w:color w:val="000000"/>
        </w:rPr>
        <w:t>stwami członkowskimi, Parlamentem Europejskim</w:t>
      </w:r>
      <w:r w:rsidR="00D12858">
        <w:rPr>
          <w:noProof/>
          <w:color w:val="000000"/>
        </w:rPr>
        <w:t xml:space="preserve"> i klu</w:t>
      </w:r>
      <w:r>
        <w:rPr>
          <w:noProof/>
          <w:color w:val="000000"/>
        </w:rPr>
        <w:t xml:space="preserve">czowymi zainteresowanymi stronami. Strategia ta będzie </w:t>
      </w:r>
      <w:r>
        <w:rPr>
          <w:b/>
          <w:noProof/>
          <w:color w:val="000000"/>
        </w:rPr>
        <w:t>zawierać zalecenia</w:t>
      </w:r>
      <w:r>
        <w:rPr>
          <w:noProof/>
          <w:color w:val="000000"/>
        </w:rPr>
        <w:t xml:space="preserve"> dotyczące reakcji politycznej</w:t>
      </w:r>
      <w:r w:rsidR="00D12858">
        <w:rPr>
          <w:noProof/>
          <w:color w:val="000000"/>
        </w:rPr>
        <w:t xml:space="preserve"> i nie</w:t>
      </w:r>
      <w:r>
        <w:rPr>
          <w:noProof/>
          <w:color w:val="000000"/>
        </w:rPr>
        <w:t>zbędnych środków zarówno na szczeblu unijnym, jak</w:t>
      </w:r>
      <w:r w:rsidR="00D12858">
        <w:rPr>
          <w:noProof/>
          <w:color w:val="000000"/>
        </w:rPr>
        <w:t xml:space="preserve"> i kra</w:t>
      </w:r>
      <w:r>
        <w:rPr>
          <w:noProof/>
          <w:color w:val="000000"/>
        </w:rPr>
        <w:t>jowym/regionalnym.</w:t>
      </w:r>
    </w:p>
    <w:p w14:paraId="066F5AA0" w14:textId="4E9ED6A0" w:rsidR="25854FB5" w:rsidRDefault="00BF5473" w:rsidP="57289F9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Ograniczona dostępność żyznych </w:t>
      </w:r>
      <w:r>
        <w:rPr>
          <w:b/>
          <w:noProof/>
          <w:color w:val="000000" w:themeColor="text1"/>
        </w:rPr>
        <w:t>gruntów</w:t>
      </w:r>
      <w:r w:rsidR="00D12858">
        <w:rPr>
          <w:noProof/>
          <w:color w:val="000000" w:themeColor="text1"/>
        </w:rPr>
        <w:t xml:space="preserve"> w kon</w:t>
      </w:r>
      <w:r>
        <w:rPr>
          <w:noProof/>
          <w:color w:val="000000" w:themeColor="text1"/>
        </w:rPr>
        <w:t>tekście rosnącej konkurencji</w:t>
      </w:r>
      <w:r w:rsidR="00D12858">
        <w:rPr>
          <w:noProof/>
          <w:color w:val="000000" w:themeColor="text1"/>
        </w:rPr>
        <w:t xml:space="preserve"> o ich</w:t>
      </w:r>
      <w:r>
        <w:rPr>
          <w:noProof/>
          <w:color w:val="000000" w:themeColor="text1"/>
        </w:rPr>
        <w:t xml:space="preserve"> użytkowanie oraz skutki zmiany klimatu stawiają</w:t>
      </w:r>
      <w:r w:rsidR="00D12858">
        <w:rPr>
          <w:noProof/>
          <w:color w:val="000000" w:themeColor="text1"/>
        </w:rPr>
        <w:t xml:space="preserve"> w tru</w:t>
      </w:r>
      <w:r>
        <w:rPr>
          <w:noProof/>
          <w:color w:val="000000" w:themeColor="text1"/>
        </w:rPr>
        <w:t>dnej sytuacji społeczność rolniczą,</w:t>
      </w:r>
      <w:r w:rsidR="00D12858">
        <w:rPr>
          <w:noProof/>
          <w:color w:val="000000" w:themeColor="text1"/>
        </w:rPr>
        <w:t xml:space="preserve"> a w szc</w:t>
      </w:r>
      <w:r>
        <w:rPr>
          <w:noProof/>
          <w:color w:val="000000" w:themeColor="text1"/>
        </w:rPr>
        <w:t>zególności nowe podmioty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sektorze. Polityka gruntowa obejmuje wiele kwestii pozostających głównie</w:t>
      </w:r>
      <w:r w:rsidR="00D12858">
        <w:rPr>
          <w:noProof/>
          <w:color w:val="000000" w:themeColor="text1"/>
        </w:rPr>
        <w:t xml:space="preserve"> w ram</w:t>
      </w:r>
      <w:r>
        <w:rPr>
          <w:noProof/>
          <w:color w:val="000000" w:themeColor="text1"/>
        </w:rPr>
        <w:t>ach kompetencji krajowych</w:t>
      </w:r>
      <w:r w:rsidR="00D12858">
        <w:rPr>
          <w:noProof/>
          <w:color w:val="000000" w:themeColor="text1"/>
        </w:rPr>
        <w:t>. W pra</w:t>
      </w:r>
      <w:r>
        <w:rPr>
          <w:noProof/>
          <w:color w:val="000000" w:themeColor="text1"/>
        </w:rPr>
        <w:t>cach tych należy uwzględnić obrót gruntami</w:t>
      </w:r>
      <w:r w:rsidR="00D12858">
        <w:rPr>
          <w:noProof/>
          <w:color w:val="000000" w:themeColor="text1"/>
        </w:rPr>
        <w:t xml:space="preserve"> i war</w:t>
      </w:r>
      <w:r>
        <w:rPr>
          <w:noProof/>
          <w:color w:val="000000" w:themeColor="text1"/>
        </w:rPr>
        <w:t>unki przekazywania gruntów,</w:t>
      </w:r>
      <w:r w:rsidR="00D12858">
        <w:rPr>
          <w:noProof/>
          <w:color w:val="000000" w:themeColor="text1"/>
        </w:rPr>
        <w:t xml:space="preserve"> a tak</w:t>
      </w:r>
      <w:r>
        <w:rPr>
          <w:noProof/>
          <w:color w:val="000000" w:themeColor="text1"/>
        </w:rPr>
        <w:t>że zasady łagodzenia skutków przejmowania gruntów, opierając się na dobrych przykładach</w:t>
      </w:r>
      <w:r w:rsidR="00D12858">
        <w:rPr>
          <w:noProof/>
          <w:color w:val="000000" w:themeColor="text1"/>
        </w:rPr>
        <w:t xml:space="preserve"> z kil</w:t>
      </w:r>
      <w:r>
        <w:rPr>
          <w:noProof/>
          <w:color w:val="000000" w:themeColor="text1"/>
        </w:rPr>
        <w:t>ku państw członkowskich</w:t>
      </w:r>
      <w:r w:rsidR="00D12858">
        <w:rPr>
          <w:noProof/>
          <w:color w:val="000000" w:themeColor="text1"/>
        </w:rPr>
        <w:t xml:space="preserve"> w pro</w:t>
      </w:r>
      <w:r>
        <w:rPr>
          <w:noProof/>
          <w:color w:val="000000" w:themeColor="text1"/>
        </w:rPr>
        <w:t>gramach obrotu gruntami. Równie ważna jest przejrzystość</w:t>
      </w:r>
      <w:r w:rsidR="00D12858">
        <w:rPr>
          <w:noProof/>
          <w:color w:val="000000" w:themeColor="text1"/>
        </w:rPr>
        <w:t xml:space="preserve"> w pla</w:t>
      </w:r>
      <w:r>
        <w:rPr>
          <w:noProof/>
          <w:color w:val="000000" w:themeColor="text1"/>
        </w:rPr>
        <w:t>nowaniu przestrzennym</w:t>
      </w:r>
      <w:r w:rsidR="00D12858">
        <w:rPr>
          <w:noProof/>
          <w:color w:val="000000" w:themeColor="text1"/>
        </w:rPr>
        <w:t xml:space="preserve"> i zak</w:t>
      </w:r>
      <w:r>
        <w:rPr>
          <w:noProof/>
          <w:color w:val="000000" w:themeColor="text1"/>
        </w:rPr>
        <w:t>upie gruntów. Państwa członkowskie mają potencjał do stworzenia</w:t>
      </w:r>
      <w:r w:rsidR="00D12858">
        <w:rPr>
          <w:noProof/>
          <w:color w:val="000000" w:themeColor="text1"/>
        </w:rPr>
        <w:t xml:space="preserve"> w swo</w:t>
      </w:r>
      <w:r>
        <w:rPr>
          <w:noProof/>
          <w:color w:val="000000" w:themeColor="text1"/>
        </w:rPr>
        <w:t>im krajowym zestawie narzędzi mocnych dźwigni, które mogłyby ułatwić wymianę pokoleń,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poprzez </w:t>
      </w:r>
      <w:r>
        <w:rPr>
          <w:b/>
          <w:noProof/>
          <w:color w:val="000000" w:themeColor="text1"/>
        </w:rPr>
        <w:t>systemy emerytalne</w:t>
      </w:r>
      <w:r w:rsidR="00D12858">
        <w:rPr>
          <w:b/>
          <w:noProof/>
          <w:color w:val="000000" w:themeColor="text1"/>
        </w:rPr>
        <w:t xml:space="preserve"> i zac</w:t>
      </w:r>
      <w:r>
        <w:rPr>
          <w:b/>
          <w:noProof/>
          <w:color w:val="000000" w:themeColor="text1"/>
        </w:rPr>
        <w:t>hęty podatkowe</w:t>
      </w:r>
      <w:r>
        <w:rPr>
          <w:noProof/>
          <w:color w:val="000000" w:themeColor="text1"/>
        </w:rPr>
        <w:t>.</w:t>
      </w:r>
    </w:p>
    <w:p w14:paraId="59FBABDF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</w:p>
    <w:p w14:paraId="7EBD0D6C" w14:textId="0C99FD61" w:rsidR="009C4F95" w:rsidRPr="003511F6" w:rsidRDefault="00BF5473" w:rsidP="009C4F95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  <w:highlight w:val="white"/>
        </w:rPr>
      </w:pPr>
      <w:r>
        <w:rPr>
          <w:noProof/>
          <w:color w:val="000000"/>
        </w:rPr>
        <w:t>W odpowiedzi na wniosek Parlamentu Europejskiego</w:t>
      </w:r>
      <w:r w:rsidR="00D12858">
        <w:rPr>
          <w:noProof/>
          <w:color w:val="000000"/>
        </w:rPr>
        <w:t xml:space="preserve"> i zgo</w:t>
      </w:r>
      <w:r>
        <w:rPr>
          <w:noProof/>
          <w:color w:val="000000"/>
        </w:rPr>
        <w:t>dnie</w:t>
      </w:r>
      <w:r w:rsidR="00D12858">
        <w:rPr>
          <w:noProof/>
          <w:color w:val="000000"/>
        </w:rPr>
        <w:t xml:space="preserve"> z zal</w:t>
      </w:r>
      <w:r>
        <w:rPr>
          <w:noProof/>
          <w:color w:val="000000"/>
        </w:rPr>
        <w:t xml:space="preserve">eceniem strategicznego dialogu Komisja Europejska będzie pracować nad utworzeniem </w:t>
      </w:r>
      <w:r>
        <w:rPr>
          <w:b/>
          <w:noProof/>
          <w:color w:val="000000"/>
        </w:rPr>
        <w:t>unijnego obserwatorium obszarów rolnych</w:t>
      </w:r>
      <w:r>
        <w:rPr>
          <w:b/>
          <w:noProof/>
          <w:color w:val="000000"/>
          <w:highlight w:val="white"/>
          <w:vertAlign w:val="superscript"/>
        </w:rPr>
        <w:footnoteReference w:id="22"/>
      </w:r>
      <w:r>
        <w:rPr>
          <w:noProof/>
          <w:color w:val="000000"/>
        </w:rPr>
        <w:t>.</w:t>
      </w:r>
      <w:r>
        <w:rPr>
          <w:noProof/>
          <w:color w:val="000000"/>
          <w:highlight w:val="white"/>
        </w:rPr>
        <w:t xml:space="preserve"> Zwiększymy przejrzystość</w:t>
      </w:r>
      <w:r w:rsidR="00D12858">
        <w:rPr>
          <w:noProof/>
          <w:color w:val="000000"/>
          <w:highlight w:val="white"/>
        </w:rPr>
        <w:t xml:space="preserve"> i pog</w:t>
      </w:r>
      <w:r>
        <w:rPr>
          <w:noProof/>
          <w:color w:val="000000"/>
          <w:highlight w:val="white"/>
        </w:rPr>
        <w:t>łębimy współpracę</w:t>
      </w:r>
      <w:r w:rsidR="00D12858">
        <w:rPr>
          <w:noProof/>
          <w:color w:val="000000"/>
          <w:highlight w:val="white"/>
        </w:rPr>
        <w:t xml:space="preserve"> w dzi</w:t>
      </w:r>
      <w:r>
        <w:rPr>
          <w:noProof/>
          <w:color w:val="000000"/>
          <w:highlight w:val="white"/>
        </w:rPr>
        <w:t>edzinach takich jak transakcje dotyczące gruntów</w:t>
      </w:r>
      <w:r w:rsidR="00D12858">
        <w:rPr>
          <w:noProof/>
          <w:color w:val="000000"/>
          <w:highlight w:val="white"/>
        </w:rPr>
        <w:t xml:space="preserve"> i prz</w:t>
      </w:r>
      <w:r>
        <w:rPr>
          <w:noProof/>
          <w:color w:val="000000"/>
          <w:highlight w:val="white"/>
        </w:rPr>
        <w:t>enoszenie praw do użytkowania gruntów, trendy cenowe</w:t>
      </w:r>
      <w:r w:rsidR="00D12858">
        <w:rPr>
          <w:noProof/>
          <w:color w:val="000000"/>
          <w:highlight w:val="white"/>
        </w:rPr>
        <w:t xml:space="preserve"> i zac</w:t>
      </w:r>
      <w:r>
        <w:rPr>
          <w:noProof/>
          <w:color w:val="000000"/>
          <w:highlight w:val="white"/>
        </w:rPr>
        <w:t>howania rynkowe, zmiany</w:t>
      </w:r>
      <w:r w:rsidR="00D12858">
        <w:rPr>
          <w:noProof/>
          <w:color w:val="000000"/>
          <w:highlight w:val="white"/>
        </w:rPr>
        <w:t xml:space="preserve"> w uży</w:t>
      </w:r>
      <w:r>
        <w:rPr>
          <w:noProof/>
          <w:color w:val="000000"/>
          <w:highlight w:val="white"/>
        </w:rPr>
        <w:t>tkowaniu gruntów,</w:t>
      </w:r>
      <w:r w:rsidR="00D12858">
        <w:rPr>
          <w:noProof/>
          <w:color w:val="000000"/>
          <w:highlight w:val="white"/>
        </w:rPr>
        <w:t xml:space="preserve"> a tak</w:t>
      </w:r>
      <w:r>
        <w:rPr>
          <w:noProof/>
          <w:color w:val="000000"/>
          <w:highlight w:val="white"/>
        </w:rPr>
        <w:t>że utrata gruntów rolnych</w:t>
      </w:r>
      <w:r w:rsidR="00D12858">
        <w:rPr>
          <w:noProof/>
          <w:color w:val="000000"/>
          <w:highlight w:val="white"/>
        </w:rPr>
        <w:t xml:space="preserve"> i nat</w:t>
      </w:r>
      <w:r>
        <w:rPr>
          <w:noProof/>
          <w:color w:val="000000"/>
          <w:highlight w:val="white"/>
        </w:rPr>
        <w:t xml:space="preserve">uralnych. </w:t>
      </w:r>
      <w:r>
        <w:rPr>
          <w:noProof/>
          <w:color w:val="000000" w:themeColor="text1"/>
          <w:highlight w:val="white"/>
        </w:rPr>
        <w:t>Obserwatorium pomoże również państwom członkowskim</w:t>
      </w:r>
      <w:r w:rsidR="00D12858">
        <w:rPr>
          <w:noProof/>
          <w:color w:val="000000" w:themeColor="text1"/>
          <w:highlight w:val="white"/>
        </w:rPr>
        <w:t xml:space="preserve"> w pod</w:t>
      </w:r>
      <w:r>
        <w:rPr>
          <w:noProof/>
          <w:color w:val="000000" w:themeColor="text1"/>
          <w:highlight w:val="white"/>
        </w:rPr>
        <w:t xml:space="preserve">ejmowaniu świadomych decyzji dotyczących regulacji ich własnych rynków obszarów rolnych. </w:t>
      </w:r>
      <w:r>
        <w:rPr>
          <w:noProof/>
          <w:color w:val="000000"/>
          <w:highlight w:val="white"/>
        </w:rPr>
        <w:t>Większa przejrzystość sytuacji na rynku</w:t>
      </w:r>
      <w:r w:rsidR="00D12858">
        <w:rPr>
          <w:noProof/>
          <w:color w:val="000000"/>
          <w:highlight w:val="white"/>
        </w:rPr>
        <w:t xml:space="preserve"> i wsp</w:t>
      </w:r>
      <w:r>
        <w:rPr>
          <w:noProof/>
          <w:color w:val="000000"/>
          <w:highlight w:val="white"/>
        </w:rPr>
        <w:t>ółpraca</w:t>
      </w:r>
      <w:r w:rsidR="00D12858">
        <w:rPr>
          <w:noProof/>
          <w:color w:val="000000"/>
          <w:highlight w:val="white"/>
        </w:rPr>
        <w:t xml:space="preserve"> w cał</w:t>
      </w:r>
      <w:r>
        <w:rPr>
          <w:noProof/>
          <w:color w:val="000000"/>
          <w:highlight w:val="white"/>
        </w:rPr>
        <w:t>ej UE ułatwią realizację uzasadnionych interesów polityki rolnej</w:t>
      </w:r>
      <w:r w:rsidR="00D12858">
        <w:rPr>
          <w:noProof/>
          <w:color w:val="000000"/>
          <w:highlight w:val="white"/>
        </w:rPr>
        <w:t xml:space="preserve"> z pos</w:t>
      </w:r>
      <w:r>
        <w:rPr>
          <w:noProof/>
          <w:color w:val="000000"/>
          <w:highlight w:val="white"/>
        </w:rPr>
        <w:t>zanowaniem swobód na jednolitym rynku.</w:t>
      </w:r>
    </w:p>
    <w:p w14:paraId="67F77E8D" w14:textId="77777777" w:rsidR="00EF513A" w:rsidRDefault="00EF513A">
      <w:pPr>
        <w:rPr>
          <w:b/>
          <w:noProof/>
          <w:u w:val="single"/>
        </w:rPr>
      </w:pPr>
    </w:p>
    <w:p w14:paraId="1CBEC63C" w14:textId="71449030" w:rsidR="00EF513A" w:rsidRDefault="00BF5473">
      <w:pPr>
        <w:pStyle w:val="Heading2"/>
        <w:numPr>
          <w:ilvl w:val="1"/>
          <w:numId w:val="2"/>
        </w:numPr>
        <w:rPr>
          <w:b w:val="0"/>
          <w:noProof/>
        </w:rPr>
      </w:pPr>
      <w:bookmarkStart w:id="13" w:name="_tyjcwt"/>
      <w:bookmarkStart w:id="14" w:name="_Toc191630902"/>
      <w:bookmarkEnd w:id="13"/>
      <w:r>
        <w:rPr>
          <w:noProof/>
        </w:rPr>
        <w:t>Konkurencyjny</w:t>
      </w:r>
      <w:r w:rsidR="00D12858">
        <w:rPr>
          <w:noProof/>
        </w:rPr>
        <w:t xml:space="preserve"> i odp</w:t>
      </w:r>
      <w:r>
        <w:rPr>
          <w:noProof/>
        </w:rPr>
        <w:t>orny sektor</w:t>
      </w:r>
      <w:r w:rsidR="00D12858">
        <w:rPr>
          <w:noProof/>
        </w:rPr>
        <w:t xml:space="preserve"> w obl</w:t>
      </w:r>
      <w:r>
        <w:rPr>
          <w:noProof/>
        </w:rPr>
        <w:t>iczu globalnych wyzwań</w:t>
      </w:r>
      <w:bookmarkEnd w:id="14"/>
    </w:p>
    <w:p w14:paraId="5DC7AB8F" w14:textId="28F2E8D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wzajemnie powiązanym świecie,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UE jest zarówno największym na świecie eksporterem produktów rolno-spożywczych, jak</w:t>
      </w:r>
      <w:r w:rsidR="00D12858">
        <w:rPr>
          <w:noProof/>
          <w:color w:val="000000"/>
        </w:rPr>
        <w:t xml:space="preserve"> i jed</w:t>
      </w:r>
      <w:r>
        <w:rPr>
          <w:noProof/>
          <w:color w:val="000000"/>
        </w:rPr>
        <w:t>nym</w:t>
      </w:r>
      <w:r w:rsidR="00D12858">
        <w:rPr>
          <w:noProof/>
          <w:color w:val="000000"/>
        </w:rPr>
        <w:t xml:space="preserve"> z naj</w:t>
      </w:r>
      <w:r>
        <w:rPr>
          <w:noProof/>
          <w:color w:val="000000"/>
        </w:rPr>
        <w:t>większych importerów, sposób produkcji, konsumpcji produktów rolnych</w:t>
      </w:r>
      <w:r w:rsidR="00D12858">
        <w:rPr>
          <w:noProof/>
          <w:color w:val="000000"/>
        </w:rPr>
        <w:t xml:space="preserve"> i han</w:t>
      </w:r>
      <w:r>
        <w:rPr>
          <w:noProof/>
          <w:color w:val="000000"/>
        </w:rPr>
        <w:t>dlu nimi ma duży wpływ na nasze stosunki</w:t>
      </w:r>
      <w:r w:rsidR="00D12858">
        <w:rPr>
          <w:noProof/>
          <w:color w:val="000000"/>
        </w:rPr>
        <w:t xml:space="preserve"> z pań</w:t>
      </w:r>
      <w:r>
        <w:rPr>
          <w:noProof/>
          <w:color w:val="000000"/>
        </w:rPr>
        <w:t>stwami trzecimi</w:t>
      </w:r>
      <w:r>
        <w:rPr>
          <w:noProof/>
          <w:color w:val="000000"/>
          <w:vertAlign w:val="superscript"/>
        </w:rPr>
        <w:footnoteReference w:id="23"/>
      </w:r>
      <w:r>
        <w:rPr>
          <w:noProof/>
          <w:color w:val="000000"/>
        </w:rPr>
        <w:t xml:space="preserve">. </w:t>
      </w:r>
    </w:p>
    <w:p w14:paraId="500D7CE4" w14:textId="0A710980" w:rsidR="00EF513A" w:rsidRDefault="00002D5C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Wojny</w:t>
      </w:r>
      <w:r w:rsidR="00D12858">
        <w:rPr>
          <w:noProof/>
          <w:color w:val="000000"/>
        </w:rPr>
        <w:t xml:space="preserve"> i kon</w:t>
      </w:r>
      <w:r>
        <w:rPr>
          <w:noProof/>
          <w:color w:val="000000"/>
        </w:rPr>
        <w:t>flikty są głównymi czynnikami powodującymi brak bezpieczeństwa żywnościowego</w:t>
      </w:r>
      <w:r w:rsidR="00D12858">
        <w:rPr>
          <w:noProof/>
          <w:color w:val="000000"/>
        </w:rPr>
        <w:t>. Z dru</w:t>
      </w:r>
      <w:r>
        <w:rPr>
          <w:noProof/>
          <w:color w:val="000000"/>
        </w:rPr>
        <w:t>giej strony brak bezpieczeństwa żywnościowego może również prowadzić do niestabilności,</w:t>
      </w:r>
      <w:r w:rsidR="00D12858">
        <w:rPr>
          <w:noProof/>
          <w:color w:val="000000"/>
        </w:rPr>
        <w:t xml:space="preserve"> a w zmi</w:t>
      </w:r>
      <w:r>
        <w:rPr>
          <w:noProof/>
          <w:color w:val="000000"/>
        </w:rPr>
        <w:t>eniającym się porządku globalnym żywność jest wykorzystywana jako broń. Nasi partnerzy handlowi uciekają się do jednostronnych działań wymierzonych</w:t>
      </w:r>
      <w:r w:rsidR="00D12858">
        <w:rPr>
          <w:noProof/>
          <w:color w:val="000000"/>
        </w:rPr>
        <w:t xml:space="preserve"> w nas</w:t>
      </w:r>
      <w:r>
        <w:rPr>
          <w:noProof/>
          <w:color w:val="000000"/>
        </w:rPr>
        <w:t>ze kluczowe sektory, eksport unijny nadal napotyka bariery,</w:t>
      </w:r>
      <w:r w:rsidR="00D12858">
        <w:rPr>
          <w:noProof/>
          <w:color w:val="000000"/>
        </w:rPr>
        <w:t xml:space="preserve"> a glo</w:t>
      </w:r>
      <w:r>
        <w:rPr>
          <w:noProof/>
          <w:color w:val="000000"/>
        </w:rPr>
        <w:t>balne łańcuchy dostaw są zagrożone zakłóceniami. Dążenie UE do przestrzegania wysokich światowych standardów ochrony uniwersalnych celów, jakimi są ochrona środowiska, zdrowie ludzi, zdrowie</w:t>
      </w:r>
      <w:r w:rsidR="00D12858">
        <w:rPr>
          <w:noProof/>
          <w:color w:val="000000"/>
        </w:rPr>
        <w:t xml:space="preserve"> i dob</w:t>
      </w:r>
      <w:r>
        <w:rPr>
          <w:noProof/>
          <w:color w:val="000000"/>
        </w:rPr>
        <w:t>rostan zwierząt, zdrowie roślin</w:t>
      </w:r>
      <w:r w:rsidR="00D12858">
        <w:rPr>
          <w:noProof/>
          <w:color w:val="000000"/>
        </w:rPr>
        <w:t xml:space="preserve"> i bez</w:t>
      </w:r>
      <w:r>
        <w:rPr>
          <w:noProof/>
          <w:color w:val="000000"/>
        </w:rPr>
        <w:t>pieczeństwo żywności, jest często postrzegane jako przeszkoda</w:t>
      </w:r>
      <w:r w:rsidR="00D12858">
        <w:rPr>
          <w:noProof/>
          <w:color w:val="000000"/>
        </w:rPr>
        <w:t xml:space="preserve"> w han</w:t>
      </w:r>
      <w:r>
        <w:rPr>
          <w:noProof/>
          <w:color w:val="000000"/>
        </w:rPr>
        <w:t>dlu. Jednocześnie rolnicy w UE są coraz bardziej zaniepokojeni nieuczciwą światową konkurencją</w:t>
      </w:r>
      <w:r w:rsidR="00D12858">
        <w:rPr>
          <w:noProof/>
          <w:color w:val="000000"/>
        </w:rPr>
        <w:t xml:space="preserve"> i bra</w:t>
      </w:r>
      <w:r>
        <w:rPr>
          <w:noProof/>
          <w:color w:val="000000"/>
        </w:rPr>
        <w:t>kiem wzajemności.</w:t>
      </w:r>
    </w:p>
    <w:p w14:paraId="12D3EE6C" w14:textId="10BCA2F8" w:rsidR="00E0337A" w:rsidRDefault="00BF5473" w:rsidP="00E0337A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/>
        </w:rPr>
      </w:pPr>
      <w:r>
        <w:rPr>
          <w:noProof/>
          <w:color w:val="000000"/>
        </w:rPr>
        <w:t>Wyzwania te nie przeszkodzą jednak Unii</w:t>
      </w:r>
      <w:r w:rsidR="00D12858">
        <w:rPr>
          <w:noProof/>
          <w:color w:val="000000"/>
        </w:rPr>
        <w:t xml:space="preserve"> w dal</w:t>
      </w:r>
      <w:r>
        <w:rPr>
          <w:noProof/>
          <w:color w:val="000000"/>
        </w:rPr>
        <w:t>szym zacieśnianiu więzi</w:t>
      </w:r>
      <w:r w:rsidR="00D12858">
        <w:rPr>
          <w:noProof/>
          <w:color w:val="000000"/>
        </w:rPr>
        <w:t xml:space="preserve"> z wie</w:t>
      </w:r>
      <w:r>
        <w:rPr>
          <w:noProof/>
          <w:color w:val="000000"/>
        </w:rPr>
        <w:t>loma zainteresowanymi partnerami,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za pośrednictwem strategii inwestycyjnej Global Gateway. </w:t>
      </w:r>
      <w:r>
        <w:rPr>
          <w:b/>
          <w:noProof/>
          <w:color w:val="000000"/>
        </w:rPr>
        <w:t>Globalne bezpieczeństwo żywnościowe</w:t>
      </w:r>
      <w:r w:rsidR="00D12858">
        <w:rPr>
          <w:b/>
          <w:noProof/>
          <w:color w:val="000000"/>
        </w:rPr>
        <w:t xml:space="preserve"> i eur</w:t>
      </w:r>
      <w:r>
        <w:rPr>
          <w:b/>
          <w:noProof/>
          <w:color w:val="000000"/>
        </w:rPr>
        <w:t>opejska suwerenność żywnościowa pozostaną integralną częścią ogólnego programu UE na rzecz bezpieczeństwa, konkurencyjności</w:t>
      </w:r>
      <w:r w:rsidR="00D12858">
        <w:rPr>
          <w:b/>
          <w:noProof/>
          <w:color w:val="000000"/>
        </w:rPr>
        <w:t xml:space="preserve"> i zró</w:t>
      </w:r>
      <w:r>
        <w:rPr>
          <w:b/>
          <w:noProof/>
          <w:color w:val="000000"/>
        </w:rPr>
        <w:t>wnoważonego rozwoju.</w:t>
      </w:r>
      <w:r>
        <w:rPr>
          <w:noProof/>
          <w:color w:val="000000"/>
        </w:rPr>
        <w:t xml:space="preserve"> Ze względu na wysokie poziomy głodu, istotny brak bezpieczeństwa żywnościowego</w:t>
      </w:r>
      <w:r w:rsidR="00D12858">
        <w:rPr>
          <w:noProof/>
          <w:color w:val="000000"/>
        </w:rPr>
        <w:t xml:space="preserve"> i ros</w:t>
      </w:r>
      <w:r>
        <w:rPr>
          <w:noProof/>
          <w:color w:val="000000"/>
        </w:rPr>
        <w:t>nące ceny żywności na całym świecie UE będzie nadal wspierać państwa trzecie</w:t>
      </w:r>
      <w:r w:rsidR="00D12858">
        <w:rPr>
          <w:noProof/>
          <w:color w:val="000000"/>
        </w:rPr>
        <w:t xml:space="preserve"> w ich</w:t>
      </w:r>
      <w:r>
        <w:rPr>
          <w:noProof/>
          <w:color w:val="000000"/>
        </w:rPr>
        <w:t xml:space="preserve"> suwerenności żywnościowej, odporności</w:t>
      </w:r>
      <w:r w:rsidR="00D12858">
        <w:rPr>
          <w:noProof/>
          <w:color w:val="000000"/>
        </w:rPr>
        <w:t xml:space="preserve"> i zró</w:t>
      </w:r>
      <w:r>
        <w:rPr>
          <w:noProof/>
          <w:color w:val="000000"/>
        </w:rPr>
        <w:t>wnoważoności, zapewniając dostęp do bezpiecznej, wysokiej jakości</w:t>
      </w:r>
      <w:r w:rsidR="00D12858">
        <w:rPr>
          <w:noProof/>
          <w:color w:val="000000"/>
        </w:rPr>
        <w:t xml:space="preserve"> i bog</w:t>
      </w:r>
      <w:r>
        <w:rPr>
          <w:noProof/>
          <w:color w:val="000000"/>
        </w:rPr>
        <w:t>atej</w:t>
      </w:r>
      <w:r w:rsidR="00D12858">
        <w:rPr>
          <w:noProof/>
          <w:color w:val="000000"/>
        </w:rPr>
        <w:t xml:space="preserve"> w skł</w:t>
      </w:r>
      <w:r>
        <w:rPr>
          <w:noProof/>
          <w:color w:val="000000"/>
        </w:rPr>
        <w:t>adniki odżywcze żywności dla wszystkich,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dla osób znajdujących się</w:t>
      </w:r>
      <w:r w:rsidR="00D12858">
        <w:rPr>
          <w:noProof/>
          <w:color w:val="000000"/>
        </w:rPr>
        <w:t xml:space="preserve"> w naj</w:t>
      </w:r>
      <w:r>
        <w:rPr>
          <w:noProof/>
          <w:color w:val="000000"/>
        </w:rPr>
        <w:t>trudniejszej sytuacji, poprzez pomoc humanitarną</w:t>
      </w:r>
      <w:r w:rsidR="00D12858">
        <w:rPr>
          <w:noProof/>
          <w:color w:val="000000"/>
        </w:rPr>
        <w:t xml:space="preserve"> i pos</w:t>
      </w:r>
      <w:r>
        <w:rPr>
          <w:noProof/>
          <w:color w:val="000000"/>
        </w:rPr>
        <w:t>zanowanie międzynarodowego prawa humanitarnego.</w:t>
      </w:r>
    </w:p>
    <w:p w14:paraId="5C2C795C" w14:textId="4D551C54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Dywersyfikacja łańcuchów dostaw</w:t>
      </w:r>
      <w:r w:rsidR="00D12858">
        <w:rPr>
          <w:b/>
          <w:i/>
          <w:noProof/>
          <w:color w:val="000000"/>
        </w:rPr>
        <w:t xml:space="preserve"> i pro</w:t>
      </w:r>
      <w:r>
        <w:rPr>
          <w:b/>
          <w:i/>
          <w:noProof/>
          <w:color w:val="000000"/>
        </w:rPr>
        <w:t>mowanie odporności na wyzwania związane</w:t>
      </w:r>
      <w:r w:rsidR="00D12858">
        <w:rPr>
          <w:b/>
          <w:i/>
          <w:noProof/>
          <w:color w:val="000000"/>
        </w:rPr>
        <w:t xml:space="preserve"> z tra</w:t>
      </w:r>
      <w:r>
        <w:rPr>
          <w:b/>
          <w:i/>
          <w:noProof/>
          <w:color w:val="000000"/>
        </w:rPr>
        <w:t>nsformacją</w:t>
      </w:r>
    </w:p>
    <w:p w14:paraId="3138AD78" w14:textId="40F368BF" w:rsidR="00EF513A" w:rsidRDefault="00BF5473">
      <w:pPr>
        <w:rPr>
          <w:noProof/>
        </w:rPr>
      </w:pPr>
      <w:r>
        <w:rPr>
          <w:noProof/>
        </w:rPr>
        <w:t>W świecie naznaczonym napięciami geopolitycznymi</w:t>
      </w:r>
      <w:r w:rsidR="00D12858">
        <w:rPr>
          <w:noProof/>
        </w:rPr>
        <w:t xml:space="preserve"> i geo</w:t>
      </w:r>
      <w:r>
        <w:rPr>
          <w:noProof/>
        </w:rPr>
        <w:t>ekonomicznymi „</w:t>
      </w:r>
      <w:r>
        <w:rPr>
          <w:b/>
          <w:noProof/>
        </w:rPr>
        <w:t>zależności stają się podatnością na zagrożenia</w:t>
      </w:r>
      <w:r>
        <w:rPr>
          <w:noProof/>
        </w:rPr>
        <w:t>”, jak powiedział Mario Draghi</w:t>
      </w:r>
      <w:r w:rsidR="0073094B">
        <w:rPr>
          <w:rStyle w:val="FootnoteReference"/>
          <w:noProof/>
        </w:rPr>
        <w:footnoteReference w:id="24"/>
      </w:r>
      <w:r>
        <w:rPr>
          <w:noProof/>
        </w:rPr>
        <w:t>. Obecnie suwerenność żywnościowa UE zależy</w:t>
      </w:r>
      <w:r w:rsidR="00D12858">
        <w:rPr>
          <w:noProof/>
        </w:rPr>
        <w:t xml:space="preserve"> w duż</w:t>
      </w:r>
      <w:r>
        <w:rPr>
          <w:noProof/>
        </w:rPr>
        <w:t>ej mierze od importowanych środków produkcji, takich jak nawozy, pasze</w:t>
      </w:r>
      <w:r w:rsidR="00D12858">
        <w:rPr>
          <w:noProof/>
        </w:rPr>
        <w:t xml:space="preserve"> i ene</w:t>
      </w:r>
      <w:r>
        <w:rPr>
          <w:noProof/>
        </w:rPr>
        <w:t xml:space="preserve">rgia, i to zazwyczaj ze skoncentrowanych geograficznie regionów. </w:t>
      </w:r>
      <w:r>
        <w:rPr>
          <w:b/>
          <w:noProof/>
        </w:rPr>
        <w:t>Zmniejszenie tych strategicznych zależności</w:t>
      </w:r>
      <w:r w:rsidR="00D12858">
        <w:rPr>
          <w:b/>
          <w:noProof/>
        </w:rPr>
        <w:t xml:space="preserve"> i ogr</w:t>
      </w:r>
      <w:r>
        <w:rPr>
          <w:b/>
          <w:noProof/>
        </w:rPr>
        <w:t>aniczenie ryzyka dla łańcuchów dostaw ma zatem kluczowe znaczenie</w:t>
      </w:r>
      <w:r>
        <w:rPr>
          <w:noProof/>
        </w:rPr>
        <w:t>,</w:t>
      </w:r>
      <w:r w:rsidR="00D12858">
        <w:rPr>
          <w:noProof/>
        </w:rPr>
        <w:t xml:space="preserve"> a jed</w:t>
      </w:r>
      <w:r>
        <w:rPr>
          <w:noProof/>
        </w:rPr>
        <w:t>nocześnie wspiera przejście na czystą</w:t>
      </w:r>
      <w:r w:rsidR="00D12858">
        <w:rPr>
          <w:noProof/>
        </w:rPr>
        <w:t xml:space="preserve"> i w cor</w:t>
      </w:r>
      <w:r>
        <w:rPr>
          <w:noProof/>
        </w:rPr>
        <w:t>az większym stopniu zasobooszczędną gospodarkę niskoemisyjną</w:t>
      </w:r>
      <w:r>
        <w:rPr>
          <w:noProof/>
          <w:vertAlign w:val="superscript"/>
        </w:rPr>
        <w:footnoteReference w:id="25"/>
      </w:r>
      <w:r>
        <w:rPr>
          <w:noProof/>
        </w:rPr>
        <w:t>.</w:t>
      </w:r>
    </w:p>
    <w:p w14:paraId="66638F69" w14:textId="32AF36BD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/>
        </w:rPr>
        <w:t>Jeżeli chodzi</w:t>
      </w:r>
      <w:r w:rsidR="00D12858">
        <w:rPr>
          <w:noProof/>
          <w:color w:val="000000"/>
        </w:rPr>
        <w:t xml:space="preserve"> o naj</w:t>
      </w:r>
      <w:r>
        <w:rPr>
          <w:noProof/>
          <w:color w:val="000000"/>
        </w:rPr>
        <w:t xml:space="preserve">ważniejsze zależności od przywozu, </w:t>
      </w:r>
      <w:r>
        <w:rPr>
          <w:b/>
          <w:noProof/>
          <w:color w:val="000000"/>
        </w:rPr>
        <w:t>zaopatrzenie Unii</w:t>
      </w:r>
      <w:r w:rsidR="00D12858">
        <w:rPr>
          <w:b/>
          <w:noProof/>
          <w:color w:val="000000"/>
        </w:rPr>
        <w:t xml:space="preserve"> w bia</w:t>
      </w:r>
      <w:r>
        <w:rPr>
          <w:b/>
          <w:noProof/>
          <w:color w:val="000000"/>
        </w:rPr>
        <w:t>łko</w:t>
      </w:r>
      <w:r>
        <w:rPr>
          <w:noProof/>
          <w:color w:val="000000"/>
        </w:rPr>
        <w:t xml:space="preserve"> jest</w:t>
      </w:r>
      <w:r w:rsidR="00D12858">
        <w:rPr>
          <w:noProof/>
          <w:color w:val="000000"/>
        </w:rPr>
        <w:t xml:space="preserve"> w duż</w:t>
      </w:r>
      <w:r>
        <w:rPr>
          <w:noProof/>
          <w:color w:val="000000"/>
        </w:rPr>
        <w:t>ym stopniu uzależnione od wysokiej jakości przywozu</w:t>
      </w:r>
      <w:r w:rsidR="00D12858">
        <w:rPr>
          <w:noProof/>
          <w:color w:val="000000"/>
        </w:rPr>
        <w:t xml:space="preserve"> z ogr</w:t>
      </w:r>
      <w:r>
        <w:rPr>
          <w:noProof/>
          <w:color w:val="000000"/>
        </w:rPr>
        <w:t>aniczonej liczby miejsc pochodzenia, co sprawia, że nasz system żywnościowy jest podatny na wahania na światowym rynku</w:t>
      </w:r>
      <w:r w:rsidR="00D12858">
        <w:rPr>
          <w:noProof/>
          <w:color w:val="000000"/>
        </w:rPr>
        <w:t xml:space="preserve"> i zag</w:t>
      </w:r>
      <w:r>
        <w:rPr>
          <w:noProof/>
          <w:color w:val="000000"/>
        </w:rPr>
        <w:t>rożenia dla zrównoważonego rozwoju</w:t>
      </w:r>
      <w:r w:rsidR="00C17572">
        <w:rPr>
          <w:rStyle w:val="FootnoteReference"/>
          <w:noProof/>
          <w:color w:val="000000"/>
        </w:rPr>
        <w:footnoteReference w:id="26"/>
      </w:r>
      <w:r>
        <w:rPr>
          <w:noProof/>
          <w:color w:val="000000"/>
        </w:rPr>
        <w:t>. Musimy wziąć pod uwagę sposób,</w:t>
      </w:r>
      <w:r w:rsidR="00D12858">
        <w:rPr>
          <w:noProof/>
          <w:color w:val="000000"/>
        </w:rPr>
        <w:t xml:space="preserve"> w jak</w:t>
      </w:r>
      <w:r>
        <w:rPr>
          <w:noProof/>
          <w:color w:val="000000"/>
        </w:rPr>
        <w:t>i białko jest produkowane</w:t>
      </w:r>
      <w:r w:rsidR="00D12858">
        <w:rPr>
          <w:noProof/>
          <w:color w:val="000000"/>
        </w:rPr>
        <w:t xml:space="preserve"> i spo</w:t>
      </w:r>
      <w:r>
        <w:rPr>
          <w:noProof/>
          <w:color w:val="000000"/>
        </w:rPr>
        <w:t>żywane w UE</w:t>
      </w:r>
      <w:r w:rsidR="00D12858">
        <w:rPr>
          <w:noProof/>
          <w:color w:val="000000"/>
        </w:rPr>
        <w:t>. W zwi</w:t>
      </w:r>
      <w:r>
        <w:rPr>
          <w:noProof/>
          <w:color w:val="000000"/>
        </w:rPr>
        <w:t>ązku</w:t>
      </w:r>
      <w:r w:rsidR="00D12858">
        <w:rPr>
          <w:noProof/>
          <w:color w:val="000000"/>
        </w:rPr>
        <w:t xml:space="preserve"> z tym</w:t>
      </w:r>
      <w:r>
        <w:rPr>
          <w:noProof/>
          <w:color w:val="000000"/>
        </w:rPr>
        <w:t xml:space="preserve"> Komisja </w:t>
      </w:r>
      <w:r>
        <w:rPr>
          <w:b/>
          <w:noProof/>
          <w:color w:val="000000"/>
        </w:rPr>
        <w:t>opracuje kompleksowy plan</w:t>
      </w:r>
      <w:r>
        <w:rPr>
          <w:noProof/>
          <w:color w:val="000000"/>
        </w:rPr>
        <w:t xml:space="preserve"> mający na celu sprostanie tym wyzwaniom, łącząc politykę, badania</w:t>
      </w:r>
      <w:r w:rsidR="00D12858">
        <w:rPr>
          <w:noProof/>
          <w:color w:val="000000"/>
        </w:rPr>
        <w:t xml:space="preserve"> i dzi</w:t>
      </w:r>
      <w:r>
        <w:rPr>
          <w:noProof/>
          <w:color w:val="000000"/>
        </w:rPr>
        <w:t>ałania</w:t>
      </w:r>
      <w:r w:rsidR="00D12858">
        <w:rPr>
          <w:noProof/>
          <w:color w:val="000000"/>
        </w:rPr>
        <w:t xml:space="preserve"> w ter</w:t>
      </w:r>
      <w:r>
        <w:rPr>
          <w:noProof/>
          <w:color w:val="000000"/>
        </w:rPr>
        <w:t>enie na rzecz stworzenia bardziej samowystarczalnego</w:t>
      </w:r>
      <w:r w:rsidR="00D12858">
        <w:rPr>
          <w:noProof/>
          <w:color w:val="000000"/>
        </w:rPr>
        <w:t xml:space="preserve"> i zró</w:t>
      </w:r>
      <w:r>
        <w:rPr>
          <w:noProof/>
          <w:color w:val="000000"/>
        </w:rPr>
        <w:t>wnoważonego systemu białka</w:t>
      </w:r>
      <w:r w:rsidR="00D12858">
        <w:rPr>
          <w:noProof/>
          <w:color w:val="000000"/>
        </w:rPr>
        <w:t xml:space="preserve"> w Uni</w:t>
      </w:r>
      <w:r>
        <w:rPr>
          <w:noProof/>
          <w:color w:val="000000"/>
        </w:rPr>
        <w:t>i, przy jednoczesnym zdywersyfikowaniu przywozu.</w:t>
      </w:r>
    </w:p>
    <w:p w14:paraId="14819F8A" w14:textId="1F35657B" w:rsidR="00EF513A" w:rsidRPr="00297F34" w:rsidRDefault="00BF547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 w:themeColor="text1"/>
        </w:rPr>
      </w:pPr>
      <w:r>
        <w:rPr>
          <w:noProof/>
          <w:color w:val="000000"/>
        </w:rPr>
        <w:t xml:space="preserve">Kolejną ważną zależnością są </w:t>
      </w:r>
      <w:r>
        <w:rPr>
          <w:b/>
          <w:noProof/>
          <w:color w:val="000000"/>
        </w:rPr>
        <w:t>przywożone surowce</w:t>
      </w:r>
      <w:r w:rsidR="00D12858">
        <w:rPr>
          <w:b/>
          <w:noProof/>
          <w:color w:val="000000"/>
        </w:rPr>
        <w:t xml:space="preserve"> i naw</w:t>
      </w:r>
      <w:r>
        <w:rPr>
          <w:b/>
          <w:noProof/>
          <w:color w:val="000000"/>
        </w:rPr>
        <w:t>ozy</w:t>
      </w:r>
      <w:r>
        <w:rPr>
          <w:noProof/>
          <w:color w:val="000000"/>
        </w:rPr>
        <w:t>, które mają zasadnicze znaczenie</w:t>
      </w:r>
      <w:r w:rsidR="00D12858">
        <w:rPr>
          <w:noProof/>
          <w:color w:val="000000"/>
        </w:rPr>
        <w:t xml:space="preserve"> w pro</w:t>
      </w:r>
      <w:r>
        <w:rPr>
          <w:noProof/>
          <w:color w:val="000000"/>
        </w:rPr>
        <w:t>dukcji żywności</w:t>
      </w:r>
      <w:r w:rsidR="00D12858">
        <w:rPr>
          <w:noProof/>
          <w:color w:val="000000"/>
        </w:rPr>
        <w:t xml:space="preserve"> i dla</w:t>
      </w:r>
      <w:r>
        <w:rPr>
          <w:noProof/>
          <w:color w:val="000000"/>
        </w:rPr>
        <w:t xml:space="preserve"> bezpieczeństwa żywnościowego. Rośnie koncentracja przywozu</w:t>
      </w:r>
      <w:r w:rsidR="00D12858">
        <w:rPr>
          <w:noProof/>
          <w:color w:val="000000"/>
        </w:rPr>
        <w:t xml:space="preserve"> z kil</w:t>
      </w:r>
      <w:r>
        <w:rPr>
          <w:noProof/>
          <w:color w:val="000000"/>
        </w:rPr>
        <w:t>ku miejsc, zwłaszcza mocznika, przy czym około 88 % przywozu do UE pochodzi</w:t>
      </w:r>
      <w:r w:rsidR="00D12858">
        <w:rPr>
          <w:noProof/>
          <w:color w:val="000000"/>
        </w:rPr>
        <w:t xml:space="preserve"> z czt</w:t>
      </w:r>
      <w:r>
        <w:rPr>
          <w:noProof/>
          <w:color w:val="000000"/>
        </w:rPr>
        <w:t>erech państw</w:t>
      </w:r>
      <w:r w:rsidRPr="00297F34">
        <w:rPr>
          <w:noProof/>
          <w:color w:val="000000"/>
          <w:vertAlign w:val="superscript"/>
        </w:rPr>
        <w:footnoteReference w:id="27"/>
      </w:r>
      <w:r>
        <w:rPr>
          <w:noProof/>
          <w:color w:val="000000"/>
        </w:rPr>
        <w:t xml:space="preserve">. Zmniejszenie tych zależności jest korzystne dla wszystkich: (i) dla </w:t>
      </w:r>
      <w:r>
        <w:rPr>
          <w:b/>
          <w:noProof/>
          <w:color w:val="000000"/>
        </w:rPr>
        <w:t>konkurencyjności europejskiego czystego przemysłu</w:t>
      </w:r>
      <w:r>
        <w:rPr>
          <w:noProof/>
          <w:color w:val="000000"/>
        </w:rPr>
        <w:t xml:space="preserve"> poprzez wspieranie krajowej produkcji nawozów; </w:t>
      </w:r>
      <w:r>
        <w:rPr>
          <w:noProof/>
        </w:rPr>
        <w:t xml:space="preserve">(ii) </w:t>
      </w:r>
      <w:r>
        <w:rPr>
          <w:b/>
          <w:noProof/>
        </w:rPr>
        <w:t>dla rolników</w:t>
      </w:r>
      <w:r>
        <w:rPr>
          <w:noProof/>
        </w:rPr>
        <w:t>, którzy mogą liczyć na niezawodne dostawy</w:t>
      </w:r>
      <w:r w:rsidR="00D12858">
        <w:rPr>
          <w:noProof/>
        </w:rPr>
        <w:t xml:space="preserve"> i sta</w:t>
      </w:r>
      <w:r>
        <w:rPr>
          <w:noProof/>
        </w:rPr>
        <w:t xml:space="preserve">bilne ceny oraz (iii) </w:t>
      </w:r>
      <w:r>
        <w:rPr>
          <w:b/>
          <w:noProof/>
        </w:rPr>
        <w:t>dla środowiska</w:t>
      </w:r>
      <w:r w:rsidR="00D12858">
        <w:rPr>
          <w:b/>
          <w:noProof/>
        </w:rPr>
        <w:t xml:space="preserve"> i kli</w:t>
      </w:r>
      <w:r>
        <w:rPr>
          <w:b/>
          <w:noProof/>
        </w:rPr>
        <w:t>matu</w:t>
      </w:r>
      <w:r>
        <w:rPr>
          <w:noProof/>
        </w:rPr>
        <w:t xml:space="preserve"> – dzięki wsparciu na rzecz upowszechniania nawozów niskoemisyjnych</w:t>
      </w:r>
      <w:r w:rsidR="00D12858">
        <w:rPr>
          <w:noProof/>
        </w:rPr>
        <w:t xml:space="preserve"> i skł</w:t>
      </w:r>
      <w:r>
        <w:rPr>
          <w:noProof/>
        </w:rPr>
        <w:t>adników odżywczych pochodzących</w:t>
      </w:r>
      <w:r w:rsidR="00D12858">
        <w:rPr>
          <w:noProof/>
        </w:rPr>
        <w:t xml:space="preserve"> z rec</w:t>
      </w:r>
      <w:r>
        <w:rPr>
          <w:noProof/>
        </w:rPr>
        <w:t>yklingu, takich jak azot odzyskany</w:t>
      </w:r>
      <w:r w:rsidR="00D12858">
        <w:rPr>
          <w:noProof/>
        </w:rPr>
        <w:t xml:space="preserve"> z obo</w:t>
      </w:r>
      <w:r>
        <w:rPr>
          <w:noProof/>
        </w:rPr>
        <w:t>rnika</w:t>
      </w:r>
      <w:r w:rsidR="00D12858">
        <w:rPr>
          <w:noProof/>
        </w:rPr>
        <w:t xml:space="preserve"> i pro</w:t>
      </w:r>
      <w:r>
        <w:rPr>
          <w:noProof/>
        </w:rPr>
        <w:t>dukty pofermentacyjne po odpowiednim przetworzeniu,</w:t>
      </w:r>
      <w:r w:rsidR="00D12858">
        <w:rPr>
          <w:noProof/>
        </w:rPr>
        <w:t xml:space="preserve"> i ich</w:t>
      </w:r>
      <w:r>
        <w:rPr>
          <w:noProof/>
        </w:rPr>
        <w:t xml:space="preserve"> odpowiedniemu wykorzystaniu.</w:t>
      </w:r>
    </w:p>
    <w:p w14:paraId="40A9DFC3" w14:textId="2F78A395" w:rsidR="00025023" w:rsidRPr="0082294D" w:rsidRDefault="00BF5473" w:rsidP="0002502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 w:themeColor="text1"/>
        </w:rPr>
      </w:pPr>
      <w:r>
        <w:rPr>
          <w:noProof/>
          <w:color w:val="000000" w:themeColor="text1"/>
        </w:rPr>
        <w:t>Przyszłe, kolejne rozszerzenie UE stworzy możliwości pod względem odporności UE, gdzie celem będzie utrzymanie</w:t>
      </w:r>
      <w:r w:rsidR="00D12858">
        <w:rPr>
          <w:noProof/>
          <w:color w:val="000000" w:themeColor="text1"/>
        </w:rPr>
        <w:t xml:space="preserve"> i wzm</w:t>
      </w:r>
      <w:r>
        <w:rPr>
          <w:noProof/>
          <w:color w:val="000000" w:themeColor="text1"/>
        </w:rPr>
        <w:t>ocnienie zdolności produkcyjnych</w:t>
      </w:r>
      <w:r w:rsidR="00D12858">
        <w:rPr>
          <w:noProof/>
          <w:color w:val="000000" w:themeColor="text1"/>
        </w:rPr>
        <w:t xml:space="preserve"> i eks</w:t>
      </w:r>
      <w:r>
        <w:rPr>
          <w:noProof/>
          <w:color w:val="000000" w:themeColor="text1"/>
        </w:rPr>
        <w:t>portowych zarówno</w:t>
      </w:r>
      <w:r w:rsidR="00D12858">
        <w:rPr>
          <w:noProof/>
          <w:color w:val="000000" w:themeColor="text1"/>
        </w:rPr>
        <w:t xml:space="preserve"> w obe</w:t>
      </w:r>
      <w:r>
        <w:rPr>
          <w:noProof/>
          <w:color w:val="000000" w:themeColor="text1"/>
        </w:rPr>
        <w:t>cnych, jak</w:t>
      </w:r>
      <w:r w:rsidR="00D12858">
        <w:rPr>
          <w:noProof/>
          <w:color w:val="000000" w:themeColor="text1"/>
        </w:rPr>
        <w:t xml:space="preserve"> i prz</w:t>
      </w:r>
      <w:r>
        <w:rPr>
          <w:noProof/>
          <w:color w:val="000000" w:themeColor="text1"/>
        </w:rPr>
        <w:t>yszłych państwach członkowskich,</w:t>
      </w:r>
      <w:r w:rsidR="00D12858">
        <w:rPr>
          <w:noProof/>
          <w:color w:val="000000" w:themeColor="text1"/>
        </w:rPr>
        <w:t xml:space="preserve"> a tym</w:t>
      </w:r>
      <w:r>
        <w:rPr>
          <w:noProof/>
          <w:color w:val="000000" w:themeColor="text1"/>
        </w:rPr>
        <w:t xml:space="preserve"> samym wzmocnienie autonomii strategicznej</w:t>
      </w:r>
      <w:r w:rsidR="00D12858">
        <w:rPr>
          <w:noProof/>
          <w:color w:val="000000" w:themeColor="text1"/>
        </w:rPr>
        <w:t xml:space="preserve"> i zna</w:t>
      </w:r>
      <w:r>
        <w:rPr>
          <w:noProof/>
          <w:color w:val="000000" w:themeColor="text1"/>
        </w:rPr>
        <w:t>czenia UE</w:t>
      </w:r>
      <w:r w:rsidR="00D12858">
        <w:rPr>
          <w:noProof/>
          <w:color w:val="000000" w:themeColor="text1"/>
        </w:rPr>
        <w:t xml:space="preserve"> w świ</w:t>
      </w:r>
      <w:r>
        <w:rPr>
          <w:noProof/>
          <w:color w:val="000000" w:themeColor="text1"/>
        </w:rPr>
        <w:t>atowym handlu produktami rolno-spożywczymi. Istnieją jednak również problemy, które wymagają starannego rozważenia,</w:t>
      </w:r>
      <w:r w:rsidR="00D12858">
        <w:rPr>
          <w:noProof/>
          <w:color w:val="000000" w:themeColor="text1"/>
        </w:rPr>
        <w:t xml:space="preserve"> w szc</w:t>
      </w:r>
      <w:r>
        <w:rPr>
          <w:noProof/>
          <w:color w:val="000000" w:themeColor="text1"/>
        </w:rPr>
        <w:t>zególności</w:t>
      </w:r>
      <w:r w:rsidR="00D12858">
        <w:rPr>
          <w:noProof/>
          <w:color w:val="000000" w:themeColor="text1"/>
        </w:rPr>
        <w:t xml:space="preserve"> w odn</w:t>
      </w:r>
      <w:r>
        <w:rPr>
          <w:noProof/>
          <w:color w:val="000000" w:themeColor="text1"/>
        </w:rPr>
        <w:t>iesieniu do skutków dla unijnych rolników. Przygotowanie się na wyzwania stojące przed unijnymi rolnikami</w:t>
      </w:r>
      <w:r w:rsidR="00D12858">
        <w:rPr>
          <w:noProof/>
          <w:color w:val="000000" w:themeColor="text1"/>
        </w:rPr>
        <w:t xml:space="preserve"> i sku</w:t>
      </w:r>
      <w:r>
        <w:rPr>
          <w:noProof/>
          <w:color w:val="000000" w:themeColor="text1"/>
        </w:rPr>
        <w:t>teczne stawienie im czoła będzie miało zasadnicze znaczenie dla wykorzystania możliwości, jakie stwarza rozszerzenie,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ze względu na to, że mogłoby to ułatwić stopniową integrację krajów kandydujących</w:t>
      </w:r>
      <w:r w:rsidR="00D12858">
        <w:rPr>
          <w:noProof/>
          <w:color w:val="000000" w:themeColor="text1"/>
        </w:rPr>
        <w:t xml:space="preserve"> z jed</w:t>
      </w:r>
      <w:r>
        <w:rPr>
          <w:noProof/>
          <w:color w:val="000000" w:themeColor="text1"/>
        </w:rPr>
        <w:t>nolitym rynkiem, równolegle</w:t>
      </w:r>
      <w:r w:rsidR="00D12858">
        <w:rPr>
          <w:noProof/>
          <w:color w:val="000000" w:themeColor="text1"/>
        </w:rPr>
        <w:t xml:space="preserve"> z ich</w:t>
      </w:r>
      <w:r>
        <w:rPr>
          <w:noProof/>
          <w:color w:val="000000" w:themeColor="text1"/>
        </w:rPr>
        <w:t xml:space="preserve"> dążeniem do pełnego członkostwa w UE.</w:t>
      </w:r>
    </w:p>
    <w:p w14:paraId="0828158F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noProof/>
          <w:color w:val="000000"/>
        </w:rPr>
      </w:pPr>
    </w:p>
    <w:p w14:paraId="04CFC281" w14:textId="7777777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 xml:space="preserve">Ku uczciwszej konkurencji światowej </w:t>
      </w:r>
    </w:p>
    <w:p w14:paraId="31658124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attrocento Sans" w:eastAsia="Quattrocento Sans" w:hAnsi="Quattrocento Sans" w:cs="Quattrocento Sans"/>
          <w:noProof/>
          <w:color w:val="000000"/>
        </w:rPr>
      </w:pPr>
    </w:p>
    <w:p w14:paraId="1E181759" w14:textId="518D4B55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/>
        </w:rPr>
        <w:t>Podejście Unii, jeśli chodzi</w:t>
      </w:r>
      <w:r w:rsidR="00D12858">
        <w:rPr>
          <w:noProof/>
          <w:color w:val="000000"/>
        </w:rPr>
        <w:t xml:space="preserve"> o </w:t>
      </w:r>
      <w:r w:rsidR="00D12858">
        <w:rPr>
          <w:b/>
          <w:noProof/>
          <w:color w:val="000000"/>
        </w:rPr>
        <w:t>bar</w:t>
      </w:r>
      <w:r>
        <w:rPr>
          <w:b/>
          <w:noProof/>
          <w:color w:val="000000"/>
        </w:rPr>
        <w:t>dziej sprawiedliwe</w:t>
      </w:r>
      <w:r w:rsidR="00D12858">
        <w:rPr>
          <w:b/>
          <w:noProof/>
          <w:color w:val="000000"/>
        </w:rPr>
        <w:t xml:space="preserve"> i rów</w:t>
      </w:r>
      <w:r>
        <w:rPr>
          <w:b/>
          <w:noProof/>
          <w:color w:val="000000"/>
        </w:rPr>
        <w:t>ne warunki działania na całym świecie</w:t>
      </w:r>
      <w:r>
        <w:rPr>
          <w:noProof/>
          <w:color w:val="000000"/>
        </w:rPr>
        <w:t>, będzie polegało na dwutorowym działaniu, które musi iść</w:t>
      </w:r>
      <w:r w:rsidR="00D12858">
        <w:rPr>
          <w:noProof/>
          <w:color w:val="000000"/>
        </w:rPr>
        <w:t xml:space="preserve"> w par</w:t>
      </w:r>
      <w:r>
        <w:rPr>
          <w:noProof/>
          <w:color w:val="000000"/>
        </w:rPr>
        <w:t>ze:</w:t>
      </w:r>
    </w:p>
    <w:p w14:paraId="1D447FEF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67ECBC0E" w14:textId="09B318ED" w:rsidR="00EF513A" w:rsidRDefault="00BF54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639"/>
        <w:rPr>
          <w:noProof/>
          <w:color w:val="000000"/>
        </w:rPr>
      </w:pPr>
      <w:r>
        <w:rPr>
          <w:b/>
          <w:noProof/>
          <w:color w:val="000000"/>
        </w:rPr>
        <w:t>współpraca globalna</w:t>
      </w:r>
      <w:r w:rsidR="00D12858">
        <w:rPr>
          <w:b/>
          <w:noProof/>
          <w:color w:val="000000"/>
        </w:rPr>
        <w:t xml:space="preserve"> i dwu</w:t>
      </w:r>
      <w:r>
        <w:rPr>
          <w:b/>
          <w:noProof/>
          <w:color w:val="000000"/>
        </w:rPr>
        <w:t>stronna</w:t>
      </w:r>
    </w:p>
    <w:p w14:paraId="7FF742D1" w14:textId="6879B72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W obecnym kontekście geopolitycznym oczywiste jest, że </w:t>
      </w:r>
      <w:r>
        <w:rPr>
          <w:b/>
          <w:noProof/>
          <w:color w:val="000000"/>
        </w:rPr>
        <w:t>coraz trudniejsze będzie osiągnięcie globalnego konsensusu</w:t>
      </w:r>
      <w:r w:rsidR="00D12858">
        <w:rPr>
          <w:noProof/>
          <w:color w:val="000000"/>
        </w:rPr>
        <w:t xml:space="preserve"> w spr</w:t>
      </w:r>
      <w:r>
        <w:rPr>
          <w:noProof/>
          <w:color w:val="000000"/>
        </w:rPr>
        <w:t>awie norm rolnictwa</w:t>
      </w:r>
      <w:r w:rsidR="00D12858">
        <w:rPr>
          <w:noProof/>
          <w:color w:val="000000"/>
        </w:rPr>
        <w:t xml:space="preserve"> i nor</w:t>
      </w:r>
      <w:r>
        <w:rPr>
          <w:noProof/>
          <w:color w:val="000000"/>
        </w:rPr>
        <w:t>m żywnościowych.</w:t>
      </w:r>
    </w:p>
    <w:p w14:paraId="4BCB550B" w14:textId="167A733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UE będzie jednak kontynuować współpracę ze swoimi partnerami</w:t>
      </w:r>
      <w:r w:rsidR="00D12858">
        <w:rPr>
          <w:noProof/>
          <w:color w:val="000000"/>
        </w:rPr>
        <w:t xml:space="preserve"> i klu</w:t>
      </w:r>
      <w:r>
        <w:rPr>
          <w:noProof/>
          <w:color w:val="000000"/>
        </w:rPr>
        <w:t>czowymi organizacjami międzynarodowymi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podejścia „Drużyna Europy”, aby wzmocnić bardziej rygorystyczne wdrażanie zobowiązań uzgodnionych na szczeblu międzynarodowym</w:t>
      </w:r>
      <w:r w:rsidR="00D12858">
        <w:rPr>
          <w:noProof/>
          <w:color w:val="000000"/>
        </w:rPr>
        <w:t xml:space="preserve"> i zwi</w:t>
      </w:r>
      <w:r>
        <w:rPr>
          <w:noProof/>
          <w:color w:val="000000"/>
        </w:rPr>
        <w:t>ększyć ich ambicje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osiągnięcia globalnych zrównoważonych systemów żywnościowych zgodnie</w:t>
      </w:r>
      <w:r w:rsidR="00D12858">
        <w:rPr>
          <w:noProof/>
          <w:color w:val="000000"/>
        </w:rPr>
        <w:t xml:space="preserve"> z Age</w:t>
      </w:r>
      <w:r>
        <w:rPr>
          <w:noProof/>
          <w:color w:val="000000"/>
        </w:rPr>
        <w:t>ndą 2030</w:t>
      </w:r>
      <w:r w:rsidR="00D12858">
        <w:rPr>
          <w:noProof/>
          <w:color w:val="000000"/>
        </w:rPr>
        <w:t xml:space="preserve"> i cel</w:t>
      </w:r>
      <w:r>
        <w:rPr>
          <w:noProof/>
          <w:color w:val="000000"/>
        </w:rPr>
        <w:t>ami zrównoważonego rozwoju (SDG). Priorytetem będzie wyznaczanie wyższych światowych norm</w:t>
      </w:r>
      <w:r w:rsidR="00D12858">
        <w:rPr>
          <w:noProof/>
          <w:color w:val="000000"/>
        </w:rPr>
        <w:t xml:space="preserve"> w mię</w:t>
      </w:r>
      <w:r>
        <w:rPr>
          <w:noProof/>
          <w:color w:val="000000"/>
        </w:rPr>
        <w:t>dzynarodowych organach normalizacyjnych</w:t>
      </w:r>
      <w:r w:rsidR="00D12858">
        <w:rPr>
          <w:noProof/>
          <w:color w:val="000000"/>
        </w:rPr>
        <w:t xml:space="preserve"> w obs</w:t>
      </w:r>
      <w:r>
        <w:rPr>
          <w:noProof/>
          <w:color w:val="000000"/>
        </w:rPr>
        <w:t>zarach kluczowych do zapewnienia uczciwej konkurencji, zwłaszcza</w:t>
      </w:r>
      <w:r w:rsidR="00D12858">
        <w:rPr>
          <w:noProof/>
          <w:color w:val="000000"/>
        </w:rPr>
        <w:t xml:space="preserve"> w odn</w:t>
      </w:r>
      <w:r>
        <w:rPr>
          <w:noProof/>
          <w:color w:val="000000"/>
        </w:rPr>
        <w:t>iesieniu do środków ochrony roślin</w:t>
      </w:r>
      <w:r w:rsidR="00D12858">
        <w:rPr>
          <w:noProof/>
          <w:color w:val="000000"/>
        </w:rPr>
        <w:t xml:space="preserve"> i dob</w:t>
      </w:r>
      <w:r>
        <w:rPr>
          <w:noProof/>
          <w:color w:val="000000"/>
        </w:rPr>
        <w:t xml:space="preserve">rostanu zwierząt. </w:t>
      </w:r>
      <w:r>
        <w:rPr>
          <w:b/>
          <w:noProof/>
          <w:color w:val="000000"/>
        </w:rPr>
        <w:t>W 20</w:t>
      </w:r>
      <w:r w:rsidRPr="00D12858">
        <w:rPr>
          <w:b/>
          <w:noProof/>
          <w:color w:val="000000"/>
        </w:rPr>
        <w:t>25</w:t>
      </w:r>
      <w:r w:rsidR="00D12858" w:rsidRPr="00D12858">
        <w:rPr>
          <w:b/>
          <w:noProof/>
          <w:color w:val="000000"/>
        </w:rPr>
        <w:t> </w:t>
      </w:r>
      <w:r w:rsidRPr="00D12858">
        <w:rPr>
          <w:b/>
          <w:noProof/>
          <w:color w:val="000000"/>
        </w:rPr>
        <w:t>r.</w:t>
      </w:r>
      <w:r>
        <w:rPr>
          <w:b/>
          <w:noProof/>
          <w:color w:val="000000"/>
        </w:rPr>
        <w:t xml:space="preserve"> Komisja przedstawi państwom członkowskim swoją linię działania na rzecz pogłębienia wzajemności, która będzie przedmiotem dalszego opracowywania.</w:t>
      </w:r>
      <w:r>
        <w:rPr>
          <w:noProof/>
          <w:color w:val="000000"/>
        </w:rPr>
        <w:t xml:space="preserve"> Ponadto Unia będzie współpracować z FAO</w:t>
      </w:r>
      <w:r w:rsidR="00D12858">
        <w:rPr>
          <w:noProof/>
          <w:color w:val="000000"/>
        </w:rPr>
        <w:t xml:space="preserve"> i swo</w:t>
      </w:r>
      <w:r>
        <w:rPr>
          <w:noProof/>
          <w:color w:val="000000"/>
        </w:rPr>
        <w:t>imi partnerami międzynarodowymi na rzecz opracowania wspólnego podejścia umożliwiającego porównywalną</w:t>
      </w:r>
      <w:r w:rsidR="00D12858">
        <w:rPr>
          <w:noProof/>
          <w:color w:val="000000"/>
        </w:rPr>
        <w:t xml:space="preserve"> i spr</w:t>
      </w:r>
      <w:r>
        <w:rPr>
          <w:noProof/>
          <w:color w:val="000000"/>
        </w:rPr>
        <w:t>awiedliwą ocenę aspektów zrównoważonego rozwoju</w:t>
      </w:r>
      <w:r w:rsidR="00D12858">
        <w:rPr>
          <w:noProof/>
          <w:color w:val="000000"/>
        </w:rPr>
        <w:t xml:space="preserve"> w pro</w:t>
      </w:r>
      <w:r>
        <w:rPr>
          <w:noProof/>
          <w:color w:val="000000"/>
        </w:rPr>
        <w:t>dukcji żywności na całym świecie, co uzupełnia prace UE nad analizą porównawczą zrównoważoności.</w:t>
      </w:r>
    </w:p>
    <w:p w14:paraId="528A706B" w14:textId="3370AAB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 w:themeColor="text1"/>
        </w:rPr>
        <w:t>UE będzie bardziej asertywna</w:t>
      </w:r>
      <w:r w:rsidR="00D12858">
        <w:rPr>
          <w:noProof/>
          <w:color w:val="000000" w:themeColor="text1"/>
        </w:rPr>
        <w:t xml:space="preserve"> w pro</w:t>
      </w:r>
      <w:r>
        <w:rPr>
          <w:noProof/>
          <w:color w:val="000000" w:themeColor="text1"/>
        </w:rPr>
        <w:t>mowaniu</w:t>
      </w:r>
      <w:r w:rsidR="00D12858">
        <w:rPr>
          <w:noProof/>
          <w:color w:val="000000" w:themeColor="text1"/>
        </w:rPr>
        <w:t xml:space="preserve"> i str</w:t>
      </w:r>
      <w:r>
        <w:rPr>
          <w:noProof/>
          <w:color w:val="000000" w:themeColor="text1"/>
        </w:rPr>
        <w:t xml:space="preserve">ategicznej obronie </w:t>
      </w:r>
      <w:r>
        <w:rPr>
          <w:b/>
          <w:noProof/>
          <w:color w:val="000000" w:themeColor="text1"/>
        </w:rPr>
        <w:t>wywozu unijnych produktów</w:t>
      </w:r>
      <w:r>
        <w:rPr>
          <w:noProof/>
          <w:color w:val="000000" w:themeColor="text1"/>
        </w:rPr>
        <w:t>, dbając o to, by państwa trzecie odniosły korzyści</w:t>
      </w:r>
      <w:r w:rsidR="00D12858">
        <w:rPr>
          <w:noProof/>
          <w:color w:val="000000" w:themeColor="text1"/>
        </w:rPr>
        <w:t xml:space="preserve"> z wdr</w:t>
      </w:r>
      <w:r>
        <w:rPr>
          <w:noProof/>
          <w:color w:val="000000" w:themeColor="text1"/>
        </w:rPr>
        <w:t xml:space="preserve">ażania środków ułatwiających handel (np. uprzednie wpisanie do wykazu), pod warunkiem że zastosują podobne środki do UE. Wzmocnimy naszą </w:t>
      </w:r>
      <w:r>
        <w:rPr>
          <w:b/>
          <w:noProof/>
          <w:color w:val="000000" w:themeColor="text1"/>
        </w:rPr>
        <w:t>rolno-spożywczą dyplomację gospodarczą</w:t>
      </w:r>
      <w:r w:rsidR="00D12858">
        <w:rPr>
          <w:noProof/>
          <w:color w:val="000000" w:themeColor="text1"/>
        </w:rPr>
        <w:t xml:space="preserve"> i spe</w:t>
      </w:r>
      <w:r>
        <w:rPr>
          <w:noProof/>
          <w:color w:val="000000" w:themeColor="text1"/>
        </w:rPr>
        <w:t>cjalne misje wysokiego szczebla.</w:t>
      </w:r>
    </w:p>
    <w:p w14:paraId="2407A884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5A681403" w14:textId="670939CF" w:rsidR="00EB6957" w:rsidRDefault="00BF5473" w:rsidP="00EB695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 xml:space="preserve">Na </w:t>
      </w:r>
      <w:r>
        <w:rPr>
          <w:b/>
          <w:noProof/>
          <w:color w:val="000000" w:themeColor="text1"/>
        </w:rPr>
        <w:t>szczeblu dwustronnym</w:t>
      </w:r>
      <w:r>
        <w:rPr>
          <w:noProof/>
          <w:color w:val="000000" w:themeColor="text1"/>
        </w:rPr>
        <w:t xml:space="preserve"> pogłębione zostaną istniejące dwustronne dialogi na temat polityki rolnej,</w:t>
      </w:r>
      <w:r w:rsidR="00D12858">
        <w:rPr>
          <w:noProof/>
          <w:color w:val="000000" w:themeColor="text1"/>
        </w:rPr>
        <w:t xml:space="preserve"> a z klu</w:t>
      </w:r>
      <w:r>
        <w:rPr>
          <w:noProof/>
          <w:color w:val="000000" w:themeColor="text1"/>
        </w:rPr>
        <w:t>czowymi partnerami dwustronnymi, regionalnymi</w:t>
      </w:r>
      <w:r w:rsidR="00D12858">
        <w:rPr>
          <w:noProof/>
          <w:color w:val="000000" w:themeColor="text1"/>
        </w:rPr>
        <w:t xml:space="preserve"> i kon</w:t>
      </w:r>
      <w:r>
        <w:rPr>
          <w:noProof/>
          <w:color w:val="000000" w:themeColor="text1"/>
        </w:rPr>
        <w:t xml:space="preserve">tynentalnymi zostaną podjęte </w:t>
      </w:r>
      <w:r>
        <w:rPr>
          <w:b/>
          <w:noProof/>
          <w:color w:val="000000" w:themeColor="text1"/>
        </w:rPr>
        <w:t>nowe partnerskie dialogi dotyczące polityki rolno-spożywczej</w:t>
      </w:r>
      <w:r w:rsidR="00D12858">
        <w:rPr>
          <w:noProof/>
          <w:color w:val="000000" w:themeColor="text1"/>
        </w:rPr>
        <w:t>. W tym</w:t>
      </w:r>
      <w:r>
        <w:rPr>
          <w:noProof/>
          <w:color w:val="000000" w:themeColor="text1"/>
        </w:rPr>
        <w:t xml:space="preserve"> kontekście istotne możliwości oferują strategiczne</w:t>
      </w:r>
      <w:r w:rsidR="00D12858">
        <w:rPr>
          <w:noProof/>
          <w:color w:val="000000" w:themeColor="text1"/>
        </w:rPr>
        <w:t xml:space="preserve"> i kom</w:t>
      </w:r>
      <w:r>
        <w:rPr>
          <w:noProof/>
          <w:color w:val="000000" w:themeColor="text1"/>
        </w:rPr>
        <w:t>pleksowe partnerstwa</w:t>
      </w:r>
      <w:r w:rsidR="00D12858">
        <w:rPr>
          <w:noProof/>
          <w:color w:val="000000" w:themeColor="text1"/>
        </w:rPr>
        <w:t xml:space="preserve"> z nas</w:t>
      </w:r>
      <w:r>
        <w:rPr>
          <w:noProof/>
          <w:color w:val="000000" w:themeColor="text1"/>
        </w:rPr>
        <w:t>zym południowym sąsiedztwem oraz przyszły nowy pakt na rzecz regionu śródziemnomorskiego. UE będzie również</w:t>
      </w:r>
      <w:r w:rsidR="00D12858">
        <w:rPr>
          <w:noProof/>
          <w:color w:val="000000" w:themeColor="text1"/>
        </w:rPr>
        <w:t xml:space="preserve"> w peł</w:t>
      </w:r>
      <w:r>
        <w:rPr>
          <w:noProof/>
          <w:color w:val="000000" w:themeColor="text1"/>
        </w:rPr>
        <w:t>ni wykorzystywać dwustronne negocjacje</w:t>
      </w:r>
      <w:r w:rsidR="00D12858">
        <w:rPr>
          <w:noProof/>
          <w:color w:val="000000" w:themeColor="text1"/>
        </w:rPr>
        <w:t xml:space="preserve"> i umo</w:t>
      </w:r>
      <w:r>
        <w:rPr>
          <w:noProof/>
          <w:color w:val="000000" w:themeColor="text1"/>
        </w:rPr>
        <w:t>wy</w:t>
      </w:r>
      <w:r w:rsidR="00D12858">
        <w:rPr>
          <w:noProof/>
          <w:color w:val="000000" w:themeColor="text1"/>
        </w:rPr>
        <w:t xml:space="preserve"> o wol</w:t>
      </w:r>
      <w:r>
        <w:rPr>
          <w:noProof/>
          <w:color w:val="000000" w:themeColor="text1"/>
        </w:rPr>
        <w:t>nym handlu. Interesy europejskich rolników będą nadal chronione. UE wzmocni wdrażanie</w:t>
      </w:r>
      <w:r w:rsidR="00D12858">
        <w:rPr>
          <w:noProof/>
          <w:color w:val="000000" w:themeColor="text1"/>
        </w:rPr>
        <w:t xml:space="preserve"> i egz</w:t>
      </w:r>
      <w:r>
        <w:rPr>
          <w:noProof/>
          <w:color w:val="000000" w:themeColor="text1"/>
        </w:rPr>
        <w:t>ekwowanie rozdziałów/przepisów dotyczących handlu</w:t>
      </w:r>
      <w:r w:rsidR="00D12858">
        <w:rPr>
          <w:noProof/>
          <w:color w:val="000000" w:themeColor="text1"/>
        </w:rPr>
        <w:t xml:space="preserve"> i zró</w:t>
      </w:r>
      <w:r>
        <w:rPr>
          <w:noProof/>
          <w:color w:val="000000" w:themeColor="text1"/>
        </w:rPr>
        <w:t>wnoważonego rozwoju,</w:t>
      </w:r>
      <w:r w:rsidR="00D12858">
        <w:rPr>
          <w:noProof/>
          <w:color w:val="000000" w:themeColor="text1"/>
        </w:rPr>
        <w:t xml:space="preserve"> a tak</w:t>
      </w:r>
      <w:r>
        <w:rPr>
          <w:noProof/>
          <w:color w:val="000000" w:themeColor="text1"/>
        </w:rPr>
        <w:t>że rozdziałów dotyczących zrównoważonych systemów żywnościowych, wraz</w:t>
      </w:r>
      <w:r w:rsidR="00D12858">
        <w:rPr>
          <w:noProof/>
          <w:color w:val="000000" w:themeColor="text1"/>
        </w:rPr>
        <w:t xml:space="preserve"> z bar</w:t>
      </w:r>
      <w:r>
        <w:rPr>
          <w:noProof/>
          <w:color w:val="000000" w:themeColor="text1"/>
        </w:rPr>
        <w:t>dziej ukierunkowanymi</w:t>
      </w:r>
      <w:r w:rsidR="00D12858">
        <w:rPr>
          <w:noProof/>
          <w:color w:val="000000" w:themeColor="text1"/>
        </w:rPr>
        <w:t xml:space="preserve"> i ope</w:t>
      </w:r>
      <w:r>
        <w:rPr>
          <w:noProof/>
          <w:color w:val="000000" w:themeColor="text1"/>
        </w:rPr>
        <w:t>racyjnymi priorytetami</w:t>
      </w:r>
      <w:r w:rsidR="00D12858">
        <w:rPr>
          <w:noProof/>
          <w:color w:val="000000" w:themeColor="text1"/>
        </w:rPr>
        <w:t xml:space="preserve"> i dzi</w:t>
      </w:r>
      <w:r>
        <w:rPr>
          <w:noProof/>
          <w:color w:val="000000" w:themeColor="text1"/>
        </w:rPr>
        <w:t>ałaniami specyficznymi dla danego kraju,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>,</w:t>
      </w:r>
      <w:r w:rsidR="00D12858">
        <w:rPr>
          <w:noProof/>
          <w:color w:val="000000" w:themeColor="text1"/>
        </w:rPr>
        <w:t xml:space="preserve"> w sto</w:t>
      </w:r>
      <w:r>
        <w:rPr>
          <w:noProof/>
          <w:color w:val="000000" w:themeColor="text1"/>
        </w:rPr>
        <w:t>sownych przypadkach,</w:t>
      </w:r>
      <w:r w:rsidR="00D12858">
        <w:rPr>
          <w:noProof/>
          <w:color w:val="000000" w:themeColor="text1"/>
        </w:rPr>
        <w:t xml:space="preserve"> w odn</w:t>
      </w:r>
      <w:r>
        <w:rPr>
          <w:noProof/>
          <w:color w:val="000000" w:themeColor="text1"/>
        </w:rPr>
        <w:t>iesieniu do konkretnych sektorów działalności</w:t>
      </w:r>
      <w:r w:rsidR="00D12858">
        <w:rPr>
          <w:noProof/>
          <w:color w:val="000000" w:themeColor="text1"/>
        </w:rPr>
        <w:t>. W ram</w:t>
      </w:r>
      <w:r>
        <w:rPr>
          <w:noProof/>
          <w:color w:val="000000" w:themeColor="text1"/>
        </w:rPr>
        <w:t>ach naszych dialogów partnerskich zwrócimy szczególną uwagę na ewentualny wpływ</w:t>
      </w:r>
      <w:r>
        <w:rPr>
          <w:noProof/>
        </w:rPr>
        <w:t xml:space="preserve"> polityki regulacyjnej UE na lokalne systemy rolno-spożywcze</w:t>
      </w:r>
      <w:r w:rsidR="00D12858">
        <w:rPr>
          <w:noProof/>
        </w:rPr>
        <w:t xml:space="preserve"> i zap</w:t>
      </w:r>
      <w:r>
        <w:rPr>
          <w:noProof/>
        </w:rPr>
        <w:t>ewnimy spójność między wewnętrznymi</w:t>
      </w:r>
      <w:r w:rsidR="00D12858">
        <w:rPr>
          <w:noProof/>
        </w:rPr>
        <w:t xml:space="preserve"> a zew</w:t>
      </w:r>
      <w:r>
        <w:rPr>
          <w:noProof/>
        </w:rPr>
        <w:t>nętrznymi politykami UE związanymi</w:t>
      </w:r>
      <w:r w:rsidR="00D12858">
        <w:rPr>
          <w:noProof/>
        </w:rPr>
        <w:t xml:space="preserve"> z rol</w:t>
      </w:r>
      <w:r>
        <w:rPr>
          <w:noProof/>
        </w:rPr>
        <w:t>nictwem, środowiskiem, klimatem</w:t>
      </w:r>
      <w:r w:rsidR="00D12858">
        <w:rPr>
          <w:noProof/>
        </w:rPr>
        <w:t xml:space="preserve"> i zdr</w:t>
      </w:r>
      <w:r>
        <w:rPr>
          <w:noProof/>
        </w:rPr>
        <w:t>owiem.</w:t>
      </w:r>
    </w:p>
    <w:p w14:paraId="14EB79F5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28B27429" w14:textId="7049228C" w:rsidR="00EF513A" w:rsidRDefault="00BF547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639"/>
        <w:rPr>
          <w:b/>
          <w:noProof/>
          <w:color w:val="000000"/>
        </w:rPr>
      </w:pPr>
      <w:r>
        <w:rPr>
          <w:b/>
          <w:noProof/>
          <w:color w:val="000000"/>
        </w:rPr>
        <w:t>unijne ramy na rzecz konkurencyjnego sektora rolno-spożywczego</w:t>
      </w:r>
    </w:p>
    <w:p w14:paraId="611F1FA9" w14:textId="2F082DE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Jednocześnie na poziomie wewnętrznym Unia zapewni, aby jej ambitne normy nie prowadziły do negatywnych skutków dla gospodarki, środowiska</w:t>
      </w:r>
      <w:r w:rsidR="00D12858">
        <w:rPr>
          <w:noProof/>
          <w:color w:val="000000"/>
        </w:rPr>
        <w:t xml:space="preserve"> i spo</w:t>
      </w:r>
      <w:r>
        <w:rPr>
          <w:noProof/>
          <w:color w:val="000000"/>
        </w:rPr>
        <w:t>łeczeństwa oraz aby europejski sektor rolno-spożywczy nie znalazł się</w:t>
      </w:r>
      <w:r w:rsidR="00D12858">
        <w:rPr>
          <w:noProof/>
          <w:color w:val="000000"/>
        </w:rPr>
        <w:t xml:space="preserve"> w nie</w:t>
      </w:r>
      <w:r>
        <w:rPr>
          <w:noProof/>
          <w:color w:val="000000"/>
        </w:rPr>
        <w:t>korzystnej sytuacji konkurencyjnej bez odpowiedniej wzajemności</w:t>
      </w:r>
      <w:r w:rsidR="00D12858">
        <w:rPr>
          <w:noProof/>
          <w:color w:val="000000"/>
        </w:rPr>
        <w:t>.</w:t>
      </w:r>
      <w:r w:rsidR="00D12858">
        <w:rPr>
          <w:b/>
          <w:noProof/>
          <w:color w:val="000000"/>
        </w:rPr>
        <w:t xml:space="preserve"> </w:t>
      </w:r>
      <w:r w:rsidR="00D12858">
        <w:rPr>
          <w:noProof/>
          <w:color w:val="000000"/>
        </w:rPr>
        <w:t>W tym</w:t>
      </w:r>
      <w:r>
        <w:rPr>
          <w:noProof/>
          <w:color w:val="000000"/>
        </w:rPr>
        <w:t xml:space="preserve"> celu </w:t>
      </w:r>
      <w:r>
        <w:rPr>
          <w:b/>
          <w:noProof/>
          <w:color w:val="000000"/>
        </w:rPr>
        <w:t>UE będzie spójnie przeprowadzać ocenę wpływu na MŚP i na konkurencyjność</w:t>
      </w:r>
      <w:r w:rsidR="00D12858">
        <w:rPr>
          <w:b/>
          <w:noProof/>
          <w:color w:val="000000"/>
        </w:rPr>
        <w:t xml:space="preserve"> w swo</w:t>
      </w:r>
      <w:r>
        <w:rPr>
          <w:b/>
          <w:noProof/>
          <w:color w:val="000000"/>
        </w:rPr>
        <w:t>ich politykach</w:t>
      </w:r>
      <w:r>
        <w:rPr>
          <w:noProof/>
          <w:color w:val="000000"/>
        </w:rPr>
        <w:t>, jak określono</w:t>
      </w:r>
      <w:r w:rsidR="00D12858">
        <w:rPr>
          <w:noProof/>
          <w:color w:val="000000"/>
        </w:rPr>
        <w:t xml:space="preserve"> w Kom</w:t>
      </w:r>
      <w:r>
        <w:rPr>
          <w:noProof/>
          <w:color w:val="000000"/>
        </w:rPr>
        <w:t>pasie konkurencyjności, konsekwentnie oceniając wpływ unijnych przepisów na unijnych rolników i na MŚP sektora rolno-spożywczego, na handel</w:t>
      </w:r>
      <w:r w:rsidR="00D12858">
        <w:rPr>
          <w:noProof/>
          <w:color w:val="000000"/>
        </w:rPr>
        <w:t xml:space="preserve"> i ryz</w:t>
      </w:r>
      <w:r>
        <w:rPr>
          <w:noProof/>
          <w:color w:val="000000"/>
        </w:rPr>
        <w:t>yko wystąpienia negatywnych skutków,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dokładnie zbada konsekwencje, jakie będące przedmiotem negocjacji umowy</w:t>
      </w:r>
      <w:r w:rsidR="00D12858">
        <w:rPr>
          <w:noProof/>
          <w:color w:val="000000"/>
        </w:rPr>
        <w:t xml:space="preserve"> o wol</w:t>
      </w:r>
      <w:r>
        <w:rPr>
          <w:noProof/>
          <w:color w:val="000000"/>
        </w:rPr>
        <w:t>nym handlu mogą mieć dla unijnych rolników</w:t>
      </w:r>
      <w:r w:rsidR="00D12858">
        <w:rPr>
          <w:noProof/>
          <w:color w:val="000000"/>
        </w:rPr>
        <w:t xml:space="preserve"> i glo</w:t>
      </w:r>
      <w:r>
        <w:rPr>
          <w:noProof/>
          <w:color w:val="000000"/>
        </w:rPr>
        <w:t>balnej zrównoważoności.</w:t>
      </w:r>
    </w:p>
    <w:p w14:paraId="020E7D46" w14:textId="3275C323" w:rsidR="00EF513A" w:rsidRDefault="008747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noProof/>
          <w:color w:val="000000"/>
        </w:rPr>
      </w:pPr>
      <w:r>
        <w:rPr>
          <w:noProof/>
          <w:color w:val="000000"/>
        </w:rPr>
        <w:t>Aby zapewnić uwzględnienie obaw UE dotyczących dobrostanu zwierząt</w:t>
      </w:r>
      <w:r w:rsidR="00D12858">
        <w:rPr>
          <w:noProof/>
          <w:color w:val="000000"/>
        </w:rPr>
        <w:t xml:space="preserve"> i och</w:t>
      </w:r>
      <w:r>
        <w:rPr>
          <w:noProof/>
          <w:color w:val="000000"/>
        </w:rPr>
        <w:t>rony środowiska oraz utrzymać wartości moralne UE</w:t>
      </w:r>
      <w:r w:rsidR="00D12858">
        <w:rPr>
          <w:noProof/>
          <w:color w:val="000000"/>
        </w:rPr>
        <w:t xml:space="preserve"> w odp</w:t>
      </w:r>
      <w:r>
        <w:rPr>
          <w:noProof/>
          <w:color w:val="000000"/>
        </w:rPr>
        <w:t>owiedzi na zapotrzebowanie społeczne, Komisja będzie dążyć, zgodnie</w:t>
      </w:r>
      <w:r w:rsidR="00D12858">
        <w:rPr>
          <w:noProof/>
          <w:color w:val="000000"/>
        </w:rPr>
        <w:t xml:space="preserve"> z prz</w:t>
      </w:r>
      <w:r>
        <w:rPr>
          <w:noProof/>
          <w:color w:val="000000"/>
        </w:rPr>
        <w:t xml:space="preserve">episami międzynarodowymi, do </w:t>
      </w:r>
      <w:r>
        <w:rPr>
          <w:b/>
          <w:noProof/>
          <w:color w:val="000000"/>
        </w:rPr>
        <w:t>większego dostosowania norm produkcji stosowanych do produktów przywożonych,</w:t>
      </w:r>
      <w:r w:rsidR="00D12858">
        <w:rPr>
          <w:b/>
          <w:noProof/>
          <w:color w:val="000000"/>
        </w:rPr>
        <w:t xml:space="preserve"> w szc</w:t>
      </w:r>
      <w:r>
        <w:rPr>
          <w:b/>
          <w:noProof/>
          <w:color w:val="000000"/>
        </w:rPr>
        <w:t>zególności</w:t>
      </w:r>
      <w:r w:rsidR="00D12858">
        <w:rPr>
          <w:b/>
          <w:noProof/>
          <w:color w:val="000000"/>
        </w:rPr>
        <w:t xml:space="preserve"> w zak</w:t>
      </w:r>
      <w:r>
        <w:rPr>
          <w:b/>
          <w:noProof/>
          <w:color w:val="000000"/>
        </w:rPr>
        <w:t>resie pestycydów</w:t>
      </w:r>
      <w:r w:rsidR="00D12858">
        <w:rPr>
          <w:b/>
          <w:noProof/>
          <w:color w:val="000000"/>
        </w:rPr>
        <w:t xml:space="preserve"> i dob</w:t>
      </w:r>
      <w:r>
        <w:rPr>
          <w:b/>
          <w:noProof/>
          <w:color w:val="000000"/>
        </w:rPr>
        <w:t>rostanu zwierząt</w:t>
      </w:r>
      <w:r>
        <w:rPr>
          <w:noProof/>
          <w:color w:val="000000"/>
        </w:rPr>
        <w:t>.</w:t>
      </w:r>
    </w:p>
    <w:p w14:paraId="00E8A8F8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78A6F0F5" w14:textId="72DB6510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/>
        </w:rPr>
        <w:t>W tym celu Komisja ustanowi zasadę, zgodnie</w:t>
      </w:r>
      <w:r w:rsidR="00D12858">
        <w:rPr>
          <w:noProof/>
          <w:color w:val="000000"/>
        </w:rPr>
        <w:t xml:space="preserve"> z któ</w:t>
      </w:r>
      <w:r>
        <w:rPr>
          <w:noProof/>
          <w:color w:val="000000"/>
        </w:rPr>
        <w:t xml:space="preserve">rą </w:t>
      </w:r>
      <w:r>
        <w:rPr>
          <w:b/>
          <w:noProof/>
          <w:color w:val="000000"/>
        </w:rPr>
        <w:t>najbardziej niebezpieczne pestycydy zakazane w UE ze względów zdrowotnych</w:t>
      </w:r>
      <w:r w:rsidR="00D12858">
        <w:rPr>
          <w:b/>
          <w:noProof/>
          <w:color w:val="000000"/>
        </w:rPr>
        <w:t xml:space="preserve"> i śro</w:t>
      </w:r>
      <w:r>
        <w:rPr>
          <w:b/>
          <w:noProof/>
          <w:color w:val="000000"/>
        </w:rPr>
        <w:t>dowiskowych nie będą mogły powrócić do UE</w:t>
      </w:r>
      <w:r w:rsidR="00D12858">
        <w:rPr>
          <w:b/>
          <w:noProof/>
          <w:color w:val="000000"/>
        </w:rPr>
        <w:t xml:space="preserve"> w pro</w:t>
      </w:r>
      <w:r>
        <w:rPr>
          <w:b/>
          <w:noProof/>
          <w:color w:val="000000"/>
        </w:rPr>
        <w:t>duktach przywożonych</w:t>
      </w:r>
      <w:r>
        <w:rPr>
          <w:noProof/>
          <w:color w:val="000000"/>
        </w:rPr>
        <w:t>.</w:t>
      </w:r>
      <w:r>
        <w:rPr>
          <w:b/>
          <w:noProof/>
          <w:color w:val="000000"/>
        </w:rPr>
        <w:t xml:space="preserve"> </w:t>
      </w:r>
      <w:r>
        <w:rPr>
          <w:noProof/>
          <w:color w:val="000000"/>
        </w:rPr>
        <w:t>Aby osiągnąć postępy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zakresie, Komisja rozpocznie</w:t>
      </w:r>
      <w:r w:rsidR="00D12858">
        <w:rPr>
          <w:noProof/>
          <w:color w:val="000000"/>
        </w:rPr>
        <w:t xml:space="preserve"> w 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25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ocenę skutków,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której uwzględni wpływ na pozycję konkurencyjną UE</w:t>
      </w:r>
      <w:r w:rsidR="00D12858">
        <w:rPr>
          <w:noProof/>
          <w:color w:val="000000"/>
        </w:rPr>
        <w:t xml:space="preserve"> i sku</w:t>
      </w:r>
      <w:r>
        <w:rPr>
          <w:noProof/>
          <w:color w:val="000000"/>
        </w:rPr>
        <w:t>tki międzynarodowe oraz,</w:t>
      </w:r>
      <w:r w:rsidR="00D12858">
        <w:rPr>
          <w:noProof/>
          <w:color w:val="000000"/>
        </w:rPr>
        <w:t xml:space="preserve"> w sto</w:t>
      </w:r>
      <w:r>
        <w:rPr>
          <w:noProof/>
          <w:color w:val="000000"/>
        </w:rPr>
        <w:t>sownych przypadkach, zaproponuje zmiany</w:t>
      </w:r>
      <w:r w:rsidR="00D12858">
        <w:rPr>
          <w:noProof/>
          <w:color w:val="000000"/>
        </w:rPr>
        <w:t xml:space="preserve"> w maj</w:t>
      </w:r>
      <w:r>
        <w:rPr>
          <w:noProof/>
          <w:color w:val="000000"/>
        </w:rPr>
        <w:t>ących zastosowanie ramach prawnych.</w:t>
      </w:r>
      <w:r>
        <w:rPr>
          <w:b/>
          <w:noProof/>
          <w:color w:val="000000"/>
        </w:rPr>
        <w:t xml:space="preserve"> </w:t>
      </w:r>
      <w:r>
        <w:rPr>
          <w:noProof/>
          <w:color w:val="000000"/>
        </w:rPr>
        <w:t>Komisja oceni również kwestię wywozu niebezpiecznych chemikaliów,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pestycydów, które są zakazane w UE</w:t>
      </w:r>
      <w:r w:rsidRPr="00B66A52">
        <w:rPr>
          <w:noProof/>
          <w:color w:val="000000"/>
          <w:vertAlign w:val="superscript"/>
        </w:rPr>
        <w:footnoteReference w:id="28"/>
      </w:r>
      <w:r>
        <w:rPr>
          <w:noProof/>
          <w:color w:val="000000"/>
        </w:rPr>
        <w:t>.</w:t>
      </w:r>
    </w:p>
    <w:p w14:paraId="3776E70D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noProof/>
          <w:color w:val="000000"/>
        </w:rPr>
      </w:pPr>
    </w:p>
    <w:p w14:paraId="678AB4B6" w14:textId="4C9FFF4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attrocento Sans" w:eastAsia="Quattrocento Sans" w:hAnsi="Quattrocento Sans" w:cs="Quattrocento Sans"/>
          <w:noProof/>
          <w:color w:val="000000"/>
          <w:sz w:val="18"/>
          <w:szCs w:val="18"/>
        </w:rPr>
      </w:pPr>
      <w:r>
        <w:rPr>
          <w:noProof/>
          <w:color w:val="000000"/>
        </w:rPr>
        <w:t>Kolejnym niepodlegającym negocjacjom elementem polityki Unii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 xml:space="preserve">resie przywozu jest </w:t>
      </w:r>
      <w:r>
        <w:rPr>
          <w:b/>
          <w:noProof/>
          <w:color w:val="000000"/>
        </w:rPr>
        <w:t>bezpieczeństwo żywności</w:t>
      </w:r>
      <w:r w:rsidR="00D12858">
        <w:rPr>
          <w:b/>
          <w:noProof/>
          <w:color w:val="000000"/>
        </w:rPr>
        <w:t xml:space="preserve"> i pas</w:t>
      </w:r>
      <w:r>
        <w:rPr>
          <w:b/>
          <w:noProof/>
          <w:color w:val="000000"/>
        </w:rPr>
        <w:t>z oraz zdrowie zwierząt</w:t>
      </w:r>
      <w:r w:rsidR="00D12858">
        <w:rPr>
          <w:b/>
          <w:noProof/>
          <w:color w:val="000000"/>
        </w:rPr>
        <w:t xml:space="preserve"> i roś</w:t>
      </w:r>
      <w:r>
        <w:rPr>
          <w:b/>
          <w:noProof/>
          <w:color w:val="000000"/>
        </w:rPr>
        <w:t>lin</w:t>
      </w:r>
      <w:r>
        <w:rPr>
          <w:noProof/>
          <w:color w:val="000000"/>
        </w:rPr>
        <w:t>. Unijne normy dotyczące produktów są najwyższe na świecie</w:t>
      </w:r>
      <w:r w:rsidR="00D12858">
        <w:rPr>
          <w:noProof/>
          <w:color w:val="000000"/>
        </w:rPr>
        <w:t xml:space="preserve"> i zap</w:t>
      </w:r>
      <w:r>
        <w:rPr>
          <w:noProof/>
          <w:color w:val="000000"/>
        </w:rPr>
        <w:t>ewniają bezpieczeństwo wszystkich przywożonych produktów rolno-spożywczych. Komisja zapewni właściwe wdrożenie</w:t>
      </w:r>
      <w:r w:rsidR="00D12858">
        <w:rPr>
          <w:noProof/>
          <w:color w:val="000000"/>
        </w:rPr>
        <w:t xml:space="preserve"> i egz</w:t>
      </w:r>
      <w:r>
        <w:rPr>
          <w:noProof/>
          <w:color w:val="000000"/>
        </w:rPr>
        <w:t xml:space="preserve">ekwowanie odpowiednich przepisów dotyczących bezpieczeństwa żywności. </w:t>
      </w:r>
      <w:r>
        <w:rPr>
          <w:b/>
          <w:noProof/>
          <w:color w:val="000000"/>
        </w:rPr>
        <w:t>Powołana zostanie specjalna grupa zadaniowa</w:t>
      </w:r>
      <w:r>
        <w:rPr>
          <w:noProof/>
          <w:color w:val="000000"/>
        </w:rPr>
        <w:t>, korzystająca</w:t>
      </w:r>
      <w:r w:rsidR="00D12858">
        <w:rPr>
          <w:noProof/>
          <w:color w:val="000000"/>
        </w:rPr>
        <w:t xml:space="preserve"> z wie</w:t>
      </w:r>
      <w:r>
        <w:rPr>
          <w:noProof/>
          <w:color w:val="000000"/>
        </w:rPr>
        <w:t>dzy fachowej</w:t>
      </w:r>
      <w:r w:rsidR="00D12858">
        <w:rPr>
          <w:noProof/>
          <w:color w:val="000000"/>
        </w:rPr>
        <w:t xml:space="preserve"> i zas</w:t>
      </w:r>
      <w:r>
        <w:rPr>
          <w:noProof/>
          <w:color w:val="000000"/>
        </w:rPr>
        <w:t>obów Komisji</w:t>
      </w:r>
      <w:r w:rsidR="00D12858">
        <w:rPr>
          <w:noProof/>
          <w:color w:val="000000"/>
        </w:rPr>
        <w:t xml:space="preserve"> i pań</w:t>
      </w:r>
      <w:r>
        <w:rPr>
          <w:noProof/>
          <w:color w:val="000000"/>
        </w:rPr>
        <w:t xml:space="preserve">stw członkowskich, co znacznie wzmocni reakcję Unii na dalsze </w:t>
      </w:r>
      <w:r>
        <w:rPr>
          <w:b/>
          <w:noProof/>
          <w:color w:val="000000"/>
        </w:rPr>
        <w:t>zaostrzenie kontroli przywozu,</w:t>
      </w:r>
      <w:r w:rsidR="00D12858">
        <w:rPr>
          <w:b/>
          <w:noProof/>
          <w:color w:val="000000"/>
        </w:rPr>
        <w:t xml:space="preserve"> w tym</w:t>
      </w:r>
      <w:r>
        <w:rPr>
          <w:b/>
          <w:noProof/>
          <w:color w:val="000000"/>
        </w:rPr>
        <w:t xml:space="preserve"> zdecydowane zaostrzenie kontroli</w:t>
      </w:r>
      <w:r w:rsidR="00D12858">
        <w:rPr>
          <w:b/>
          <w:noProof/>
          <w:color w:val="000000"/>
        </w:rPr>
        <w:t xml:space="preserve"> w ter</w:t>
      </w:r>
      <w:r>
        <w:rPr>
          <w:b/>
          <w:noProof/>
          <w:color w:val="000000"/>
        </w:rPr>
        <w:t>enie</w:t>
      </w:r>
      <w:r>
        <w:rPr>
          <w:noProof/>
          <w:color w:val="000000"/>
        </w:rPr>
        <w:t>.</w:t>
      </w:r>
    </w:p>
    <w:p w14:paraId="4F43A5E6" w14:textId="425F8436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attrocento Sans" w:eastAsia="Quattrocento Sans" w:hAnsi="Quattrocento Sans" w:cs="Quattrocento Sans"/>
          <w:noProof/>
          <w:color w:val="000000"/>
        </w:rPr>
      </w:pPr>
    </w:p>
    <w:p w14:paraId="71404517" w14:textId="0057BE4D" w:rsidR="00EF513A" w:rsidRPr="00B66A52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 w:themeColor="text1"/>
        </w:rPr>
        <w:t xml:space="preserve">W dziedzinie </w:t>
      </w:r>
      <w:r>
        <w:rPr>
          <w:b/>
          <w:noProof/>
          <w:color w:val="000000" w:themeColor="text1"/>
        </w:rPr>
        <w:t>dobrostanu zwierząt</w:t>
      </w:r>
      <w:r>
        <w:rPr>
          <w:noProof/>
          <w:color w:val="000000" w:themeColor="text1"/>
        </w:rPr>
        <w:t xml:space="preserve"> Komisja dopilnuje, aby</w:t>
      </w:r>
      <w:r w:rsidR="00D12858">
        <w:rPr>
          <w:noProof/>
          <w:color w:val="000000" w:themeColor="text1"/>
        </w:rPr>
        <w:t xml:space="preserve"> w prz</w:t>
      </w:r>
      <w:r>
        <w:rPr>
          <w:noProof/>
          <w:color w:val="000000" w:themeColor="text1"/>
        </w:rPr>
        <w:t>yszłych wnioskach ustawodawczych stosowano te same normy</w:t>
      </w:r>
      <w:r w:rsidR="00D12858">
        <w:rPr>
          <w:noProof/>
          <w:color w:val="000000" w:themeColor="text1"/>
        </w:rPr>
        <w:t xml:space="preserve"> w odn</w:t>
      </w:r>
      <w:r>
        <w:rPr>
          <w:noProof/>
          <w:color w:val="000000" w:themeColor="text1"/>
        </w:rPr>
        <w:t>iesieniu do produktów wytwarzanych w UE</w:t>
      </w:r>
      <w:r w:rsidR="00D12858">
        <w:rPr>
          <w:noProof/>
          <w:color w:val="000000" w:themeColor="text1"/>
        </w:rPr>
        <w:t xml:space="preserve"> i pro</w:t>
      </w:r>
      <w:r>
        <w:rPr>
          <w:noProof/>
          <w:color w:val="000000" w:themeColor="text1"/>
        </w:rPr>
        <w:t>duktów przywożonych</w:t>
      </w:r>
      <w:r w:rsidR="00D12858">
        <w:rPr>
          <w:noProof/>
          <w:color w:val="000000" w:themeColor="text1"/>
        </w:rPr>
        <w:t xml:space="preserve"> z pań</w:t>
      </w:r>
      <w:r>
        <w:rPr>
          <w:noProof/>
          <w:color w:val="000000" w:themeColor="text1"/>
        </w:rPr>
        <w:t>stw trzecich, uwzględniając również kwestie związane</w:t>
      </w:r>
      <w:r w:rsidR="00D12858">
        <w:rPr>
          <w:noProof/>
          <w:color w:val="000000" w:themeColor="text1"/>
        </w:rPr>
        <w:t xml:space="preserve"> z egz</w:t>
      </w:r>
      <w:r>
        <w:rPr>
          <w:noProof/>
          <w:color w:val="000000" w:themeColor="text1"/>
        </w:rPr>
        <w:t>ekwowaniem przepisów</w:t>
      </w:r>
      <w:r w:rsidR="00D12858">
        <w:rPr>
          <w:noProof/>
          <w:color w:val="000000" w:themeColor="text1"/>
        </w:rPr>
        <w:t xml:space="preserve"> i oba</w:t>
      </w:r>
      <w:r>
        <w:rPr>
          <w:noProof/>
          <w:color w:val="000000" w:themeColor="text1"/>
        </w:rPr>
        <w:t xml:space="preserve">wy wyrażane przez obywateli UE. </w:t>
      </w:r>
      <w:r>
        <w:rPr>
          <w:noProof/>
        </w:rPr>
        <w:t xml:space="preserve">Ukierunkowany przegląd </w:t>
      </w:r>
      <w:r>
        <w:rPr>
          <w:b/>
          <w:noProof/>
        </w:rPr>
        <w:t>przepisów dotyczących dobrostanu zwierząt</w:t>
      </w:r>
      <w:r>
        <w:rPr>
          <w:noProof/>
        </w:rPr>
        <w:t xml:space="preserve"> będzie okazją do zastosowania tego podejścia</w:t>
      </w:r>
      <w:r w:rsidR="00D12858">
        <w:rPr>
          <w:noProof/>
        </w:rPr>
        <w:t xml:space="preserve"> w spo</w:t>
      </w:r>
      <w:r>
        <w:rPr>
          <w:noProof/>
        </w:rPr>
        <w:t>sób zgodny</w:t>
      </w:r>
      <w:r w:rsidR="00D12858">
        <w:rPr>
          <w:noProof/>
        </w:rPr>
        <w:t xml:space="preserve"> z zas</w:t>
      </w:r>
      <w:r>
        <w:rPr>
          <w:noProof/>
        </w:rPr>
        <w:t>adami WTO</w:t>
      </w:r>
      <w:r w:rsidR="00D12858">
        <w:rPr>
          <w:noProof/>
        </w:rPr>
        <w:t xml:space="preserve"> i w opa</w:t>
      </w:r>
      <w:r>
        <w:rPr>
          <w:noProof/>
        </w:rPr>
        <w:t>rciu</w:t>
      </w:r>
      <w:r w:rsidR="00D12858">
        <w:rPr>
          <w:noProof/>
        </w:rPr>
        <w:t xml:space="preserve"> o oce</w:t>
      </w:r>
      <w:r>
        <w:rPr>
          <w:noProof/>
        </w:rPr>
        <w:t>nę skutków.</w:t>
      </w:r>
    </w:p>
    <w:p w14:paraId="49A769B5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368F2364" w14:textId="33142BC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przypadkach gdy nasi partnerzy handlowi uciekają się do nieuczciwej konkurencji</w:t>
      </w:r>
      <w:r w:rsidR="00D12858">
        <w:rPr>
          <w:noProof/>
          <w:color w:val="000000"/>
        </w:rPr>
        <w:t xml:space="preserve"> i jed</w:t>
      </w:r>
      <w:r>
        <w:rPr>
          <w:noProof/>
          <w:color w:val="000000"/>
        </w:rPr>
        <w:t>nostronnych działań, które są niezgodnie</w:t>
      </w:r>
      <w:r w:rsidR="00D12858">
        <w:rPr>
          <w:noProof/>
          <w:color w:val="000000"/>
        </w:rPr>
        <w:t xml:space="preserve"> z pra</w:t>
      </w:r>
      <w:r>
        <w:rPr>
          <w:noProof/>
          <w:color w:val="000000"/>
        </w:rPr>
        <w:t>wem wymierzone</w:t>
      </w:r>
      <w:r w:rsidR="00D12858">
        <w:rPr>
          <w:noProof/>
          <w:color w:val="000000"/>
        </w:rPr>
        <w:t xml:space="preserve"> w nas</w:t>
      </w:r>
      <w:r>
        <w:rPr>
          <w:noProof/>
          <w:color w:val="000000"/>
        </w:rPr>
        <w:t>z sektor rolno-spożywczy lub sektor danego państwa członkowskiego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>u podzielenia nas jako Unii, UE wykorzysta wszystkie dostępne jej narzędzia ochronne. Unia opracuje (w 20</w:t>
      </w:r>
      <w:r w:rsidRPr="00D12858">
        <w:rPr>
          <w:noProof/>
          <w:color w:val="000000"/>
        </w:rPr>
        <w:t>25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) ambitną </w:t>
      </w:r>
      <w:r>
        <w:rPr>
          <w:b/>
          <w:noProof/>
          <w:color w:val="000000"/>
        </w:rPr>
        <w:t>sieć bezpieczeństwa opartą na jedności</w:t>
      </w:r>
      <w:r>
        <w:rPr>
          <w:noProof/>
          <w:color w:val="000000"/>
        </w:rPr>
        <w:t xml:space="preserve"> dla unijnego sektora rolno-spożywczego</w:t>
      </w:r>
      <w:r w:rsidR="00D12858">
        <w:rPr>
          <w:noProof/>
          <w:color w:val="000000"/>
        </w:rPr>
        <w:t>. W prz</w:t>
      </w:r>
      <w:r>
        <w:rPr>
          <w:noProof/>
          <w:color w:val="000000"/>
        </w:rPr>
        <w:t>ypadku wymuszenia ekonomicznego wymierzonego w UE lub jej państwa członkowskie przez państwa spoza UE Unia będzie chronić sektor rolno-spożywczy za pomocą wszelkich dostępnych środków,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w sto</w:t>
      </w:r>
      <w:r>
        <w:rPr>
          <w:noProof/>
          <w:color w:val="000000"/>
        </w:rPr>
        <w:t>sownych przypadkach,</w:t>
      </w:r>
      <w:r w:rsidR="00D12858">
        <w:rPr>
          <w:noProof/>
          <w:color w:val="000000"/>
        </w:rPr>
        <w:t xml:space="preserve"> w kon</w:t>
      </w:r>
      <w:r>
        <w:rPr>
          <w:noProof/>
          <w:color w:val="000000"/>
        </w:rPr>
        <w:t>tekście WTO lub autonomicznych instrumentów UE, takich jak mechanizm chroniący przed wymuszaniem.</w:t>
      </w:r>
    </w:p>
    <w:p w14:paraId="2C4D769E" w14:textId="62D1454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Komisja będzie również współpracować</w:t>
      </w:r>
      <w:r w:rsidR="00D12858">
        <w:rPr>
          <w:noProof/>
          <w:color w:val="000000"/>
        </w:rPr>
        <w:t xml:space="preserve"> z Eur</w:t>
      </w:r>
      <w:r>
        <w:rPr>
          <w:noProof/>
          <w:color w:val="000000"/>
        </w:rPr>
        <w:t>opejskim Bankiem Inwestycyjnym (EBI)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 xml:space="preserve">u udzielania </w:t>
      </w:r>
      <w:r>
        <w:rPr>
          <w:b/>
          <w:noProof/>
          <w:color w:val="000000"/>
        </w:rPr>
        <w:t>kredytów eksportowych</w:t>
      </w:r>
      <w:r>
        <w:rPr>
          <w:noProof/>
          <w:color w:val="000000"/>
        </w:rPr>
        <w:t>, które zmniejszają ryzyko przy wywozie</w:t>
      </w:r>
      <w:r w:rsidR="00D12858">
        <w:rPr>
          <w:noProof/>
          <w:color w:val="000000"/>
        </w:rPr>
        <w:t xml:space="preserve"> w odn</w:t>
      </w:r>
      <w:r>
        <w:rPr>
          <w:noProof/>
          <w:color w:val="000000"/>
        </w:rPr>
        <w:t>iesieniu do unijnego sektora rolno-spożywczego.</w:t>
      </w:r>
    </w:p>
    <w:p w14:paraId="32CC4339" w14:textId="35925EA1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noProof/>
          <w:color w:val="000000"/>
        </w:rPr>
      </w:pPr>
      <w:r>
        <w:rPr>
          <w:noProof/>
          <w:color w:val="000000"/>
        </w:rPr>
        <w:t>W tym kontekście ważną rolę odegra rezerwa</w:t>
      </w:r>
      <w:r w:rsidR="00D12858">
        <w:rPr>
          <w:noProof/>
          <w:color w:val="000000"/>
        </w:rPr>
        <w:t xml:space="preserve"> w wys</w:t>
      </w:r>
      <w:r>
        <w:rPr>
          <w:noProof/>
          <w:color w:val="000000"/>
        </w:rPr>
        <w:t>okości 1 mld EUR zapowiedziana</w:t>
      </w:r>
      <w:r w:rsidR="00D12858">
        <w:rPr>
          <w:noProof/>
          <w:color w:val="000000"/>
        </w:rPr>
        <w:t xml:space="preserve"> w kon</w:t>
      </w:r>
      <w:r>
        <w:rPr>
          <w:noProof/>
          <w:color w:val="000000"/>
        </w:rPr>
        <w:t>tekście porozumienia między UE</w:t>
      </w:r>
      <w:r w:rsidR="00D12858">
        <w:rPr>
          <w:noProof/>
          <w:color w:val="000000"/>
        </w:rPr>
        <w:t xml:space="preserve"> a Mer</w:t>
      </w:r>
      <w:r>
        <w:rPr>
          <w:noProof/>
          <w:color w:val="000000"/>
        </w:rPr>
        <w:t>cosurem</w:t>
      </w:r>
      <w:r w:rsidR="00D12858">
        <w:rPr>
          <w:noProof/>
          <w:color w:val="000000"/>
        </w:rPr>
        <w:t xml:space="preserve"> w kol</w:t>
      </w:r>
      <w:r>
        <w:rPr>
          <w:noProof/>
          <w:color w:val="000000"/>
        </w:rPr>
        <w:t>ejnych WRF.</w:t>
      </w:r>
    </w:p>
    <w:p w14:paraId="613BA18B" w14:textId="1AF9AA76" w:rsidR="00ED3535" w:rsidRDefault="00EF513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b/>
          <w:noProof/>
          <w:color w:val="000000"/>
        </w:rPr>
      </w:pPr>
      <w:r>
        <w:rPr>
          <w:noProof/>
        </w:rPr>
        <w:t>Komisja będzie pracować ponadto nad wzmocnieniem konkurencyjności</w:t>
      </w:r>
      <w:r w:rsidR="00D12858">
        <w:rPr>
          <w:noProof/>
        </w:rPr>
        <w:t xml:space="preserve"> i odp</w:t>
      </w:r>
      <w:r>
        <w:rPr>
          <w:noProof/>
        </w:rPr>
        <w:t xml:space="preserve">orności sektorów wrażliwych takich jak produkcja zwierzęca, przedstawi </w:t>
      </w:r>
      <w:r>
        <w:rPr>
          <w:b/>
          <w:noProof/>
        </w:rPr>
        <w:t>pakiet uproszczeń</w:t>
      </w:r>
      <w:r>
        <w:rPr>
          <w:noProof/>
        </w:rPr>
        <w:t xml:space="preserve">, który przyczyni się do konkurencyjności rolników unijnych bez zakłócania realizacji celów społecznych, zaproponuje </w:t>
      </w:r>
      <w:r>
        <w:rPr>
          <w:b/>
          <w:noProof/>
        </w:rPr>
        <w:t>rozszerzenie oznaczania kraju pochodzenia –</w:t>
      </w:r>
      <w:r w:rsidR="00D12858">
        <w:rPr>
          <w:b/>
          <w:noProof/>
        </w:rPr>
        <w:t xml:space="preserve"> w pos</w:t>
      </w:r>
      <w:r>
        <w:rPr>
          <w:b/>
          <w:noProof/>
        </w:rPr>
        <w:t>zanowaniu specyfiki sektorowej</w:t>
      </w:r>
      <w:r w:rsidR="00D12858">
        <w:rPr>
          <w:b/>
          <w:noProof/>
        </w:rPr>
        <w:t xml:space="preserve"> i prz</w:t>
      </w:r>
      <w:r>
        <w:rPr>
          <w:b/>
          <w:noProof/>
        </w:rPr>
        <w:t>episów jednolitego rynku</w:t>
      </w:r>
      <w:r>
        <w:rPr>
          <w:noProof/>
        </w:rPr>
        <w:t xml:space="preserve"> – oraz udynamiczni swoją politykę promocyjną.</w:t>
      </w:r>
    </w:p>
    <w:p w14:paraId="7733A1BC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i/>
          <w:noProof/>
          <w:color w:val="000000"/>
        </w:rPr>
      </w:pPr>
    </w:p>
    <w:p w14:paraId="12D08EFA" w14:textId="28BE890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Gotowość sektora rolno-spożywczego</w:t>
      </w:r>
      <w:r w:rsidR="00D12858">
        <w:rPr>
          <w:b/>
          <w:i/>
          <w:noProof/>
          <w:color w:val="000000"/>
        </w:rPr>
        <w:t xml:space="preserve"> i jeg</w:t>
      </w:r>
      <w:r>
        <w:rPr>
          <w:b/>
          <w:i/>
          <w:noProof/>
          <w:color w:val="000000"/>
        </w:rPr>
        <w:t>o odporność na ryzyko</w:t>
      </w:r>
    </w:p>
    <w:p w14:paraId="6609D307" w14:textId="20376604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„</w:t>
      </w:r>
      <w:r>
        <w:rPr>
          <w:b/>
          <w:noProof/>
          <w:color w:val="000000"/>
        </w:rPr>
        <w:t>Musimy być lepiej przygotowani nie tylko do przetrwania, ale również do rozwoju</w:t>
      </w:r>
      <w:r w:rsidR="00D12858">
        <w:rPr>
          <w:b/>
          <w:noProof/>
          <w:color w:val="000000"/>
        </w:rPr>
        <w:t xml:space="preserve"> w tej</w:t>
      </w:r>
      <w:r>
        <w:rPr>
          <w:b/>
          <w:noProof/>
          <w:color w:val="000000"/>
        </w:rPr>
        <w:t xml:space="preserve"> nowej rzeczywistości</w:t>
      </w:r>
      <w:r>
        <w:rPr>
          <w:noProof/>
          <w:color w:val="000000"/>
        </w:rPr>
        <w:t>” – stwierdza się</w:t>
      </w:r>
      <w:r w:rsidR="00D12858">
        <w:rPr>
          <w:noProof/>
          <w:color w:val="000000"/>
        </w:rPr>
        <w:t xml:space="preserve"> w spr</w:t>
      </w:r>
      <w:r>
        <w:rPr>
          <w:noProof/>
          <w:color w:val="000000"/>
        </w:rPr>
        <w:t>awozdaniu Sauliego Niinistö</w:t>
      </w:r>
      <w:r w:rsidR="00270289">
        <w:rPr>
          <w:rStyle w:val="FootnoteReference"/>
          <w:noProof/>
          <w:color w:val="000000"/>
        </w:rPr>
        <w:footnoteReference w:id="29"/>
      </w:r>
      <w:r>
        <w:rPr>
          <w:noProof/>
          <w:color w:val="000000"/>
        </w:rPr>
        <w:t>. Ta nowa rzeczywistość naznaczona jest znacznymi wstrząsami, takimi jak pandemia, rosyjska wojna napastnicza</w:t>
      </w:r>
      <w:r w:rsidR="00D12858">
        <w:rPr>
          <w:noProof/>
          <w:color w:val="000000"/>
        </w:rPr>
        <w:t xml:space="preserve"> i zak</w:t>
      </w:r>
      <w:r>
        <w:rPr>
          <w:noProof/>
          <w:color w:val="000000"/>
        </w:rPr>
        <w:t>łócenia na rynku</w:t>
      </w:r>
      <w:r w:rsidR="00D12858">
        <w:rPr>
          <w:noProof/>
          <w:color w:val="000000"/>
        </w:rPr>
        <w:t xml:space="preserve"> w wyn</w:t>
      </w:r>
      <w:r>
        <w:rPr>
          <w:noProof/>
          <w:color w:val="000000"/>
        </w:rPr>
        <w:t>iku chorób zwierząt/roślin,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niestabilna sytuacja geopolityczna. Ponadto ekstremalne zdarzenia pogodowe, kiedyś stosunkowo rzadkie, stają się coraz częstsze,</w:t>
      </w:r>
      <w:r w:rsidR="00D12858">
        <w:rPr>
          <w:noProof/>
          <w:color w:val="000000"/>
        </w:rPr>
        <w:t xml:space="preserve"> a jed</w:t>
      </w:r>
      <w:r>
        <w:rPr>
          <w:noProof/>
          <w:color w:val="000000"/>
        </w:rPr>
        <w:t>nocześnie zmieniają się wzorce opadów.</w:t>
      </w:r>
    </w:p>
    <w:p w14:paraId="21F194F4" w14:textId="3B383460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Wiele</w:t>
      </w:r>
      <w:r w:rsidR="00D12858">
        <w:rPr>
          <w:noProof/>
          <w:color w:val="000000"/>
        </w:rPr>
        <w:t xml:space="preserve"> z tyc</w:t>
      </w:r>
      <w:r>
        <w:rPr>
          <w:noProof/>
          <w:color w:val="000000"/>
        </w:rPr>
        <w:t xml:space="preserve">h kryzysów dotyka przede wszystkim rolników. </w:t>
      </w:r>
      <w:r>
        <w:rPr>
          <w:noProof/>
        </w:rPr>
        <w:t>Rosnąca liczba zagrożeń, ryzyko</w:t>
      </w:r>
      <w:r w:rsidR="00D12858">
        <w:rPr>
          <w:noProof/>
        </w:rPr>
        <w:t xml:space="preserve"> i nie</w:t>
      </w:r>
      <w:r>
        <w:rPr>
          <w:noProof/>
        </w:rPr>
        <w:t xml:space="preserve">pewności wymagają ambitnego </w:t>
      </w:r>
      <w:r>
        <w:rPr>
          <w:b/>
          <w:noProof/>
        </w:rPr>
        <w:t>europejskiego podejścia do zarządzania ryzykiem</w:t>
      </w:r>
      <w:r w:rsidR="00D12858">
        <w:rPr>
          <w:b/>
          <w:noProof/>
        </w:rPr>
        <w:t xml:space="preserve"> i zar</w:t>
      </w:r>
      <w:r>
        <w:rPr>
          <w:b/>
          <w:noProof/>
        </w:rPr>
        <w:t>ządzania kryzysowego</w:t>
      </w:r>
      <w:r>
        <w:rPr>
          <w:noProof/>
        </w:rPr>
        <w:t xml:space="preserve">, które umożliwiłoby </w:t>
      </w:r>
      <w:r>
        <w:rPr>
          <w:b/>
          <w:noProof/>
        </w:rPr>
        <w:t>przegląd</w:t>
      </w:r>
      <w:r w:rsidR="00D12858">
        <w:rPr>
          <w:b/>
          <w:noProof/>
        </w:rPr>
        <w:t xml:space="preserve"> i wzm</w:t>
      </w:r>
      <w:r>
        <w:rPr>
          <w:b/>
          <w:noProof/>
        </w:rPr>
        <w:t>ocnienie zestawu narzędzi służących lepszemu zarządzaniu ryzykiem</w:t>
      </w:r>
      <w:r w:rsidR="00D12858">
        <w:rPr>
          <w:b/>
          <w:noProof/>
        </w:rPr>
        <w:t xml:space="preserve"> i kry</w:t>
      </w:r>
      <w:r>
        <w:rPr>
          <w:b/>
          <w:noProof/>
        </w:rPr>
        <w:t>zysami</w:t>
      </w:r>
      <w:r>
        <w:rPr>
          <w:noProof/>
        </w:rPr>
        <w:t xml:space="preserve"> na szczeblu UE.</w:t>
      </w:r>
    </w:p>
    <w:p w14:paraId="4BEC0D36" w14:textId="30C2927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Po pierwsze wzmocnione zostaną zachęty dla rolników, aby zmniejszyć ich podatność na zagrożenia</w:t>
      </w:r>
      <w:r w:rsidR="00D12858">
        <w:rPr>
          <w:noProof/>
          <w:color w:val="000000"/>
        </w:rPr>
        <w:t xml:space="preserve"> i nar</w:t>
      </w:r>
      <w:r>
        <w:rPr>
          <w:noProof/>
          <w:color w:val="000000"/>
        </w:rPr>
        <w:t>ażenie na nie poprzez dostosowanie na poziomie gospodarstwa,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 xml:space="preserve">że zachęty dla rolników do dzielenia się ryzykiem (np. za pośrednictwem organizacji producentów lub spółdzielni). Rolnictwo UE odporne na zmianę klimatu musi opierać się na </w:t>
      </w:r>
      <w:r>
        <w:rPr>
          <w:b/>
          <w:noProof/>
          <w:color w:val="000000"/>
        </w:rPr>
        <w:t>strategiach politycznych dostosowanych do potrzeb lokalnych, regionalnych</w:t>
      </w:r>
      <w:r w:rsidR="00D12858">
        <w:rPr>
          <w:b/>
          <w:noProof/>
          <w:color w:val="000000"/>
        </w:rPr>
        <w:t xml:space="preserve"> i kra</w:t>
      </w:r>
      <w:r>
        <w:rPr>
          <w:b/>
          <w:noProof/>
          <w:color w:val="000000"/>
        </w:rPr>
        <w:t>jowych</w:t>
      </w:r>
      <w:r>
        <w:rPr>
          <w:noProof/>
          <w:color w:val="000000"/>
        </w:rPr>
        <w:t>, wspierających praktyki rolnicze</w:t>
      </w:r>
      <w:r w:rsidR="00D12858">
        <w:rPr>
          <w:noProof/>
          <w:color w:val="000000"/>
        </w:rPr>
        <w:t xml:space="preserve"> i int</w:t>
      </w:r>
      <w:r>
        <w:rPr>
          <w:noProof/>
          <w:color w:val="000000"/>
        </w:rPr>
        <w:t>erwencje, które dostosowują lokalną produkcję rolną do przyszłych warunków klimatycznych.</w:t>
      </w:r>
    </w:p>
    <w:p w14:paraId="39C3AFC7" w14:textId="71805A9A" w:rsidR="00EF513A" w:rsidRDefault="00261EA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oparciu</w:t>
      </w:r>
      <w:r w:rsidR="00D12858">
        <w:rPr>
          <w:noProof/>
          <w:color w:val="000000"/>
        </w:rPr>
        <w:t xml:space="preserve"> o doś</w:t>
      </w:r>
      <w:r>
        <w:rPr>
          <w:noProof/>
          <w:color w:val="000000"/>
        </w:rPr>
        <w:t>wiadczenia związane</w:t>
      </w:r>
      <w:r w:rsidR="00D12858">
        <w:rPr>
          <w:noProof/>
          <w:color w:val="000000"/>
        </w:rPr>
        <w:t xml:space="preserve"> z ini</w:t>
      </w:r>
      <w:r>
        <w:rPr>
          <w:noProof/>
          <w:color w:val="000000"/>
        </w:rPr>
        <w:t>cjatywami podejmowanymi</w:t>
      </w:r>
      <w:r w:rsidR="00D12858">
        <w:rPr>
          <w:noProof/>
          <w:color w:val="000000"/>
        </w:rPr>
        <w:t xml:space="preserve"> w ost</w:t>
      </w:r>
      <w:r>
        <w:rPr>
          <w:noProof/>
          <w:color w:val="000000"/>
        </w:rPr>
        <w:t>atnich latach</w:t>
      </w:r>
      <w:r w:rsidR="00C00635">
        <w:rPr>
          <w:rStyle w:val="FootnoteReference"/>
          <w:noProof/>
          <w:color w:val="000000"/>
        </w:rPr>
        <w:footnoteReference w:id="30"/>
      </w:r>
      <w:r>
        <w:rPr>
          <w:noProof/>
          <w:color w:val="000000"/>
        </w:rPr>
        <w:t xml:space="preserve"> konieczne są dodatkowe działania. Przyszły </w:t>
      </w:r>
      <w:r>
        <w:rPr>
          <w:b/>
          <w:noProof/>
          <w:color w:val="000000"/>
        </w:rPr>
        <w:t>europejski plan</w:t>
      </w:r>
      <w:r w:rsidR="00D12858">
        <w:rPr>
          <w:b/>
          <w:noProof/>
          <w:color w:val="000000"/>
        </w:rPr>
        <w:t xml:space="preserve"> w zak</w:t>
      </w:r>
      <w:r>
        <w:rPr>
          <w:b/>
          <w:noProof/>
          <w:color w:val="000000"/>
        </w:rPr>
        <w:t>resie przystosowania się do zmiany klimatu</w:t>
      </w:r>
      <w:r>
        <w:rPr>
          <w:noProof/>
          <w:color w:val="000000"/>
        </w:rPr>
        <w:t xml:space="preserve"> oraz przyszła </w:t>
      </w:r>
      <w:r>
        <w:rPr>
          <w:b/>
          <w:noProof/>
          <w:color w:val="000000"/>
        </w:rPr>
        <w:t>strategia odporności wodnej</w:t>
      </w:r>
      <w:r>
        <w:rPr>
          <w:noProof/>
          <w:color w:val="000000"/>
        </w:rPr>
        <w:t xml:space="preserve"> odegrają ważną rolę,</w:t>
      </w:r>
      <w:r w:rsidR="00D12858">
        <w:rPr>
          <w:noProof/>
          <w:color w:val="000000"/>
        </w:rPr>
        <w:t xml:space="preserve"> w szc</w:t>
      </w:r>
      <w:r>
        <w:rPr>
          <w:noProof/>
          <w:color w:val="000000"/>
        </w:rPr>
        <w:t>zególności we wspieraniu państw członkowskich, jeśli chodzi</w:t>
      </w:r>
      <w:r w:rsidR="00D12858">
        <w:rPr>
          <w:noProof/>
          <w:color w:val="000000"/>
        </w:rPr>
        <w:t xml:space="preserve"> o got</w:t>
      </w:r>
      <w:r>
        <w:rPr>
          <w:noProof/>
          <w:color w:val="000000"/>
        </w:rPr>
        <w:t>owość</w:t>
      </w:r>
      <w:r w:rsidR="00D12858">
        <w:rPr>
          <w:noProof/>
          <w:color w:val="000000"/>
        </w:rPr>
        <w:t xml:space="preserve"> i pla</w:t>
      </w:r>
      <w:r>
        <w:rPr>
          <w:noProof/>
          <w:color w:val="000000"/>
        </w:rPr>
        <w:t>nowanie oraz przeciwdziałanie zagrożeniom</w:t>
      </w:r>
      <w:r w:rsidR="00D12858">
        <w:rPr>
          <w:noProof/>
          <w:color w:val="000000"/>
        </w:rPr>
        <w:t xml:space="preserve"> i sku</w:t>
      </w:r>
      <w:r>
        <w:rPr>
          <w:noProof/>
          <w:color w:val="000000"/>
        </w:rPr>
        <w:t>tkom zmiany klimatu dla energii, transportu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ej infrastruktury, wody, żywności</w:t>
      </w:r>
      <w:r w:rsidR="00D12858">
        <w:rPr>
          <w:noProof/>
          <w:color w:val="000000"/>
        </w:rPr>
        <w:t xml:space="preserve"> i gru</w:t>
      </w:r>
      <w:r>
        <w:rPr>
          <w:noProof/>
          <w:color w:val="000000"/>
        </w:rPr>
        <w:t>ntów</w:t>
      </w:r>
      <w:r w:rsidR="00D12858">
        <w:rPr>
          <w:noProof/>
          <w:color w:val="000000"/>
        </w:rPr>
        <w:t xml:space="preserve"> w mia</w:t>
      </w:r>
      <w:r>
        <w:rPr>
          <w:noProof/>
          <w:color w:val="000000"/>
        </w:rPr>
        <w:t>stach i na obszarach wiejskich.</w:t>
      </w:r>
    </w:p>
    <w:p w14:paraId="233B32FF" w14:textId="4C33C973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Przyszła WPR będzie wspierać</w:t>
      </w:r>
      <w:r w:rsidR="00D12858">
        <w:rPr>
          <w:noProof/>
          <w:color w:val="000000"/>
        </w:rPr>
        <w:t xml:space="preserve"> w bar</w:t>
      </w:r>
      <w:r>
        <w:rPr>
          <w:noProof/>
          <w:color w:val="000000"/>
        </w:rPr>
        <w:t>dziej ukierunkowany sposób środki</w:t>
      </w:r>
      <w:r w:rsidR="00D12858">
        <w:rPr>
          <w:noProof/>
          <w:color w:val="000000"/>
        </w:rPr>
        <w:t xml:space="preserve"> i inw</w:t>
      </w:r>
      <w:r>
        <w:rPr>
          <w:noProof/>
          <w:color w:val="000000"/>
        </w:rPr>
        <w:t>estycje zwiększające odporność sektora rolnego na zmieniające się warunki. Konieczne będą bardziej ambitne zmiany transformacyjne</w:t>
      </w:r>
      <w:r w:rsidR="00D12858">
        <w:rPr>
          <w:noProof/>
          <w:color w:val="000000"/>
        </w:rPr>
        <w:t xml:space="preserve"> w mie</w:t>
      </w:r>
      <w:r>
        <w:rPr>
          <w:noProof/>
          <w:color w:val="000000"/>
        </w:rPr>
        <w:t>jscach,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rych obecna produkcja nie jest zrównoważona</w:t>
      </w:r>
      <w:r w:rsidR="00D12858">
        <w:rPr>
          <w:noProof/>
          <w:color w:val="000000"/>
        </w:rPr>
        <w:t xml:space="preserve"> w per</w:t>
      </w:r>
      <w:r>
        <w:rPr>
          <w:noProof/>
          <w:color w:val="000000"/>
        </w:rPr>
        <w:t>spektywie długoterminowej, na przykład poprzez nowe lokalne strategie, badania naukowe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owacje,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nowe techniki genomowe mające na celu produkcję roślin bardziej odpornych na zmianę klimatu.</w:t>
      </w:r>
    </w:p>
    <w:p w14:paraId="312021FA" w14:textId="7534D068" w:rsidR="00EF513A" w:rsidRDefault="00BF5473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>Po drugie potrzebne są ambitne działania</w:t>
      </w:r>
      <w:r w:rsidR="00D12858">
        <w:rPr>
          <w:noProof/>
          <w:color w:val="000000" w:themeColor="text1"/>
        </w:rPr>
        <w:t xml:space="preserve"> w zak</w:t>
      </w:r>
      <w:r>
        <w:rPr>
          <w:noProof/>
          <w:color w:val="000000" w:themeColor="text1"/>
        </w:rPr>
        <w:t>resie gotowości na wypadek zagrożeń, ubezpieczenia</w:t>
      </w:r>
      <w:r w:rsidR="00D12858">
        <w:rPr>
          <w:noProof/>
          <w:color w:val="000000" w:themeColor="text1"/>
        </w:rPr>
        <w:t xml:space="preserve"> i ogr</w:t>
      </w:r>
      <w:r>
        <w:rPr>
          <w:noProof/>
          <w:color w:val="000000" w:themeColor="text1"/>
        </w:rPr>
        <w:t>aniczania ryzyka</w:t>
      </w:r>
      <w:r w:rsidR="00D12858">
        <w:rPr>
          <w:noProof/>
          <w:color w:val="000000" w:themeColor="text1"/>
        </w:rPr>
        <w:t>. W tej</w:t>
      </w:r>
      <w:r>
        <w:rPr>
          <w:noProof/>
          <w:color w:val="000000" w:themeColor="text1"/>
        </w:rPr>
        <w:t xml:space="preserve"> dziedzinie kluczowe znaczenie będzie miała współpraca z </w:t>
      </w:r>
      <w:r>
        <w:rPr>
          <w:b/>
          <w:noProof/>
          <w:color w:val="000000" w:themeColor="text1"/>
        </w:rPr>
        <w:t>EBI</w:t>
      </w:r>
      <w:r>
        <w:rPr>
          <w:noProof/>
          <w:color w:val="000000" w:themeColor="text1"/>
        </w:rPr>
        <w:t>, bankami, zakładami ubezpieczeń</w:t>
      </w:r>
      <w:r w:rsidR="00D12858">
        <w:rPr>
          <w:noProof/>
          <w:color w:val="000000" w:themeColor="text1"/>
        </w:rPr>
        <w:t xml:space="preserve"> i rea</w:t>
      </w:r>
      <w:r>
        <w:rPr>
          <w:noProof/>
          <w:color w:val="000000" w:themeColor="text1"/>
        </w:rPr>
        <w:t>sekuracji oraz podmiotami łańcucha wartości. Powinno to prowadzić do lepszego grupowania ryzyka oraz lepszej dostępności</w:t>
      </w:r>
      <w:r w:rsidR="00D12858">
        <w:rPr>
          <w:noProof/>
          <w:color w:val="000000" w:themeColor="text1"/>
        </w:rPr>
        <w:t xml:space="preserve"> i prz</w:t>
      </w:r>
      <w:r>
        <w:rPr>
          <w:noProof/>
          <w:color w:val="000000" w:themeColor="text1"/>
        </w:rPr>
        <w:t>ystępności cenowej ubezpieczeń rolniczych dla rolników.</w:t>
      </w:r>
    </w:p>
    <w:p w14:paraId="38C43648" w14:textId="03E6D32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Po trzecie Komisja</w:t>
      </w:r>
      <w:r w:rsidR="00D12858">
        <w:rPr>
          <w:noProof/>
          <w:color w:val="000000"/>
        </w:rPr>
        <w:t xml:space="preserve"> i pań</w:t>
      </w:r>
      <w:r>
        <w:rPr>
          <w:noProof/>
          <w:color w:val="000000"/>
        </w:rPr>
        <w:t xml:space="preserve">stwa członkowskie muszą zapewnić </w:t>
      </w:r>
      <w:r>
        <w:rPr>
          <w:b/>
          <w:noProof/>
          <w:color w:val="000000"/>
        </w:rPr>
        <w:t>spójność polityki między narzędziami zarządzania ryzykiem</w:t>
      </w:r>
      <w:r w:rsidR="00D12858">
        <w:rPr>
          <w:b/>
          <w:noProof/>
          <w:color w:val="000000"/>
        </w:rPr>
        <w:t xml:space="preserve"> a nar</w:t>
      </w:r>
      <w:r>
        <w:rPr>
          <w:b/>
          <w:noProof/>
          <w:color w:val="000000"/>
        </w:rPr>
        <w:t>zędziami zarządzania kryzysowego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większą elastyczność. Narzędzia zarządzania kryzysowego powinny zachęcać rolników do proaktywnego zarządzania ryzykiem,</w:t>
      </w:r>
      <w:r w:rsidR="00D12858">
        <w:rPr>
          <w:noProof/>
          <w:color w:val="000000"/>
        </w:rPr>
        <w:t xml:space="preserve"> a pań</w:t>
      </w:r>
      <w:r>
        <w:rPr>
          <w:noProof/>
          <w:color w:val="000000"/>
        </w:rPr>
        <w:t>stwa członkowskie do pracy nad skutecznymi</w:t>
      </w:r>
      <w:r w:rsidR="00D12858">
        <w:rPr>
          <w:noProof/>
          <w:color w:val="000000"/>
        </w:rPr>
        <w:t xml:space="preserve"> i dos</w:t>
      </w:r>
      <w:r>
        <w:rPr>
          <w:noProof/>
          <w:color w:val="000000"/>
        </w:rPr>
        <w:t>tosowanymi strategiami zarządzania ryzykiem.</w:t>
      </w:r>
    </w:p>
    <w:p w14:paraId="5A63466A" w14:textId="5DCFDBCC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Ponadto należy dokładnie ocenić </w:t>
      </w:r>
      <w:r>
        <w:rPr>
          <w:b/>
          <w:noProof/>
          <w:color w:val="000000"/>
        </w:rPr>
        <w:t>funkcjonowanie rezerwy rolnej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>u przekierowania jej na konkretne kryzysy</w:t>
      </w:r>
      <w:r w:rsidR="00D12858">
        <w:rPr>
          <w:noProof/>
          <w:color w:val="000000"/>
        </w:rPr>
        <w:t xml:space="preserve"> o zna</w:t>
      </w:r>
      <w:r>
        <w:rPr>
          <w:noProof/>
          <w:color w:val="000000"/>
        </w:rPr>
        <w:t>cznej skali, takie jak poważne zakłócenia na rynku</w:t>
      </w:r>
      <w:r w:rsidR="00D12858">
        <w:rPr>
          <w:noProof/>
          <w:color w:val="000000"/>
        </w:rPr>
        <w:t xml:space="preserve"> i pro</w:t>
      </w:r>
      <w:r>
        <w:rPr>
          <w:noProof/>
          <w:color w:val="000000"/>
        </w:rPr>
        <w:t>blemy związane ze zdrowiem zwierząt/roślin. </w:t>
      </w:r>
      <w:r>
        <w:rPr>
          <w:noProof/>
        </w:rPr>
        <w:t>Poza tym udzielanie rolnikom nadzwyczajnego wsparcia powinno być lepiej powiązane</w:t>
      </w:r>
      <w:r w:rsidR="00D12858">
        <w:rPr>
          <w:noProof/>
        </w:rPr>
        <w:t xml:space="preserve"> z odp</w:t>
      </w:r>
      <w:r>
        <w:rPr>
          <w:noProof/>
        </w:rPr>
        <w:t>owiednim zarządzaniem ryzykiem</w:t>
      </w:r>
      <w:r w:rsidR="00D12858">
        <w:rPr>
          <w:noProof/>
        </w:rPr>
        <w:t xml:space="preserve"> i śro</w:t>
      </w:r>
      <w:r>
        <w:rPr>
          <w:noProof/>
        </w:rPr>
        <w:t>dkami zapobiegawczymi.</w:t>
      </w:r>
    </w:p>
    <w:p w14:paraId="2D913DAE" w14:textId="5DC8579D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>Ze sprawozdania Sauliego Niinistö płynie wniosek, że UE powinna zwiększyć poziom gotowości</w:t>
      </w:r>
      <w:r w:rsidR="00D12858">
        <w:rPr>
          <w:noProof/>
          <w:color w:val="000000" w:themeColor="text1"/>
        </w:rPr>
        <w:t xml:space="preserve"> w zak</w:t>
      </w:r>
      <w:r>
        <w:rPr>
          <w:noProof/>
          <w:color w:val="000000" w:themeColor="text1"/>
        </w:rPr>
        <w:t>resie bezpieczeństwa żywnościowego</w:t>
      </w:r>
      <w:r w:rsidR="00D12858">
        <w:rPr>
          <w:noProof/>
          <w:color w:val="000000" w:themeColor="text1"/>
        </w:rPr>
        <w:t xml:space="preserve"> w cał</w:t>
      </w:r>
      <w:r>
        <w:rPr>
          <w:noProof/>
          <w:color w:val="000000" w:themeColor="text1"/>
        </w:rPr>
        <w:t xml:space="preserve">ym łańcuchu żywnościowym. </w:t>
      </w:r>
      <w:r>
        <w:rPr>
          <w:noProof/>
        </w:rPr>
        <w:t>Działania</w:t>
      </w:r>
      <w:r w:rsidR="00D12858">
        <w:rPr>
          <w:noProof/>
        </w:rPr>
        <w:t xml:space="preserve"> w ram</w:t>
      </w:r>
      <w:r>
        <w:rPr>
          <w:noProof/>
        </w:rPr>
        <w:t xml:space="preserve">ach </w:t>
      </w:r>
      <w:r>
        <w:rPr>
          <w:b/>
          <w:noProof/>
        </w:rPr>
        <w:t>europejskiego mechanizmu gotowości</w:t>
      </w:r>
      <w:r w:rsidR="00D12858">
        <w:rPr>
          <w:b/>
          <w:noProof/>
        </w:rPr>
        <w:t xml:space="preserve"> i rea</w:t>
      </w:r>
      <w:r>
        <w:rPr>
          <w:b/>
          <w:noProof/>
        </w:rPr>
        <w:t>gowania na kryzysy związane</w:t>
      </w:r>
      <w:r w:rsidR="00D12858">
        <w:rPr>
          <w:b/>
          <w:noProof/>
        </w:rPr>
        <w:t xml:space="preserve"> z bez</w:t>
      </w:r>
      <w:r>
        <w:rPr>
          <w:b/>
          <w:noProof/>
        </w:rPr>
        <w:t>pieczeństwem żywnościowym (EFSCM)</w:t>
      </w:r>
      <w:r>
        <w:rPr>
          <w:noProof/>
        </w:rPr>
        <w:t xml:space="preserve"> należy kontynuować, dalej rozwijać</w:t>
      </w:r>
      <w:r w:rsidR="00D12858">
        <w:rPr>
          <w:noProof/>
        </w:rPr>
        <w:t xml:space="preserve"> i pow</w:t>
      </w:r>
      <w:r>
        <w:rPr>
          <w:noProof/>
        </w:rPr>
        <w:t>iązać</w:t>
      </w:r>
      <w:r w:rsidR="00D12858">
        <w:rPr>
          <w:noProof/>
        </w:rPr>
        <w:t xml:space="preserve"> z ogó</w:t>
      </w:r>
      <w:r>
        <w:rPr>
          <w:noProof/>
        </w:rPr>
        <w:t>lnym zarządzaniem kryzysowym UE</w:t>
      </w:r>
      <w:r w:rsidR="00D12858">
        <w:rPr>
          <w:noProof/>
        </w:rPr>
        <w:t xml:space="preserve"> w ram</w:t>
      </w:r>
      <w:r>
        <w:rPr>
          <w:noProof/>
        </w:rPr>
        <w:t>ach podejścia obejmującego całą administrację rządową.</w:t>
      </w:r>
      <w:r>
        <w:rPr>
          <w:noProof/>
          <w:color w:val="000000" w:themeColor="text1"/>
        </w:rPr>
        <w:t xml:space="preserve"> </w:t>
      </w:r>
      <w:r>
        <w:rPr>
          <w:noProof/>
        </w:rPr>
        <w:t>Zgodnie</w:t>
      </w:r>
      <w:r w:rsidR="00D12858">
        <w:rPr>
          <w:noProof/>
        </w:rPr>
        <w:t xml:space="preserve"> z prz</w:t>
      </w:r>
      <w:r>
        <w:rPr>
          <w:noProof/>
        </w:rPr>
        <w:t xml:space="preserve">yszłą </w:t>
      </w:r>
      <w:r>
        <w:rPr>
          <w:b/>
          <w:noProof/>
        </w:rPr>
        <w:t>strategią na rzecz unii gotowości</w:t>
      </w:r>
      <w:r>
        <w:rPr>
          <w:noProof/>
        </w:rPr>
        <w:t xml:space="preserve"> należy dążyć do synergii</w:t>
      </w:r>
      <w:r w:rsidR="00D12858">
        <w:rPr>
          <w:noProof/>
        </w:rPr>
        <w:t xml:space="preserve"> i wię</w:t>
      </w:r>
      <w:r>
        <w:rPr>
          <w:noProof/>
        </w:rPr>
        <w:t>kszej koordynacji</w:t>
      </w:r>
      <w:r w:rsidR="00D12858">
        <w:rPr>
          <w:noProof/>
        </w:rPr>
        <w:t xml:space="preserve"> w zak</w:t>
      </w:r>
      <w:r>
        <w:rPr>
          <w:noProof/>
        </w:rPr>
        <w:t>resie gotowości.</w:t>
      </w:r>
      <w:r>
        <w:rPr>
          <w:noProof/>
          <w:color w:val="000000" w:themeColor="text1"/>
        </w:rPr>
        <w:t xml:space="preserve"> Ponadto,</w:t>
      </w:r>
      <w:r w:rsidR="00D12858">
        <w:rPr>
          <w:noProof/>
          <w:color w:val="000000" w:themeColor="text1"/>
        </w:rPr>
        <w:t xml:space="preserve"> w odn</w:t>
      </w:r>
      <w:r>
        <w:rPr>
          <w:noProof/>
          <w:color w:val="000000" w:themeColor="text1"/>
        </w:rPr>
        <w:t>iesieniu do rolnictwa</w:t>
      </w:r>
      <w:r w:rsidR="00D12858">
        <w:rPr>
          <w:noProof/>
          <w:color w:val="000000" w:themeColor="text1"/>
        </w:rPr>
        <w:t xml:space="preserve"> i żyw</w:t>
      </w:r>
      <w:r>
        <w:rPr>
          <w:noProof/>
          <w:color w:val="000000" w:themeColor="text1"/>
        </w:rPr>
        <w:t>ności, możliwe jest rozważenie wprowadzenia nowych szczególnych narzędzi związanych</w:t>
      </w:r>
      <w:r w:rsidR="00D12858">
        <w:rPr>
          <w:noProof/>
          <w:color w:val="000000" w:themeColor="text1"/>
        </w:rPr>
        <w:t xml:space="preserve"> z rez</w:t>
      </w:r>
      <w:r>
        <w:rPr>
          <w:noProof/>
          <w:color w:val="000000" w:themeColor="text1"/>
        </w:rPr>
        <w:t>erwami żywności, wspólnymi zamówieniami</w:t>
      </w:r>
      <w:r w:rsidR="00D12858">
        <w:rPr>
          <w:noProof/>
          <w:color w:val="000000" w:themeColor="text1"/>
        </w:rPr>
        <w:t xml:space="preserve"> i wię</w:t>
      </w:r>
      <w:r>
        <w:rPr>
          <w:noProof/>
          <w:color w:val="000000" w:themeColor="text1"/>
        </w:rPr>
        <w:t>kszą przejrzystością</w:t>
      </w:r>
      <w:r w:rsidR="00D12858">
        <w:rPr>
          <w:noProof/>
          <w:color w:val="000000" w:themeColor="text1"/>
        </w:rPr>
        <w:t xml:space="preserve"> w cza</w:t>
      </w:r>
      <w:r>
        <w:rPr>
          <w:noProof/>
          <w:color w:val="000000" w:themeColor="text1"/>
        </w:rPr>
        <w:t xml:space="preserve">sach kryzysu. </w:t>
      </w:r>
      <w:r>
        <w:rPr>
          <w:noProof/>
        </w:rPr>
        <w:t>Podobnie jak</w:t>
      </w:r>
      <w:r w:rsidR="00D12858">
        <w:rPr>
          <w:noProof/>
        </w:rPr>
        <w:t xml:space="preserve"> w prz</w:t>
      </w:r>
      <w:r>
        <w:rPr>
          <w:noProof/>
        </w:rPr>
        <w:t>ypadku innych kluczowych sektorów (takich jak zdrowie) na szczeblu krajowym</w:t>
      </w:r>
      <w:r w:rsidR="00D12858">
        <w:rPr>
          <w:noProof/>
        </w:rPr>
        <w:t xml:space="preserve"> i reg</w:t>
      </w:r>
      <w:r>
        <w:rPr>
          <w:noProof/>
        </w:rPr>
        <w:t>ionalnym należy opracować całościowe plany gotowości</w:t>
      </w:r>
      <w:r w:rsidR="00D12858">
        <w:rPr>
          <w:noProof/>
        </w:rPr>
        <w:t xml:space="preserve"> i rea</w:t>
      </w:r>
      <w:r>
        <w:rPr>
          <w:noProof/>
        </w:rPr>
        <w:t>gowania, obejmujące wszystkie aspekty istotne dla całego łańcucha dostaw żywności,</w:t>
      </w:r>
      <w:r w:rsidR="00D12858">
        <w:rPr>
          <w:noProof/>
        </w:rPr>
        <w:t xml:space="preserve"> w ram</w:t>
      </w:r>
      <w:r>
        <w:rPr>
          <w:noProof/>
        </w:rPr>
        <w:t>ach szerszego podejścia UE do gotowości.</w:t>
      </w:r>
    </w:p>
    <w:p w14:paraId="3D3C2D91" w14:textId="441E385E" w:rsidR="702ABDF9" w:rsidRDefault="702ABDF9" w:rsidP="702ABDF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 w:themeColor="text1"/>
        </w:rPr>
      </w:pPr>
    </w:p>
    <w:p w14:paraId="3BA12D8F" w14:textId="064FF4A2" w:rsidR="001B4D8F" w:rsidRPr="0017748F" w:rsidRDefault="00793532" w:rsidP="0017748F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b/>
          <w:i/>
          <w:noProof/>
          <w:color w:val="000000" w:themeColor="text1"/>
        </w:rPr>
      </w:pPr>
      <w:r>
        <w:rPr>
          <w:b/>
          <w:i/>
          <w:noProof/>
          <w:color w:val="000000" w:themeColor="text1"/>
        </w:rPr>
        <w:t>Wspieranie odporności rynków rolnych</w:t>
      </w:r>
    </w:p>
    <w:p w14:paraId="24BF690C" w14:textId="5A378CE5" w:rsidR="00515B97" w:rsidRPr="00C31FC0" w:rsidRDefault="00151CBE" w:rsidP="03BF69B1">
      <w:pPr>
        <w:rPr>
          <w:noProof/>
          <w:color w:val="000000" w:themeColor="text1"/>
        </w:rPr>
      </w:pPr>
      <w:r>
        <w:rPr>
          <w:noProof/>
          <w:color w:val="000000"/>
        </w:rPr>
        <w:t>Wydarzenia geopolityczne skutkujące zakłóceniami</w:t>
      </w:r>
      <w:r w:rsidR="00D12858">
        <w:rPr>
          <w:noProof/>
          <w:color w:val="000000"/>
        </w:rPr>
        <w:t xml:space="preserve"> w han</w:t>
      </w:r>
      <w:r>
        <w:rPr>
          <w:noProof/>
          <w:color w:val="000000"/>
        </w:rPr>
        <w:t>dlu, globalna konkurencja, skutki ekstremalnych zjawisk klimatycznych</w:t>
      </w:r>
      <w:r w:rsidR="00D12858">
        <w:rPr>
          <w:noProof/>
          <w:color w:val="000000"/>
        </w:rPr>
        <w:t xml:space="preserve"> i zmi</w:t>
      </w:r>
      <w:r>
        <w:rPr>
          <w:noProof/>
          <w:color w:val="000000"/>
        </w:rPr>
        <w:t>eniające się wzorce konsumpcji są źródłem niepewności dla wielu rynków towarowych, począwszy od wina, zbóż, produktów pochodzenia zwierzęcego,</w:t>
      </w:r>
      <w:r w:rsidR="00D12858">
        <w:rPr>
          <w:noProof/>
          <w:color w:val="000000"/>
        </w:rPr>
        <w:t xml:space="preserve"> a sko</w:t>
      </w:r>
      <w:r>
        <w:rPr>
          <w:noProof/>
          <w:color w:val="000000"/>
        </w:rPr>
        <w:t>ńczywszy na oliwie</w:t>
      </w:r>
      <w:r w:rsidR="00D12858">
        <w:rPr>
          <w:noProof/>
          <w:color w:val="000000"/>
        </w:rPr>
        <w:t xml:space="preserve"> z oli</w:t>
      </w:r>
      <w:r>
        <w:rPr>
          <w:noProof/>
          <w:color w:val="000000"/>
        </w:rPr>
        <w:t>wek. Komisja ściśle monitoruje wszystkie rynki</w:t>
      </w:r>
      <w:r w:rsidR="00D12858">
        <w:rPr>
          <w:noProof/>
          <w:color w:val="000000"/>
        </w:rPr>
        <w:t xml:space="preserve"> i szy</w:t>
      </w:r>
      <w:r>
        <w:rPr>
          <w:noProof/>
          <w:color w:val="000000"/>
        </w:rPr>
        <w:t>bko podejmuje działania</w:t>
      </w:r>
      <w:r w:rsidR="00D12858">
        <w:rPr>
          <w:noProof/>
          <w:color w:val="000000"/>
        </w:rPr>
        <w:t xml:space="preserve"> w prz</w:t>
      </w:r>
      <w:r>
        <w:rPr>
          <w:noProof/>
          <w:color w:val="000000"/>
        </w:rPr>
        <w:t xml:space="preserve">ypadku pogorszenia się sytuacji na rynku. </w:t>
      </w:r>
    </w:p>
    <w:p w14:paraId="7F188203" w14:textId="364385E2" w:rsidR="00515B97" w:rsidRPr="00C31FC0" w:rsidRDefault="00EB740E" w:rsidP="00793532">
      <w:pPr>
        <w:rPr>
          <w:bCs/>
          <w:noProof/>
          <w:color w:val="000000"/>
        </w:rPr>
      </w:pPr>
      <w:r>
        <w:rPr>
          <w:noProof/>
        </w:rPr>
        <w:t>Specyficzna sytuacja sektora wina wymagała takiej reakcji, a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25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Komisja będzie dążyć do wdrożenia zaleceń grupy wysokiego szczebla ds. wina</w:t>
      </w:r>
      <w:r w:rsidR="00812019">
        <w:rPr>
          <w:rStyle w:val="FootnoteReference"/>
          <w:noProof/>
        </w:rPr>
        <w:footnoteReference w:id="31"/>
      </w:r>
      <w:r>
        <w:rPr>
          <w:noProof/>
        </w:rPr>
        <w:t>.</w:t>
      </w:r>
    </w:p>
    <w:p w14:paraId="37F808A3" w14:textId="2FAA7701" w:rsidR="00EF513A" w:rsidRDefault="0081201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Unijny sektor produkcji zwierzęcej jest szczególnie narażony na różne wstrząsy</w:t>
      </w:r>
      <w:r w:rsidR="00D12858">
        <w:rPr>
          <w:noProof/>
          <w:color w:val="000000"/>
        </w:rPr>
        <w:t xml:space="preserve"> i glo</w:t>
      </w:r>
      <w:r>
        <w:rPr>
          <w:noProof/>
          <w:color w:val="000000"/>
        </w:rPr>
        <w:t>balną konkurencję. Wysokie normy unijne powodują, że rolnicy zajmujący się produkcją zwierzęcą w UE są światowymi liderami, ale ich wysiłki nie są odwzajemnione na całym świecie, gdzie konkurencja odbywa się przy braku równych warunków działania. Takie normy wiążą się również</w:t>
      </w:r>
      <w:r w:rsidR="00D12858">
        <w:rPr>
          <w:noProof/>
          <w:color w:val="000000"/>
        </w:rPr>
        <w:t xml:space="preserve"> z kos</w:t>
      </w:r>
      <w:r>
        <w:rPr>
          <w:noProof/>
          <w:color w:val="000000"/>
        </w:rPr>
        <w:t>ztami, które rynek nie zawsze wynagradza. </w:t>
      </w:r>
      <w:r>
        <w:rPr>
          <w:b/>
          <w:noProof/>
          <w:color w:val="000000"/>
        </w:rPr>
        <w:t>Produkcja zwierzęca jest</w:t>
      </w:r>
      <w:r w:rsidR="00D12858">
        <w:rPr>
          <w:b/>
          <w:noProof/>
          <w:color w:val="000000"/>
        </w:rPr>
        <w:t xml:space="preserve"> i poz</w:t>
      </w:r>
      <w:r>
        <w:rPr>
          <w:b/>
          <w:noProof/>
          <w:color w:val="000000"/>
        </w:rPr>
        <w:t>ostanie zasadniczym elementem unijnego rolnictwa, konkurencyjności</w:t>
      </w:r>
      <w:r w:rsidR="00D12858">
        <w:rPr>
          <w:b/>
          <w:noProof/>
          <w:color w:val="000000"/>
        </w:rPr>
        <w:t xml:space="preserve"> i spó</w:t>
      </w:r>
      <w:r>
        <w:rPr>
          <w:b/>
          <w:noProof/>
          <w:color w:val="000000"/>
        </w:rPr>
        <w:t xml:space="preserve">jności. </w:t>
      </w:r>
      <w:r>
        <w:rPr>
          <w:noProof/>
          <w:color w:val="000000"/>
        </w:rPr>
        <w:t>Zrównoważona produkcja zwierzęca ma kluczowe znaczenie dla gospodarki UE, rentowności obszarów wiejskich oraz ochrony środowiska</w:t>
      </w:r>
      <w:r w:rsidR="00D12858">
        <w:rPr>
          <w:noProof/>
          <w:color w:val="000000"/>
        </w:rPr>
        <w:t xml:space="preserve"> i kra</w:t>
      </w:r>
      <w:r>
        <w:rPr>
          <w:noProof/>
          <w:color w:val="000000"/>
        </w:rPr>
        <w:t>jobrazów wiejskich. Jest to sektor,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rym innowacje mogą rozwijać się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ynosić wymierne korzyści.</w:t>
      </w:r>
    </w:p>
    <w:p w14:paraId="095C6BA8" w14:textId="34279648" w:rsidR="00EF513A" w:rsidRPr="006132E9" w:rsidRDefault="00BF5473" w:rsidP="006132E9">
      <w:pPr>
        <w:rPr>
          <w:noProof/>
        </w:rPr>
      </w:pPr>
      <w:r>
        <w:rPr>
          <w:b/>
          <w:noProof/>
        </w:rPr>
        <w:t>Unijny sektor produkcji zwierzęcej wymaga długoterminowej wizji</w:t>
      </w:r>
      <w:r>
        <w:rPr>
          <w:noProof/>
        </w:rPr>
        <w:t>, która respektowałaby różnorodność</w:t>
      </w:r>
      <w:r w:rsidR="00D12858">
        <w:rPr>
          <w:noProof/>
        </w:rPr>
        <w:t xml:space="preserve"> i zró</w:t>
      </w:r>
      <w:r>
        <w:rPr>
          <w:noProof/>
        </w:rPr>
        <w:t>wnoważony charakter chowu zwierząt</w:t>
      </w:r>
      <w:r w:rsidR="00D12858">
        <w:rPr>
          <w:noProof/>
        </w:rPr>
        <w:t xml:space="preserve"> w cał</w:t>
      </w:r>
      <w:r>
        <w:rPr>
          <w:noProof/>
        </w:rPr>
        <w:t>ej Europie. Ochrona tej różnorodności oznacza, że nie można stosować uniwersalnego podejścia, lecz raczej ukierunkowane rozwiązania terytorialne służące konkurencyjności</w:t>
      </w:r>
      <w:r w:rsidR="00D12858">
        <w:rPr>
          <w:noProof/>
        </w:rPr>
        <w:t xml:space="preserve"> i zró</w:t>
      </w:r>
      <w:r>
        <w:rPr>
          <w:noProof/>
        </w:rPr>
        <w:t xml:space="preserve">wnoważonemu rozwojowi sektora. Potężnym impulsem mogłoby być stworzenie warunków sprzyjających rozwojowi „doskonałości łańcucha produkcji zwierzęcej”. Komisja rozpocznie </w:t>
      </w:r>
      <w:r>
        <w:rPr>
          <w:b/>
          <w:noProof/>
        </w:rPr>
        <w:t>prace dotyczące produkcji zwierzęcej</w:t>
      </w:r>
      <w:r w:rsidR="00D12858">
        <w:rPr>
          <w:noProof/>
        </w:rPr>
        <w:t xml:space="preserve"> w cel</w:t>
      </w:r>
      <w:r>
        <w:rPr>
          <w:noProof/>
        </w:rPr>
        <w:t>u opracowania strategii politycznych, które: a) przedstawią diagnozę wyzwań stojących przed sektorem,</w:t>
      </w:r>
      <w:r w:rsidR="00D12858">
        <w:rPr>
          <w:noProof/>
        </w:rPr>
        <w:t xml:space="preserve"> w tym w kon</w:t>
      </w:r>
      <w:r>
        <w:rPr>
          <w:noProof/>
        </w:rPr>
        <w:t>tekście globalnej konkurencji; b) zaproponują odpowiednie narzędzia towarzyszące sektorowi oraz,</w:t>
      </w:r>
      <w:r w:rsidR="00D12858">
        <w:rPr>
          <w:noProof/>
        </w:rPr>
        <w:t xml:space="preserve"> w uza</w:t>
      </w:r>
      <w:r>
        <w:rPr>
          <w:noProof/>
        </w:rPr>
        <w:t>sadnionych przypadkach, środki wzajemności; c) przeanalizują sposoby rozwiązania problemu śladu klimatycznego/środowiskowego tego sektora,</w:t>
      </w:r>
      <w:r w:rsidR="00D12858">
        <w:rPr>
          <w:noProof/>
        </w:rPr>
        <w:t xml:space="preserve"> w tym</w:t>
      </w:r>
      <w:r>
        <w:rPr>
          <w:noProof/>
        </w:rPr>
        <w:t xml:space="preserve"> sposoby waloryzacji związku między produkcją zwierzęcą</w:t>
      </w:r>
      <w:r w:rsidR="00D12858">
        <w:rPr>
          <w:noProof/>
        </w:rPr>
        <w:t xml:space="preserve"> a utr</w:t>
      </w:r>
      <w:r>
        <w:rPr>
          <w:noProof/>
        </w:rPr>
        <w:t>zymaniem użytków zielonych cennych dla środowiska</w:t>
      </w:r>
      <w:r w:rsidR="00D12858">
        <w:rPr>
          <w:noProof/>
        </w:rPr>
        <w:t xml:space="preserve"> i kli</w:t>
      </w:r>
      <w:r>
        <w:rPr>
          <w:noProof/>
        </w:rPr>
        <w:t>matu za pomocą bardziej ekstensywnych systemów produkcji zwierzęcej korzystnych dla zachowania różnorodności biologicznej</w:t>
      </w:r>
      <w:r w:rsidR="00D12858">
        <w:rPr>
          <w:noProof/>
        </w:rPr>
        <w:t xml:space="preserve"> i kra</w:t>
      </w:r>
      <w:r>
        <w:rPr>
          <w:noProof/>
        </w:rPr>
        <w:t>jobrazów; d) będą wspierać inwestycje, rozwój technologiczny</w:t>
      </w:r>
      <w:r w:rsidR="00D12858">
        <w:rPr>
          <w:noProof/>
        </w:rPr>
        <w:t xml:space="preserve"> i inn</w:t>
      </w:r>
      <w:r>
        <w:rPr>
          <w:noProof/>
        </w:rPr>
        <w:t>owacje oraz e) wzmocnią rozwój zrównoważonych modeli produkcji.</w:t>
      </w:r>
    </w:p>
    <w:p w14:paraId="399ABD8F" w14:textId="4502C749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Ograniczenie biurokracji</w:t>
      </w:r>
      <w:r w:rsidR="00D12858">
        <w:rPr>
          <w:b/>
          <w:i/>
          <w:noProof/>
          <w:color w:val="000000"/>
        </w:rPr>
        <w:t xml:space="preserve"> w cel</w:t>
      </w:r>
      <w:r>
        <w:rPr>
          <w:b/>
          <w:i/>
          <w:noProof/>
          <w:color w:val="000000"/>
        </w:rPr>
        <w:t>u wzmocnienia konkurencyjnego sektora rolno-spożywczego</w:t>
      </w:r>
    </w:p>
    <w:p w14:paraId="0066F344" w14:textId="18A51A90" w:rsidR="00EF513A" w:rsidRDefault="00BF5473">
      <w:pPr>
        <w:rPr>
          <w:noProof/>
        </w:rPr>
      </w:pPr>
      <w:r>
        <w:rPr>
          <w:b/>
          <w:noProof/>
        </w:rPr>
        <w:t>Rolnicy powinni być przedsiębiorcami</w:t>
      </w:r>
      <w:r w:rsidR="00D12858">
        <w:rPr>
          <w:b/>
          <w:noProof/>
        </w:rPr>
        <w:t xml:space="preserve"> i dos</w:t>
      </w:r>
      <w:r>
        <w:rPr>
          <w:b/>
          <w:noProof/>
        </w:rPr>
        <w:t>tawcami nieobciążonymi zbędną biurokracją lub regulacjami.</w:t>
      </w:r>
      <w:r>
        <w:rPr>
          <w:noProof/>
        </w:rPr>
        <w:t xml:space="preserve"> Jak stwierdzono</w:t>
      </w:r>
      <w:r w:rsidR="00D12858">
        <w:rPr>
          <w:noProof/>
        </w:rPr>
        <w:t xml:space="preserve"> w spr</w:t>
      </w:r>
      <w:r>
        <w:rPr>
          <w:noProof/>
        </w:rPr>
        <w:t>awozdaniu Marco Draghiego, nadmierne wymogi</w:t>
      </w:r>
      <w:r w:rsidR="00D12858">
        <w:rPr>
          <w:noProof/>
        </w:rPr>
        <w:t xml:space="preserve"> i obo</w:t>
      </w:r>
      <w:r>
        <w:rPr>
          <w:noProof/>
        </w:rPr>
        <w:t>wiązki sprawozdawcze utrudniają konkurencyjność gospodarki</w:t>
      </w:r>
      <w:r w:rsidR="00D12858">
        <w:rPr>
          <w:noProof/>
        </w:rPr>
        <w:t xml:space="preserve"> i inn</w:t>
      </w:r>
      <w:r>
        <w:rPr>
          <w:noProof/>
        </w:rPr>
        <w:t xml:space="preserve">owacje w UE. </w:t>
      </w:r>
    </w:p>
    <w:p w14:paraId="088F22CA" w14:textId="32E83932" w:rsidR="00EF513A" w:rsidRDefault="005E43B4">
      <w:pPr>
        <w:rPr>
          <w:noProof/>
        </w:rPr>
      </w:pPr>
      <w:r>
        <w:rPr>
          <w:noProof/>
        </w:rPr>
        <w:t>Komisja podejmie bezprecedensowe działania na rzecz uproszczenia</w:t>
      </w:r>
      <w:r w:rsidR="00BF5473" w:rsidRPr="00CD5CE3">
        <w:rPr>
          <w:bCs/>
          <w:noProof/>
          <w:vertAlign w:val="superscript"/>
        </w:rPr>
        <w:footnoteReference w:id="32"/>
      </w:r>
      <w:r>
        <w:rPr>
          <w:noProof/>
        </w:rPr>
        <w:t>,</w:t>
      </w:r>
      <w:r w:rsidR="00D12858">
        <w:rPr>
          <w:noProof/>
        </w:rPr>
        <w:t xml:space="preserve"> w tym w obs</w:t>
      </w:r>
      <w:r>
        <w:rPr>
          <w:noProof/>
        </w:rPr>
        <w:t>zarze rolnictwa. W Unii nie ma miejsca na tak szczegółowe opisywanie praktyk rolniczych, których należy przestrzegać. Liczne wnioski</w:t>
      </w:r>
      <w:r w:rsidR="00D12858">
        <w:rPr>
          <w:noProof/>
        </w:rPr>
        <w:t xml:space="preserve"> o ods</w:t>
      </w:r>
      <w:r>
        <w:rPr>
          <w:noProof/>
        </w:rPr>
        <w:t>tępstwa od tych obowiązków, często uzasadnione specyfiką krajową</w:t>
      </w:r>
      <w:r w:rsidR="00D12858">
        <w:rPr>
          <w:noProof/>
        </w:rPr>
        <w:t xml:space="preserve"> i reg</w:t>
      </w:r>
      <w:r>
        <w:rPr>
          <w:noProof/>
        </w:rPr>
        <w:t xml:space="preserve">ionalną, dowiodły, że uniwersalne podejścia nie są odpowiednim narzędziem dla tak zróżnicowanego sektora. </w:t>
      </w:r>
    </w:p>
    <w:p w14:paraId="763663DE" w14:textId="0196BB2E" w:rsidR="00EF513A" w:rsidRDefault="00BF5473">
      <w:pPr>
        <w:rPr>
          <w:noProof/>
        </w:rPr>
      </w:pPr>
      <w:r>
        <w:rPr>
          <w:noProof/>
        </w:rPr>
        <w:t>Ponadto należy zapewnić lepszy podział obciążeń między rolnikami</w:t>
      </w:r>
      <w:r w:rsidR="00D12858">
        <w:rPr>
          <w:noProof/>
        </w:rPr>
        <w:t xml:space="preserve"> a pań</w:t>
      </w:r>
      <w:r>
        <w:rPr>
          <w:noProof/>
        </w:rPr>
        <w:t>stwami członkowskimi, jeśli chodzi</w:t>
      </w:r>
      <w:r w:rsidR="00D12858">
        <w:rPr>
          <w:noProof/>
        </w:rPr>
        <w:t xml:space="preserve"> o wdr</w:t>
      </w:r>
      <w:r>
        <w:rPr>
          <w:noProof/>
        </w:rPr>
        <w:t>ażanie przepisów</w:t>
      </w:r>
      <w:r w:rsidR="00D12858">
        <w:rPr>
          <w:noProof/>
        </w:rPr>
        <w:t xml:space="preserve"> i wym</w:t>
      </w:r>
      <w:r>
        <w:rPr>
          <w:noProof/>
        </w:rPr>
        <w:t>ogów,</w:t>
      </w:r>
      <w:r w:rsidR="00D12858">
        <w:rPr>
          <w:noProof/>
        </w:rPr>
        <w:t xml:space="preserve"> w poł</w:t>
      </w:r>
      <w:r>
        <w:rPr>
          <w:noProof/>
        </w:rPr>
        <w:t>ączeniu</w:t>
      </w:r>
      <w:r w:rsidR="00D12858">
        <w:rPr>
          <w:noProof/>
        </w:rPr>
        <w:t xml:space="preserve"> z tes</w:t>
      </w:r>
      <w:r>
        <w:rPr>
          <w:noProof/>
        </w:rPr>
        <w:t>tem warunków skrajnych</w:t>
      </w:r>
      <w:r w:rsidR="00D12858">
        <w:rPr>
          <w:noProof/>
        </w:rPr>
        <w:t xml:space="preserve"> i wer</w:t>
      </w:r>
      <w:r>
        <w:rPr>
          <w:noProof/>
        </w:rPr>
        <w:t>yfikacją stosowania</w:t>
      </w:r>
      <w:r w:rsidR="00D12858">
        <w:rPr>
          <w:noProof/>
        </w:rPr>
        <w:t xml:space="preserve"> w pra</w:t>
      </w:r>
      <w:r>
        <w:rPr>
          <w:noProof/>
        </w:rPr>
        <w:t>ktyce istniejących</w:t>
      </w:r>
      <w:r w:rsidR="00D12858">
        <w:rPr>
          <w:noProof/>
        </w:rPr>
        <w:t xml:space="preserve"> i now</w:t>
      </w:r>
      <w:r>
        <w:rPr>
          <w:noProof/>
        </w:rPr>
        <w:t>ych przepisów. Podobnie należy unikać nadmiernie rygorystycznego wdrażania,</w:t>
      </w:r>
      <w:r w:rsidR="00D12858">
        <w:rPr>
          <w:noProof/>
        </w:rPr>
        <w:t xml:space="preserve"> a łąc</w:t>
      </w:r>
      <w:r>
        <w:rPr>
          <w:noProof/>
        </w:rPr>
        <w:t>zna ocena skutków ma zasadnicze znaczenie.</w:t>
      </w:r>
    </w:p>
    <w:p w14:paraId="1FA2249E" w14:textId="69112CAF" w:rsidR="00EF513A" w:rsidRDefault="00BF5473">
      <w:pPr>
        <w:rPr>
          <w:noProof/>
        </w:rPr>
      </w:pPr>
      <w:r>
        <w:rPr>
          <w:noProof/>
        </w:rPr>
        <w:t>Dzięki nowym technologiom uproszczenie zyskało nowe, pozytywne perspektywy. Na przykład satelity obserwacyjne Ziemi pomagają ograniczyć kontrole na miejscu</w:t>
      </w:r>
      <w:r w:rsidR="00D12858">
        <w:rPr>
          <w:noProof/>
        </w:rPr>
        <w:t xml:space="preserve"> i obo</w:t>
      </w:r>
      <w:r>
        <w:rPr>
          <w:noProof/>
        </w:rPr>
        <w:t>wiązki sprawozdawcze, dzięki dostarczaniu danych</w:t>
      </w:r>
      <w:r w:rsidR="00D12858">
        <w:rPr>
          <w:noProof/>
        </w:rPr>
        <w:t xml:space="preserve"> w cza</w:t>
      </w:r>
      <w:r>
        <w:rPr>
          <w:noProof/>
        </w:rPr>
        <w:t>sie rzeczywistym</w:t>
      </w:r>
      <w:r w:rsidR="00D12858">
        <w:rPr>
          <w:noProof/>
        </w:rPr>
        <w:t xml:space="preserve"> i wia</w:t>
      </w:r>
      <w:r>
        <w:rPr>
          <w:noProof/>
        </w:rPr>
        <w:t>rygodnych danych dotyczących gospodarstwa. Włączenie technologii satelitarnej prowadzi do lepszego wykorzystania zasobów, zmniejszenia kosztów nakładów</w:t>
      </w:r>
      <w:r w:rsidR="00D12858">
        <w:rPr>
          <w:noProof/>
        </w:rPr>
        <w:t xml:space="preserve"> i pop</w:t>
      </w:r>
      <w:r>
        <w:rPr>
          <w:noProof/>
        </w:rPr>
        <w:t>rawy zrównoważoności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ciągłość</w:t>
      </w:r>
      <w:r w:rsidR="00D12858">
        <w:rPr>
          <w:noProof/>
        </w:rPr>
        <w:t xml:space="preserve"> i ewo</w:t>
      </w:r>
      <w:r>
        <w:rPr>
          <w:noProof/>
        </w:rPr>
        <w:t>lucja unijnych zasobów kosmicznych, tj. Copernicusa</w:t>
      </w:r>
      <w:r w:rsidR="00D12858">
        <w:rPr>
          <w:noProof/>
        </w:rPr>
        <w:t xml:space="preserve"> i Gal</w:t>
      </w:r>
      <w:r>
        <w:rPr>
          <w:noProof/>
        </w:rPr>
        <w:t>ileo, przyczynią się do dalszego uproszczenia</w:t>
      </w:r>
      <w:r w:rsidR="00D12858">
        <w:rPr>
          <w:noProof/>
        </w:rPr>
        <w:t xml:space="preserve"> i zwi</w:t>
      </w:r>
      <w:r>
        <w:rPr>
          <w:noProof/>
        </w:rPr>
        <w:t>ększenia konkurencyjności. Ponadto technologie wymiany danych mogłyby ograniczyć biurokrację, zapewniając sprawniejsze</w:t>
      </w:r>
      <w:r w:rsidR="00D12858">
        <w:rPr>
          <w:noProof/>
        </w:rPr>
        <w:t xml:space="preserve"> i zau</w:t>
      </w:r>
      <w:r>
        <w:rPr>
          <w:noProof/>
        </w:rPr>
        <w:t>tomatyzowane możliwości sprawozdawczości.</w:t>
      </w:r>
    </w:p>
    <w:p w14:paraId="2A637806" w14:textId="1C4DE60B" w:rsidR="00EF513A" w:rsidRDefault="00BF5473">
      <w:pPr>
        <w:rPr>
          <w:noProof/>
        </w:rPr>
      </w:pPr>
      <w:r>
        <w:rPr>
          <w:noProof/>
        </w:rPr>
        <w:t>W II kwartale 20</w:t>
      </w:r>
      <w:r w:rsidRPr="00D12858">
        <w:rPr>
          <w:noProof/>
        </w:rPr>
        <w:t>25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Komisja zaproponuje kompleksowy </w:t>
      </w:r>
      <w:r>
        <w:rPr>
          <w:b/>
          <w:noProof/>
        </w:rPr>
        <w:t>pakiet uproszczeń obecnych ram prawnych</w:t>
      </w:r>
      <w:r w:rsidR="00D12858">
        <w:rPr>
          <w:b/>
          <w:noProof/>
        </w:rPr>
        <w:t xml:space="preserve"> w dzi</w:t>
      </w:r>
      <w:r>
        <w:rPr>
          <w:b/>
          <w:noProof/>
        </w:rPr>
        <w:t>edzinie rolnictwa</w:t>
      </w:r>
      <w:r>
        <w:rPr>
          <w:noProof/>
        </w:rPr>
        <w:t>, który zapewni: (i) uproszczenie</w:t>
      </w:r>
      <w:r w:rsidR="00D12858">
        <w:rPr>
          <w:noProof/>
        </w:rPr>
        <w:t xml:space="preserve"> i usp</w:t>
      </w:r>
      <w:r>
        <w:rPr>
          <w:noProof/>
        </w:rPr>
        <w:t>rawnienie wymogów</w:t>
      </w:r>
      <w:r w:rsidR="00D12858">
        <w:rPr>
          <w:noProof/>
        </w:rPr>
        <w:t xml:space="preserve"> w gos</w:t>
      </w:r>
      <w:r>
        <w:rPr>
          <w:noProof/>
        </w:rPr>
        <w:t>podarstwach, które lepiej uwzględnią różne sytuacje</w:t>
      </w:r>
      <w:r w:rsidR="00D12858">
        <w:rPr>
          <w:noProof/>
        </w:rPr>
        <w:t xml:space="preserve"> i pra</w:t>
      </w:r>
      <w:r>
        <w:rPr>
          <w:noProof/>
        </w:rPr>
        <w:t>ktyki rolnicze (takie jak rolnictwo ekologiczne); (ii) usprawnienie wsparcia dla mniejszych</w:t>
      </w:r>
      <w:r w:rsidR="00D12858">
        <w:rPr>
          <w:noProof/>
        </w:rPr>
        <w:t xml:space="preserve"> i śre</w:t>
      </w:r>
      <w:r>
        <w:rPr>
          <w:noProof/>
        </w:rPr>
        <w:t>dnich gospodarstw, dzięki szerszemu wykorzystaniu płatności uproszczonych; (iii) zwiększanie konkurencyjności dzięki lepszemu</w:t>
      </w:r>
      <w:r w:rsidR="00D12858">
        <w:rPr>
          <w:noProof/>
        </w:rPr>
        <w:t xml:space="preserve"> i upr</w:t>
      </w:r>
      <w:r>
        <w:rPr>
          <w:noProof/>
        </w:rPr>
        <w:t>oszczonemu planowaniu</w:t>
      </w:r>
      <w:r w:rsidR="00D12858">
        <w:rPr>
          <w:noProof/>
        </w:rPr>
        <w:t xml:space="preserve"> i dos</w:t>
      </w:r>
      <w:r>
        <w:rPr>
          <w:noProof/>
        </w:rPr>
        <w:t>tępowi do instrumentów finansowych oferowanych</w:t>
      </w:r>
      <w:r w:rsidR="00D12858">
        <w:rPr>
          <w:noProof/>
        </w:rPr>
        <w:t xml:space="preserve"> w ram</w:t>
      </w:r>
      <w:r>
        <w:rPr>
          <w:noProof/>
        </w:rPr>
        <w:t>ach obecnych WRF; (iv) większą elastyczność państwom członkowskim</w:t>
      </w:r>
      <w:r w:rsidR="00D12858">
        <w:rPr>
          <w:noProof/>
        </w:rPr>
        <w:t xml:space="preserve"> w zar</w:t>
      </w:r>
      <w:r>
        <w:rPr>
          <w:noProof/>
        </w:rPr>
        <w:t>ządzaniu planami strategicznymi.</w:t>
      </w:r>
    </w:p>
    <w:p w14:paraId="4500419D" w14:textId="1BBE01C6" w:rsidR="00EF513A" w:rsidRDefault="00BF5473">
      <w:pPr>
        <w:rPr>
          <w:noProof/>
        </w:rPr>
      </w:pPr>
      <w:r>
        <w:rPr>
          <w:noProof/>
        </w:rPr>
        <w:t>Ponadto</w:t>
      </w:r>
      <w:r w:rsidR="00D12858">
        <w:rPr>
          <w:noProof/>
        </w:rPr>
        <w:t xml:space="preserve"> w 2</w:t>
      </w:r>
      <w:r>
        <w:rPr>
          <w:noProof/>
        </w:rPr>
        <w:t>0</w:t>
      </w:r>
      <w:r w:rsidRPr="00D12858">
        <w:rPr>
          <w:noProof/>
        </w:rPr>
        <w:t>25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Komisja będzie pracować nad przygotowaniem </w:t>
      </w:r>
      <w:r>
        <w:rPr>
          <w:b/>
          <w:noProof/>
        </w:rPr>
        <w:t>przekrojowego pakietu środków upraszczających przepisy</w:t>
      </w:r>
      <w:r>
        <w:rPr>
          <w:noProof/>
        </w:rPr>
        <w:t>, który zapewni znaczące uproszczenie</w:t>
      </w:r>
      <w:r w:rsidR="00D12858">
        <w:rPr>
          <w:noProof/>
        </w:rPr>
        <w:t xml:space="preserve"> w obs</w:t>
      </w:r>
      <w:r>
        <w:rPr>
          <w:noProof/>
        </w:rPr>
        <w:t>zarach polityki innych niż WPR,</w:t>
      </w:r>
      <w:r w:rsidR="00D12858">
        <w:rPr>
          <w:noProof/>
        </w:rPr>
        <w:t xml:space="preserve"> a któ</w:t>
      </w:r>
      <w:r>
        <w:rPr>
          <w:noProof/>
        </w:rPr>
        <w:t>re mają wpływ na rolników, przedsiębiorstwa spożywcze</w:t>
      </w:r>
      <w:r w:rsidR="00D12858">
        <w:rPr>
          <w:noProof/>
        </w:rPr>
        <w:t xml:space="preserve"> i pas</w:t>
      </w:r>
      <w:r>
        <w:rPr>
          <w:noProof/>
        </w:rPr>
        <w:t>zowe oraz powiązane administracje. Pakiet skoncentruje się na elementach, które pomogą rolnikom</w:t>
      </w:r>
      <w:r w:rsidR="00D12858">
        <w:rPr>
          <w:noProof/>
        </w:rPr>
        <w:t xml:space="preserve"> i prz</w:t>
      </w:r>
      <w:r>
        <w:rPr>
          <w:noProof/>
        </w:rPr>
        <w:t>edsiębiorstwom spożywczym</w:t>
      </w:r>
      <w:r w:rsidR="00D12858">
        <w:rPr>
          <w:noProof/>
        </w:rPr>
        <w:t xml:space="preserve"> i pas</w:t>
      </w:r>
      <w:r>
        <w:rPr>
          <w:noProof/>
        </w:rPr>
        <w:t>zowym stać się bardziej konkurencyjnymi</w:t>
      </w:r>
      <w:r w:rsidR="00D12858">
        <w:rPr>
          <w:noProof/>
        </w:rPr>
        <w:t xml:space="preserve"> i odp</w:t>
      </w:r>
      <w:r>
        <w:rPr>
          <w:noProof/>
        </w:rPr>
        <w:t>ornymi, również</w:t>
      </w:r>
      <w:r w:rsidR="00D12858">
        <w:rPr>
          <w:noProof/>
        </w:rPr>
        <w:t xml:space="preserve"> w obl</w:t>
      </w:r>
      <w:r>
        <w:rPr>
          <w:noProof/>
        </w:rPr>
        <w:t>iczu wstrząsów geopolitycznych</w:t>
      </w:r>
      <w:r w:rsidR="00D12858">
        <w:rPr>
          <w:noProof/>
        </w:rPr>
        <w:t xml:space="preserve"> i glo</w:t>
      </w:r>
      <w:r>
        <w:rPr>
          <w:noProof/>
        </w:rPr>
        <w:t>balnej konkurencji.</w:t>
      </w:r>
    </w:p>
    <w:p w14:paraId="35E21028" w14:textId="501702C2" w:rsidR="00EF513A" w:rsidRDefault="00BF5473">
      <w:pPr>
        <w:pStyle w:val="Heading2"/>
        <w:numPr>
          <w:ilvl w:val="1"/>
          <w:numId w:val="2"/>
        </w:numPr>
        <w:rPr>
          <w:b w:val="0"/>
          <w:noProof/>
        </w:rPr>
      </w:pPr>
      <w:bookmarkStart w:id="16" w:name="_3dy6vkm"/>
      <w:bookmarkStart w:id="17" w:name="_Toc191630903"/>
      <w:bookmarkEnd w:id="16"/>
      <w:r>
        <w:rPr>
          <w:noProof/>
        </w:rPr>
        <w:t>Sektor rolno-spożywczy dostosowany do przyszłych wyzwań</w:t>
      </w:r>
      <w:r w:rsidR="00D12858">
        <w:rPr>
          <w:noProof/>
        </w:rPr>
        <w:t xml:space="preserve"> i idą</w:t>
      </w:r>
      <w:r>
        <w:rPr>
          <w:noProof/>
        </w:rPr>
        <w:t>cy</w:t>
      </w:r>
      <w:r w:rsidR="00D12858">
        <w:rPr>
          <w:noProof/>
        </w:rPr>
        <w:t xml:space="preserve"> w par</w:t>
      </w:r>
      <w:r>
        <w:rPr>
          <w:noProof/>
        </w:rPr>
        <w:t>ze</w:t>
      </w:r>
      <w:r w:rsidR="00D12858">
        <w:rPr>
          <w:noProof/>
        </w:rPr>
        <w:t xml:space="preserve"> z prz</w:t>
      </w:r>
      <w:r>
        <w:rPr>
          <w:noProof/>
        </w:rPr>
        <w:t>yrodą</w:t>
      </w:r>
      <w:bookmarkEnd w:id="17"/>
    </w:p>
    <w:p w14:paraId="16A81D47" w14:textId="16463414" w:rsidR="00DA3497" w:rsidRDefault="00DA3497" w:rsidP="00DA3497">
      <w:pPr>
        <w:spacing w:before="280" w:after="280"/>
        <w:rPr>
          <w:noProof/>
        </w:rPr>
      </w:pPr>
      <w:r>
        <w:rPr>
          <w:noProof/>
        </w:rPr>
        <w:t>Jak żaden inny sektor, produkcja żywności zależy od przyrody</w:t>
      </w:r>
      <w:r w:rsidR="00D12858">
        <w:rPr>
          <w:noProof/>
        </w:rPr>
        <w:t xml:space="preserve"> i sta</w:t>
      </w:r>
      <w:r>
        <w:rPr>
          <w:noProof/>
        </w:rPr>
        <w:t>nu ekosystemów</w:t>
      </w:r>
      <w:r w:rsidR="00D12858">
        <w:rPr>
          <w:noProof/>
        </w:rPr>
        <w:t xml:space="preserve"> i jes</w:t>
      </w:r>
      <w:r>
        <w:rPr>
          <w:noProof/>
        </w:rPr>
        <w:t>t</w:t>
      </w:r>
      <w:r w:rsidR="00D12858">
        <w:rPr>
          <w:noProof/>
        </w:rPr>
        <w:t xml:space="preserve"> z nim</w:t>
      </w:r>
      <w:r>
        <w:rPr>
          <w:noProof/>
        </w:rPr>
        <w:t>i nierozerwalnie związana. Zdolność rolników do produkcji żywności</w:t>
      </w:r>
      <w:r w:rsidR="00D12858">
        <w:rPr>
          <w:noProof/>
        </w:rPr>
        <w:t xml:space="preserve"> w per</w:t>
      </w:r>
      <w:r>
        <w:rPr>
          <w:noProof/>
        </w:rPr>
        <w:t>spektywie długoterminowej</w:t>
      </w:r>
      <w:r w:rsidR="00D12858">
        <w:rPr>
          <w:noProof/>
        </w:rPr>
        <w:t xml:space="preserve"> i ich</w:t>
      </w:r>
      <w:r>
        <w:rPr>
          <w:noProof/>
        </w:rPr>
        <w:t xml:space="preserve"> odporność zależy od odporności ekosystemów, utrzymania gleb, zwalczania szkodników</w:t>
      </w:r>
      <w:r w:rsidR="00D12858">
        <w:rPr>
          <w:noProof/>
        </w:rPr>
        <w:t xml:space="preserve"> i cho</w:t>
      </w:r>
      <w:r>
        <w:rPr>
          <w:noProof/>
        </w:rPr>
        <w:t>rób, zapylania upraw, jakości</w:t>
      </w:r>
      <w:r w:rsidR="00D12858">
        <w:rPr>
          <w:noProof/>
        </w:rPr>
        <w:t xml:space="preserve"> i dos</w:t>
      </w:r>
      <w:r>
        <w:rPr>
          <w:noProof/>
        </w:rPr>
        <w:t>tępności wody, czystego powietrza</w:t>
      </w:r>
      <w:r w:rsidR="00D12858">
        <w:rPr>
          <w:noProof/>
        </w:rPr>
        <w:t xml:space="preserve"> i war</w:t>
      </w:r>
      <w:r>
        <w:rPr>
          <w:noProof/>
        </w:rPr>
        <w:t xml:space="preserve">unków klimatycznych. Celem UE jest osiągnięcie neutralności klimatycznej </w:t>
      </w:r>
      <w:r w:rsidRPr="00D12858">
        <w:rPr>
          <w:noProof/>
        </w:rPr>
        <w:t>do</w:t>
      </w:r>
      <w:r w:rsidR="00D12858" w:rsidRPr="00D12858">
        <w:rPr>
          <w:noProof/>
        </w:rPr>
        <w:t> </w:t>
      </w:r>
      <w:r w:rsidRPr="00D12858">
        <w:rPr>
          <w:noProof/>
        </w:rPr>
        <w:t>2</w:t>
      </w:r>
      <w:r>
        <w:rPr>
          <w:noProof/>
        </w:rPr>
        <w:t>0</w:t>
      </w:r>
      <w:r w:rsidRPr="00D12858">
        <w:rPr>
          <w:noProof/>
        </w:rPr>
        <w:t>50</w:t>
      </w:r>
      <w:r w:rsidR="00D12858" w:rsidRPr="00D12858">
        <w:rPr>
          <w:noProof/>
        </w:rPr>
        <w:t> </w:t>
      </w:r>
      <w:r w:rsidRPr="00D12858">
        <w:rPr>
          <w:noProof/>
        </w:rPr>
        <w:t>r.</w:t>
      </w:r>
      <w:r>
        <w:rPr>
          <w:noProof/>
        </w:rPr>
        <w:t xml:space="preserve"> oraz przeciwdziałanie degradacji środowiska</w:t>
      </w:r>
      <w:r w:rsidR="00D12858">
        <w:rPr>
          <w:noProof/>
        </w:rPr>
        <w:t xml:space="preserve"> i odw</w:t>
      </w:r>
      <w:r>
        <w:rPr>
          <w:noProof/>
        </w:rPr>
        <w:t>rócenie jej. Sektor rolno-spożywczy</w:t>
      </w:r>
      <w:r w:rsidR="00D12858">
        <w:rPr>
          <w:noProof/>
        </w:rPr>
        <w:t xml:space="preserve"> w ist</w:t>
      </w:r>
      <w:r>
        <w:rPr>
          <w:noProof/>
        </w:rPr>
        <w:t>otnym stopniu przyczynia się do realizacji tego celu</w:t>
      </w:r>
      <w:r w:rsidR="00D12858">
        <w:rPr>
          <w:noProof/>
        </w:rPr>
        <w:t xml:space="preserve"> i sko</w:t>
      </w:r>
      <w:r>
        <w:rPr>
          <w:noProof/>
        </w:rPr>
        <w:t>rzysta na niej.</w:t>
      </w:r>
    </w:p>
    <w:p w14:paraId="61F02F12" w14:textId="395F3ACD" w:rsidR="00EF513A" w:rsidRDefault="00BF5473">
      <w:pPr>
        <w:spacing w:before="280" w:after="280"/>
        <w:rPr>
          <w:noProof/>
        </w:rPr>
      </w:pPr>
      <w:r>
        <w:rPr>
          <w:noProof/>
        </w:rPr>
        <w:t>Jednocześnie przy transformacji ekologicznej należy starannie uwzględniać wyzwania gospodarcze</w:t>
      </w:r>
      <w:r w:rsidR="00D12858">
        <w:rPr>
          <w:noProof/>
        </w:rPr>
        <w:t xml:space="preserve"> i zwi</w:t>
      </w:r>
      <w:r>
        <w:rPr>
          <w:noProof/>
        </w:rPr>
        <w:t>ązane</w:t>
      </w:r>
      <w:r w:rsidR="00D12858">
        <w:rPr>
          <w:noProof/>
        </w:rPr>
        <w:t xml:space="preserve"> z wdr</w:t>
      </w:r>
      <w:r>
        <w:rPr>
          <w:noProof/>
        </w:rPr>
        <w:t>ażaniem,</w:t>
      </w:r>
      <w:r w:rsidR="00D12858">
        <w:rPr>
          <w:noProof/>
        </w:rPr>
        <w:t xml:space="preserve"> a tak</w:t>
      </w:r>
      <w:r>
        <w:rPr>
          <w:noProof/>
        </w:rPr>
        <w:t>że potrzebę transformacji sprawiedliwej pod względem społecznym. Należy przy niej również uwzględnić specyfikę rolnictwa: gdyż rolnictwo zawsze będzie miało wpływ na zasoby naturalne,</w:t>
      </w:r>
      <w:r w:rsidR="00D12858">
        <w:rPr>
          <w:noProof/>
        </w:rPr>
        <w:t xml:space="preserve"> a jeg</w:t>
      </w:r>
      <w:r>
        <w:rPr>
          <w:noProof/>
        </w:rPr>
        <w:t>o możliwości łagodzenia skutków dla środowiska</w:t>
      </w:r>
      <w:r w:rsidR="00D12858">
        <w:rPr>
          <w:noProof/>
        </w:rPr>
        <w:t xml:space="preserve"> w por</w:t>
      </w:r>
      <w:r>
        <w:rPr>
          <w:noProof/>
        </w:rPr>
        <w:t>ównaniu</w:t>
      </w:r>
      <w:r w:rsidR="00D12858">
        <w:rPr>
          <w:noProof/>
        </w:rPr>
        <w:t xml:space="preserve"> z inn</w:t>
      </w:r>
      <w:r>
        <w:rPr>
          <w:noProof/>
        </w:rPr>
        <w:t>ymi sektorami gospodarki są ograniczone. Oprócz tego sytuacja</w:t>
      </w:r>
      <w:r w:rsidR="00D12858">
        <w:rPr>
          <w:noProof/>
        </w:rPr>
        <w:t xml:space="preserve"> w obr</w:t>
      </w:r>
      <w:r>
        <w:rPr>
          <w:noProof/>
        </w:rPr>
        <w:t>ębie poszczególnych regionów</w:t>
      </w:r>
      <w:r w:rsidR="00D12858">
        <w:rPr>
          <w:noProof/>
        </w:rPr>
        <w:t xml:space="preserve"> i ter</w:t>
      </w:r>
      <w:r>
        <w:rPr>
          <w:noProof/>
        </w:rPr>
        <w:t>ytoriów znacznie się różni. Wymaga to oczywiście dobrze dostosowanych</w:t>
      </w:r>
      <w:r w:rsidR="00D12858">
        <w:rPr>
          <w:noProof/>
        </w:rPr>
        <w:t xml:space="preserve"> i uki</w:t>
      </w:r>
      <w:r>
        <w:rPr>
          <w:noProof/>
        </w:rPr>
        <w:t>erunkowanych rozwiązań,</w:t>
      </w:r>
      <w:r w:rsidR="00D12858">
        <w:rPr>
          <w:noProof/>
        </w:rPr>
        <w:t xml:space="preserve"> w tym</w:t>
      </w:r>
      <w:r>
        <w:rPr>
          <w:noProof/>
        </w:rPr>
        <w:t xml:space="preserve"> rozwiązań opartych na zasobach przyrody.</w:t>
      </w:r>
    </w:p>
    <w:p w14:paraId="0846F89D" w14:textId="26770439" w:rsidR="00EF513A" w:rsidRDefault="00BF5473">
      <w:pPr>
        <w:spacing w:after="120"/>
        <w:rPr>
          <w:b/>
          <w:i/>
          <w:noProof/>
        </w:rPr>
      </w:pPr>
      <w:r>
        <w:rPr>
          <w:b/>
          <w:i/>
          <w:noProof/>
        </w:rPr>
        <w:t>Gdy dekarbonizacja</w:t>
      </w:r>
      <w:r w:rsidR="00D12858">
        <w:rPr>
          <w:b/>
          <w:i/>
          <w:noProof/>
        </w:rPr>
        <w:t xml:space="preserve"> i kon</w:t>
      </w:r>
      <w:r>
        <w:rPr>
          <w:b/>
          <w:i/>
          <w:noProof/>
        </w:rPr>
        <w:t>kurencyjność idą</w:t>
      </w:r>
      <w:r w:rsidR="00D12858">
        <w:rPr>
          <w:b/>
          <w:i/>
          <w:noProof/>
        </w:rPr>
        <w:t xml:space="preserve"> w par</w:t>
      </w:r>
      <w:r>
        <w:rPr>
          <w:b/>
          <w:i/>
          <w:noProof/>
        </w:rPr>
        <w:t>ze</w:t>
      </w:r>
    </w:p>
    <w:p w14:paraId="25BC428E" w14:textId="3DDA857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/>
        </w:rPr>
      </w:pPr>
      <w:r>
        <w:rPr>
          <w:noProof/>
          <w:color w:val="000000"/>
        </w:rPr>
        <w:t>Działalność rolnicza może sprzyjać pochłanianiu dwutlenku węgla</w:t>
      </w:r>
      <w:r w:rsidR="00D12858">
        <w:rPr>
          <w:noProof/>
          <w:color w:val="000000"/>
        </w:rPr>
        <w:t xml:space="preserve"> z atm</w:t>
      </w:r>
      <w:r>
        <w:rPr>
          <w:noProof/>
          <w:color w:val="000000"/>
        </w:rPr>
        <w:t>osfery przez glebę</w:t>
      </w:r>
      <w:r w:rsidR="00D12858">
        <w:rPr>
          <w:noProof/>
          <w:color w:val="000000"/>
        </w:rPr>
        <w:t xml:space="preserve"> i bio</w:t>
      </w:r>
      <w:r>
        <w:rPr>
          <w:noProof/>
          <w:color w:val="000000"/>
        </w:rPr>
        <w:t>masę</w:t>
      </w:r>
      <w:r w:rsidR="00D12858">
        <w:rPr>
          <w:noProof/>
          <w:color w:val="000000"/>
        </w:rPr>
        <w:t>. W wię</w:t>
      </w:r>
      <w:r>
        <w:rPr>
          <w:noProof/>
          <w:color w:val="000000"/>
        </w:rPr>
        <w:t>kszości przypadków działalność ta zwiększa również odporność produkcji żywności na szkody związane</w:t>
      </w:r>
      <w:r w:rsidR="00D12858">
        <w:rPr>
          <w:noProof/>
          <w:color w:val="000000"/>
        </w:rPr>
        <w:t xml:space="preserve"> z kli</w:t>
      </w:r>
      <w:r>
        <w:rPr>
          <w:noProof/>
          <w:color w:val="000000"/>
        </w:rPr>
        <w:t>matem,</w:t>
      </w:r>
      <w:r w:rsidR="00D12858">
        <w:rPr>
          <w:noProof/>
          <w:color w:val="000000"/>
        </w:rPr>
        <w:t xml:space="preserve"> a tym</w:t>
      </w:r>
      <w:r>
        <w:rPr>
          <w:noProof/>
          <w:color w:val="000000"/>
        </w:rPr>
        <w:t xml:space="preserve"> samym zwiększa bezpieczeństwo żywnościowe. Ponieważ</w:t>
      </w:r>
      <w:r w:rsidR="00D12858">
        <w:rPr>
          <w:noProof/>
          <w:color w:val="000000"/>
        </w:rPr>
        <w:t xml:space="preserve"> w red</w:t>
      </w:r>
      <w:r>
        <w:rPr>
          <w:noProof/>
          <w:color w:val="000000"/>
        </w:rPr>
        <w:t>ukcji emisji muszą uczestniczyć wszystkie sektory, działania</w:t>
      </w:r>
      <w:r w:rsidR="00D12858">
        <w:rPr>
          <w:noProof/>
          <w:color w:val="000000"/>
        </w:rPr>
        <w:t xml:space="preserve"> w dzi</w:t>
      </w:r>
      <w:r>
        <w:rPr>
          <w:noProof/>
          <w:color w:val="000000"/>
        </w:rPr>
        <w:t>edzinie klimatu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 xml:space="preserve">torze rolno-spożywczym mają zasadnicze znaczenie dla osiągnięcia szerszego celu, jakim jest </w:t>
      </w:r>
      <w:r>
        <w:rPr>
          <w:b/>
          <w:noProof/>
          <w:color w:val="000000"/>
        </w:rPr>
        <w:t>neutralna dla klimatu</w:t>
      </w:r>
      <w:r w:rsidR="00D12858">
        <w:rPr>
          <w:b/>
          <w:noProof/>
          <w:color w:val="000000"/>
        </w:rPr>
        <w:t xml:space="preserve"> i odp</w:t>
      </w:r>
      <w:r>
        <w:rPr>
          <w:b/>
          <w:noProof/>
          <w:color w:val="000000"/>
        </w:rPr>
        <w:t xml:space="preserve">orna UE </w:t>
      </w:r>
      <w:r w:rsidRPr="00D12858">
        <w:rPr>
          <w:b/>
          <w:noProof/>
          <w:color w:val="000000"/>
        </w:rPr>
        <w:t>do</w:t>
      </w:r>
      <w:r w:rsidR="00D12858" w:rsidRPr="00D12858">
        <w:rPr>
          <w:b/>
          <w:noProof/>
          <w:color w:val="000000"/>
        </w:rPr>
        <w:t> </w:t>
      </w:r>
      <w:r w:rsidRPr="00D12858">
        <w:rPr>
          <w:b/>
          <w:noProof/>
          <w:color w:val="000000"/>
        </w:rPr>
        <w:t>2</w:t>
      </w:r>
      <w:r>
        <w:rPr>
          <w:b/>
          <w:noProof/>
          <w:color w:val="000000"/>
        </w:rPr>
        <w:t>0</w:t>
      </w:r>
      <w:r w:rsidRPr="00D12858">
        <w:rPr>
          <w:b/>
          <w:noProof/>
          <w:color w:val="000000"/>
        </w:rPr>
        <w:t>50</w:t>
      </w:r>
      <w:r w:rsidR="00D12858" w:rsidRPr="00D12858">
        <w:rPr>
          <w:b/>
          <w:noProof/>
          <w:color w:val="000000"/>
        </w:rPr>
        <w:t> </w:t>
      </w:r>
      <w:r w:rsidRPr="00D12858">
        <w:rPr>
          <w:b/>
          <w:noProof/>
          <w:color w:val="000000"/>
        </w:rPr>
        <w:t>r.</w:t>
      </w:r>
    </w:p>
    <w:p w14:paraId="4251F8CF" w14:textId="361D5F63" w:rsidR="00EF513A" w:rsidRPr="006B0ACD" w:rsidRDefault="00BF547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b/>
          <w:noProof/>
          <w:color w:val="000000"/>
        </w:rPr>
      </w:pPr>
      <w:r>
        <w:rPr>
          <w:noProof/>
          <w:color w:val="000000"/>
        </w:rPr>
        <w:t>Komisja oczekuje, że rolnictwo zdoła ograniczyć emisje zgodnie</w:t>
      </w:r>
      <w:r w:rsidR="00D12858">
        <w:rPr>
          <w:noProof/>
          <w:color w:val="000000"/>
        </w:rPr>
        <w:t xml:space="preserve"> z uni</w:t>
      </w:r>
      <w:r>
        <w:rPr>
          <w:noProof/>
          <w:color w:val="000000"/>
        </w:rPr>
        <w:t xml:space="preserve">jnym celem klimatycznym </w:t>
      </w:r>
      <w:r w:rsidRPr="00D12858">
        <w:rPr>
          <w:noProof/>
          <w:color w:val="000000"/>
        </w:rPr>
        <w:t>na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30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Na tej podstawie Komisja rozważy sposoby</w:t>
      </w:r>
      <w:r w:rsidR="00D12858">
        <w:rPr>
          <w:noProof/>
          <w:color w:val="000000"/>
        </w:rPr>
        <w:t xml:space="preserve"> w jak</w:t>
      </w:r>
      <w:r>
        <w:rPr>
          <w:noProof/>
          <w:color w:val="000000"/>
        </w:rPr>
        <w:t xml:space="preserve">i sektor rolny może przyczynić się do realizacji unijnego celu klimatycznego </w:t>
      </w:r>
      <w:r w:rsidRPr="00D12858">
        <w:rPr>
          <w:noProof/>
          <w:color w:val="000000"/>
        </w:rPr>
        <w:t>na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40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, biorąc pod uwagę </w:t>
      </w:r>
      <w:r>
        <w:rPr>
          <w:b/>
          <w:noProof/>
          <w:color w:val="000000"/>
        </w:rPr>
        <w:t>specyfikę tego sektora</w:t>
      </w:r>
      <w:r w:rsidR="00D12858">
        <w:rPr>
          <w:b/>
          <w:noProof/>
          <w:color w:val="000000"/>
        </w:rPr>
        <w:t xml:space="preserve"> i kon</w:t>
      </w:r>
      <w:r>
        <w:rPr>
          <w:b/>
          <w:noProof/>
          <w:color w:val="000000"/>
        </w:rPr>
        <w:t>centrując się na jego konkurencyjności, potrzebie zapewnienia bezpieczeństwa żywnościowego</w:t>
      </w:r>
      <w:r w:rsidR="00D12858">
        <w:rPr>
          <w:b/>
          <w:noProof/>
          <w:color w:val="000000"/>
        </w:rPr>
        <w:t xml:space="preserve"> i roz</w:t>
      </w:r>
      <w:r>
        <w:rPr>
          <w:b/>
          <w:noProof/>
          <w:color w:val="000000"/>
        </w:rPr>
        <w:t>woju biogospodarki, oczywiście</w:t>
      </w:r>
      <w:r w:rsidR="00D12858">
        <w:rPr>
          <w:b/>
          <w:noProof/>
          <w:color w:val="000000"/>
        </w:rPr>
        <w:t xml:space="preserve"> w dia</w:t>
      </w:r>
      <w:r>
        <w:rPr>
          <w:b/>
          <w:noProof/>
          <w:color w:val="000000"/>
        </w:rPr>
        <w:t>logu</w:t>
      </w:r>
      <w:r w:rsidR="00D12858">
        <w:rPr>
          <w:b/>
          <w:noProof/>
          <w:color w:val="000000"/>
        </w:rPr>
        <w:t xml:space="preserve"> z sek</w:t>
      </w:r>
      <w:r>
        <w:rPr>
          <w:b/>
          <w:noProof/>
          <w:color w:val="000000"/>
        </w:rPr>
        <w:t>torem</w:t>
      </w:r>
      <w:r w:rsidR="00D12858">
        <w:rPr>
          <w:b/>
          <w:noProof/>
          <w:color w:val="000000"/>
        </w:rPr>
        <w:t xml:space="preserve"> i pań</w:t>
      </w:r>
      <w:r>
        <w:rPr>
          <w:b/>
          <w:noProof/>
          <w:color w:val="000000"/>
        </w:rPr>
        <w:t>stwami członkowskimi.</w:t>
      </w:r>
      <w:r>
        <w:rPr>
          <w:noProof/>
          <w:color w:val="000000"/>
        </w:rPr>
        <w:t xml:space="preserve"> Podejście to zostanie odzwierciedlone</w:t>
      </w:r>
      <w:r w:rsidR="00D12858">
        <w:rPr>
          <w:noProof/>
          <w:color w:val="000000"/>
        </w:rPr>
        <w:t xml:space="preserve"> w prz</w:t>
      </w:r>
      <w:r>
        <w:rPr>
          <w:noProof/>
          <w:color w:val="000000"/>
        </w:rPr>
        <w:t>eglądzie odpowiednich przepisów regulujących emisje</w:t>
      </w:r>
      <w:r w:rsidR="00D12858">
        <w:rPr>
          <w:noProof/>
          <w:color w:val="000000"/>
        </w:rPr>
        <w:t xml:space="preserve"> i poc</w:t>
      </w:r>
      <w:r>
        <w:rPr>
          <w:noProof/>
          <w:color w:val="000000"/>
        </w:rPr>
        <w:t>hłanianie gazów cieplarnianych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>torach rolnictwa</w:t>
      </w:r>
      <w:r w:rsidR="00D12858">
        <w:rPr>
          <w:noProof/>
          <w:color w:val="000000"/>
        </w:rPr>
        <w:t xml:space="preserve"> i uży</w:t>
      </w:r>
      <w:r>
        <w:rPr>
          <w:noProof/>
          <w:color w:val="000000"/>
        </w:rPr>
        <w:t>tkowania gruntów, zmiany użytkowania gruntów</w:t>
      </w:r>
      <w:r w:rsidR="00D12858">
        <w:rPr>
          <w:noProof/>
          <w:color w:val="000000"/>
        </w:rPr>
        <w:t xml:space="preserve"> i leś</w:t>
      </w:r>
      <w:r>
        <w:rPr>
          <w:noProof/>
          <w:color w:val="000000"/>
        </w:rPr>
        <w:t>nictwa.</w:t>
      </w:r>
    </w:p>
    <w:p w14:paraId="5DC2F204" w14:textId="210B381D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/>
        </w:rPr>
      </w:pPr>
      <w:r>
        <w:rPr>
          <w:noProof/>
          <w:color w:val="000000"/>
        </w:rPr>
        <w:t xml:space="preserve">Dzięki </w:t>
      </w:r>
      <w:r>
        <w:rPr>
          <w:b/>
          <w:noProof/>
          <w:color w:val="000000"/>
        </w:rPr>
        <w:t>skutecznym strategiom politycznym nagradzającym dobre praktyki</w:t>
      </w:r>
      <w:r w:rsidR="00D12858">
        <w:rPr>
          <w:b/>
          <w:noProof/>
          <w:color w:val="000000"/>
        </w:rPr>
        <w:t xml:space="preserve"> i pod</w:t>
      </w:r>
      <w:r>
        <w:rPr>
          <w:b/>
          <w:noProof/>
          <w:color w:val="000000"/>
        </w:rPr>
        <w:t>ejściu dostosowanemu do konkretnego kontekstu</w:t>
      </w:r>
      <w:r>
        <w:rPr>
          <w:noProof/>
          <w:color w:val="000000"/>
        </w:rPr>
        <w:t xml:space="preserve"> można jeszcze bardziej ograniczyć emisje</w:t>
      </w:r>
      <w:r w:rsidR="00D12858">
        <w:rPr>
          <w:noProof/>
          <w:color w:val="000000"/>
        </w:rPr>
        <w:t xml:space="preserve"> z teg</w:t>
      </w:r>
      <w:r>
        <w:rPr>
          <w:noProof/>
          <w:color w:val="000000"/>
        </w:rPr>
        <w:t>o sektora, jednocześnie usuwając więcej dwutlenku węgla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>torze gruntów, gleb</w:t>
      </w:r>
      <w:r w:rsidR="00D12858">
        <w:rPr>
          <w:noProof/>
          <w:color w:val="000000"/>
        </w:rPr>
        <w:t xml:space="preserve"> i las</w:t>
      </w:r>
      <w:r>
        <w:rPr>
          <w:noProof/>
          <w:color w:val="000000"/>
        </w:rPr>
        <w:t>ów</w:t>
      </w:r>
      <w:r w:rsidR="00D12858">
        <w:rPr>
          <w:noProof/>
          <w:color w:val="000000"/>
        </w:rPr>
        <w:t>. W odn</w:t>
      </w:r>
      <w:r>
        <w:rPr>
          <w:noProof/>
          <w:color w:val="000000"/>
        </w:rPr>
        <w:t>iesieniu do większości emisji pochodzących</w:t>
      </w:r>
      <w:r w:rsidR="00D12858">
        <w:rPr>
          <w:noProof/>
          <w:color w:val="000000"/>
        </w:rPr>
        <w:t xml:space="preserve"> z pro</w:t>
      </w:r>
      <w:r>
        <w:rPr>
          <w:noProof/>
          <w:color w:val="000000"/>
        </w:rPr>
        <w:t>dukcji zwierzęcej zalecenia</w:t>
      </w:r>
      <w:r w:rsidR="00D12858">
        <w:rPr>
          <w:noProof/>
          <w:color w:val="000000"/>
        </w:rPr>
        <w:t xml:space="preserve"> z pra</w:t>
      </w:r>
      <w:r>
        <w:rPr>
          <w:noProof/>
          <w:color w:val="000000"/>
        </w:rPr>
        <w:t>c związanych</w:t>
      </w:r>
      <w:r w:rsidR="00D12858">
        <w:rPr>
          <w:noProof/>
          <w:color w:val="000000"/>
        </w:rPr>
        <w:t xml:space="preserve"> z pro</w:t>
      </w:r>
      <w:r>
        <w:rPr>
          <w:noProof/>
          <w:color w:val="000000"/>
        </w:rPr>
        <w:t>dukcją zwierzęcą posłużą jako podstawa dalszego rozwoju zestawu dostosowanych do potrzeb środków, które wesprą sektor</w:t>
      </w:r>
      <w:r w:rsidR="00D12858">
        <w:rPr>
          <w:noProof/>
          <w:color w:val="000000"/>
        </w:rPr>
        <w:t xml:space="preserve"> i reg</w:t>
      </w:r>
      <w:r>
        <w:rPr>
          <w:noProof/>
          <w:color w:val="000000"/>
        </w:rPr>
        <w:t>iony</w:t>
      </w:r>
      <w:r w:rsidR="00D12858">
        <w:rPr>
          <w:noProof/>
          <w:color w:val="000000"/>
        </w:rPr>
        <w:t xml:space="preserve"> w sta</w:t>
      </w:r>
      <w:r>
        <w:rPr>
          <w:noProof/>
          <w:color w:val="000000"/>
        </w:rPr>
        <w:t>raniach</w:t>
      </w:r>
      <w:r w:rsidR="00D12858">
        <w:rPr>
          <w:noProof/>
          <w:color w:val="000000"/>
        </w:rPr>
        <w:t xml:space="preserve"> o ogr</w:t>
      </w:r>
      <w:r>
        <w:rPr>
          <w:noProof/>
          <w:color w:val="000000"/>
        </w:rPr>
        <w:t>aniczenie emisji. Pomoże również postęp technologiczny,</w:t>
      </w:r>
      <w:r w:rsidR="00D12858">
        <w:rPr>
          <w:noProof/>
          <w:color w:val="000000"/>
        </w:rPr>
        <w:t xml:space="preserve"> w tym w zak</w:t>
      </w:r>
      <w:r>
        <w:rPr>
          <w:noProof/>
          <w:color w:val="000000"/>
        </w:rPr>
        <w:t>resie strategii żywienia</w:t>
      </w:r>
      <w:r w:rsidR="00D12858">
        <w:rPr>
          <w:noProof/>
          <w:color w:val="000000"/>
        </w:rPr>
        <w:t>. W zwi</w:t>
      </w:r>
      <w:r>
        <w:rPr>
          <w:noProof/>
          <w:color w:val="000000"/>
        </w:rPr>
        <w:t>ązku</w:t>
      </w:r>
      <w:r w:rsidR="00D12858">
        <w:rPr>
          <w:noProof/>
          <w:color w:val="000000"/>
        </w:rPr>
        <w:t xml:space="preserve"> z tym</w:t>
      </w:r>
      <w:r>
        <w:rPr>
          <w:noProof/>
          <w:color w:val="000000"/>
        </w:rPr>
        <w:t xml:space="preserve"> ocenimy,</w:t>
      </w:r>
      <w:r w:rsidR="00D12858">
        <w:rPr>
          <w:noProof/>
          <w:color w:val="000000"/>
        </w:rPr>
        <w:t xml:space="preserve"> w jak</w:t>
      </w:r>
      <w:r>
        <w:rPr>
          <w:noProof/>
          <w:color w:val="000000"/>
        </w:rPr>
        <w:t>i sposób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przyszłej WPR najlepiej wspierać rolników</w:t>
      </w:r>
      <w:r w:rsidR="00D12858">
        <w:rPr>
          <w:noProof/>
          <w:color w:val="000000"/>
        </w:rPr>
        <w:t xml:space="preserve"> w dal</w:t>
      </w:r>
      <w:r>
        <w:rPr>
          <w:noProof/>
          <w:color w:val="000000"/>
        </w:rPr>
        <w:t>szym ograniczaniu emisji gazów cieplarnianych</w:t>
      </w:r>
      <w:r w:rsidR="00D12858">
        <w:rPr>
          <w:noProof/>
          <w:color w:val="000000"/>
        </w:rPr>
        <w:t xml:space="preserve"> z dzi</w:t>
      </w:r>
      <w:r>
        <w:rPr>
          <w:noProof/>
          <w:color w:val="000000"/>
        </w:rPr>
        <w:t>ałalności rolniczej</w:t>
      </w:r>
      <w:r w:rsidR="00D12858">
        <w:rPr>
          <w:noProof/>
          <w:color w:val="000000"/>
        </w:rPr>
        <w:t xml:space="preserve"> i pro</w:t>
      </w:r>
      <w:r>
        <w:rPr>
          <w:noProof/>
          <w:color w:val="000000"/>
        </w:rPr>
        <w:t>dukcji zwierzęcej.</w:t>
      </w:r>
    </w:p>
    <w:p w14:paraId="0A532F0E" w14:textId="135409E5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noProof/>
          <w:color w:val="000000"/>
        </w:rPr>
      </w:pPr>
      <w:r>
        <w:rPr>
          <w:noProof/>
          <w:color w:val="000000" w:themeColor="text1"/>
        </w:rPr>
        <w:t>Bardzo ważną rolę</w:t>
      </w:r>
      <w:r w:rsidR="00D12858">
        <w:rPr>
          <w:noProof/>
          <w:color w:val="000000" w:themeColor="text1"/>
        </w:rPr>
        <w:t xml:space="preserve"> w dąż</w:t>
      </w:r>
      <w:r>
        <w:rPr>
          <w:noProof/>
          <w:color w:val="000000" w:themeColor="text1"/>
        </w:rPr>
        <w:t xml:space="preserve">eniu do osiągnięcia celu klimatycznego </w:t>
      </w:r>
      <w:r w:rsidRPr="00D12858">
        <w:rPr>
          <w:noProof/>
          <w:color w:val="000000" w:themeColor="text1"/>
        </w:rPr>
        <w:t>na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2</w:t>
      </w:r>
      <w:r>
        <w:rPr>
          <w:noProof/>
          <w:color w:val="000000" w:themeColor="text1"/>
        </w:rPr>
        <w:t>0</w:t>
      </w:r>
      <w:r w:rsidRPr="00D12858">
        <w:rPr>
          <w:noProof/>
          <w:color w:val="000000" w:themeColor="text1"/>
        </w:rPr>
        <w:t>40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r.</w:t>
      </w:r>
      <w:r w:rsidR="00D12858">
        <w:rPr>
          <w:noProof/>
          <w:color w:val="000000" w:themeColor="text1"/>
        </w:rPr>
        <w:t xml:space="preserve"> i och</w:t>
      </w:r>
      <w:r>
        <w:rPr>
          <w:noProof/>
          <w:color w:val="000000" w:themeColor="text1"/>
        </w:rPr>
        <w:t>rony środowiska mają również do odegrania sektor żywności</w:t>
      </w:r>
      <w:r w:rsidR="00D12858">
        <w:rPr>
          <w:noProof/>
          <w:color w:val="000000" w:themeColor="text1"/>
        </w:rPr>
        <w:t xml:space="preserve"> i nap</w:t>
      </w:r>
      <w:r>
        <w:rPr>
          <w:noProof/>
          <w:color w:val="000000" w:themeColor="text1"/>
        </w:rPr>
        <w:t>ojów,</w:t>
      </w:r>
      <w:r w:rsidR="00D12858">
        <w:rPr>
          <w:noProof/>
          <w:color w:val="000000" w:themeColor="text1"/>
        </w:rPr>
        <w:t xml:space="preserve"> a tak</w:t>
      </w:r>
      <w:r>
        <w:rPr>
          <w:noProof/>
          <w:color w:val="000000" w:themeColor="text1"/>
        </w:rPr>
        <w:t>że sektor detaliczny. Należy wprowadzić jasne strategie polityczne</w:t>
      </w:r>
      <w:r w:rsidR="00D12858">
        <w:rPr>
          <w:noProof/>
          <w:color w:val="000000" w:themeColor="text1"/>
        </w:rPr>
        <w:t xml:space="preserve"> i zac</w:t>
      </w:r>
      <w:r>
        <w:rPr>
          <w:noProof/>
          <w:color w:val="000000" w:themeColor="text1"/>
        </w:rPr>
        <w:t>hęty, aby wykorzystać potencjał innowacyjny</w:t>
      </w:r>
      <w:r w:rsidR="00D12858">
        <w:rPr>
          <w:noProof/>
          <w:color w:val="000000" w:themeColor="text1"/>
        </w:rPr>
        <w:t xml:space="preserve"> w sys</w:t>
      </w:r>
      <w:r>
        <w:rPr>
          <w:noProof/>
          <w:color w:val="000000" w:themeColor="text1"/>
        </w:rPr>
        <w:t>temie żywnościowym</w:t>
      </w:r>
      <w:r w:rsidR="00D12858">
        <w:rPr>
          <w:noProof/>
          <w:color w:val="000000" w:themeColor="text1"/>
        </w:rPr>
        <w:t xml:space="preserve"> i w cał</w:t>
      </w:r>
      <w:r>
        <w:rPr>
          <w:noProof/>
          <w:color w:val="000000" w:themeColor="text1"/>
        </w:rPr>
        <w:t>ej biogospodarce oraz dostarczać obywatelom UE zdrową, przystępną cenowo</w:t>
      </w:r>
      <w:r w:rsidR="00D12858">
        <w:rPr>
          <w:noProof/>
          <w:color w:val="000000" w:themeColor="text1"/>
        </w:rPr>
        <w:t xml:space="preserve"> i zró</w:t>
      </w:r>
      <w:r>
        <w:rPr>
          <w:noProof/>
          <w:color w:val="000000" w:themeColor="text1"/>
        </w:rPr>
        <w:t>wnoważoną żywność.</w:t>
      </w:r>
    </w:p>
    <w:p w14:paraId="3440E136" w14:textId="63B9FD6A" w:rsidR="00EF513A" w:rsidRDefault="00596A28">
      <w:pPr>
        <w:spacing w:after="0"/>
        <w:rPr>
          <w:b/>
          <w:i/>
          <w:noProof/>
        </w:rPr>
      </w:pPr>
      <w:r>
        <w:rPr>
          <w:b/>
          <w:i/>
          <w:noProof/>
        </w:rPr>
        <w:t xml:space="preserve">Zachęcanie do zrównoważonego rozwoju </w:t>
      </w:r>
    </w:p>
    <w:p w14:paraId="380CA624" w14:textId="77777777" w:rsidR="00EF513A" w:rsidRDefault="00EF513A">
      <w:pPr>
        <w:spacing w:after="0"/>
        <w:rPr>
          <w:noProof/>
        </w:rPr>
      </w:pPr>
    </w:p>
    <w:p w14:paraId="584E7E88" w14:textId="44F74E82" w:rsidR="00EF513A" w:rsidRDefault="00BF5473">
      <w:pPr>
        <w:spacing w:after="0"/>
        <w:rPr>
          <w:noProof/>
        </w:rPr>
      </w:pPr>
      <w:r>
        <w:rPr>
          <w:noProof/>
        </w:rPr>
        <w:t>Zrównoważenie środowiskowe</w:t>
      </w:r>
      <w:r w:rsidR="00D12858">
        <w:rPr>
          <w:noProof/>
        </w:rPr>
        <w:t xml:space="preserve"> w cor</w:t>
      </w:r>
      <w:r>
        <w:rPr>
          <w:noProof/>
        </w:rPr>
        <w:t>az większym stopniu warunkuje decyzje rolników dotyczące produkcji. Możliwości związane</w:t>
      </w:r>
      <w:r w:rsidR="00D12858">
        <w:rPr>
          <w:noProof/>
        </w:rPr>
        <w:t xml:space="preserve"> z och</w:t>
      </w:r>
      <w:r>
        <w:rPr>
          <w:noProof/>
        </w:rPr>
        <w:t>roną przyrody</w:t>
      </w:r>
      <w:r w:rsidR="00D12858">
        <w:rPr>
          <w:noProof/>
        </w:rPr>
        <w:t xml:space="preserve"> i kli</w:t>
      </w:r>
      <w:r>
        <w:rPr>
          <w:noProof/>
        </w:rPr>
        <w:t xml:space="preserve">matu mogą stać się podstawą </w:t>
      </w:r>
      <w:r>
        <w:rPr>
          <w:b/>
          <w:noProof/>
        </w:rPr>
        <w:t>pozytywnego programu</w:t>
      </w:r>
      <w:r>
        <w:rPr>
          <w:noProof/>
        </w:rPr>
        <w:t xml:space="preserve"> dla europejskiego rolnictwa. Praca</w:t>
      </w:r>
      <w:r w:rsidR="00D12858">
        <w:rPr>
          <w:noProof/>
        </w:rPr>
        <w:t xml:space="preserve"> w har</w:t>
      </w:r>
      <w:r>
        <w:rPr>
          <w:noProof/>
        </w:rPr>
        <w:t>monii</w:t>
      </w:r>
      <w:r w:rsidR="00D12858">
        <w:rPr>
          <w:noProof/>
        </w:rPr>
        <w:t xml:space="preserve"> z prz</w:t>
      </w:r>
      <w:r>
        <w:rPr>
          <w:noProof/>
        </w:rPr>
        <w:t>yrodą zapewnia odporność rolnictwa dla przyszłych pokoleń. Podjęto pierwsze kroki, aby uzyskać finansowanie</w:t>
      </w:r>
      <w:r w:rsidR="00D12858">
        <w:rPr>
          <w:noProof/>
        </w:rPr>
        <w:t xml:space="preserve"> z sek</w:t>
      </w:r>
      <w:r>
        <w:rPr>
          <w:noProof/>
        </w:rPr>
        <w:t>tora prywatnego, które należy szczegółowo przeanalizować jako uzupełniające źródło dochodów, oprócz wsparcia publicznego. Jeżeli chodzi</w:t>
      </w:r>
      <w:r w:rsidR="00D12858">
        <w:rPr>
          <w:noProof/>
        </w:rPr>
        <w:t xml:space="preserve"> o usu</w:t>
      </w:r>
      <w:r>
        <w:rPr>
          <w:noProof/>
        </w:rPr>
        <w:t>wanie dwutlenku węgla, techniki węglochłonne</w:t>
      </w:r>
      <w:r w:rsidR="00D12858">
        <w:rPr>
          <w:noProof/>
        </w:rPr>
        <w:t xml:space="preserve"> i skł</w:t>
      </w:r>
      <w:r>
        <w:rPr>
          <w:noProof/>
        </w:rPr>
        <w:t>adowanie dwutlenku węgla zostaną bardziej zharmonizowane w UE dzięki ramom certyfikacji pochłaniania dwutlenku węgla</w:t>
      </w:r>
      <w:r w:rsidR="00D12858">
        <w:rPr>
          <w:noProof/>
        </w:rPr>
        <w:t xml:space="preserve"> i tec</w:t>
      </w:r>
      <w:r>
        <w:rPr>
          <w:noProof/>
        </w:rPr>
        <w:t>hnik węglochłonnych (CRCF). Przyszłe zharmonizowane metody</w:t>
      </w:r>
      <w:r w:rsidR="00D12858">
        <w:rPr>
          <w:noProof/>
        </w:rPr>
        <w:t xml:space="preserve"> i zas</w:t>
      </w:r>
      <w:r>
        <w:rPr>
          <w:noProof/>
        </w:rPr>
        <w:t>ady weryfikacji CRCF zapewnią większą jasność</w:t>
      </w:r>
      <w:r w:rsidR="00D12858">
        <w:rPr>
          <w:noProof/>
        </w:rPr>
        <w:t xml:space="preserve"> w tym</w:t>
      </w:r>
      <w:r>
        <w:rPr>
          <w:noProof/>
        </w:rPr>
        <w:t xml:space="preserve"> zakresie.</w:t>
      </w:r>
    </w:p>
    <w:p w14:paraId="5658FDDF" w14:textId="77777777" w:rsidR="00EF513A" w:rsidRDefault="00EF513A">
      <w:pPr>
        <w:spacing w:after="0"/>
        <w:rPr>
          <w:noProof/>
        </w:rPr>
      </w:pPr>
    </w:p>
    <w:p w14:paraId="2F104561" w14:textId="16305C98" w:rsidR="00EF513A" w:rsidRDefault="00BF5473">
      <w:pPr>
        <w:spacing w:after="0"/>
        <w:rPr>
          <w:noProof/>
        </w:rPr>
      </w:pPr>
      <w:r>
        <w:rPr>
          <w:noProof/>
        </w:rPr>
        <w:t xml:space="preserve">W ostatnich latach europejskie gospodarstwa rolne odnotowały </w:t>
      </w:r>
      <w:r>
        <w:rPr>
          <w:b/>
          <w:noProof/>
        </w:rPr>
        <w:t>znaczne zwielokrotnienie norm zrównoważonego rozwoju, certyfikacji</w:t>
      </w:r>
      <w:r w:rsidR="00D12858">
        <w:rPr>
          <w:b/>
          <w:noProof/>
        </w:rPr>
        <w:t xml:space="preserve"> i wym</w:t>
      </w:r>
      <w:r>
        <w:rPr>
          <w:b/>
          <w:noProof/>
        </w:rPr>
        <w:t>ogów sprawozdawczych</w:t>
      </w:r>
      <w:r>
        <w:rPr>
          <w:noProof/>
        </w:rPr>
        <w:t>, ustanawianych przez różne podmioty, organizacje</w:t>
      </w:r>
      <w:r w:rsidR="00D12858">
        <w:rPr>
          <w:noProof/>
        </w:rPr>
        <w:t xml:space="preserve"> i ins</w:t>
      </w:r>
      <w:r>
        <w:rPr>
          <w:noProof/>
        </w:rPr>
        <w:t>tytucje, zarówno publiczne, jak</w:t>
      </w:r>
      <w:r w:rsidR="00D12858">
        <w:rPr>
          <w:noProof/>
        </w:rPr>
        <w:t xml:space="preserve"> i pry</w:t>
      </w:r>
      <w:r>
        <w:rPr>
          <w:noProof/>
        </w:rPr>
        <w:t>watne. Te różne metody</w:t>
      </w:r>
      <w:r w:rsidR="00D12858">
        <w:rPr>
          <w:noProof/>
        </w:rPr>
        <w:t xml:space="preserve"> i wym</w:t>
      </w:r>
      <w:r>
        <w:rPr>
          <w:noProof/>
        </w:rPr>
        <w:t>ogi sprawozdawcze dotyczą szerokiego zakresu aspektów związanych ze zrównoważonym rozwojem</w:t>
      </w:r>
      <w:r w:rsidR="00D12858">
        <w:rPr>
          <w:noProof/>
        </w:rPr>
        <w:t xml:space="preserve"> i sku</w:t>
      </w:r>
      <w:r>
        <w:rPr>
          <w:noProof/>
        </w:rPr>
        <w:t>tkują fragmentaryzacją, niespójnościami między standardami, niemożnością porównania inicjatyw</w:t>
      </w:r>
      <w:r w:rsidR="00D12858">
        <w:rPr>
          <w:noProof/>
        </w:rPr>
        <w:t xml:space="preserve"> i wpr</w:t>
      </w:r>
      <w:r>
        <w:rPr>
          <w:noProof/>
        </w:rPr>
        <w:t>owadzającymi</w:t>
      </w:r>
      <w:r w:rsidR="00D12858">
        <w:rPr>
          <w:noProof/>
        </w:rPr>
        <w:t xml:space="preserve"> w błą</w:t>
      </w:r>
      <w:r>
        <w:rPr>
          <w:noProof/>
        </w:rPr>
        <w:t>d sygnałami co do kierunku, jaki należy podjąć. Powoduje to wysokie koszty transakcji</w:t>
      </w:r>
      <w:r w:rsidR="00D12858">
        <w:rPr>
          <w:noProof/>
        </w:rPr>
        <w:t xml:space="preserve"> i dez</w:t>
      </w:r>
      <w:r>
        <w:rPr>
          <w:noProof/>
        </w:rPr>
        <w:t>orientację rolników oraz ryzyko pseudoekologicznego marketingu.</w:t>
      </w:r>
    </w:p>
    <w:p w14:paraId="1E426D43" w14:textId="77777777" w:rsidR="00EF513A" w:rsidRDefault="00EF513A">
      <w:pPr>
        <w:spacing w:after="0"/>
        <w:rPr>
          <w:noProof/>
        </w:rPr>
      </w:pPr>
    </w:p>
    <w:p w14:paraId="756660B4" w14:textId="1ED7CC89" w:rsidR="00EF513A" w:rsidRDefault="00BF5473">
      <w:pPr>
        <w:spacing w:after="0"/>
        <w:rPr>
          <w:noProof/>
        </w:rPr>
      </w:pPr>
      <w:r>
        <w:rPr>
          <w:noProof/>
        </w:rPr>
        <w:t>Aby rozwiązać ten problem, oprócz uproszczenia</w:t>
      </w:r>
      <w:r w:rsidR="00D12858">
        <w:rPr>
          <w:noProof/>
        </w:rPr>
        <w:t xml:space="preserve"> i usp</w:t>
      </w:r>
      <w:r>
        <w:rPr>
          <w:noProof/>
        </w:rPr>
        <w:t>rawnienia wymogów UE, Komisja opracuje również</w:t>
      </w:r>
      <w:r w:rsidR="00D12858">
        <w:rPr>
          <w:noProof/>
        </w:rPr>
        <w:t xml:space="preserve"> i sto</w:t>
      </w:r>
      <w:r>
        <w:rPr>
          <w:noProof/>
        </w:rPr>
        <w:t xml:space="preserve">pniowo wprowadzi </w:t>
      </w:r>
      <w:r>
        <w:rPr>
          <w:b/>
          <w:noProof/>
        </w:rPr>
        <w:t>dobrowolny system benchmarkingu na potrzeby ocen zrównoważonego rozwoju</w:t>
      </w:r>
      <w:r w:rsidR="00D12858">
        <w:rPr>
          <w:b/>
          <w:noProof/>
        </w:rPr>
        <w:t xml:space="preserve"> w gos</w:t>
      </w:r>
      <w:r>
        <w:rPr>
          <w:b/>
          <w:noProof/>
        </w:rPr>
        <w:t>podarstwach rolnych</w:t>
      </w:r>
      <w:r>
        <w:rPr>
          <w:noProof/>
        </w:rPr>
        <w:t>, umożliwiając tym samym uproszczenie</w:t>
      </w:r>
      <w:r w:rsidR="00D12858">
        <w:rPr>
          <w:noProof/>
        </w:rPr>
        <w:t xml:space="preserve"> i ana</w:t>
      </w:r>
      <w:r>
        <w:rPr>
          <w:noProof/>
        </w:rPr>
        <w:t>lizę porównawczą. Podobne podejścia benchmarkingu można opracować we współpracy</w:t>
      </w:r>
      <w:r w:rsidR="00D12858">
        <w:rPr>
          <w:noProof/>
        </w:rPr>
        <w:t xml:space="preserve"> z cał</w:t>
      </w:r>
      <w:r>
        <w:rPr>
          <w:noProof/>
        </w:rPr>
        <w:t>ym sektorem rolno-spożywczym</w:t>
      </w:r>
      <w:r w:rsidR="00D12858">
        <w:rPr>
          <w:noProof/>
        </w:rPr>
        <w:t xml:space="preserve"> i roz</w:t>
      </w:r>
      <w:r>
        <w:rPr>
          <w:noProof/>
        </w:rPr>
        <w:t>szerzyć na cały sektor, ukierunkowując dzięki temu wybory konsumentów.</w:t>
      </w:r>
    </w:p>
    <w:p w14:paraId="7398D086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48849DB0" w14:textId="2C420547" w:rsidR="00EF513A" w:rsidRDefault="00BF54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Przykład benchmarkingu: kompas zrównoważonego rozwoju dla gospodarstw rolnych</w:t>
      </w:r>
    </w:p>
    <w:p w14:paraId="22A25044" w14:textId="5E4CE089" w:rsidR="00EF513A" w:rsidRDefault="00BF547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Kompas zrównoważonego rozwoju powinien funkcjonować jak </w:t>
      </w:r>
      <w:r>
        <w:rPr>
          <w:b/>
          <w:noProof/>
          <w:color w:val="000000"/>
        </w:rPr>
        <w:t>punkt kompleksowej obsługi</w:t>
      </w:r>
      <w:r>
        <w:rPr>
          <w:noProof/>
          <w:color w:val="000000"/>
        </w:rPr>
        <w:t xml:space="preserve">, który </w:t>
      </w:r>
      <w:r>
        <w:rPr>
          <w:b/>
          <w:noProof/>
          <w:color w:val="000000"/>
        </w:rPr>
        <w:t>usprawni sprawozdawczość</w:t>
      </w:r>
      <w:r w:rsidR="00D12858">
        <w:rPr>
          <w:noProof/>
          <w:color w:val="000000"/>
        </w:rPr>
        <w:t xml:space="preserve"> i </w:t>
      </w:r>
      <w:r w:rsidR="00D12858">
        <w:rPr>
          <w:b/>
          <w:noProof/>
          <w:color w:val="000000"/>
        </w:rPr>
        <w:t>zmn</w:t>
      </w:r>
      <w:r>
        <w:rPr>
          <w:b/>
          <w:noProof/>
          <w:color w:val="000000"/>
        </w:rPr>
        <w:t>iejszy obciążenia administracyjne</w:t>
      </w:r>
      <w:r>
        <w:rPr>
          <w:noProof/>
          <w:color w:val="000000"/>
        </w:rPr>
        <w:t xml:space="preserve"> rolników, umożliwiając im monitorowanie</w:t>
      </w:r>
      <w:r w:rsidR="00D12858">
        <w:rPr>
          <w:noProof/>
          <w:color w:val="000000"/>
        </w:rPr>
        <w:t xml:space="preserve"> i rej</w:t>
      </w:r>
      <w:r>
        <w:rPr>
          <w:noProof/>
          <w:color w:val="000000"/>
        </w:rPr>
        <w:t>estrowanie danych dotyczących zrównoważonego rozwoju tylko raz. Pomoże on również rolnikom</w:t>
      </w:r>
      <w:r w:rsidR="00D12858">
        <w:rPr>
          <w:noProof/>
          <w:color w:val="000000"/>
        </w:rPr>
        <w:t xml:space="preserve"> w sto</w:t>
      </w:r>
      <w:r>
        <w:rPr>
          <w:noProof/>
          <w:color w:val="000000"/>
        </w:rPr>
        <w:t>pniowym wprowadzaniu bardziej zrównoważonych praktyk</w:t>
      </w:r>
      <w:r w:rsidR="00D12858">
        <w:rPr>
          <w:noProof/>
          <w:color w:val="000000"/>
        </w:rPr>
        <w:t xml:space="preserve"> i mob</w:t>
      </w:r>
      <w:r>
        <w:rPr>
          <w:noProof/>
          <w:color w:val="000000"/>
        </w:rPr>
        <w:t>ilizowaniu nowych źródeł finansowania. Umożliwi im on lepsze mierzenie</w:t>
      </w:r>
      <w:r w:rsidR="00D12858">
        <w:rPr>
          <w:noProof/>
          <w:color w:val="000000"/>
        </w:rPr>
        <w:t xml:space="preserve"> i </w:t>
      </w:r>
      <w:r w:rsidR="00D12858">
        <w:rPr>
          <w:b/>
          <w:noProof/>
          <w:color w:val="000000"/>
        </w:rPr>
        <w:t>por</w:t>
      </w:r>
      <w:r>
        <w:rPr>
          <w:b/>
          <w:noProof/>
          <w:color w:val="000000"/>
        </w:rPr>
        <w:t>ównywanie wyników</w:t>
      </w:r>
      <w:r w:rsidR="00D12858">
        <w:rPr>
          <w:b/>
          <w:noProof/>
          <w:color w:val="000000"/>
        </w:rPr>
        <w:t xml:space="preserve"> w zak</w:t>
      </w:r>
      <w:r>
        <w:rPr>
          <w:b/>
          <w:noProof/>
          <w:color w:val="000000"/>
        </w:rPr>
        <w:t>resie zrównoważonego rozwoju</w:t>
      </w:r>
      <w:r>
        <w:rPr>
          <w:noProof/>
          <w:color w:val="000000"/>
        </w:rPr>
        <w:t xml:space="preserve"> oraz </w:t>
      </w:r>
      <w:r>
        <w:rPr>
          <w:b/>
          <w:noProof/>
          <w:color w:val="000000"/>
        </w:rPr>
        <w:t>wykazanie świadczenia usług ekosystemowych</w:t>
      </w:r>
      <w:r>
        <w:rPr>
          <w:noProof/>
          <w:color w:val="000000"/>
        </w:rPr>
        <w:t xml:space="preserve"> dzięki łatwiejszej wymianie danych. Dokładniejsze pomiary</w:t>
      </w:r>
      <w:r w:rsidR="00D12858">
        <w:rPr>
          <w:noProof/>
          <w:color w:val="000000"/>
        </w:rPr>
        <w:t xml:space="preserve"> i spr</w:t>
      </w:r>
      <w:r>
        <w:rPr>
          <w:noProof/>
          <w:color w:val="000000"/>
        </w:rPr>
        <w:t>awniejsza sprawozdawczość mogą pomóc</w:t>
      </w:r>
      <w:r w:rsidR="00D12858">
        <w:rPr>
          <w:noProof/>
          <w:color w:val="000000"/>
        </w:rPr>
        <w:t xml:space="preserve"> w ksz</w:t>
      </w:r>
      <w:r>
        <w:rPr>
          <w:noProof/>
          <w:color w:val="000000"/>
        </w:rPr>
        <w:t xml:space="preserve">tałtowaniu </w:t>
      </w:r>
      <w:r>
        <w:rPr>
          <w:b/>
          <w:noProof/>
          <w:color w:val="000000"/>
        </w:rPr>
        <w:t>proporcjonalnej</w:t>
      </w:r>
      <w:r>
        <w:rPr>
          <w:noProof/>
          <w:color w:val="000000"/>
        </w:rPr>
        <w:t xml:space="preserve"> polityki publicznej. Ten dobrowolny system oceny zrównoważonego charakteru gospodarstw rolnych zostanie opracowany</w:t>
      </w:r>
      <w:r w:rsidR="00D12858">
        <w:rPr>
          <w:noProof/>
          <w:color w:val="000000"/>
        </w:rPr>
        <w:t xml:space="preserve"> w opa</w:t>
      </w:r>
      <w:r>
        <w:rPr>
          <w:noProof/>
          <w:color w:val="000000"/>
        </w:rPr>
        <w:t>rciu</w:t>
      </w:r>
      <w:r w:rsidR="00D12858">
        <w:rPr>
          <w:noProof/>
          <w:color w:val="000000"/>
        </w:rPr>
        <w:t xml:space="preserve"> o </w:t>
      </w:r>
      <w:r w:rsidR="00D12858">
        <w:rPr>
          <w:b/>
          <w:noProof/>
          <w:color w:val="000000"/>
        </w:rPr>
        <w:t>pod</w:t>
      </w:r>
      <w:r>
        <w:rPr>
          <w:b/>
          <w:noProof/>
          <w:color w:val="000000"/>
        </w:rPr>
        <w:t>ejście oddolne, partycypacyjne</w:t>
      </w:r>
      <w:r w:rsidR="00D12858">
        <w:rPr>
          <w:b/>
          <w:noProof/>
          <w:color w:val="000000"/>
        </w:rPr>
        <w:t xml:space="preserve"> i zor</w:t>
      </w:r>
      <w:r>
        <w:rPr>
          <w:b/>
          <w:noProof/>
          <w:color w:val="000000"/>
        </w:rPr>
        <w:t>ientowane na klienta</w:t>
      </w:r>
      <w:r>
        <w:rPr>
          <w:noProof/>
          <w:color w:val="000000"/>
        </w:rPr>
        <w:t>.</w:t>
      </w:r>
    </w:p>
    <w:p w14:paraId="11835A71" w14:textId="58B2300E" w:rsidR="00EF513A" w:rsidRDefault="00BF5473">
      <w:pPr>
        <w:spacing w:before="280" w:after="280"/>
        <w:rPr>
          <w:b/>
          <w:i/>
          <w:noProof/>
        </w:rPr>
      </w:pPr>
      <w:r>
        <w:rPr>
          <w:b/>
          <w:i/>
          <w:noProof/>
        </w:rPr>
        <w:t>Rolnictwo</w:t>
      </w:r>
      <w:r w:rsidR="00D12858">
        <w:rPr>
          <w:b/>
          <w:i/>
          <w:noProof/>
        </w:rPr>
        <w:t xml:space="preserve"> i prz</w:t>
      </w:r>
      <w:r>
        <w:rPr>
          <w:b/>
          <w:i/>
          <w:noProof/>
        </w:rPr>
        <w:t>yroda</w:t>
      </w:r>
    </w:p>
    <w:p w14:paraId="7EE741AF" w14:textId="24511341" w:rsidR="00F4578C" w:rsidRDefault="00F4578C">
      <w:pPr>
        <w:spacing w:after="120"/>
        <w:rPr>
          <w:noProof/>
        </w:rPr>
      </w:pPr>
      <w:r>
        <w:rPr>
          <w:noProof/>
        </w:rPr>
        <w:t>Zapewnienie, by rolnictwo</w:t>
      </w:r>
      <w:r w:rsidR="00D12858">
        <w:rPr>
          <w:noProof/>
        </w:rPr>
        <w:t xml:space="preserve"> i prz</w:t>
      </w:r>
      <w:r>
        <w:rPr>
          <w:noProof/>
        </w:rPr>
        <w:t>yroda szły</w:t>
      </w:r>
      <w:r w:rsidR="00D12858">
        <w:rPr>
          <w:noProof/>
        </w:rPr>
        <w:t xml:space="preserve"> w par</w:t>
      </w:r>
      <w:r>
        <w:rPr>
          <w:noProof/>
        </w:rPr>
        <w:t xml:space="preserve">ze, wymaga </w:t>
      </w:r>
      <w:r>
        <w:rPr>
          <w:b/>
          <w:noProof/>
        </w:rPr>
        <w:t>lepszego wdrażania, usprawnienia</w:t>
      </w:r>
      <w:r w:rsidR="00D12858">
        <w:rPr>
          <w:b/>
          <w:noProof/>
        </w:rPr>
        <w:t xml:space="preserve"> i egz</w:t>
      </w:r>
      <w:r>
        <w:rPr>
          <w:b/>
          <w:noProof/>
        </w:rPr>
        <w:t>ekwowania istniejącego prawodawstwa</w:t>
      </w:r>
      <w:r>
        <w:rPr>
          <w:noProof/>
        </w:rPr>
        <w:t xml:space="preserve"> oraz stosowania zachęt</w:t>
      </w:r>
      <w:r w:rsidR="00D12858">
        <w:rPr>
          <w:noProof/>
        </w:rPr>
        <w:t xml:space="preserve"> i now</w:t>
      </w:r>
      <w:r>
        <w:rPr>
          <w:noProof/>
        </w:rPr>
        <w:t>ych narzędzi rynkowych do promowania zmian.</w:t>
      </w:r>
    </w:p>
    <w:p w14:paraId="3D225295" w14:textId="51C82CBA" w:rsidR="00EF513A" w:rsidRDefault="00BF5473">
      <w:pPr>
        <w:spacing w:after="120"/>
        <w:rPr>
          <w:noProof/>
        </w:rPr>
      </w:pPr>
      <w:r>
        <w:rPr>
          <w:noProof/>
        </w:rPr>
        <w:t>Aby móc prowadzić działalność rolniczą</w:t>
      </w:r>
      <w:r w:rsidR="00D12858">
        <w:rPr>
          <w:noProof/>
        </w:rPr>
        <w:t xml:space="preserve"> w spo</w:t>
      </w:r>
      <w:r>
        <w:rPr>
          <w:noProof/>
        </w:rPr>
        <w:t>sób przyjazny dla przyrody</w:t>
      </w:r>
      <w:r w:rsidR="00D12858">
        <w:rPr>
          <w:noProof/>
        </w:rPr>
        <w:t xml:space="preserve"> i osi</w:t>
      </w:r>
      <w:r>
        <w:rPr>
          <w:noProof/>
        </w:rPr>
        <w:t>ągać wyznaczone cele, rolnicy potrzebują ponadto bardziej zaawansowanego zestawu narzędzi. Ten zestaw narzędzi wymaga wyważonego połączenia lepiej ukierunkowanego wsparcia publicznego</w:t>
      </w:r>
      <w:r w:rsidR="00D12858">
        <w:rPr>
          <w:noProof/>
        </w:rPr>
        <w:t xml:space="preserve"> w ram</w:t>
      </w:r>
      <w:r>
        <w:rPr>
          <w:noProof/>
        </w:rPr>
        <w:t>ach przyszłej WPR, inwestycji</w:t>
      </w:r>
      <w:r w:rsidR="00D12858">
        <w:rPr>
          <w:noProof/>
        </w:rPr>
        <w:t xml:space="preserve"> w roz</w:t>
      </w:r>
      <w:r>
        <w:rPr>
          <w:noProof/>
        </w:rPr>
        <w:t>wiązania przyjazne dla przyrody, większej liczby zachęt gospodarczych, dostosowanego do potrzeb doradztwa opartego na postępach</w:t>
      </w:r>
      <w:r w:rsidR="00D12858">
        <w:rPr>
          <w:noProof/>
        </w:rPr>
        <w:t xml:space="preserve"> w dzi</w:t>
      </w:r>
      <w:r>
        <w:rPr>
          <w:noProof/>
        </w:rPr>
        <w:t>edzinie badań naukowych</w:t>
      </w:r>
      <w:r w:rsidR="00D12858">
        <w:rPr>
          <w:noProof/>
        </w:rPr>
        <w:t xml:space="preserve"> i inn</w:t>
      </w:r>
      <w:r>
        <w:rPr>
          <w:noProof/>
        </w:rPr>
        <w:t>owacji oraz bardziej elastycznego otoczenia regulacyjnego.</w:t>
      </w:r>
    </w:p>
    <w:p w14:paraId="68C6F678" w14:textId="562BC645" w:rsidR="00EF513A" w:rsidRDefault="00BF5473">
      <w:pPr>
        <w:spacing w:after="120"/>
        <w:rPr>
          <w:b/>
          <w:noProof/>
        </w:rPr>
      </w:pPr>
      <w:r>
        <w:rPr>
          <w:noProof/>
        </w:rPr>
        <w:t>Jednym</w:t>
      </w:r>
      <w:r w:rsidR="00D12858">
        <w:rPr>
          <w:noProof/>
        </w:rPr>
        <w:t xml:space="preserve"> z prz</w:t>
      </w:r>
      <w:r>
        <w:rPr>
          <w:noProof/>
        </w:rPr>
        <w:t>ykładów takich rozwiązań jest dążenie UE do ograniczenia stosowania szkodliwych pestycydów. Jest ono ważne zarówno dla długoterminowej odporności rolnictwa, jak</w:t>
      </w:r>
      <w:r w:rsidR="00D12858">
        <w:rPr>
          <w:noProof/>
        </w:rPr>
        <w:t xml:space="preserve"> i dla</w:t>
      </w:r>
      <w:r>
        <w:rPr>
          <w:noProof/>
        </w:rPr>
        <w:t xml:space="preserve"> ochrony przyrody</w:t>
      </w:r>
      <w:r w:rsidR="00D12858">
        <w:rPr>
          <w:noProof/>
        </w:rPr>
        <w:t xml:space="preserve"> i zdr</w:t>
      </w:r>
      <w:r>
        <w:rPr>
          <w:noProof/>
        </w:rPr>
        <w:t>owia. Tempo wprowadzania alternatyw</w:t>
      </w:r>
      <w:r w:rsidR="00D12858">
        <w:rPr>
          <w:noProof/>
        </w:rPr>
        <w:t xml:space="preserve"> w pos</w:t>
      </w:r>
      <w:r>
        <w:rPr>
          <w:noProof/>
        </w:rPr>
        <w:t>taci biologicznych lub innowacyjnych środków ochrony roślin niskiego ryzyka okazało się jednak wolniejsze niż tempo wycofywania substancji czynnych</w:t>
      </w:r>
      <w:r w:rsidR="00D12858">
        <w:rPr>
          <w:noProof/>
        </w:rPr>
        <w:t xml:space="preserve"> z ryn</w:t>
      </w:r>
      <w:r>
        <w:rPr>
          <w:noProof/>
        </w:rPr>
        <w:t>ku UE. Jeśli tendencja ta utrzyma się, może zaszkodzić zdolności UE do zapewnienia produkcji żywności na odpowiednim poziomie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Komisja uważnie rozważy wszelkie dalsze zakazy stosowania pestycydów,</w:t>
      </w:r>
      <w:r w:rsidR="00D12858">
        <w:rPr>
          <w:noProof/>
        </w:rPr>
        <w:t xml:space="preserve"> w prz</w:t>
      </w:r>
      <w:r>
        <w:rPr>
          <w:noProof/>
        </w:rPr>
        <w:t>ypadkach gdy nie są jeszcze dostępne rozwiązania alternatywne,</w:t>
      </w:r>
      <w:r w:rsidR="00D12858">
        <w:rPr>
          <w:noProof/>
        </w:rPr>
        <w:t xml:space="preserve"> z wyj</w:t>
      </w:r>
      <w:r>
        <w:rPr>
          <w:noProof/>
        </w:rPr>
        <w:t>ątkiem sytuacji, gdy dany pestycyd stanowi zagrożenie dla zdrowia ludzkiego lub dla środowiska, od którego zależy wszak rentowność rolnictwa.</w:t>
      </w:r>
    </w:p>
    <w:p w14:paraId="33EA395A" w14:textId="77BE7CFB" w:rsidR="00EF513A" w:rsidRDefault="00BF5473">
      <w:pPr>
        <w:spacing w:after="0"/>
        <w:rPr>
          <w:noProof/>
        </w:rPr>
      </w:pPr>
      <w:r>
        <w:rPr>
          <w:noProof/>
        </w:rPr>
        <w:t xml:space="preserve">Podobnie </w:t>
      </w:r>
      <w:r>
        <w:rPr>
          <w:b/>
          <w:noProof/>
        </w:rPr>
        <w:t>w IV kwartale 20</w:t>
      </w:r>
      <w:r w:rsidRPr="00D12858">
        <w:rPr>
          <w:b/>
          <w:noProof/>
        </w:rPr>
        <w:t>25</w:t>
      </w:r>
      <w:r w:rsidR="00D12858" w:rsidRPr="00D12858">
        <w:rPr>
          <w:b/>
          <w:noProof/>
        </w:rPr>
        <w:t> </w:t>
      </w:r>
      <w:r w:rsidRPr="00D12858">
        <w:rPr>
          <w:b/>
          <w:noProof/>
        </w:rPr>
        <w:t>r.</w:t>
      </w:r>
      <w:r w:rsidR="00D12858">
        <w:rPr>
          <w:b/>
          <w:noProof/>
        </w:rPr>
        <w:t xml:space="preserve"> w ram</w:t>
      </w:r>
      <w:r>
        <w:rPr>
          <w:b/>
          <w:noProof/>
        </w:rPr>
        <w:t>ach pakietu upraszczającego Komisja przedstawi wniosek, który przyspieszy dostęp biopestycydów</w:t>
      </w:r>
      <w:r>
        <w:rPr>
          <w:noProof/>
        </w:rPr>
        <w:t xml:space="preserve"> do rynku UE. Zostanie</w:t>
      </w:r>
      <w:r w:rsidR="00D12858">
        <w:rPr>
          <w:noProof/>
        </w:rPr>
        <w:t xml:space="preserve"> w nim</w:t>
      </w:r>
      <w:r>
        <w:rPr>
          <w:noProof/>
        </w:rPr>
        <w:t xml:space="preserve"> zawarta definicja substancji czynnych służących do kontroli biologicznej, wprowadzona możliwość udzielania przez państwa członkowskie tymczasowych zezwoleń na środki ochrony roślin zawierające takie substancje czynne do kontroli biologicznej</w:t>
      </w:r>
      <w:r w:rsidR="00D12858">
        <w:rPr>
          <w:noProof/>
        </w:rPr>
        <w:t xml:space="preserve"> w okr</w:t>
      </w:r>
      <w:r>
        <w:rPr>
          <w:noProof/>
        </w:rPr>
        <w:t>esie, gdy trwa ich ocena, oraz stworzona przyspieszona procedura zatwierdzania</w:t>
      </w:r>
      <w:r w:rsidR="00D12858">
        <w:rPr>
          <w:noProof/>
        </w:rPr>
        <w:t xml:space="preserve"> i udz</w:t>
      </w:r>
      <w:r>
        <w:rPr>
          <w:noProof/>
        </w:rPr>
        <w:t>ielania zezwoleń.</w:t>
      </w:r>
    </w:p>
    <w:p w14:paraId="3BA710C8" w14:textId="07E55459" w:rsidR="00EF513A" w:rsidRDefault="00BF5473">
      <w:pPr>
        <w:spacing w:before="280" w:after="120"/>
        <w:rPr>
          <w:noProof/>
        </w:rPr>
      </w:pPr>
      <w:r>
        <w:rPr>
          <w:noProof/>
        </w:rPr>
        <w:t>Aby przyspieszyć procedury oceny ryzyka będzie trzeba też uzupełnić zasoby Europejskiego Urzędu ds. Bezpieczeństwa Żywności (EFSA), tak aby mógł on nadal odgrywać centralną rolę</w:t>
      </w:r>
      <w:r w:rsidR="00D12858">
        <w:rPr>
          <w:noProof/>
        </w:rPr>
        <w:t xml:space="preserve"> w dos</w:t>
      </w:r>
      <w:r>
        <w:rPr>
          <w:noProof/>
        </w:rPr>
        <w:t>tarczaniu terminowego, przejrzystego</w:t>
      </w:r>
      <w:r w:rsidR="00D12858">
        <w:rPr>
          <w:noProof/>
        </w:rPr>
        <w:t xml:space="preserve"> i nie</w:t>
      </w:r>
      <w:r>
        <w:rPr>
          <w:noProof/>
        </w:rPr>
        <w:t>zależnego doradztwa naukowego. Ułatwi to dostęp do rynku UE innowacyjnych środków ochrony roślin przy jednoczesnym zapewnieniu wysokiego poziomu ochrony zdrowia konsumentów</w:t>
      </w:r>
      <w:r w:rsidR="00D12858">
        <w:rPr>
          <w:noProof/>
        </w:rPr>
        <w:t xml:space="preserve"> i śro</w:t>
      </w:r>
      <w:r>
        <w:rPr>
          <w:noProof/>
        </w:rPr>
        <w:t>dowiska.</w:t>
      </w:r>
    </w:p>
    <w:p w14:paraId="3D511ACB" w14:textId="58E7CB98" w:rsidR="00EF513A" w:rsidRDefault="00BF5473">
      <w:pPr>
        <w:spacing w:before="280" w:after="120"/>
        <w:rPr>
          <w:noProof/>
        </w:rPr>
      </w:pPr>
      <w:r>
        <w:rPr>
          <w:noProof/>
        </w:rPr>
        <w:t>Podstawą rolnictwa jest dziś</w:t>
      </w:r>
      <w:r w:rsidR="00D12858">
        <w:rPr>
          <w:noProof/>
        </w:rPr>
        <w:t xml:space="preserve"> i będ</w:t>
      </w:r>
      <w:r>
        <w:rPr>
          <w:noProof/>
        </w:rPr>
        <w:t xml:space="preserve">zie jutro </w:t>
      </w:r>
      <w:r>
        <w:rPr>
          <w:b/>
          <w:noProof/>
        </w:rPr>
        <w:t>zdrowa gleba</w:t>
      </w:r>
      <w:r>
        <w:rPr>
          <w:noProof/>
        </w:rPr>
        <w:t>. Europejskie gleby są pod presją takich elementów jak zmiana klimatu, utrata różnorodności biologicznej, zanieczyszczenie,</w:t>
      </w:r>
      <w:r w:rsidR="00D12858">
        <w:rPr>
          <w:noProof/>
        </w:rPr>
        <w:t xml:space="preserve"> a w nie</w:t>
      </w:r>
      <w:r>
        <w:rPr>
          <w:noProof/>
        </w:rPr>
        <w:t>których przypadkach niezrównoważone gospodarowanie gruntami. Aby rozwiązać ten problem, Komisja będzie zachęcać do stosowania praktyk rolniczych, pozwalających odbudować, utrzymać lub poprawić stan gleb,</w:t>
      </w:r>
      <w:r w:rsidR="00D12858">
        <w:rPr>
          <w:noProof/>
        </w:rPr>
        <w:t xml:space="preserve"> i wsp</w:t>
      </w:r>
      <w:r>
        <w:rPr>
          <w:noProof/>
        </w:rPr>
        <w:t>ierać takie praktyki. Stałe wsparcie dla rolnictwa ekologicznego nadal jest bardzo potrzebne, przy czym można zachęcać do powszechniejszego stosowania innych zintegrowanych podejść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wprowadzenie niezależnych</w:t>
      </w:r>
      <w:r w:rsidR="00D12858">
        <w:rPr>
          <w:noProof/>
        </w:rPr>
        <w:t xml:space="preserve"> i </w:t>
      </w:r>
      <w:r w:rsidR="00D12858">
        <w:rPr>
          <w:b/>
          <w:noProof/>
        </w:rPr>
        <w:t>wia</w:t>
      </w:r>
      <w:r>
        <w:rPr>
          <w:b/>
          <w:noProof/>
        </w:rPr>
        <w:t>rygodnych usług doradczych</w:t>
      </w:r>
      <w:r>
        <w:rPr>
          <w:noProof/>
        </w:rPr>
        <w:t xml:space="preserve"> będzie bardzo ważne, by umożliwić rolnikom korzystanie</w:t>
      </w:r>
      <w:r w:rsidR="00D12858">
        <w:rPr>
          <w:noProof/>
        </w:rPr>
        <w:t xml:space="preserve"> z naj</w:t>
      </w:r>
      <w:r>
        <w:rPr>
          <w:noProof/>
        </w:rPr>
        <w:t>lepszej wiedzy,</w:t>
      </w:r>
      <w:r w:rsidR="00D12858">
        <w:rPr>
          <w:noProof/>
        </w:rPr>
        <w:t xml:space="preserve"> z kor</w:t>
      </w:r>
      <w:r>
        <w:rPr>
          <w:noProof/>
        </w:rPr>
        <w:t>zyścią dla gleb</w:t>
      </w:r>
      <w:r w:rsidR="00D12858">
        <w:rPr>
          <w:noProof/>
        </w:rPr>
        <w:t xml:space="preserve"> i rol</w:t>
      </w:r>
      <w:r>
        <w:rPr>
          <w:noProof/>
        </w:rPr>
        <w:t>nictwa.</w:t>
      </w:r>
    </w:p>
    <w:p w14:paraId="578C354B" w14:textId="60CE2DF7" w:rsidR="00BC44CD" w:rsidRPr="001A4B33" w:rsidRDefault="00BF5473" w:rsidP="001A4B3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  <w:r>
        <w:rPr>
          <w:noProof/>
          <w:color w:val="000000"/>
        </w:rPr>
        <w:t>Rolnictwo jest</w:t>
      </w:r>
      <w:r w:rsidR="00D12858">
        <w:rPr>
          <w:noProof/>
          <w:color w:val="000000"/>
        </w:rPr>
        <w:t xml:space="preserve"> w duż</w:t>
      </w:r>
      <w:r>
        <w:rPr>
          <w:noProof/>
          <w:color w:val="000000"/>
        </w:rPr>
        <w:t xml:space="preserve">ym stopniu </w:t>
      </w:r>
      <w:r>
        <w:rPr>
          <w:b/>
          <w:noProof/>
          <w:color w:val="000000"/>
        </w:rPr>
        <w:t>uzależnione od wody</w:t>
      </w:r>
      <w:r>
        <w:rPr>
          <w:noProof/>
          <w:color w:val="000000"/>
        </w:rPr>
        <w:t>; zdrowie</w:t>
      </w:r>
      <w:r w:rsidR="00D12858">
        <w:rPr>
          <w:noProof/>
          <w:color w:val="000000"/>
        </w:rPr>
        <w:t xml:space="preserve"> i dob</w:t>
      </w:r>
      <w:r>
        <w:rPr>
          <w:noProof/>
          <w:color w:val="000000"/>
        </w:rPr>
        <w:t>rostan upraw, zwierząt gospodarskich</w:t>
      </w:r>
      <w:r w:rsidR="00D12858">
        <w:rPr>
          <w:noProof/>
          <w:color w:val="000000"/>
        </w:rPr>
        <w:t xml:space="preserve"> i wsz</w:t>
      </w:r>
      <w:r>
        <w:rPr>
          <w:noProof/>
          <w:color w:val="000000"/>
        </w:rPr>
        <w:t>elkich form życia wymaga jej stałych</w:t>
      </w:r>
      <w:r w:rsidR="00D12858">
        <w:rPr>
          <w:noProof/>
          <w:color w:val="000000"/>
        </w:rPr>
        <w:t xml:space="preserve"> i bez</w:t>
      </w:r>
      <w:r>
        <w:rPr>
          <w:noProof/>
          <w:color w:val="000000"/>
        </w:rPr>
        <w:t>piecznych dostaw. Woda jest jednak podatna na szereg zagrożeń,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nadmierny pobór na potrzeby rolnictwa</w:t>
      </w:r>
      <w:r w:rsidR="00D12858">
        <w:rPr>
          <w:noProof/>
          <w:color w:val="000000"/>
        </w:rPr>
        <w:t xml:space="preserve"> i zan</w:t>
      </w:r>
      <w:r>
        <w:rPr>
          <w:noProof/>
          <w:color w:val="000000"/>
        </w:rPr>
        <w:t>ieczyszczenie. Deficyt wody dotyka UE</w:t>
      </w:r>
      <w:r w:rsidR="00D12858">
        <w:rPr>
          <w:noProof/>
          <w:color w:val="000000"/>
        </w:rPr>
        <w:t xml:space="preserve"> w cor</w:t>
      </w:r>
      <w:r>
        <w:rPr>
          <w:noProof/>
          <w:color w:val="000000"/>
        </w:rPr>
        <w:t xml:space="preserve">az większym stopniu, ponieważ zmiana klimatu coraz bardziej pogłębia </w:t>
      </w:r>
      <w:r>
        <w:rPr>
          <w:b/>
          <w:noProof/>
          <w:color w:val="000000"/>
        </w:rPr>
        <w:t>niedobór wody</w:t>
      </w:r>
      <w:r>
        <w:rPr>
          <w:noProof/>
          <w:color w:val="000000"/>
        </w:rPr>
        <w:t>. Niekorzystne zjawiska pogodowe powodowane zmianą klimatu stanowią największe zagrożenie produkcji roślinnej, zwłaszcza</w:t>
      </w:r>
      <w:r w:rsidR="00D12858">
        <w:rPr>
          <w:noProof/>
          <w:color w:val="000000"/>
        </w:rPr>
        <w:t xml:space="preserve"> w Eur</w:t>
      </w:r>
      <w:r>
        <w:rPr>
          <w:noProof/>
          <w:color w:val="000000"/>
        </w:rPr>
        <w:t>opie Południowej</w:t>
      </w:r>
      <w:r w:rsidR="00096A1E">
        <w:rPr>
          <w:rStyle w:val="FootnoteReference"/>
          <w:noProof/>
          <w:color w:val="000000"/>
        </w:rPr>
        <w:footnoteReference w:id="33"/>
      </w:r>
      <w:r>
        <w:rPr>
          <w:noProof/>
          <w:color w:val="000000"/>
        </w:rPr>
        <w:t xml:space="preserve">. Komisja zaprezentuje wkrótce </w:t>
      </w:r>
      <w:r>
        <w:rPr>
          <w:b/>
          <w:noProof/>
          <w:color w:val="000000"/>
        </w:rPr>
        <w:t>strategię odporności wodnej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w któ</w:t>
      </w:r>
      <w:r>
        <w:rPr>
          <w:noProof/>
          <w:color w:val="000000"/>
        </w:rPr>
        <w:t>rej przedstawi swą odpowiedź</w:t>
      </w:r>
      <w:r>
        <w:rPr>
          <w:noProof/>
          <w:color w:val="000000" w:themeColor="text1"/>
        </w:rPr>
        <w:t xml:space="preserve"> na pilną potrzebę bardziej efektywnego wykorzystania wody, zmniejszenia jej zanieczyszczenia</w:t>
      </w:r>
      <w:r w:rsidR="00D12858">
        <w:rPr>
          <w:noProof/>
          <w:color w:val="000000" w:themeColor="text1"/>
        </w:rPr>
        <w:t xml:space="preserve"> i spr</w:t>
      </w:r>
      <w:r>
        <w:rPr>
          <w:noProof/>
          <w:color w:val="000000" w:themeColor="text1"/>
        </w:rPr>
        <w:t>ostania wyzwaniom związanym</w:t>
      </w:r>
      <w:r w:rsidR="00D12858">
        <w:rPr>
          <w:noProof/>
          <w:color w:val="000000" w:themeColor="text1"/>
        </w:rPr>
        <w:t xml:space="preserve"> z nad</w:t>
      </w:r>
      <w:r>
        <w:rPr>
          <w:noProof/>
          <w:color w:val="000000" w:themeColor="text1"/>
        </w:rPr>
        <w:t>miernym poborem zasobów wodnych.</w:t>
      </w:r>
    </w:p>
    <w:p w14:paraId="563C6B78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</w:rPr>
      </w:pPr>
    </w:p>
    <w:p w14:paraId="66F3BC86" w14:textId="359C57E6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/>
        </w:rPr>
        <w:t xml:space="preserve">Szczególną uwagę musimy zwrócić na poprawę zarządzania </w:t>
      </w:r>
      <w:r>
        <w:rPr>
          <w:b/>
          <w:noProof/>
          <w:color w:val="000000"/>
        </w:rPr>
        <w:t>składnikami odżywczymi na poziomie gospodarstw</w:t>
      </w:r>
      <w:r w:rsidR="00D12858">
        <w:rPr>
          <w:noProof/>
          <w:color w:val="000000"/>
        </w:rPr>
        <w:t xml:space="preserve"> i zwi</w:t>
      </w:r>
      <w:r>
        <w:rPr>
          <w:noProof/>
          <w:color w:val="000000"/>
        </w:rPr>
        <w:t>ększenie obiegu zamkniętego składników odżywczych. Rozwiązanie problemów związanych</w:t>
      </w:r>
      <w:r w:rsidR="00D12858">
        <w:rPr>
          <w:noProof/>
          <w:color w:val="000000"/>
        </w:rPr>
        <w:t xml:space="preserve"> z zan</w:t>
      </w:r>
      <w:r>
        <w:rPr>
          <w:noProof/>
          <w:color w:val="000000"/>
        </w:rPr>
        <w:t>ieczyszczeniem substancjami biogennymi</w:t>
      </w:r>
      <w:r w:rsidR="00D12858">
        <w:rPr>
          <w:noProof/>
          <w:color w:val="000000"/>
        </w:rPr>
        <w:t xml:space="preserve"> i pro</w:t>
      </w:r>
      <w:r>
        <w:rPr>
          <w:noProof/>
          <w:color w:val="000000"/>
        </w:rPr>
        <w:t>mowanie zintegrowanego podejścia terytorialnego należy potraktować priorytetowo. Głównym aspektem tego procesu będzie zarządzanie składnikami odżywczymi pochodzącymi</w:t>
      </w:r>
      <w:r w:rsidR="00D12858">
        <w:rPr>
          <w:noProof/>
          <w:color w:val="000000"/>
        </w:rPr>
        <w:t xml:space="preserve"> z pro</w:t>
      </w:r>
      <w:r>
        <w:rPr>
          <w:noProof/>
          <w:color w:val="000000"/>
        </w:rPr>
        <w:t>dukcji zwierzęcej</w:t>
      </w:r>
      <w:r w:rsidR="00D12858">
        <w:rPr>
          <w:noProof/>
          <w:color w:val="000000"/>
        </w:rPr>
        <w:t xml:space="preserve"> i ich</w:t>
      </w:r>
      <w:r>
        <w:rPr>
          <w:noProof/>
          <w:color w:val="000000"/>
        </w:rPr>
        <w:t xml:space="preserve"> kontrola</w:t>
      </w:r>
      <w:r w:rsidR="00D12858">
        <w:rPr>
          <w:noProof/>
          <w:color w:val="000000"/>
        </w:rPr>
        <w:t xml:space="preserve"> w cel</w:t>
      </w:r>
      <w:r>
        <w:rPr>
          <w:noProof/>
          <w:color w:val="000000"/>
        </w:rPr>
        <w:t>u ograniczenia negatywnych efektów zewnętrznych, wspieranie ekstensyfikacji</w:t>
      </w:r>
      <w:r w:rsidR="00D12858">
        <w:rPr>
          <w:noProof/>
          <w:color w:val="000000"/>
        </w:rPr>
        <w:t xml:space="preserve"> w reg</w:t>
      </w:r>
      <w:r>
        <w:rPr>
          <w:noProof/>
          <w:color w:val="000000"/>
        </w:rPr>
        <w:t>ionach</w:t>
      </w:r>
      <w:r w:rsidR="00D12858">
        <w:rPr>
          <w:noProof/>
          <w:color w:val="000000"/>
        </w:rPr>
        <w:t xml:space="preserve"> o wys</w:t>
      </w:r>
      <w:r>
        <w:rPr>
          <w:noProof/>
          <w:color w:val="000000"/>
        </w:rPr>
        <w:t>okim zagęszczeniu populacji zwierząt gospodarskich oraz promowanie obiegu zamkniętego, co może pomóc</w:t>
      </w:r>
      <w:r w:rsidR="00D12858">
        <w:rPr>
          <w:noProof/>
          <w:color w:val="000000"/>
        </w:rPr>
        <w:t xml:space="preserve"> w ogr</w:t>
      </w:r>
      <w:r>
        <w:rPr>
          <w:noProof/>
          <w:color w:val="000000"/>
        </w:rPr>
        <w:t xml:space="preserve">aniczeniu stosowania nawozów nieorganicznych. </w:t>
      </w:r>
      <w:r>
        <w:rPr>
          <w:b/>
          <w:noProof/>
          <w:color w:val="000000"/>
        </w:rPr>
        <w:t>Ocena dyrektywy azotanowej, która zostanie przeprowadzona pod koniec 20</w:t>
      </w:r>
      <w:r w:rsidRPr="00D12858">
        <w:rPr>
          <w:b/>
          <w:noProof/>
          <w:color w:val="000000"/>
        </w:rPr>
        <w:t>25</w:t>
      </w:r>
      <w:r w:rsidR="00D12858" w:rsidRPr="00D12858">
        <w:rPr>
          <w:b/>
          <w:noProof/>
          <w:color w:val="000000"/>
        </w:rPr>
        <w:t> </w:t>
      </w:r>
      <w:r w:rsidRPr="00D12858">
        <w:rPr>
          <w:b/>
          <w:noProof/>
          <w:color w:val="000000"/>
        </w:rPr>
        <w:t>r.</w:t>
      </w:r>
      <w:r>
        <w:rPr>
          <w:noProof/>
          <w:color w:val="000000"/>
        </w:rPr>
        <w:t>, dostarczy dalszych danych na potrzeby debaty.</w:t>
      </w:r>
    </w:p>
    <w:p w14:paraId="2F944A08" w14:textId="4A79D2ED" w:rsidR="00EF513A" w:rsidRDefault="00BF5473">
      <w:pPr>
        <w:pStyle w:val="Heading2"/>
        <w:numPr>
          <w:ilvl w:val="1"/>
          <w:numId w:val="2"/>
        </w:numPr>
        <w:rPr>
          <w:b w:val="0"/>
          <w:noProof/>
          <w:u w:val="single"/>
        </w:rPr>
      </w:pPr>
      <w:bookmarkStart w:id="18" w:name="_1t3h5sf"/>
      <w:bookmarkStart w:id="19" w:name="_Toc191630904"/>
      <w:bookmarkEnd w:id="18"/>
      <w:r>
        <w:rPr>
          <w:noProof/>
        </w:rPr>
        <w:t>Waloryzacja żywności</w:t>
      </w:r>
      <w:r w:rsidR="00D12858">
        <w:rPr>
          <w:noProof/>
        </w:rPr>
        <w:t xml:space="preserve"> i pro</w:t>
      </w:r>
      <w:r>
        <w:rPr>
          <w:noProof/>
        </w:rPr>
        <w:t>pagowanie sprawiedliwych warunków życia</w:t>
      </w:r>
      <w:r w:rsidR="00D12858">
        <w:rPr>
          <w:noProof/>
        </w:rPr>
        <w:t xml:space="preserve"> i pra</w:t>
      </w:r>
      <w:r>
        <w:rPr>
          <w:noProof/>
        </w:rPr>
        <w:t>cy na dynamicznych obszarach wiejskich</w:t>
      </w:r>
      <w:bookmarkEnd w:id="19"/>
    </w:p>
    <w:p w14:paraId="66E8D737" w14:textId="2B578C3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Żywność to spoiwo łączące ludzi</w:t>
      </w:r>
      <w:r w:rsidR="00D12858">
        <w:rPr>
          <w:noProof/>
          <w:color w:val="000000"/>
        </w:rPr>
        <w:t xml:space="preserve"> z róż</w:t>
      </w:r>
      <w:r>
        <w:rPr>
          <w:noProof/>
          <w:color w:val="000000"/>
        </w:rPr>
        <w:t>nych terytoriów</w:t>
      </w:r>
      <w:r w:rsidR="00D12858">
        <w:rPr>
          <w:noProof/>
          <w:color w:val="000000"/>
        </w:rPr>
        <w:t xml:space="preserve"> i reg</w:t>
      </w:r>
      <w:r>
        <w:rPr>
          <w:noProof/>
          <w:color w:val="000000"/>
        </w:rPr>
        <w:t>ionów. Kwestia ta łączy rolników</w:t>
      </w:r>
      <w:r w:rsidR="00D12858">
        <w:rPr>
          <w:noProof/>
          <w:color w:val="000000"/>
        </w:rPr>
        <w:t xml:space="preserve"> z kon</w:t>
      </w:r>
      <w:r>
        <w:rPr>
          <w:noProof/>
          <w:color w:val="000000"/>
        </w:rPr>
        <w:t>sumentami</w:t>
      </w:r>
      <w:r w:rsidR="00D12858">
        <w:rPr>
          <w:noProof/>
          <w:color w:val="000000"/>
        </w:rPr>
        <w:t xml:space="preserve"> i ośr</w:t>
      </w:r>
      <w:r>
        <w:rPr>
          <w:noProof/>
          <w:color w:val="000000"/>
        </w:rPr>
        <w:t>odki miejskie</w:t>
      </w:r>
      <w:r w:rsidR="00D12858">
        <w:rPr>
          <w:noProof/>
          <w:color w:val="000000"/>
        </w:rPr>
        <w:t xml:space="preserve"> z mie</w:t>
      </w:r>
      <w:r>
        <w:rPr>
          <w:noProof/>
          <w:color w:val="000000"/>
        </w:rPr>
        <w:t>szkańcami obszarów wiejskich. Rolnicy, rybacy</w:t>
      </w:r>
      <w:r w:rsidR="00D12858">
        <w:rPr>
          <w:noProof/>
          <w:color w:val="000000"/>
        </w:rPr>
        <w:t xml:space="preserve"> i pro</w:t>
      </w:r>
      <w:r>
        <w:rPr>
          <w:noProof/>
          <w:color w:val="000000"/>
        </w:rPr>
        <w:t>ducenci żywności tworzą więź, która stanowi</w:t>
      </w:r>
      <w:r w:rsidR="00D12858">
        <w:rPr>
          <w:noProof/>
          <w:color w:val="000000"/>
        </w:rPr>
        <w:t xml:space="preserve"> o sil</w:t>
      </w:r>
      <w:r>
        <w:rPr>
          <w:noProof/>
          <w:color w:val="000000"/>
        </w:rPr>
        <w:t>e społeczności wiejskich</w:t>
      </w:r>
      <w:r w:rsidR="00D12858">
        <w:rPr>
          <w:noProof/>
          <w:color w:val="000000"/>
        </w:rPr>
        <w:t xml:space="preserve"> i nad</w:t>
      </w:r>
      <w:r>
        <w:rPr>
          <w:noProof/>
          <w:color w:val="000000"/>
        </w:rPr>
        <w:t>brzeżnych</w:t>
      </w:r>
      <w:r w:rsidR="00D12858">
        <w:rPr>
          <w:noProof/>
          <w:color w:val="000000"/>
        </w:rPr>
        <w:t xml:space="preserve"> i jes</w:t>
      </w:r>
      <w:r>
        <w:rPr>
          <w:noProof/>
          <w:color w:val="000000"/>
        </w:rPr>
        <w:t>t podstawą pozostałej działalności gospodarczej. Dynamiczne obszary wiejskie sprzyjają produkcji żywności wysokiej jakości, co</w:t>
      </w:r>
      <w:r w:rsidR="00D12858">
        <w:rPr>
          <w:noProof/>
          <w:color w:val="000000"/>
        </w:rPr>
        <w:t xml:space="preserve"> z kol</w:t>
      </w:r>
      <w:r>
        <w:rPr>
          <w:noProof/>
          <w:color w:val="000000"/>
        </w:rPr>
        <w:t>ei napędza lokalną gospodarkę. Dynamizacja powiązań między żywnością</w:t>
      </w:r>
      <w:r w:rsidR="00D12858">
        <w:rPr>
          <w:noProof/>
          <w:color w:val="000000"/>
        </w:rPr>
        <w:t xml:space="preserve"> a ter</w:t>
      </w:r>
      <w:r>
        <w:rPr>
          <w:noProof/>
          <w:color w:val="000000"/>
        </w:rPr>
        <w:t>ytorium oraz ożywienie obszarów wiejskich będą bardzo ważne dla przyszłości rolnictwa</w:t>
      </w:r>
      <w:r w:rsidR="00D12858">
        <w:rPr>
          <w:noProof/>
          <w:color w:val="000000"/>
        </w:rPr>
        <w:t xml:space="preserve"> w Eur</w:t>
      </w:r>
      <w:r>
        <w:rPr>
          <w:noProof/>
          <w:color w:val="000000"/>
        </w:rPr>
        <w:t>opie.</w:t>
      </w:r>
    </w:p>
    <w:p w14:paraId="0D954FAC" w14:textId="266FCC91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  <w:u w:val="single"/>
        </w:rPr>
      </w:pPr>
      <w:r>
        <w:rPr>
          <w:b/>
          <w:i/>
          <w:noProof/>
          <w:color w:val="000000"/>
        </w:rPr>
        <w:t>Sprawiedliwe warunki życia</w:t>
      </w:r>
      <w:r w:rsidR="00D12858">
        <w:rPr>
          <w:b/>
          <w:i/>
          <w:noProof/>
          <w:color w:val="000000"/>
        </w:rPr>
        <w:t xml:space="preserve"> i pra</w:t>
      </w:r>
      <w:r>
        <w:rPr>
          <w:b/>
          <w:i/>
          <w:noProof/>
          <w:color w:val="000000"/>
        </w:rPr>
        <w:t>cy na europejskich obszarach wiejskich</w:t>
      </w:r>
      <w:r w:rsidR="00D12858">
        <w:rPr>
          <w:b/>
          <w:i/>
          <w:noProof/>
          <w:color w:val="000000"/>
        </w:rPr>
        <w:t xml:space="preserve"> i prz</w:t>
      </w:r>
      <w:r>
        <w:rPr>
          <w:b/>
          <w:i/>
          <w:noProof/>
          <w:color w:val="000000"/>
        </w:rPr>
        <w:t xml:space="preserve">ybrzeżnych </w:t>
      </w:r>
    </w:p>
    <w:p w14:paraId="341E222C" w14:textId="27356321" w:rsidR="00EF513A" w:rsidRDefault="00FC24C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 w:themeColor="text1"/>
        </w:rPr>
      </w:pPr>
      <w:r>
        <w:rPr>
          <w:noProof/>
          <w:color w:val="000000" w:themeColor="text1"/>
        </w:rPr>
        <w:t>Wyzwania demograficzne,</w:t>
      </w:r>
      <w:r w:rsidR="00D12858">
        <w:rPr>
          <w:noProof/>
          <w:color w:val="000000" w:themeColor="text1"/>
        </w:rPr>
        <w:t xml:space="preserve"> w szc</w:t>
      </w:r>
      <w:r>
        <w:rPr>
          <w:noProof/>
          <w:color w:val="000000" w:themeColor="text1"/>
        </w:rPr>
        <w:t>zególności starzenie się społeczeństwa</w:t>
      </w:r>
      <w:r w:rsidR="00D12858">
        <w:rPr>
          <w:noProof/>
          <w:color w:val="000000" w:themeColor="text1"/>
        </w:rPr>
        <w:t xml:space="preserve"> i dep</w:t>
      </w:r>
      <w:r>
        <w:rPr>
          <w:noProof/>
          <w:color w:val="000000" w:themeColor="text1"/>
        </w:rPr>
        <w:t>opulacja,</w:t>
      </w:r>
      <w:r w:rsidR="00D12858">
        <w:rPr>
          <w:noProof/>
          <w:color w:val="000000" w:themeColor="text1"/>
        </w:rPr>
        <w:t xml:space="preserve"> w poł</w:t>
      </w:r>
      <w:r>
        <w:rPr>
          <w:noProof/>
          <w:color w:val="000000" w:themeColor="text1"/>
        </w:rPr>
        <w:t xml:space="preserve">ączeniu ze </w:t>
      </w:r>
      <w:r>
        <w:rPr>
          <w:b/>
          <w:noProof/>
          <w:color w:val="000000" w:themeColor="text1"/>
        </w:rPr>
        <w:t>słabą wymianą pokoleń</w:t>
      </w:r>
      <w:r>
        <w:rPr>
          <w:noProof/>
          <w:color w:val="000000" w:themeColor="text1"/>
        </w:rPr>
        <w:t>, powodują spadek liczby ludności</w:t>
      </w:r>
      <w:r w:rsidR="00D12858">
        <w:rPr>
          <w:noProof/>
          <w:color w:val="000000" w:themeColor="text1"/>
        </w:rPr>
        <w:t xml:space="preserve"> w wie</w:t>
      </w:r>
      <w:r>
        <w:rPr>
          <w:noProof/>
          <w:color w:val="000000" w:themeColor="text1"/>
        </w:rPr>
        <w:t>ku produkcyjnym na większości obszarów wiejskich i na wielu obszarach przybrzeżnych</w:t>
      </w:r>
      <w:r w:rsidR="00D12858">
        <w:rPr>
          <w:noProof/>
          <w:color w:val="000000" w:themeColor="text1"/>
        </w:rPr>
        <w:t xml:space="preserve"> w cał</w:t>
      </w:r>
      <w:r>
        <w:rPr>
          <w:noProof/>
          <w:color w:val="000000" w:themeColor="text1"/>
        </w:rPr>
        <w:t xml:space="preserve">ej Unii. </w:t>
      </w:r>
    </w:p>
    <w:p w14:paraId="72DB63FA" w14:textId="329588B8" w:rsidR="00C47040" w:rsidRDefault="008D6922" w:rsidP="00EC1B21">
      <w:pPr>
        <w:spacing w:after="0"/>
        <w:rPr>
          <w:noProof/>
        </w:rPr>
      </w:pPr>
      <w:r>
        <w:rPr>
          <w:noProof/>
        </w:rPr>
        <w:t>W wyniku napięć geopolitycznych obszary wiejskie wschodnich regionów przygranicznych UE, najbardziej dotknięte rosyjską wojną napastniczą przeciwko Ukrainie, stały się szczególnie wrażliwe</w:t>
      </w:r>
      <w:r w:rsidR="00D12858">
        <w:rPr>
          <w:noProof/>
        </w:rPr>
        <w:t xml:space="preserve"> i zag</w:t>
      </w:r>
      <w:r>
        <w:rPr>
          <w:noProof/>
        </w:rPr>
        <w:t>rożone, więc potrzebują szczególnego wsparcia. Upadek społeczno-gospodarczy</w:t>
      </w:r>
      <w:r w:rsidR="00D12858">
        <w:rPr>
          <w:noProof/>
        </w:rPr>
        <w:t xml:space="preserve"> i ros</w:t>
      </w:r>
      <w:r>
        <w:rPr>
          <w:noProof/>
        </w:rPr>
        <w:t>nąca depopulacja będą miały</w:t>
      </w:r>
      <w:r w:rsidR="00D12858">
        <w:rPr>
          <w:noProof/>
        </w:rPr>
        <w:t xml:space="preserve"> w ich</w:t>
      </w:r>
      <w:r>
        <w:rPr>
          <w:noProof/>
        </w:rPr>
        <w:t xml:space="preserve"> przypadku dodatkowe skutki dla bezpieczeństwa, podczas gdy te – głównie wiejskie – obszary mają strategiczne znaczenie dla bezpieczeństwa UE.</w:t>
      </w:r>
    </w:p>
    <w:p w14:paraId="7EB41802" w14:textId="3F931A94" w:rsidR="00EC1B21" w:rsidRDefault="00EC1B21" w:rsidP="00EC1B21">
      <w:pPr>
        <w:spacing w:after="0"/>
        <w:rPr>
          <w:noProof/>
        </w:rPr>
      </w:pPr>
    </w:p>
    <w:p w14:paraId="0311BDAA" w14:textId="71C0885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Oprócz dostępu do gruntów</w:t>
      </w:r>
      <w:r w:rsidR="00D12858">
        <w:rPr>
          <w:noProof/>
          <w:color w:val="000000"/>
        </w:rPr>
        <w:t xml:space="preserve"> i kap</w:t>
      </w:r>
      <w:r>
        <w:rPr>
          <w:noProof/>
          <w:color w:val="000000"/>
        </w:rPr>
        <w:t>itału, warunkami wstępnymi żywotności obszarów wiejskich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yciągania nowych pracowników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>torze spożywczym są: dostęp do dobrej edukacji, wysokiej jakości miejsc pracy</w:t>
      </w:r>
      <w:r w:rsidR="00D12858">
        <w:rPr>
          <w:noProof/>
          <w:color w:val="000000"/>
        </w:rPr>
        <w:t xml:space="preserve"> i moż</w:t>
      </w:r>
      <w:r>
        <w:rPr>
          <w:noProof/>
          <w:color w:val="000000"/>
        </w:rPr>
        <w:t>liwości rozwoju kariery, podstawowych usług zdrowotnych, łączności</w:t>
      </w:r>
      <w:r w:rsidR="00D12858">
        <w:rPr>
          <w:noProof/>
          <w:color w:val="000000"/>
        </w:rPr>
        <w:t xml:space="preserve"> i wię</w:t>
      </w:r>
      <w:r>
        <w:rPr>
          <w:noProof/>
          <w:color w:val="000000"/>
        </w:rPr>
        <w:t>ksza mobilność. Produkcja żywności</w:t>
      </w:r>
      <w:r w:rsidR="00D12858">
        <w:rPr>
          <w:noProof/>
          <w:color w:val="000000"/>
        </w:rPr>
        <w:t xml:space="preserve"> i pas</w:t>
      </w:r>
      <w:r>
        <w:rPr>
          <w:noProof/>
          <w:color w:val="000000"/>
        </w:rPr>
        <w:t>z w UE zależy też od pracowników rolnych, którzy często pochodzą</w:t>
      </w:r>
      <w:r w:rsidR="00D12858">
        <w:rPr>
          <w:noProof/>
          <w:color w:val="000000"/>
        </w:rPr>
        <w:t xml:space="preserve"> z inn</w:t>
      </w:r>
      <w:r>
        <w:rPr>
          <w:noProof/>
          <w:color w:val="000000"/>
        </w:rPr>
        <w:t>ych państw członkowskich UE lub</w:t>
      </w:r>
      <w:r w:rsidR="00D12858">
        <w:rPr>
          <w:noProof/>
          <w:color w:val="000000"/>
        </w:rPr>
        <w:t xml:space="preserve"> z pań</w:t>
      </w:r>
      <w:r>
        <w:rPr>
          <w:noProof/>
          <w:color w:val="000000"/>
        </w:rPr>
        <w:t>stw trzecich</w:t>
      </w:r>
      <w:r w:rsidR="00D12858">
        <w:rPr>
          <w:noProof/>
          <w:color w:val="000000"/>
        </w:rPr>
        <w:t xml:space="preserve"> i zby</w:t>
      </w:r>
      <w:r>
        <w:rPr>
          <w:noProof/>
          <w:color w:val="000000"/>
        </w:rPr>
        <w:t>t często pracują</w:t>
      </w:r>
      <w:r w:rsidR="00D12858">
        <w:rPr>
          <w:noProof/>
          <w:color w:val="000000"/>
        </w:rPr>
        <w:t xml:space="preserve"> w zły</w:t>
      </w:r>
      <w:r>
        <w:rPr>
          <w:noProof/>
          <w:color w:val="000000"/>
        </w:rPr>
        <w:t>ch warunkach. Złe traktowanie pracowników należy zwalczać przy użyciu polityki publicznej skuteczniej niż dotychczas. Bardzo ważna będzie przy tym rola dialogu społecznego</w:t>
      </w:r>
      <w:r w:rsidR="00D12858">
        <w:rPr>
          <w:noProof/>
          <w:color w:val="000000"/>
        </w:rPr>
        <w:t xml:space="preserve"> i rok</w:t>
      </w:r>
      <w:r>
        <w:rPr>
          <w:noProof/>
          <w:color w:val="000000"/>
        </w:rPr>
        <w:t>owań zbiorowych, zgodnie</w:t>
      </w:r>
      <w:r w:rsidR="00D12858">
        <w:rPr>
          <w:noProof/>
          <w:color w:val="000000"/>
        </w:rPr>
        <w:t xml:space="preserve"> z pra</w:t>
      </w:r>
      <w:r>
        <w:rPr>
          <w:noProof/>
          <w:color w:val="000000"/>
        </w:rPr>
        <w:t>wem krajowym</w:t>
      </w:r>
      <w:r w:rsidR="00D12858">
        <w:rPr>
          <w:noProof/>
          <w:color w:val="000000"/>
        </w:rPr>
        <w:t xml:space="preserve"> i tra</w:t>
      </w:r>
      <w:r>
        <w:rPr>
          <w:noProof/>
          <w:color w:val="000000"/>
        </w:rPr>
        <w:t>dycją.</w:t>
      </w:r>
    </w:p>
    <w:p w14:paraId="5AA5E7C4" w14:textId="4F5F0C9E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Rolnictwo jest satysfakcjonującym, ale też wymagającym zawodem, często powodującym brak równowagi między życiem zawodowym</w:t>
      </w:r>
      <w:r w:rsidR="00D12858">
        <w:rPr>
          <w:noProof/>
          <w:color w:val="000000"/>
        </w:rPr>
        <w:t xml:space="preserve"> i pry</w:t>
      </w:r>
      <w:r>
        <w:rPr>
          <w:noProof/>
          <w:color w:val="000000"/>
        </w:rPr>
        <w:t>watnym oraz izolację</w:t>
      </w:r>
      <w:r w:rsidR="00D12858">
        <w:rPr>
          <w:noProof/>
          <w:color w:val="000000"/>
        </w:rPr>
        <w:t xml:space="preserve"> i sam</w:t>
      </w:r>
      <w:r>
        <w:rPr>
          <w:noProof/>
          <w:color w:val="000000"/>
        </w:rPr>
        <w:t xml:space="preserve">otność, które często źle wpływają na </w:t>
      </w:r>
      <w:r>
        <w:rPr>
          <w:b/>
          <w:noProof/>
          <w:color w:val="000000"/>
        </w:rPr>
        <w:t>zdrowie psychiczne</w:t>
      </w:r>
      <w:r w:rsidR="00D12858">
        <w:rPr>
          <w:noProof/>
          <w:color w:val="000000"/>
        </w:rPr>
        <w:t>.</w:t>
      </w:r>
      <w:r w:rsidR="00D12858">
        <w:rPr>
          <w:b/>
          <w:noProof/>
          <w:color w:val="000000"/>
        </w:rPr>
        <w:t xml:space="preserve"> </w:t>
      </w:r>
      <w:r w:rsidR="00D12858">
        <w:rPr>
          <w:noProof/>
          <w:color w:val="000000"/>
        </w:rPr>
        <w:t>W nie</w:t>
      </w:r>
      <w:r>
        <w:rPr>
          <w:noProof/>
          <w:color w:val="000000"/>
        </w:rPr>
        <w:t>których państwach członkowskich</w:t>
      </w:r>
      <w:r w:rsidR="00646AD0">
        <w:rPr>
          <w:rStyle w:val="FootnoteReference"/>
          <w:noProof/>
          <w:color w:val="000000"/>
        </w:rPr>
        <w:footnoteReference w:id="34"/>
      </w:r>
      <w:r>
        <w:rPr>
          <w:noProof/>
          <w:color w:val="000000"/>
        </w:rPr>
        <w:t xml:space="preserve"> wskaźniki samobójstw wśród rolników są</w:t>
      </w:r>
      <w:r w:rsidR="00D12858">
        <w:rPr>
          <w:noProof/>
          <w:color w:val="000000"/>
        </w:rPr>
        <w:t xml:space="preserve"> o 2</w:t>
      </w:r>
      <w:r>
        <w:rPr>
          <w:noProof/>
          <w:color w:val="000000"/>
        </w:rPr>
        <w:t>0 % wyższe od średniej krajowej.</w:t>
      </w:r>
      <w:r>
        <w:rPr>
          <w:b/>
          <w:noProof/>
          <w:color w:val="000000"/>
        </w:rPr>
        <w:t xml:space="preserve"> </w:t>
      </w:r>
      <w:r>
        <w:rPr>
          <w:noProof/>
          <w:color w:val="000000"/>
        </w:rPr>
        <w:t>Usługi doradcze dla rolników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WPR mogą być bardzo skuteczne</w:t>
      </w:r>
      <w:r w:rsidR="00D12858">
        <w:rPr>
          <w:noProof/>
          <w:color w:val="000000"/>
        </w:rPr>
        <w:t xml:space="preserve"> w pod</w:t>
      </w:r>
      <w:r>
        <w:rPr>
          <w:noProof/>
          <w:color w:val="000000"/>
        </w:rPr>
        <w:t>noszeniu świadomości na temat zdrowia psychicznego</w:t>
      </w:r>
      <w:r w:rsidR="00D12858">
        <w:rPr>
          <w:noProof/>
          <w:color w:val="000000"/>
        </w:rPr>
        <w:t xml:space="preserve"> i wyp</w:t>
      </w:r>
      <w:r>
        <w:rPr>
          <w:noProof/>
          <w:color w:val="000000"/>
        </w:rPr>
        <w:t>adków przy pracy, dzięki adresowaniu ich konkretnie do rolników. Na przykład irlandzki Teagasc prowadzi wiele akcji aktywnie wspierających zdrowie psychiczne rolników</w:t>
      </w:r>
      <w:r w:rsidR="00D12858">
        <w:rPr>
          <w:noProof/>
          <w:color w:val="000000"/>
        </w:rPr>
        <w:t xml:space="preserve"> i pod</w:t>
      </w:r>
      <w:r>
        <w:rPr>
          <w:noProof/>
          <w:color w:val="000000"/>
        </w:rPr>
        <w:t>noszących świadomość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zakresie</w:t>
      </w:r>
      <w:r>
        <w:rPr>
          <w:noProof/>
          <w:color w:val="000000"/>
          <w:vertAlign w:val="superscript"/>
        </w:rPr>
        <w:footnoteReference w:id="35"/>
      </w:r>
      <w:r>
        <w:rPr>
          <w:noProof/>
          <w:color w:val="000000"/>
        </w:rPr>
        <w:t>.</w:t>
      </w:r>
    </w:p>
    <w:p w14:paraId="30C21D55" w14:textId="6203C09F" w:rsidR="009F2B78" w:rsidRDefault="00BF5473" w:rsidP="009F2B7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 w:themeColor="text1"/>
        </w:rPr>
      </w:pPr>
      <w:r>
        <w:rPr>
          <w:noProof/>
          <w:color w:val="000000" w:themeColor="text1"/>
        </w:rPr>
        <w:t>Obok WPR duży wpływ na obszary wiejskie ma polityka</w:t>
      </w:r>
      <w:r w:rsidR="00D12858">
        <w:rPr>
          <w:noProof/>
          <w:color w:val="000000" w:themeColor="text1"/>
        </w:rPr>
        <w:t xml:space="preserve"> w sze</w:t>
      </w:r>
      <w:r>
        <w:rPr>
          <w:noProof/>
          <w:color w:val="000000" w:themeColor="text1"/>
        </w:rPr>
        <w:t>regu innych dziedzin,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polityka spójności, która przyczynia się do spójności społecznej, gospodarczej</w:t>
      </w:r>
      <w:r w:rsidR="00D12858">
        <w:rPr>
          <w:noProof/>
          <w:color w:val="000000" w:themeColor="text1"/>
        </w:rPr>
        <w:t xml:space="preserve"> i ter</w:t>
      </w:r>
      <w:r>
        <w:rPr>
          <w:noProof/>
          <w:color w:val="000000" w:themeColor="text1"/>
        </w:rPr>
        <w:t>ytorialnej</w:t>
      </w:r>
      <w:r w:rsidR="00D12858">
        <w:rPr>
          <w:noProof/>
          <w:color w:val="000000" w:themeColor="text1"/>
        </w:rPr>
        <w:t xml:space="preserve"> w Eur</w:t>
      </w:r>
      <w:r>
        <w:rPr>
          <w:noProof/>
          <w:color w:val="000000" w:themeColor="text1"/>
        </w:rPr>
        <w:t>opie. Wkład polityki spójności</w:t>
      </w:r>
      <w:r w:rsidR="00D12858">
        <w:rPr>
          <w:noProof/>
          <w:color w:val="000000" w:themeColor="text1"/>
        </w:rPr>
        <w:t xml:space="preserve"> w dyw</w:t>
      </w:r>
      <w:r>
        <w:rPr>
          <w:noProof/>
          <w:color w:val="000000" w:themeColor="text1"/>
        </w:rPr>
        <w:t>ersyfikację gospodarczą oraz zapewnianie infrastruktury</w:t>
      </w:r>
      <w:r w:rsidR="00D12858">
        <w:rPr>
          <w:noProof/>
          <w:color w:val="000000" w:themeColor="text1"/>
        </w:rPr>
        <w:t xml:space="preserve"> i pow</w:t>
      </w:r>
      <w:r>
        <w:rPr>
          <w:noProof/>
          <w:color w:val="000000" w:themeColor="text1"/>
        </w:rPr>
        <w:t>iązanych usług może stać się jeszcze ważniejszy przy pomocy obszarom wiejskim</w:t>
      </w:r>
      <w:r w:rsidR="00D12858">
        <w:rPr>
          <w:noProof/>
          <w:color w:val="000000" w:themeColor="text1"/>
        </w:rPr>
        <w:t xml:space="preserve"> w poz</w:t>
      </w:r>
      <w:r>
        <w:rPr>
          <w:noProof/>
          <w:color w:val="000000" w:themeColor="text1"/>
        </w:rPr>
        <w:t>ostaniu atrakcyjnym miejscem do życia dla rolników, ich rodzin</w:t>
      </w:r>
      <w:r w:rsidR="00D12858">
        <w:rPr>
          <w:noProof/>
          <w:color w:val="000000" w:themeColor="text1"/>
        </w:rPr>
        <w:t xml:space="preserve"> i inn</w:t>
      </w:r>
      <w:r>
        <w:rPr>
          <w:noProof/>
          <w:color w:val="000000" w:themeColor="text1"/>
        </w:rPr>
        <w:t>ych mieszkańców obszarów wiejskich,</w:t>
      </w:r>
      <w:r w:rsidR="00D12858">
        <w:rPr>
          <w:noProof/>
          <w:color w:val="000000" w:themeColor="text1"/>
        </w:rPr>
        <w:t xml:space="preserve"> a tak</w:t>
      </w:r>
      <w:r>
        <w:rPr>
          <w:noProof/>
          <w:color w:val="000000" w:themeColor="text1"/>
        </w:rPr>
        <w:t>że</w:t>
      </w:r>
      <w:r w:rsidR="00D12858">
        <w:rPr>
          <w:noProof/>
          <w:color w:val="000000" w:themeColor="text1"/>
        </w:rPr>
        <w:t xml:space="preserve"> w pob</w:t>
      </w:r>
      <w:r>
        <w:rPr>
          <w:noProof/>
          <w:color w:val="000000" w:themeColor="text1"/>
        </w:rPr>
        <w:t>udzaniu turystyki</w:t>
      </w:r>
      <w:r w:rsidR="00D12858">
        <w:rPr>
          <w:noProof/>
          <w:color w:val="000000" w:themeColor="text1"/>
        </w:rPr>
        <w:t>. W szc</w:t>
      </w:r>
      <w:r>
        <w:rPr>
          <w:noProof/>
          <w:color w:val="000000" w:themeColor="text1"/>
        </w:rPr>
        <w:t>zególności agroturystyka może zapewnić rolnikom dodatkowy dochód.</w:t>
      </w:r>
    </w:p>
    <w:p w14:paraId="29B92F36" w14:textId="662249FB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b/>
          <w:noProof/>
          <w:color w:val="000000" w:themeColor="text1"/>
        </w:rPr>
        <w:t>Należy dalej wzmacniać synergie</w:t>
      </w:r>
      <w:r w:rsidR="00D12858">
        <w:rPr>
          <w:b/>
          <w:noProof/>
          <w:color w:val="000000" w:themeColor="text1"/>
        </w:rPr>
        <w:t xml:space="preserve"> i kom</w:t>
      </w:r>
      <w:r>
        <w:rPr>
          <w:b/>
          <w:noProof/>
          <w:color w:val="000000" w:themeColor="text1"/>
        </w:rPr>
        <w:t>plementarność, aby zapewnić skuteczne wsparcie</w:t>
      </w:r>
      <w:r w:rsidR="00D12858">
        <w:rPr>
          <w:b/>
          <w:noProof/>
          <w:color w:val="000000" w:themeColor="text1"/>
        </w:rPr>
        <w:t xml:space="preserve"> i wym</w:t>
      </w:r>
      <w:r>
        <w:rPr>
          <w:b/>
          <w:noProof/>
          <w:color w:val="000000" w:themeColor="text1"/>
        </w:rPr>
        <w:t>ierne wyniki na obszarach wiejskich.</w:t>
      </w:r>
      <w:r>
        <w:rPr>
          <w:noProof/>
          <w:color w:val="000000" w:themeColor="text1"/>
        </w:rPr>
        <w:t xml:space="preserve"> Ściślejsza koordynacja instrumentów finansowania</w:t>
      </w:r>
      <w:r w:rsidR="00D12858">
        <w:rPr>
          <w:noProof/>
          <w:color w:val="000000" w:themeColor="text1"/>
        </w:rPr>
        <w:t xml:space="preserve"> z pol</w:t>
      </w:r>
      <w:r>
        <w:rPr>
          <w:noProof/>
          <w:color w:val="000000" w:themeColor="text1"/>
        </w:rPr>
        <w:t>ityką sektorową może pobudzić rozwój obszarów wiejskich dzięki integracji planowania</w:t>
      </w:r>
      <w:r w:rsidR="00D12858">
        <w:rPr>
          <w:noProof/>
          <w:color w:val="000000" w:themeColor="text1"/>
        </w:rPr>
        <w:t xml:space="preserve"> i wdr</w:t>
      </w:r>
      <w:r>
        <w:rPr>
          <w:noProof/>
          <w:color w:val="000000" w:themeColor="text1"/>
        </w:rPr>
        <w:t xml:space="preserve">ażania. </w:t>
      </w:r>
    </w:p>
    <w:p w14:paraId="11CD2E06" w14:textId="4AB7B6B1" w:rsidR="008B6EFA" w:rsidRDefault="00BF5473" w:rsidP="008B6EF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 w:themeColor="text1"/>
        </w:rPr>
        <w:t>W 20</w:t>
      </w:r>
      <w:r w:rsidRPr="00D12858">
        <w:rPr>
          <w:noProof/>
          <w:color w:val="000000" w:themeColor="text1"/>
        </w:rPr>
        <w:t>25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r.</w:t>
      </w:r>
      <w:r>
        <w:rPr>
          <w:noProof/>
          <w:color w:val="000000" w:themeColor="text1"/>
        </w:rPr>
        <w:t xml:space="preserve"> Komisja zainicjuje </w:t>
      </w:r>
      <w:r>
        <w:rPr>
          <w:b/>
          <w:noProof/>
          <w:color w:val="000000" w:themeColor="text1"/>
        </w:rPr>
        <w:t>zaktualizowany plan działania UE na rzecz obszarów wiejskich</w:t>
      </w:r>
      <w:r>
        <w:rPr>
          <w:noProof/>
          <w:color w:val="000000" w:themeColor="text1"/>
        </w:rPr>
        <w:t>, który zostanie skonsolidowany</w:t>
      </w:r>
      <w:r w:rsidR="00D12858">
        <w:rPr>
          <w:noProof/>
          <w:color w:val="000000" w:themeColor="text1"/>
        </w:rPr>
        <w:t xml:space="preserve"> z pro</w:t>
      </w:r>
      <w:r>
        <w:rPr>
          <w:noProof/>
          <w:color w:val="000000" w:themeColor="text1"/>
        </w:rPr>
        <w:t>jektami, inicjatywami</w:t>
      </w:r>
      <w:r w:rsidR="00D12858">
        <w:rPr>
          <w:noProof/>
          <w:color w:val="000000" w:themeColor="text1"/>
        </w:rPr>
        <w:t xml:space="preserve"> i dzi</w:t>
      </w:r>
      <w:r>
        <w:rPr>
          <w:noProof/>
          <w:color w:val="000000" w:themeColor="text1"/>
        </w:rPr>
        <w:t>ałaniami</w:t>
      </w:r>
      <w:r w:rsidR="00D12858">
        <w:rPr>
          <w:noProof/>
          <w:color w:val="000000" w:themeColor="text1"/>
        </w:rPr>
        <w:t xml:space="preserve"> w ram</w:t>
      </w:r>
      <w:r>
        <w:rPr>
          <w:noProof/>
          <w:color w:val="000000" w:themeColor="text1"/>
        </w:rPr>
        <w:t>ach wielu strategii UE</w:t>
      </w:r>
      <w:r w:rsidR="00D12858">
        <w:rPr>
          <w:noProof/>
          <w:color w:val="000000" w:themeColor="text1"/>
        </w:rPr>
        <w:t xml:space="preserve"> w odp</w:t>
      </w:r>
      <w:r>
        <w:rPr>
          <w:noProof/>
          <w:color w:val="000000" w:themeColor="text1"/>
        </w:rPr>
        <w:t xml:space="preserve">owiedzi na nowe priorytety polityki europejskiej na okres </w:t>
      </w:r>
      <w:r w:rsidRPr="00D12858">
        <w:rPr>
          <w:noProof/>
          <w:color w:val="000000" w:themeColor="text1"/>
        </w:rPr>
        <w:t>po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2</w:t>
      </w:r>
      <w:r>
        <w:rPr>
          <w:noProof/>
          <w:color w:val="000000" w:themeColor="text1"/>
        </w:rPr>
        <w:t>0</w:t>
      </w:r>
      <w:r w:rsidRPr="00D12858">
        <w:rPr>
          <w:noProof/>
          <w:color w:val="000000" w:themeColor="text1"/>
        </w:rPr>
        <w:t>27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r.</w:t>
      </w:r>
      <w:r>
        <w:rPr>
          <w:noProof/>
          <w:color w:val="000000" w:themeColor="text1"/>
        </w:rPr>
        <w:t xml:space="preserve"> </w:t>
      </w:r>
      <w:r>
        <w:rPr>
          <w:b/>
          <w:noProof/>
          <w:color w:val="000000" w:themeColor="text1"/>
        </w:rPr>
        <w:t>Zasada weryfikacji wpływu polityki na rozwój obszarów wiejskich</w:t>
      </w:r>
      <w:r>
        <w:rPr>
          <w:noProof/>
          <w:color w:val="000000" w:themeColor="text1"/>
        </w:rPr>
        <w:t>,</w:t>
      </w:r>
      <w:r w:rsidR="00D12858">
        <w:rPr>
          <w:noProof/>
          <w:color w:val="000000" w:themeColor="text1"/>
        </w:rPr>
        <w:t xml:space="preserve"> w tym</w:t>
      </w:r>
      <w:r>
        <w:rPr>
          <w:noProof/>
          <w:color w:val="000000" w:themeColor="text1"/>
        </w:rPr>
        <w:t xml:space="preserve"> ocena oddziaływania terytorialnego, będzie nadal wdrażana i na szczeblu UE przewidziane na to zostaną wystarczające zasoby. Ponadto </w:t>
      </w:r>
      <w:r>
        <w:rPr>
          <w:b/>
          <w:noProof/>
          <w:color w:val="000000" w:themeColor="text1"/>
        </w:rPr>
        <w:t>pakt na rzecz obszarów wiejskich</w:t>
      </w:r>
      <w:r w:rsidR="00340A99">
        <w:rPr>
          <w:rStyle w:val="FootnoteReference"/>
          <w:b/>
          <w:bCs/>
          <w:noProof/>
          <w:color w:val="000000" w:themeColor="text1"/>
        </w:rPr>
        <w:footnoteReference w:id="36"/>
      </w:r>
      <w:r>
        <w:rPr>
          <w:noProof/>
          <w:color w:val="000000" w:themeColor="text1"/>
        </w:rPr>
        <w:t>, zainicjowany</w:t>
      </w:r>
      <w:r w:rsidR="00D12858">
        <w:rPr>
          <w:noProof/>
          <w:color w:val="000000" w:themeColor="text1"/>
        </w:rPr>
        <w:t xml:space="preserve"> w 2</w:t>
      </w:r>
      <w:r>
        <w:rPr>
          <w:noProof/>
          <w:color w:val="000000" w:themeColor="text1"/>
        </w:rPr>
        <w:t>0</w:t>
      </w:r>
      <w:r w:rsidRPr="00D12858">
        <w:rPr>
          <w:noProof/>
          <w:color w:val="000000" w:themeColor="text1"/>
        </w:rPr>
        <w:t>21</w:t>
      </w:r>
      <w:r w:rsidR="00D12858" w:rsidRPr="00D12858">
        <w:rPr>
          <w:noProof/>
          <w:color w:val="000000" w:themeColor="text1"/>
        </w:rPr>
        <w:t> </w:t>
      </w:r>
      <w:r w:rsidRPr="00D12858">
        <w:rPr>
          <w:noProof/>
          <w:color w:val="000000" w:themeColor="text1"/>
        </w:rPr>
        <w:t>r.</w:t>
      </w:r>
      <w:r>
        <w:rPr>
          <w:noProof/>
          <w:color w:val="000000" w:themeColor="text1"/>
        </w:rPr>
        <w:t>, aby stworzyć ramy współpracy</w:t>
      </w:r>
      <w:r w:rsidR="00D12858">
        <w:rPr>
          <w:noProof/>
          <w:color w:val="000000" w:themeColor="text1"/>
        </w:rPr>
        <w:t xml:space="preserve"> z zai</w:t>
      </w:r>
      <w:r>
        <w:rPr>
          <w:noProof/>
          <w:color w:val="000000" w:themeColor="text1"/>
        </w:rPr>
        <w:t>nteresowanymi stronami, zostanie dodatkowo wzmocniony jako instrument dialogu</w:t>
      </w:r>
      <w:r w:rsidR="00D12858">
        <w:rPr>
          <w:noProof/>
          <w:color w:val="000000" w:themeColor="text1"/>
        </w:rPr>
        <w:t xml:space="preserve"> i zaa</w:t>
      </w:r>
      <w:r>
        <w:rPr>
          <w:noProof/>
          <w:color w:val="000000" w:themeColor="text1"/>
        </w:rPr>
        <w:t>ngażowania społeczeństwa obywatelskiego</w:t>
      </w:r>
      <w:r w:rsidR="00D12858">
        <w:rPr>
          <w:noProof/>
          <w:color w:val="000000" w:themeColor="text1"/>
        </w:rPr>
        <w:t xml:space="preserve"> i spo</w:t>
      </w:r>
      <w:r>
        <w:rPr>
          <w:noProof/>
          <w:color w:val="000000" w:themeColor="text1"/>
        </w:rPr>
        <w:t>łeczności wiejskich – zarówno do wspierania wdrażania, jak i do debat</w:t>
      </w:r>
      <w:r w:rsidR="00D12858">
        <w:rPr>
          <w:noProof/>
          <w:color w:val="000000" w:themeColor="text1"/>
        </w:rPr>
        <w:t xml:space="preserve"> o str</w:t>
      </w:r>
      <w:r>
        <w:rPr>
          <w:noProof/>
          <w:color w:val="000000" w:themeColor="text1"/>
        </w:rPr>
        <w:t xml:space="preserve">ategii. Komisja będzie się również starać </w:t>
      </w:r>
      <w:r>
        <w:rPr>
          <w:b/>
          <w:noProof/>
          <w:color w:val="000000" w:themeColor="text1"/>
        </w:rPr>
        <w:t>rozwiązać problem celowego szerzenia dezinformacji</w:t>
      </w:r>
      <w:r>
        <w:rPr>
          <w:noProof/>
          <w:color w:val="000000" w:themeColor="text1"/>
        </w:rPr>
        <w:t xml:space="preserve"> na obszarach wiejskich.</w:t>
      </w:r>
    </w:p>
    <w:p w14:paraId="15711285" w14:textId="02B429B9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/>
        </w:rPr>
        <w:t>Oprócz tego znaczne możliwości dla gospodarki obszarów wiejskich niesie gospodarka</w:t>
      </w:r>
      <w:r w:rsidR="00D12858">
        <w:rPr>
          <w:noProof/>
          <w:color w:val="000000"/>
        </w:rPr>
        <w:t xml:space="preserve"> o obi</w:t>
      </w:r>
      <w:r>
        <w:rPr>
          <w:noProof/>
          <w:color w:val="000000"/>
        </w:rPr>
        <w:t>egu zamkniętym,</w:t>
      </w:r>
      <w:r w:rsidR="00D12858">
        <w:rPr>
          <w:noProof/>
          <w:color w:val="000000"/>
        </w:rPr>
        <w:t xml:space="preserve"> w szc</w:t>
      </w:r>
      <w:r>
        <w:rPr>
          <w:noProof/>
          <w:color w:val="000000"/>
        </w:rPr>
        <w:t>zególności</w:t>
      </w:r>
      <w:r w:rsidR="00D12858">
        <w:rPr>
          <w:noProof/>
          <w:color w:val="000000"/>
        </w:rPr>
        <w:t xml:space="preserve"> w bio</w:t>
      </w:r>
      <w:r>
        <w:rPr>
          <w:noProof/>
          <w:color w:val="000000"/>
        </w:rPr>
        <w:t>gospodarce</w:t>
      </w:r>
      <w:r w:rsidR="00D12858">
        <w:rPr>
          <w:noProof/>
          <w:color w:val="000000"/>
        </w:rPr>
        <w:t>. W dłu</w:t>
      </w:r>
      <w:r>
        <w:rPr>
          <w:noProof/>
          <w:color w:val="000000"/>
        </w:rPr>
        <w:t>goterminowej wizji dla obszarów wiejskich</w:t>
      </w:r>
      <w:r w:rsidR="00D106CA">
        <w:rPr>
          <w:rStyle w:val="FootnoteReference"/>
          <w:noProof/>
          <w:color w:val="000000"/>
        </w:rPr>
        <w:footnoteReference w:id="37"/>
      </w:r>
      <w:r>
        <w:rPr>
          <w:noProof/>
          <w:color w:val="000000"/>
        </w:rPr>
        <w:t xml:space="preserve"> Komisja oszacowała, że dalszy rozwój biogospodarki doprowadzi do stworzenia 400 000 nowych miejsc pracy wymagających wysokich kwalifikacji </w:t>
      </w:r>
      <w:r w:rsidRPr="00D12858">
        <w:rPr>
          <w:noProof/>
          <w:color w:val="000000"/>
        </w:rPr>
        <w:t>do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35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i </w:t>
      </w:r>
      <w:r w:rsidRPr="00D12858">
        <w:rPr>
          <w:noProof/>
          <w:color w:val="000000"/>
        </w:rPr>
        <w:t>do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7</w:t>
      </w:r>
      <w:r>
        <w:rPr>
          <w:noProof/>
          <w:color w:val="000000"/>
        </w:rPr>
        <w:t xml:space="preserve">00 000 miejsc pracy </w:t>
      </w:r>
      <w:r w:rsidRPr="00D12858">
        <w:rPr>
          <w:noProof/>
          <w:color w:val="000000"/>
        </w:rPr>
        <w:t>do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50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>, głównie na obszarach wiejskich.</w:t>
      </w:r>
    </w:p>
    <w:p w14:paraId="2DE03276" w14:textId="37840646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 w:themeColor="text1"/>
        </w:rPr>
        <w:t xml:space="preserve">Nadal rozwijane będą partycypacyjne narzędzia rozwoju lokalnego, takie jak </w:t>
      </w:r>
      <w:r>
        <w:rPr>
          <w:b/>
          <w:noProof/>
          <w:color w:val="000000" w:themeColor="text1"/>
        </w:rPr>
        <w:t>LEADER/rozwój lokalny kierowany przez społeczność</w:t>
      </w:r>
      <w:r w:rsidR="00D12858">
        <w:rPr>
          <w:b/>
          <w:noProof/>
          <w:color w:val="000000" w:themeColor="text1"/>
        </w:rPr>
        <w:t xml:space="preserve"> i inn</w:t>
      </w:r>
      <w:r>
        <w:rPr>
          <w:b/>
          <w:noProof/>
          <w:color w:val="000000" w:themeColor="text1"/>
        </w:rPr>
        <w:t>e formy współpracy, takie jak inteligentne wsie</w:t>
      </w:r>
      <w:r>
        <w:rPr>
          <w:noProof/>
          <w:color w:val="000000" w:themeColor="text1"/>
        </w:rPr>
        <w:t xml:space="preserve">, które okazały się skuteczne. Koncepcja </w:t>
      </w:r>
      <w:r>
        <w:rPr>
          <w:b/>
          <w:noProof/>
          <w:color w:val="000000" w:themeColor="text1"/>
        </w:rPr>
        <w:t>funkcjonalnych obszarów wiejskich</w:t>
      </w:r>
      <w:r>
        <w:rPr>
          <w:noProof/>
          <w:color w:val="000000" w:themeColor="text1"/>
        </w:rPr>
        <w:t xml:space="preserve"> będzie dalej rozwijana, aby wyeliminować luki</w:t>
      </w:r>
      <w:r w:rsidR="00D12858">
        <w:rPr>
          <w:noProof/>
          <w:color w:val="000000" w:themeColor="text1"/>
        </w:rPr>
        <w:t xml:space="preserve"> w dos</w:t>
      </w:r>
      <w:r>
        <w:rPr>
          <w:noProof/>
          <w:color w:val="000000" w:themeColor="text1"/>
        </w:rPr>
        <w:t>tępności</w:t>
      </w:r>
      <w:r w:rsidR="00D12858">
        <w:rPr>
          <w:noProof/>
          <w:color w:val="000000" w:themeColor="text1"/>
        </w:rPr>
        <w:t xml:space="preserve"> i prz</w:t>
      </w:r>
      <w:r>
        <w:rPr>
          <w:noProof/>
          <w:color w:val="000000" w:themeColor="text1"/>
        </w:rPr>
        <w:t>ystępności cenowej usług dla obywateli obszarów wiejskich, zgodnie ze zobowiązaniem Komisji do zajęcia się potrzebą skutecznego „prawa do pozostania” dla wszystkich obywateli europejskich. Dotyczy to wszystkich obszarów wiejskich,</w:t>
      </w:r>
      <w:r w:rsidR="00D12858">
        <w:rPr>
          <w:noProof/>
          <w:color w:val="000000" w:themeColor="text1"/>
        </w:rPr>
        <w:t xml:space="preserve"> a szc</w:t>
      </w:r>
      <w:r>
        <w:rPr>
          <w:noProof/>
          <w:color w:val="000000" w:themeColor="text1"/>
        </w:rPr>
        <w:t>zególnie obszarów oddalonych</w:t>
      </w:r>
      <w:r w:rsidR="00D12858">
        <w:rPr>
          <w:noProof/>
          <w:color w:val="000000" w:themeColor="text1"/>
        </w:rPr>
        <w:t xml:space="preserve"> i tyc</w:t>
      </w:r>
      <w:r>
        <w:rPr>
          <w:noProof/>
          <w:color w:val="000000" w:themeColor="text1"/>
        </w:rPr>
        <w:t>h, które nie mają bezpośredniego dostępu do usług oferowanych przez miasta. Małe</w:t>
      </w:r>
      <w:r w:rsidR="00D12858">
        <w:rPr>
          <w:noProof/>
          <w:color w:val="000000" w:themeColor="text1"/>
        </w:rPr>
        <w:t xml:space="preserve"> i śre</w:t>
      </w:r>
      <w:r>
        <w:rPr>
          <w:noProof/>
          <w:color w:val="000000" w:themeColor="text1"/>
        </w:rPr>
        <w:t>dnie miasta odgrywają ważną rolę</w:t>
      </w:r>
      <w:r w:rsidR="00D12858">
        <w:rPr>
          <w:noProof/>
          <w:color w:val="000000" w:themeColor="text1"/>
        </w:rPr>
        <w:t xml:space="preserve"> w zap</w:t>
      </w:r>
      <w:r>
        <w:rPr>
          <w:noProof/>
          <w:color w:val="000000" w:themeColor="text1"/>
        </w:rPr>
        <w:t>ewnianiu dostępu do usług</w:t>
      </w:r>
      <w:r w:rsidR="00D12858">
        <w:rPr>
          <w:noProof/>
          <w:color w:val="000000" w:themeColor="text1"/>
        </w:rPr>
        <w:t xml:space="preserve"> i inf</w:t>
      </w:r>
      <w:r>
        <w:rPr>
          <w:noProof/>
          <w:color w:val="000000" w:themeColor="text1"/>
        </w:rPr>
        <w:t xml:space="preserve">rastruktury. </w:t>
      </w:r>
    </w:p>
    <w:p w14:paraId="0CFCB0E9" w14:textId="4AA85D77" w:rsidR="00EF513A" w:rsidRDefault="00BF5473">
      <w:pPr>
        <w:spacing w:after="0"/>
        <w:rPr>
          <w:noProof/>
        </w:rPr>
      </w:pPr>
      <w:r>
        <w:rPr>
          <w:noProof/>
        </w:rPr>
        <w:t xml:space="preserve">Specyfika </w:t>
      </w:r>
      <w:r>
        <w:rPr>
          <w:b/>
          <w:noProof/>
        </w:rPr>
        <w:t>regionów najbardziej oddalonych</w:t>
      </w:r>
      <w:r>
        <w:rPr>
          <w:noProof/>
        </w:rPr>
        <w:t xml:space="preserve"> wymaga szczególnego</w:t>
      </w:r>
      <w:r w:rsidR="00D12858">
        <w:rPr>
          <w:noProof/>
        </w:rPr>
        <w:t xml:space="preserve"> i uki</w:t>
      </w:r>
      <w:r>
        <w:rPr>
          <w:noProof/>
        </w:rPr>
        <w:t>erunkowanego wsparcia. Komisja docenia przydatność programu POSEI do wspierania rolników</w:t>
      </w:r>
      <w:r w:rsidR="00D12858">
        <w:rPr>
          <w:noProof/>
        </w:rPr>
        <w:t xml:space="preserve"> w reg</w:t>
      </w:r>
      <w:r>
        <w:rPr>
          <w:noProof/>
        </w:rPr>
        <w:t>ionach najbardziej oddalonych</w:t>
      </w:r>
      <w:r w:rsidRPr="00D12858">
        <w:rPr>
          <w:noProof/>
        </w:rPr>
        <w:t>.</w:t>
      </w:r>
      <w:r w:rsidR="00D12858" w:rsidRPr="00D12858">
        <w:rPr>
          <w:noProof/>
        </w:rPr>
        <w:t xml:space="preserve"> </w:t>
      </w:r>
      <w:r w:rsidRPr="00D12858">
        <w:rPr>
          <w:noProof/>
        </w:rPr>
        <w:t>W</w:t>
      </w:r>
      <w:r>
        <w:rPr>
          <w:noProof/>
        </w:rPr>
        <w:t>yniki trwającej oceny zostaną uwzględnione</w:t>
      </w:r>
      <w:r w:rsidR="00D12858">
        <w:rPr>
          <w:noProof/>
        </w:rPr>
        <w:t xml:space="preserve"> w ref</w:t>
      </w:r>
      <w:r>
        <w:rPr>
          <w:noProof/>
        </w:rPr>
        <w:t>leksji nad tym,</w:t>
      </w:r>
      <w:r w:rsidR="00D12858">
        <w:rPr>
          <w:noProof/>
        </w:rPr>
        <w:t xml:space="preserve"> w jak</w:t>
      </w:r>
      <w:r>
        <w:rPr>
          <w:noProof/>
        </w:rPr>
        <w:t>i sposób POSEI może zagwarantować długoterminową przyszłość sektora rolnego</w:t>
      </w:r>
      <w:r w:rsidR="00D12858">
        <w:rPr>
          <w:noProof/>
        </w:rPr>
        <w:t xml:space="preserve"> w reg</w:t>
      </w:r>
      <w:r>
        <w:rPr>
          <w:noProof/>
        </w:rPr>
        <w:t>ionach najbardziej oddalonych, przyczyniając się</w:t>
      </w:r>
      <w:r w:rsidR="00D12858">
        <w:rPr>
          <w:noProof/>
        </w:rPr>
        <w:t xml:space="preserve"> w wię</w:t>
      </w:r>
      <w:r>
        <w:rPr>
          <w:noProof/>
        </w:rPr>
        <w:t>kszym stopniu do ich bezpieczeństwa żywnościowego</w:t>
      </w:r>
      <w:r w:rsidR="00D12858">
        <w:rPr>
          <w:noProof/>
        </w:rPr>
        <w:t xml:space="preserve"> i suw</w:t>
      </w:r>
      <w:r>
        <w:rPr>
          <w:noProof/>
        </w:rPr>
        <w:t>erenności żywnościowej, konkurencyjności</w:t>
      </w:r>
      <w:r w:rsidR="00D12858">
        <w:rPr>
          <w:noProof/>
        </w:rPr>
        <w:t xml:space="preserve"> i odp</w:t>
      </w:r>
      <w:r>
        <w:rPr>
          <w:noProof/>
        </w:rPr>
        <w:t>orności.</w:t>
      </w:r>
    </w:p>
    <w:p w14:paraId="551B9E87" w14:textId="77777777" w:rsidR="00EF513A" w:rsidRDefault="00EF513A">
      <w:pPr>
        <w:spacing w:after="0"/>
        <w:rPr>
          <w:noProof/>
        </w:rPr>
      </w:pPr>
    </w:p>
    <w:p w14:paraId="7AC19C44" w14:textId="41D2A1A0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Aby przyciągnąć więcej kobiet do rolnictwa</w:t>
      </w:r>
      <w:r w:rsidR="00D12858">
        <w:rPr>
          <w:noProof/>
          <w:color w:val="000000"/>
        </w:rPr>
        <w:t xml:space="preserve"> i umo</w:t>
      </w:r>
      <w:r>
        <w:rPr>
          <w:noProof/>
          <w:color w:val="000000"/>
        </w:rPr>
        <w:t xml:space="preserve">żliwić wymianę doświadczeń, Komisja ustanowi </w:t>
      </w:r>
      <w:r>
        <w:rPr>
          <w:b/>
          <w:noProof/>
          <w:color w:val="000000"/>
        </w:rPr>
        <w:t>platformę „Kobiety</w:t>
      </w:r>
      <w:r w:rsidR="00D12858">
        <w:rPr>
          <w:b/>
          <w:noProof/>
          <w:color w:val="000000"/>
        </w:rPr>
        <w:t xml:space="preserve"> w rol</w:t>
      </w:r>
      <w:r>
        <w:rPr>
          <w:b/>
          <w:noProof/>
          <w:color w:val="000000"/>
        </w:rPr>
        <w:t>nictwie”</w:t>
      </w:r>
      <w:r>
        <w:rPr>
          <w:noProof/>
          <w:color w:val="000000"/>
        </w:rPr>
        <w:t>, która będzie promować zaangażowanie kobiet</w:t>
      </w:r>
      <w:r w:rsidR="00D12858">
        <w:rPr>
          <w:noProof/>
          <w:color w:val="000000"/>
        </w:rPr>
        <w:t xml:space="preserve"> i rów</w:t>
      </w:r>
      <w:r>
        <w:rPr>
          <w:noProof/>
          <w:color w:val="000000"/>
        </w:rPr>
        <w:t>ność szans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>torze rolnictwa</w:t>
      </w:r>
      <w:r w:rsidR="00D12858">
        <w:rPr>
          <w:noProof/>
          <w:color w:val="000000"/>
        </w:rPr>
        <w:t xml:space="preserve"> w opa</w:t>
      </w:r>
      <w:r>
        <w:rPr>
          <w:noProof/>
          <w:color w:val="000000"/>
        </w:rPr>
        <w:t>rciu</w:t>
      </w:r>
      <w:r w:rsidR="00D12858">
        <w:rPr>
          <w:noProof/>
          <w:color w:val="000000"/>
        </w:rPr>
        <w:t xml:space="preserve"> o dzi</w:t>
      </w:r>
      <w:r>
        <w:rPr>
          <w:noProof/>
          <w:color w:val="000000"/>
        </w:rPr>
        <w:t>ałania inicjowane przez członkinie platformy. Będzie ona również służyć jako forum dyskusji</w:t>
      </w:r>
      <w:r w:rsidR="00D12858">
        <w:rPr>
          <w:noProof/>
          <w:color w:val="000000"/>
        </w:rPr>
        <w:t xml:space="preserve"> i wym</w:t>
      </w:r>
      <w:r>
        <w:rPr>
          <w:noProof/>
          <w:color w:val="000000"/>
        </w:rPr>
        <w:t>iany dobrych praktyk.</w:t>
      </w:r>
    </w:p>
    <w:p w14:paraId="7094D69C" w14:textId="764FA465" w:rsidR="00ED3535" w:rsidRDefault="00ED353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noProof/>
          <w:color w:val="000000"/>
        </w:rPr>
      </w:pPr>
    </w:p>
    <w:p w14:paraId="4BCD6829" w14:textId="1CEA39F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Waloryzacja żywności: przywrócenie głębokiego związku między rolnictwem, terytorium</w:t>
      </w:r>
      <w:r w:rsidR="00D12858">
        <w:rPr>
          <w:b/>
          <w:i/>
          <w:noProof/>
          <w:color w:val="000000"/>
        </w:rPr>
        <w:t xml:space="preserve"> i żyw</w:t>
      </w:r>
      <w:r>
        <w:rPr>
          <w:b/>
          <w:i/>
          <w:noProof/>
          <w:color w:val="000000"/>
        </w:rPr>
        <w:t>nością oraz wykorzystanie potencjału innowacji</w:t>
      </w:r>
    </w:p>
    <w:p w14:paraId="2221C4DD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Quattrocento Sans" w:eastAsia="Quattrocento Sans" w:hAnsi="Quattrocento Sans" w:cs="Quattrocento Sans"/>
          <w:noProof/>
          <w:color w:val="000000"/>
        </w:rPr>
      </w:pPr>
    </w:p>
    <w:p w14:paraId="048A0F35" w14:textId="034466C4" w:rsidR="00EF513A" w:rsidRPr="00D164D6" w:rsidRDefault="00BF5473">
      <w:pPr>
        <w:rPr>
          <w:noProof/>
        </w:rPr>
      </w:pPr>
      <w:r>
        <w:rPr>
          <w:noProof/>
        </w:rPr>
        <w:t>W ostatnich dziesięcioleciach podejście konsumentów do żywności zmieniło się. Żywność jest</w:t>
      </w:r>
      <w:r w:rsidR="00D12858">
        <w:rPr>
          <w:noProof/>
        </w:rPr>
        <w:t xml:space="preserve"> w wię</w:t>
      </w:r>
      <w:r>
        <w:rPr>
          <w:noProof/>
        </w:rPr>
        <w:t>kszym stopniu przetworzona, zmieniły się nawyki żywieniowe,</w:t>
      </w:r>
      <w:r w:rsidR="00D12858">
        <w:rPr>
          <w:noProof/>
        </w:rPr>
        <w:t xml:space="preserve"> a łań</w:t>
      </w:r>
      <w:r>
        <w:rPr>
          <w:noProof/>
        </w:rPr>
        <w:t>cuchy dostaw wydłużyły się</w:t>
      </w:r>
      <w:r w:rsidR="00D12858">
        <w:rPr>
          <w:noProof/>
        </w:rPr>
        <w:t xml:space="preserve"> i sta</w:t>
      </w:r>
      <w:r>
        <w:rPr>
          <w:noProof/>
        </w:rPr>
        <w:t>ły bardziej złożone. Jednocześnie głównym problemem pozostała przystępność cenowa żywności, zwłaszcza</w:t>
      </w:r>
      <w:r w:rsidR="00D12858">
        <w:rPr>
          <w:noProof/>
        </w:rPr>
        <w:t xml:space="preserve"> w prz</w:t>
      </w:r>
      <w:r>
        <w:rPr>
          <w:noProof/>
        </w:rPr>
        <w:t>ypadku gospodarstw domowych</w:t>
      </w:r>
      <w:r w:rsidR="00D12858">
        <w:rPr>
          <w:noProof/>
        </w:rPr>
        <w:t xml:space="preserve"> o nis</w:t>
      </w:r>
      <w:r>
        <w:rPr>
          <w:noProof/>
        </w:rPr>
        <w:t>kich dochodach. Chociaż związek między rolnictwem, żywnością</w:t>
      </w:r>
      <w:r w:rsidR="00D12858">
        <w:rPr>
          <w:noProof/>
        </w:rPr>
        <w:t xml:space="preserve"> i ter</w:t>
      </w:r>
      <w:r>
        <w:rPr>
          <w:noProof/>
        </w:rPr>
        <w:t>ytorium uległ osłabieniu, zmieniające się oczekiwania społeczne</w:t>
      </w:r>
      <w:r w:rsidR="00D12858">
        <w:rPr>
          <w:noProof/>
        </w:rPr>
        <w:t xml:space="preserve"> w odn</w:t>
      </w:r>
      <w:r>
        <w:rPr>
          <w:noProof/>
        </w:rPr>
        <w:t>iesieniu do żywności stwarzają dla tego sektora nowe możliwości</w:t>
      </w:r>
      <w:r w:rsidR="00D12858">
        <w:rPr>
          <w:noProof/>
        </w:rPr>
        <w:t>.</w:t>
      </w:r>
      <w:r w:rsidR="00D12858">
        <w:rPr>
          <w:rFonts w:ascii="Aptos" w:hAnsi="Aptos"/>
          <w:noProof/>
          <w:sz w:val="22"/>
        </w:rPr>
        <w:t xml:space="preserve"> </w:t>
      </w:r>
      <w:r w:rsidR="00D12858">
        <w:rPr>
          <w:b/>
          <w:noProof/>
        </w:rPr>
        <w:t>W</w:t>
      </w:r>
      <w:r w:rsidR="00D12858">
        <w:rPr>
          <w:noProof/>
        </w:rPr>
        <w:t> </w:t>
      </w:r>
      <w:r w:rsidR="00D12858">
        <w:rPr>
          <w:b/>
          <w:noProof/>
        </w:rPr>
        <w:t>zwi</w:t>
      </w:r>
      <w:r>
        <w:rPr>
          <w:b/>
          <w:noProof/>
        </w:rPr>
        <w:t>ązku</w:t>
      </w:r>
      <w:r w:rsidR="00D12858">
        <w:rPr>
          <w:b/>
          <w:noProof/>
        </w:rPr>
        <w:t xml:space="preserve"> z tym</w:t>
      </w:r>
      <w:r>
        <w:rPr>
          <w:b/>
          <w:noProof/>
        </w:rPr>
        <w:t xml:space="preserve"> bardzo ważny jest powrót do korzeni</w:t>
      </w:r>
      <w:r w:rsidR="00D12858">
        <w:rPr>
          <w:b/>
          <w:noProof/>
        </w:rPr>
        <w:t xml:space="preserve"> i prz</w:t>
      </w:r>
      <w:r>
        <w:rPr>
          <w:b/>
          <w:noProof/>
        </w:rPr>
        <w:t>ywrócenie związku między żywnością, terytorium, sezonowością, kulturami</w:t>
      </w:r>
      <w:r w:rsidR="00D12858">
        <w:rPr>
          <w:b/>
          <w:noProof/>
        </w:rPr>
        <w:t xml:space="preserve"> i lok</w:t>
      </w:r>
      <w:r>
        <w:rPr>
          <w:b/>
          <w:noProof/>
        </w:rPr>
        <w:t>alnymi tradycjami.</w:t>
      </w:r>
    </w:p>
    <w:p w14:paraId="3F760B38" w14:textId="3A9537FF" w:rsidR="00EF513A" w:rsidRDefault="00BF5473">
      <w:pPr>
        <w:rPr>
          <w:noProof/>
        </w:rPr>
      </w:pPr>
      <w:r>
        <w:rPr>
          <w:noProof/>
        </w:rPr>
        <w:t>Konsumenci mają do odegrania ważną rolę</w:t>
      </w:r>
      <w:r w:rsidR="00D12858">
        <w:rPr>
          <w:noProof/>
        </w:rPr>
        <w:t xml:space="preserve"> w tyc</w:t>
      </w:r>
      <w:r>
        <w:rPr>
          <w:noProof/>
        </w:rPr>
        <w:t>h przemianach. Rolnicy</w:t>
      </w:r>
      <w:r w:rsidR="00D12858">
        <w:rPr>
          <w:noProof/>
        </w:rPr>
        <w:t xml:space="preserve"> i ryb</w:t>
      </w:r>
      <w:r>
        <w:rPr>
          <w:noProof/>
        </w:rPr>
        <w:t>acy są pod presją, aby poprawić swoją efektywność środowiskową, podczas gdy rynki nie nagradzają już poczynionych postępów</w:t>
      </w:r>
      <w:r w:rsidR="00D12858">
        <w:rPr>
          <w:noProof/>
        </w:rPr>
        <w:t xml:space="preserve"> i nie</w:t>
      </w:r>
      <w:r>
        <w:rPr>
          <w:noProof/>
        </w:rPr>
        <w:t xml:space="preserve"> zachęcają do dalszych praktyk</w:t>
      </w:r>
      <w:r w:rsidR="00D12858">
        <w:rPr>
          <w:noProof/>
        </w:rPr>
        <w:t xml:space="preserve"> w zak</w:t>
      </w:r>
      <w:r>
        <w:rPr>
          <w:noProof/>
        </w:rPr>
        <w:t>resie zrównoważonego rozwoju.</w:t>
      </w:r>
    </w:p>
    <w:p w14:paraId="2D9BAC98" w14:textId="607810D5" w:rsidR="00671730" w:rsidRDefault="00671730">
      <w:pPr>
        <w:rPr>
          <w:noProof/>
        </w:rPr>
      </w:pPr>
      <w:r>
        <w:rPr>
          <w:noProof/>
        </w:rPr>
        <w:t xml:space="preserve">Aby dokonywać świadomych wyborów, </w:t>
      </w:r>
      <w:r>
        <w:rPr>
          <w:b/>
          <w:noProof/>
        </w:rPr>
        <w:t>konsumenci potrzebują dostępu do wiarygodnych informacji</w:t>
      </w:r>
      <w:r>
        <w:rPr>
          <w:noProof/>
        </w:rPr>
        <w:t>. Komisja będzie nadal egzekwować unijne przepisy dotyczące ochrony konsumentów, aby zapobiegać nieuczciwym praktykom handlowym. Zwalczanie wprowadzających</w:t>
      </w:r>
      <w:r w:rsidR="00D12858">
        <w:rPr>
          <w:noProof/>
        </w:rPr>
        <w:t xml:space="preserve"> w błą</w:t>
      </w:r>
      <w:r>
        <w:rPr>
          <w:noProof/>
        </w:rPr>
        <w:t>d oświadczeń środowiskowych</w:t>
      </w:r>
      <w:r w:rsidR="00D12858">
        <w:rPr>
          <w:noProof/>
        </w:rPr>
        <w:t xml:space="preserve"> i nie</w:t>
      </w:r>
      <w:r>
        <w:rPr>
          <w:noProof/>
        </w:rPr>
        <w:t>wiarygodnych oznakowań dotyczących zrównoważonego charakteru jest warunkiem wstępnym wyposażenia konsumentów</w:t>
      </w:r>
      <w:r w:rsidR="00D12858">
        <w:rPr>
          <w:noProof/>
        </w:rPr>
        <w:t xml:space="preserve"> w inf</w:t>
      </w:r>
      <w:r>
        <w:rPr>
          <w:noProof/>
        </w:rPr>
        <w:t xml:space="preserve">ormacje potrzebne do dokonywania zrównoważonych wyborów. </w:t>
      </w:r>
    </w:p>
    <w:p w14:paraId="2E992834" w14:textId="0A18C289" w:rsidR="00EF513A" w:rsidRDefault="00BF5473">
      <w:pPr>
        <w:rPr>
          <w:noProof/>
        </w:rPr>
      </w:pPr>
      <w:r>
        <w:rPr>
          <w:b/>
          <w:noProof/>
        </w:rPr>
        <w:t>Żywność jest kluczowym elementem wszelkich dyskusji na temat przyszłości rolnictwa</w:t>
      </w:r>
      <w:r w:rsidR="00D12858">
        <w:rPr>
          <w:b/>
          <w:noProof/>
        </w:rPr>
        <w:t xml:space="preserve"> i pro</w:t>
      </w:r>
      <w:r>
        <w:rPr>
          <w:b/>
          <w:noProof/>
        </w:rPr>
        <w:t>dukcji</w:t>
      </w:r>
      <w:r>
        <w:rPr>
          <w:noProof/>
        </w:rPr>
        <w:t xml:space="preserve"> żywności</w:t>
      </w:r>
      <w:r w:rsidR="00D12858">
        <w:rPr>
          <w:noProof/>
        </w:rPr>
        <w:t xml:space="preserve"> w Eur</w:t>
      </w:r>
      <w:r>
        <w:rPr>
          <w:noProof/>
        </w:rPr>
        <w:t>opie. Jak pokazuje doświadczenie, jest to jednocześnie drażliwa kwestia, gdyż</w:t>
      </w:r>
      <w:r w:rsidR="00D12858">
        <w:rPr>
          <w:noProof/>
        </w:rPr>
        <w:t xml:space="preserve"> w grę</w:t>
      </w:r>
      <w:r>
        <w:rPr>
          <w:noProof/>
        </w:rPr>
        <w:t xml:space="preserve"> wchodzą tradycje społeczne</w:t>
      </w:r>
      <w:r w:rsidR="00D12858">
        <w:rPr>
          <w:noProof/>
        </w:rPr>
        <w:t xml:space="preserve"> i kul</w:t>
      </w:r>
      <w:r>
        <w:rPr>
          <w:noProof/>
        </w:rPr>
        <w:t>turowe</w:t>
      </w:r>
      <w:r w:rsidR="00D12858">
        <w:rPr>
          <w:noProof/>
        </w:rPr>
        <w:t>. W nin</w:t>
      </w:r>
      <w:r>
        <w:rPr>
          <w:noProof/>
        </w:rPr>
        <w:t>iejszym rozdziale określono obszary,</w:t>
      </w:r>
      <w:r w:rsidR="00D12858">
        <w:rPr>
          <w:noProof/>
        </w:rPr>
        <w:t xml:space="preserve"> w któ</w:t>
      </w:r>
      <w:r>
        <w:rPr>
          <w:noProof/>
        </w:rPr>
        <w:t xml:space="preserve">rych działania </w:t>
      </w:r>
      <w:r>
        <w:rPr>
          <w:b/>
          <w:noProof/>
        </w:rPr>
        <w:t>Unii mogą przynieść wartość dodaną</w:t>
      </w:r>
      <w:r>
        <w:rPr>
          <w:noProof/>
        </w:rPr>
        <w:t>, bez naruszania krajowych</w:t>
      </w:r>
      <w:r w:rsidR="00D12858">
        <w:rPr>
          <w:noProof/>
        </w:rPr>
        <w:t xml:space="preserve"> i reg</w:t>
      </w:r>
      <w:r>
        <w:rPr>
          <w:noProof/>
        </w:rPr>
        <w:t>ionalnych kompetencji</w:t>
      </w:r>
      <w:r w:rsidR="00D12858">
        <w:rPr>
          <w:noProof/>
        </w:rPr>
        <w:t xml:space="preserve"> w zak</w:t>
      </w:r>
      <w:r>
        <w:rPr>
          <w:noProof/>
        </w:rPr>
        <w:t>resie polityki zdrowotnej</w:t>
      </w:r>
      <w:r w:rsidR="00D12858">
        <w:rPr>
          <w:noProof/>
        </w:rPr>
        <w:t xml:space="preserve"> i swo</w:t>
      </w:r>
      <w:r>
        <w:rPr>
          <w:noProof/>
        </w:rPr>
        <w:t>body wyboru.</w:t>
      </w:r>
    </w:p>
    <w:p w14:paraId="4CAEB107" w14:textId="0F1AAA4C" w:rsidR="00EF513A" w:rsidRDefault="00BF5473">
      <w:pPr>
        <w:rPr>
          <w:noProof/>
        </w:rPr>
      </w:pPr>
      <w:r>
        <w:rPr>
          <w:b/>
          <w:noProof/>
        </w:rPr>
        <w:t>Samorządy terytorialne</w:t>
      </w:r>
      <w:r>
        <w:rPr>
          <w:noProof/>
        </w:rPr>
        <w:t xml:space="preserve"> są często dobrze przygotowane do kierowania zaangażowaniem</w:t>
      </w:r>
      <w:r w:rsidR="00D12858">
        <w:rPr>
          <w:noProof/>
        </w:rPr>
        <w:t xml:space="preserve"> w ksz</w:t>
      </w:r>
      <w:r>
        <w:rPr>
          <w:noProof/>
        </w:rPr>
        <w:t>tałtowanie korzystnego środowiska żywnościowego za pośrednictwem inicjatyw kierowanych przez społeczność,</w:t>
      </w:r>
      <w:r w:rsidR="00D12858">
        <w:rPr>
          <w:noProof/>
        </w:rPr>
        <w:t xml:space="preserve"> w tym</w:t>
      </w:r>
      <w:r>
        <w:rPr>
          <w:noProof/>
        </w:rPr>
        <w:t xml:space="preserve"> rad ds. żywności, które wspierają dialog na temat sposobów zwiększenia przystępności cenowej</w:t>
      </w:r>
      <w:r w:rsidR="00D12858">
        <w:rPr>
          <w:noProof/>
        </w:rPr>
        <w:t xml:space="preserve"> i dos</w:t>
      </w:r>
      <w:r>
        <w:rPr>
          <w:noProof/>
        </w:rPr>
        <w:t>tępności zdrowej żywności wysokiej jakości. Komisja będzie promować takie inicjatywy na szczeblu krajowym</w:t>
      </w:r>
      <w:r w:rsidR="00D12858">
        <w:rPr>
          <w:noProof/>
        </w:rPr>
        <w:t xml:space="preserve"> i reg</w:t>
      </w:r>
      <w:r>
        <w:rPr>
          <w:noProof/>
        </w:rPr>
        <w:t>ionalnym/lokalnym oraz ułatwiać dalszą wymianę dobrych praktyk między państwami członkowskimi. Jednym</w:t>
      </w:r>
      <w:r w:rsidR="00D12858">
        <w:rPr>
          <w:noProof/>
        </w:rPr>
        <w:t xml:space="preserve"> z asp</w:t>
      </w:r>
      <w:r>
        <w:rPr>
          <w:noProof/>
        </w:rPr>
        <w:t>ektów,</w:t>
      </w:r>
      <w:r w:rsidR="00D12858">
        <w:rPr>
          <w:noProof/>
        </w:rPr>
        <w:t xml:space="preserve"> w któ</w:t>
      </w:r>
      <w:r>
        <w:rPr>
          <w:noProof/>
        </w:rPr>
        <w:t>rych Unia może pomóc, jest podjęcie tego dialogu</w:t>
      </w:r>
      <w:r w:rsidR="00D12858">
        <w:rPr>
          <w:noProof/>
        </w:rPr>
        <w:t xml:space="preserve"> i int</w:t>
      </w:r>
      <w:r>
        <w:rPr>
          <w:noProof/>
        </w:rPr>
        <w:t>erakcji również na szczeblu UE.</w:t>
      </w:r>
    </w:p>
    <w:p w14:paraId="44A829F5" w14:textId="1ABD72C7" w:rsidR="00EF513A" w:rsidRDefault="008D67A6">
      <w:pPr>
        <w:rPr>
          <w:noProof/>
        </w:rPr>
      </w:pPr>
      <w:r>
        <w:rPr>
          <w:noProof/>
        </w:rPr>
        <w:t>W związku</w:t>
      </w:r>
      <w:r w:rsidR="00D12858">
        <w:rPr>
          <w:noProof/>
        </w:rPr>
        <w:t xml:space="preserve"> z tym</w:t>
      </w:r>
      <w:r>
        <w:rPr>
          <w:noProof/>
        </w:rPr>
        <w:t xml:space="preserve"> </w:t>
      </w:r>
      <w:r>
        <w:rPr>
          <w:b/>
          <w:noProof/>
        </w:rPr>
        <w:t>Komisja zorganizuje co roku dialog na temat żywności</w:t>
      </w:r>
      <w:r w:rsidR="00D12858">
        <w:rPr>
          <w:noProof/>
        </w:rPr>
        <w:t xml:space="preserve"> z pod</w:t>
      </w:r>
      <w:r>
        <w:rPr>
          <w:noProof/>
        </w:rPr>
        <w:t>miotami systemu żywnościowego,</w:t>
      </w:r>
      <w:r w:rsidR="00D12858">
        <w:rPr>
          <w:noProof/>
        </w:rPr>
        <w:t xml:space="preserve"> w tym</w:t>
      </w:r>
      <w:r>
        <w:rPr>
          <w:noProof/>
        </w:rPr>
        <w:t xml:space="preserve"> konsumentami, producentami surowców, przedstawicielami sektora, detalistami, organami publicznymi</w:t>
      </w:r>
      <w:r w:rsidR="00D12858">
        <w:rPr>
          <w:noProof/>
        </w:rPr>
        <w:t xml:space="preserve"> i spo</w:t>
      </w:r>
      <w:r>
        <w:rPr>
          <w:noProof/>
        </w:rPr>
        <w:t>łeczeństwem obywatelskim. Dialog ten będzie forum, które pozwoli omawiać pilne kwestie, takie jak zmiana składu żywności, gromadzenie danych na temat spożycia żywności</w:t>
      </w:r>
      <w:r w:rsidR="00D12858">
        <w:rPr>
          <w:noProof/>
        </w:rPr>
        <w:t xml:space="preserve"> i prz</w:t>
      </w:r>
      <w:r>
        <w:rPr>
          <w:noProof/>
        </w:rPr>
        <w:t>ystępność cenowa żywności, aby wymienić tylko kilka</w:t>
      </w:r>
      <w:r w:rsidR="00D12858">
        <w:rPr>
          <w:noProof/>
        </w:rPr>
        <w:t xml:space="preserve"> z nic</w:t>
      </w:r>
      <w:r>
        <w:rPr>
          <w:noProof/>
        </w:rPr>
        <w:t>h. Aby wesprzeć ten dialog, Komisja rozpocznie badanie skutków spożycia tzw. żywności wysokoprzetworzonej.</w:t>
      </w:r>
    </w:p>
    <w:p w14:paraId="72679D5D" w14:textId="21398CEE" w:rsidR="006668ED" w:rsidRPr="0085035B" w:rsidRDefault="006825E9">
      <w:pPr>
        <w:rPr>
          <w:noProof/>
        </w:rPr>
      </w:pPr>
      <w:r>
        <w:rPr>
          <w:noProof/>
        </w:rPr>
        <w:t xml:space="preserve">W tym kontekście </w:t>
      </w:r>
      <w:r>
        <w:rPr>
          <w:b/>
          <w:noProof/>
        </w:rPr>
        <w:t>dialog na temat żywności</w:t>
      </w:r>
      <w:r>
        <w:rPr>
          <w:noProof/>
        </w:rPr>
        <w:t xml:space="preserve"> powinien służyć również promowaniu wymiany najlepszych praktyk</w:t>
      </w:r>
      <w:r w:rsidR="00D12858">
        <w:rPr>
          <w:noProof/>
        </w:rPr>
        <w:t xml:space="preserve"> i mon</w:t>
      </w:r>
      <w:r>
        <w:rPr>
          <w:noProof/>
        </w:rPr>
        <w:t>itorowaniu sposobu,</w:t>
      </w:r>
      <w:r w:rsidR="00D12858">
        <w:rPr>
          <w:noProof/>
        </w:rPr>
        <w:t xml:space="preserve"> w jak</w:t>
      </w:r>
      <w:r>
        <w:rPr>
          <w:noProof/>
        </w:rPr>
        <w:t>i rozwiązuje się problem ubóstwa żywnościowego</w:t>
      </w:r>
      <w:r w:rsidR="00D12858">
        <w:rPr>
          <w:noProof/>
        </w:rPr>
        <w:t xml:space="preserve"> w pań</w:t>
      </w:r>
      <w:r>
        <w:rPr>
          <w:noProof/>
        </w:rPr>
        <w:t>stwach członkowskich, wykorzystując instrumenty unijne</w:t>
      </w:r>
      <w:r w:rsidR="00D12858">
        <w:rPr>
          <w:noProof/>
        </w:rPr>
        <w:t xml:space="preserve"> i kra</w:t>
      </w:r>
      <w:r>
        <w:rPr>
          <w:noProof/>
        </w:rPr>
        <w:t>jowe,</w:t>
      </w:r>
      <w:r w:rsidR="00D12858">
        <w:rPr>
          <w:noProof/>
        </w:rPr>
        <w:t xml:space="preserve"> w tym</w:t>
      </w:r>
      <w:r>
        <w:rPr>
          <w:noProof/>
        </w:rPr>
        <w:t xml:space="preserve"> politykę społeczną, programy dla szkół</w:t>
      </w:r>
      <w:r w:rsidR="00D12858">
        <w:rPr>
          <w:noProof/>
        </w:rPr>
        <w:t xml:space="preserve"> i bon</w:t>
      </w:r>
      <w:r>
        <w:rPr>
          <w:noProof/>
        </w:rPr>
        <w:t>y żywnościowe dla gospodarstw domowych znajdujących się</w:t>
      </w:r>
      <w:r w:rsidR="00D12858">
        <w:rPr>
          <w:noProof/>
        </w:rPr>
        <w:t xml:space="preserve"> w naj</w:t>
      </w:r>
      <w:r>
        <w:rPr>
          <w:noProof/>
        </w:rPr>
        <w:t>trudniejszej sytuacji.</w:t>
      </w:r>
    </w:p>
    <w:p w14:paraId="025E7865" w14:textId="6E8E449E" w:rsidR="00EF513A" w:rsidRDefault="00BF5473">
      <w:pPr>
        <w:rPr>
          <w:noProof/>
        </w:rPr>
      </w:pPr>
      <w:r>
        <w:rPr>
          <w:noProof/>
        </w:rPr>
        <w:t xml:space="preserve">Ponadto Komisja przedstawi wniosek ustawodawczy mający na celu wzmocnienie roli </w:t>
      </w:r>
      <w:r>
        <w:rPr>
          <w:b/>
          <w:noProof/>
        </w:rPr>
        <w:t>zamówień publicznych</w:t>
      </w:r>
      <w:r>
        <w:rPr>
          <w:noProof/>
        </w:rPr>
        <w:t>. Podejście do zamówień publicznych powinno polegać na wyborze najkorzystniejszej oferty, nagradzać wysiłki na rzecz jakości</w:t>
      </w:r>
      <w:r w:rsidR="00D12858">
        <w:rPr>
          <w:noProof/>
        </w:rPr>
        <w:t xml:space="preserve"> i zró</w:t>
      </w:r>
      <w:r>
        <w:rPr>
          <w:noProof/>
        </w:rPr>
        <w:t>wnoważonego rozwoju podejmowane przez europejskich rolników, przemysł spożywczy</w:t>
      </w:r>
      <w:r w:rsidR="00D12858">
        <w:rPr>
          <w:noProof/>
        </w:rPr>
        <w:t xml:space="preserve"> i sek</w:t>
      </w:r>
      <w:r>
        <w:rPr>
          <w:noProof/>
        </w:rPr>
        <w:t>tor usług oraz powinno zapewniać możliwość udziału małym</w:t>
      </w:r>
      <w:r w:rsidR="00D12858">
        <w:rPr>
          <w:noProof/>
        </w:rPr>
        <w:t xml:space="preserve"> i śre</w:t>
      </w:r>
      <w:r>
        <w:rPr>
          <w:noProof/>
        </w:rPr>
        <w:t>dnim przedsiębiorstwom (MŚP)</w:t>
      </w:r>
      <w:r w:rsidRPr="00D12858">
        <w:rPr>
          <w:noProof/>
        </w:rPr>
        <w:t>.</w:t>
      </w:r>
      <w:r w:rsidR="00D12858" w:rsidRPr="00D12858">
        <w:rPr>
          <w:noProof/>
        </w:rPr>
        <w:t xml:space="preserve"> </w:t>
      </w:r>
      <w:r w:rsidRPr="00D12858">
        <w:rPr>
          <w:noProof/>
        </w:rPr>
        <w:t>M</w:t>
      </w:r>
      <w:r>
        <w:rPr>
          <w:noProof/>
        </w:rPr>
        <w:t>oże ono wprowadzać odpowiednie zachęty do promowania konsumpcji produktów lokalnych</w:t>
      </w:r>
      <w:r w:rsidR="00D12858">
        <w:rPr>
          <w:noProof/>
        </w:rPr>
        <w:t xml:space="preserve"> i sez</w:t>
      </w:r>
      <w:r>
        <w:rPr>
          <w:noProof/>
        </w:rPr>
        <w:t>onowych oraz żywności produkowanej</w:t>
      </w:r>
      <w:r w:rsidR="00D12858">
        <w:rPr>
          <w:noProof/>
        </w:rPr>
        <w:t xml:space="preserve"> z zac</w:t>
      </w:r>
      <w:r>
        <w:rPr>
          <w:noProof/>
        </w:rPr>
        <w:t>howaniem wysokich norm środowiskowych</w:t>
      </w:r>
      <w:r w:rsidR="00D12858">
        <w:rPr>
          <w:noProof/>
        </w:rPr>
        <w:t xml:space="preserve"> i spo</w:t>
      </w:r>
      <w:r>
        <w:rPr>
          <w:noProof/>
        </w:rPr>
        <w:t>łecznych,</w:t>
      </w:r>
      <w:r w:rsidR="00D12858">
        <w:rPr>
          <w:noProof/>
        </w:rPr>
        <w:t xml:space="preserve"> w tym</w:t>
      </w:r>
      <w:r>
        <w:rPr>
          <w:noProof/>
        </w:rPr>
        <w:t xml:space="preserve"> produktów ekologicznych</w:t>
      </w:r>
      <w:r w:rsidR="00D12858">
        <w:rPr>
          <w:noProof/>
        </w:rPr>
        <w:t xml:space="preserve"> i żyw</w:t>
      </w:r>
      <w:r>
        <w:rPr>
          <w:noProof/>
        </w:rPr>
        <w:t>ności pochodzących</w:t>
      </w:r>
      <w:r w:rsidR="00D12858">
        <w:rPr>
          <w:noProof/>
        </w:rPr>
        <w:t xml:space="preserve"> z kró</w:t>
      </w:r>
      <w:r>
        <w:rPr>
          <w:noProof/>
        </w:rPr>
        <w:t>tszych łańcuchów dostaw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rozwój </w:t>
      </w:r>
      <w:r>
        <w:rPr>
          <w:b/>
          <w:noProof/>
        </w:rPr>
        <w:t>krótkich łańcuchów dostaw żywności</w:t>
      </w:r>
      <w:r>
        <w:rPr>
          <w:noProof/>
        </w:rPr>
        <w:t xml:space="preserve"> nadal ma strategiczne znaczenie</w:t>
      </w:r>
      <w:r w:rsidR="00D12858">
        <w:rPr>
          <w:noProof/>
        </w:rPr>
        <w:t xml:space="preserve"> w gwa</w:t>
      </w:r>
      <w:r>
        <w:rPr>
          <w:noProof/>
        </w:rPr>
        <w:t>rantowaniu rolnikom</w:t>
      </w:r>
      <w:r w:rsidR="00D12858">
        <w:rPr>
          <w:noProof/>
        </w:rPr>
        <w:t xml:space="preserve"> i ryb</w:t>
      </w:r>
      <w:r>
        <w:rPr>
          <w:noProof/>
        </w:rPr>
        <w:t>akom sprawiedliwszych cen oraz do poprawy dostępu konsumentów do świeżych</w:t>
      </w:r>
      <w:r w:rsidR="00D12858">
        <w:rPr>
          <w:noProof/>
        </w:rPr>
        <w:t xml:space="preserve"> i sez</w:t>
      </w:r>
      <w:r>
        <w:rPr>
          <w:noProof/>
        </w:rPr>
        <w:t>onowych produktów.</w:t>
      </w:r>
    </w:p>
    <w:p w14:paraId="7D3D6CBD" w14:textId="7A72FCB4" w:rsidR="00EF513A" w:rsidRDefault="00BF5473">
      <w:pPr>
        <w:rPr>
          <w:noProof/>
        </w:rPr>
      </w:pPr>
      <w:r>
        <w:rPr>
          <w:noProof/>
        </w:rPr>
        <w:t xml:space="preserve">Komisja zaproponuje też ukierunkowany przegląd udanego </w:t>
      </w:r>
      <w:r>
        <w:rPr>
          <w:b/>
          <w:noProof/>
        </w:rPr>
        <w:t>unijnego programu dla szkół</w:t>
      </w:r>
      <w:r>
        <w:rPr>
          <w:noProof/>
        </w:rPr>
        <w:t>, aby wzmocnić jego wymiar edukacyjny oraz jeszcze lepiej dostosować go do lokalnych</w:t>
      </w:r>
      <w:r w:rsidR="00D12858">
        <w:rPr>
          <w:noProof/>
        </w:rPr>
        <w:t xml:space="preserve"> i reg</w:t>
      </w:r>
      <w:r>
        <w:rPr>
          <w:noProof/>
        </w:rPr>
        <w:t>ionalnych potrzeb</w:t>
      </w:r>
      <w:r w:rsidR="00D12858">
        <w:rPr>
          <w:noProof/>
        </w:rPr>
        <w:t xml:space="preserve"> i tra</w:t>
      </w:r>
      <w:r>
        <w:rPr>
          <w:noProof/>
        </w:rPr>
        <w:t xml:space="preserve">dycji. Unijna </w:t>
      </w:r>
      <w:r>
        <w:rPr>
          <w:b/>
          <w:noProof/>
        </w:rPr>
        <w:t>strategia promocyjna</w:t>
      </w:r>
      <w:r>
        <w:rPr>
          <w:noProof/>
        </w:rPr>
        <w:t xml:space="preserve"> pozostanie strategicznym narzędziem polityki, które ma być wykorzystywane do zwiększania świadomości konsumentów na temat unijnych produktów rolnych, produktów rybołówstwa</w:t>
      </w:r>
      <w:r w:rsidR="00D12858">
        <w:rPr>
          <w:noProof/>
        </w:rPr>
        <w:t xml:space="preserve"> i akw</w:t>
      </w:r>
      <w:r>
        <w:rPr>
          <w:noProof/>
        </w:rPr>
        <w:t>akultury oraz systemów jakości,</w:t>
      </w:r>
      <w:r w:rsidR="00D12858">
        <w:rPr>
          <w:noProof/>
        </w:rPr>
        <w:t xml:space="preserve"> w tym</w:t>
      </w:r>
      <w:r>
        <w:rPr>
          <w:noProof/>
        </w:rPr>
        <w:t xml:space="preserve"> unijnego znaku rolnictwa ekologicznego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Komisja będzie nadal promować dalsze upowszechnianie </w:t>
      </w:r>
      <w:r>
        <w:rPr>
          <w:b/>
          <w:noProof/>
        </w:rPr>
        <w:t>oznaczeń geograficznych (OG)</w:t>
      </w:r>
      <w:r>
        <w:rPr>
          <w:noProof/>
        </w:rPr>
        <w:t>, które stanowią dla europejskich producentów potężne narzędzie waloryzacji ich produktów spożywczych</w:t>
      </w:r>
      <w:r w:rsidR="00D12858">
        <w:rPr>
          <w:noProof/>
        </w:rPr>
        <w:t xml:space="preserve"> i nap</w:t>
      </w:r>
      <w:r>
        <w:rPr>
          <w:noProof/>
        </w:rPr>
        <w:t>ojów, zachowania dziedzictwa żywnościowego we wszystkich państwach członkowskich oraz stymulowania wzrostu gospodarczego</w:t>
      </w:r>
      <w:r w:rsidR="00D12858">
        <w:rPr>
          <w:noProof/>
        </w:rPr>
        <w:t xml:space="preserve"> i two</w:t>
      </w:r>
      <w:r>
        <w:rPr>
          <w:noProof/>
        </w:rPr>
        <w:t>rzenia miejsc pracy na obszarach wiejskich, gdzie prowadzą działalność.</w:t>
      </w:r>
    </w:p>
    <w:p w14:paraId="1363D1AD" w14:textId="281C3689" w:rsidR="00EF513A" w:rsidRDefault="00BF5473">
      <w:pPr>
        <w:rPr>
          <w:noProof/>
        </w:rPr>
      </w:pPr>
      <w:r>
        <w:rPr>
          <w:b/>
          <w:noProof/>
        </w:rPr>
        <w:t>Wkład przemysłu spożywczego ma zasadnicze znaczenie</w:t>
      </w:r>
      <w:r w:rsidR="00D12858">
        <w:rPr>
          <w:noProof/>
        </w:rPr>
        <w:t xml:space="preserve"> w roz</w:t>
      </w:r>
      <w:r>
        <w:rPr>
          <w:noProof/>
        </w:rPr>
        <w:t>woju modeli biznesowych wzmacniających wszystkie elementy łańcucha wartości,</w:t>
      </w:r>
      <w:r w:rsidR="00D12858">
        <w:rPr>
          <w:noProof/>
        </w:rPr>
        <w:t xml:space="preserve"> a tak</w:t>
      </w:r>
      <w:r>
        <w:rPr>
          <w:noProof/>
        </w:rPr>
        <w:t>że uwzględniających dobrostan rolników, rybaków, pracowników sektora</w:t>
      </w:r>
      <w:r w:rsidR="00D12858">
        <w:rPr>
          <w:noProof/>
        </w:rPr>
        <w:t xml:space="preserve"> i kon</w:t>
      </w:r>
      <w:r>
        <w:rPr>
          <w:noProof/>
        </w:rPr>
        <w:t>sumentów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potrzebne jest kompleksowe podejście, aby zachęcić do </w:t>
      </w:r>
      <w:r>
        <w:rPr>
          <w:b/>
          <w:noProof/>
        </w:rPr>
        <w:t>inwestowania</w:t>
      </w:r>
      <w:r w:rsidR="00D12858">
        <w:rPr>
          <w:b/>
          <w:noProof/>
        </w:rPr>
        <w:t xml:space="preserve"> w kon</w:t>
      </w:r>
      <w:r>
        <w:rPr>
          <w:b/>
          <w:noProof/>
        </w:rPr>
        <w:t>kurencyjność, innowacje, odporność</w:t>
      </w:r>
      <w:r w:rsidR="00D12858">
        <w:rPr>
          <w:b/>
          <w:noProof/>
        </w:rPr>
        <w:t xml:space="preserve"> i zró</w:t>
      </w:r>
      <w:r>
        <w:rPr>
          <w:b/>
          <w:noProof/>
        </w:rPr>
        <w:t>wnoważony rozwój</w:t>
      </w:r>
      <w:r w:rsidR="00D12858">
        <w:rPr>
          <w:b/>
          <w:noProof/>
        </w:rPr>
        <w:t xml:space="preserve"> w prz</w:t>
      </w:r>
      <w:r>
        <w:rPr>
          <w:b/>
          <w:noProof/>
        </w:rPr>
        <w:t>etwórstwie, dystrybucji</w:t>
      </w:r>
      <w:r w:rsidR="00D12858">
        <w:rPr>
          <w:b/>
          <w:noProof/>
        </w:rPr>
        <w:t xml:space="preserve"> i spr</w:t>
      </w:r>
      <w:r>
        <w:rPr>
          <w:b/>
          <w:noProof/>
        </w:rPr>
        <w:t>zedaży żywności,</w:t>
      </w:r>
      <w:r w:rsidR="00D12858">
        <w:rPr>
          <w:b/>
          <w:noProof/>
        </w:rPr>
        <w:t xml:space="preserve"> a prz</w:t>
      </w:r>
      <w:r>
        <w:rPr>
          <w:b/>
          <w:noProof/>
        </w:rPr>
        <w:t>ez to zaradzić obecnym lukom</w:t>
      </w:r>
      <w:r w:rsidR="00D12858">
        <w:rPr>
          <w:b/>
          <w:noProof/>
        </w:rPr>
        <w:t xml:space="preserve"> i spr</w:t>
      </w:r>
      <w:r>
        <w:rPr>
          <w:b/>
          <w:noProof/>
        </w:rPr>
        <w:t>ostać wyzwaniom</w:t>
      </w:r>
      <w:r>
        <w:rPr>
          <w:noProof/>
        </w:rPr>
        <w:t>. Komisja będzie również nadal aktywnie promować absorpcję</w:t>
      </w:r>
      <w:r w:rsidR="00D12858">
        <w:rPr>
          <w:noProof/>
        </w:rPr>
        <w:t xml:space="preserve"> i wyn</w:t>
      </w:r>
      <w:r>
        <w:rPr>
          <w:noProof/>
        </w:rPr>
        <w:t xml:space="preserve">iki wdrażania </w:t>
      </w:r>
      <w:r>
        <w:rPr>
          <w:b/>
          <w:noProof/>
        </w:rPr>
        <w:t>unijnego kodeksu postępowania</w:t>
      </w:r>
      <w:r w:rsidR="00D12858">
        <w:rPr>
          <w:b/>
          <w:noProof/>
        </w:rPr>
        <w:t xml:space="preserve"> w zak</w:t>
      </w:r>
      <w:r>
        <w:rPr>
          <w:b/>
          <w:noProof/>
        </w:rPr>
        <w:t>resie odpowiedzialnego prowadzenia działalności spożywczej</w:t>
      </w:r>
      <w:r w:rsidR="00D12858">
        <w:rPr>
          <w:b/>
          <w:noProof/>
        </w:rPr>
        <w:t xml:space="preserve"> i pra</w:t>
      </w:r>
      <w:r>
        <w:rPr>
          <w:b/>
          <w:noProof/>
        </w:rPr>
        <w:t>ktyk handlowych</w:t>
      </w:r>
      <w:r>
        <w:rPr>
          <w:noProof/>
        </w:rPr>
        <w:t xml:space="preserve"> oraz oceni, czy konieczne są dalsze działania, jeżeli wyniki osiągnięte dzięki kodeksowi postępowania nie spełnią oczekiwań. Należy zmobilizować organizacje wspierające przedsiębiorstwa, aby skuteczniej wspierać MŚP zajmujące się przetwórstwem żywności</w:t>
      </w:r>
      <w:r w:rsidR="00D12858">
        <w:rPr>
          <w:noProof/>
        </w:rPr>
        <w:t xml:space="preserve"> i two</w:t>
      </w:r>
      <w:r>
        <w:rPr>
          <w:noProof/>
        </w:rPr>
        <w:t>rzyć wirtualne centra innowacji.</w:t>
      </w:r>
    </w:p>
    <w:p w14:paraId="38819BC1" w14:textId="6693AABF" w:rsidR="00EF513A" w:rsidRDefault="00E47EF3">
      <w:pPr>
        <w:rPr>
          <w:noProof/>
        </w:rPr>
      </w:pPr>
      <w:r>
        <w:rPr>
          <w:noProof/>
        </w:rPr>
        <w:t>W tym względzie tworzenie sieci kontaktów między MŚP może ułatwić Europejska Platforma Współpracy Klastrów,</w:t>
      </w:r>
      <w:r w:rsidR="00D12858">
        <w:rPr>
          <w:noProof/>
        </w:rPr>
        <w:t xml:space="preserve"> a tak</w:t>
      </w:r>
      <w:r>
        <w:rPr>
          <w:noProof/>
        </w:rPr>
        <w:t>że przyszła platforma ścieżki transformacji rolno-spożywczej. Ta pierwsza ułatwi również kompleksowe wdrożenie kodeksu postępowania</w:t>
      </w:r>
      <w:r w:rsidR="00D12858">
        <w:rPr>
          <w:noProof/>
        </w:rPr>
        <w:t xml:space="preserve"> i ści</w:t>
      </w:r>
      <w:r>
        <w:rPr>
          <w:noProof/>
        </w:rPr>
        <w:t>eżki transformacji</w:t>
      </w:r>
      <w:r w:rsidR="00D12858">
        <w:rPr>
          <w:noProof/>
        </w:rPr>
        <w:t xml:space="preserve"> w prz</w:t>
      </w:r>
      <w:r>
        <w:rPr>
          <w:noProof/>
        </w:rPr>
        <w:t>emysłowym ekosystemie sektora rolno-spożywczego.</w:t>
      </w:r>
    </w:p>
    <w:p w14:paraId="5F4106B7" w14:textId="43B2BA55" w:rsidR="00EF513A" w:rsidRDefault="00BF5473">
      <w:pPr>
        <w:spacing w:after="120"/>
        <w:rPr>
          <w:noProof/>
        </w:rPr>
      </w:pPr>
      <w:r>
        <w:rPr>
          <w:noProof/>
        </w:rPr>
        <w:t>Ponieważ zróżnicowane</w:t>
      </w:r>
      <w:r w:rsidR="00D12858">
        <w:rPr>
          <w:noProof/>
        </w:rPr>
        <w:t xml:space="preserve"> i zró</w:t>
      </w:r>
      <w:r>
        <w:rPr>
          <w:noProof/>
        </w:rPr>
        <w:t>wnoważone odżywianie może pozytywnie wpływać na dobrostan</w:t>
      </w:r>
      <w:r w:rsidR="00D12858">
        <w:rPr>
          <w:noProof/>
        </w:rPr>
        <w:t xml:space="preserve"> i zdr</w:t>
      </w:r>
      <w:r>
        <w:rPr>
          <w:noProof/>
        </w:rPr>
        <w:t>owie ludzi, ważne jest, aby wraz</w:t>
      </w:r>
      <w:r w:rsidR="00D12858">
        <w:rPr>
          <w:noProof/>
        </w:rPr>
        <w:t xml:space="preserve"> z pań</w:t>
      </w:r>
      <w:r>
        <w:rPr>
          <w:noProof/>
        </w:rPr>
        <w:t>stwami członkowskimi przyspieszyć prace nad monitorowaniem skutków niektórych praktyk reklamowych</w:t>
      </w:r>
      <w:r w:rsidR="00D12858">
        <w:rPr>
          <w:noProof/>
        </w:rPr>
        <w:t xml:space="preserve"> i mar</w:t>
      </w:r>
      <w:r>
        <w:rPr>
          <w:noProof/>
        </w:rPr>
        <w:t>ketingowych dotyczących żywności</w:t>
      </w:r>
      <w:r w:rsidR="00D12858">
        <w:rPr>
          <w:noProof/>
        </w:rPr>
        <w:t>. W szc</w:t>
      </w:r>
      <w:r>
        <w:rPr>
          <w:noProof/>
        </w:rPr>
        <w:t>zególności należy zbadać ich wpływ na zdrowie</w:t>
      </w:r>
      <w:r w:rsidR="00D12858">
        <w:rPr>
          <w:noProof/>
        </w:rPr>
        <w:t xml:space="preserve"> i dob</w:t>
      </w:r>
      <w:r>
        <w:rPr>
          <w:noProof/>
        </w:rPr>
        <w:t>rostan najsłabszych grup konsumentów, takich jak dzieci.</w:t>
      </w:r>
    </w:p>
    <w:p w14:paraId="5CAB7EE2" w14:textId="180EC604" w:rsidR="00EF513A" w:rsidRDefault="00BF5473">
      <w:pPr>
        <w:rPr>
          <w:noProof/>
        </w:rPr>
      </w:pPr>
      <w:r>
        <w:rPr>
          <w:noProof/>
        </w:rPr>
        <w:t xml:space="preserve">Pojawiły się </w:t>
      </w:r>
      <w:r>
        <w:rPr>
          <w:b/>
          <w:noProof/>
        </w:rPr>
        <w:t>innowacyjne technologie</w:t>
      </w:r>
      <w:r>
        <w:rPr>
          <w:noProof/>
        </w:rPr>
        <w:t>,</w:t>
      </w:r>
      <w:r w:rsidR="00D12858">
        <w:rPr>
          <w:noProof/>
        </w:rPr>
        <w:t xml:space="preserve"> w tym w dzi</w:t>
      </w:r>
      <w:r>
        <w:rPr>
          <w:noProof/>
        </w:rPr>
        <w:t>edzinie technologii żywności, biotechnologii</w:t>
      </w:r>
      <w:r w:rsidR="00D12858">
        <w:rPr>
          <w:noProof/>
        </w:rPr>
        <w:t xml:space="preserve"> i bio</w:t>
      </w:r>
      <w:r>
        <w:rPr>
          <w:noProof/>
        </w:rPr>
        <w:t>produkcji. Utrzymanie przewagi innowacyjnej Europy</w:t>
      </w:r>
      <w:r w:rsidR="00D12858">
        <w:rPr>
          <w:noProof/>
        </w:rPr>
        <w:t xml:space="preserve"> w zak</w:t>
      </w:r>
      <w:r>
        <w:rPr>
          <w:noProof/>
        </w:rPr>
        <w:t>resie tych nowych technologii jest niezbędne do utrzymania konkurencyjności tego sektora oraz utrzymania przez UE pozycji światowego lidera innowacji</w:t>
      </w:r>
      <w:r w:rsidR="00D12858">
        <w:rPr>
          <w:noProof/>
        </w:rPr>
        <w:t xml:space="preserve"> w dzi</w:t>
      </w:r>
      <w:r>
        <w:rPr>
          <w:noProof/>
        </w:rPr>
        <w:t>edzinie żywności. Jednocześnie niektóre innowacje żywnościowe są czasami postrzegane</w:t>
      </w:r>
      <w:r w:rsidR="00D12858">
        <w:rPr>
          <w:noProof/>
        </w:rPr>
        <w:t xml:space="preserve"> w Eur</w:t>
      </w:r>
      <w:r>
        <w:rPr>
          <w:noProof/>
        </w:rPr>
        <w:t>opie jako zagrożenie tradycji</w:t>
      </w:r>
      <w:r w:rsidR="00D12858">
        <w:rPr>
          <w:noProof/>
        </w:rPr>
        <w:t xml:space="preserve"> i kul</w:t>
      </w:r>
      <w:r>
        <w:rPr>
          <w:noProof/>
        </w:rPr>
        <w:t xml:space="preserve">tury. Temat ten wymaga </w:t>
      </w:r>
      <w:r>
        <w:rPr>
          <w:b/>
          <w:noProof/>
        </w:rPr>
        <w:t>pogłębionego dialogu</w:t>
      </w:r>
      <w:r w:rsidR="00D12858">
        <w:rPr>
          <w:noProof/>
        </w:rPr>
        <w:t xml:space="preserve"> i roz</w:t>
      </w:r>
      <w:r>
        <w:rPr>
          <w:noProof/>
        </w:rPr>
        <w:t>szerzenia wiedzy, aby zagwarantować, że innowacje te będą oceniane</w:t>
      </w:r>
      <w:r w:rsidR="00D12858">
        <w:rPr>
          <w:noProof/>
        </w:rPr>
        <w:t xml:space="preserve"> w spo</w:t>
      </w:r>
      <w:r>
        <w:rPr>
          <w:noProof/>
        </w:rPr>
        <w:t>sób sprzyjający włączeniu społecznemu, uwzględniający również społeczne, etyczne, gospodarcze, środowiskowe</w:t>
      </w:r>
      <w:r w:rsidR="00D12858">
        <w:rPr>
          <w:noProof/>
        </w:rPr>
        <w:t xml:space="preserve"> i kul</w:t>
      </w:r>
      <w:r>
        <w:rPr>
          <w:noProof/>
        </w:rPr>
        <w:t>turowe aspekty innowacji</w:t>
      </w:r>
      <w:r w:rsidR="00D12858">
        <w:rPr>
          <w:noProof/>
        </w:rPr>
        <w:t xml:space="preserve"> w dzi</w:t>
      </w:r>
      <w:r>
        <w:rPr>
          <w:noProof/>
        </w:rPr>
        <w:t>edzinie żywności.</w:t>
      </w:r>
    </w:p>
    <w:p w14:paraId="3A2F8D3A" w14:textId="656818F6" w:rsidR="00EF513A" w:rsidRDefault="00BF5473">
      <w:pPr>
        <w:rPr>
          <w:noProof/>
        </w:rPr>
      </w:pPr>
      <w:r>
        <w:rPr>
          <w:noProof/>
        </w:rPr>
        <w:t>Zachowania konsumentów kształtują ponadto nowe oczekiwania społeczne dotyczące żywności,</w:t>
      </w:r>
      <w:r w:rsidR="00D12858">
        <w:rPr>
          <w:noProof/>
        </w:rPr>
        <w:t xml:space="preserve"> w szc</w:t>
      </w:r>
      <w:r>
        <w:rPr>
          <w:noProof/>
        </w:rPr>
        <w:t>zególności związane</w:t>
      </w:r>
      <w:r w:rsidR="00D12858">
        <w:rPr>
          <w:noProof/>
        </w:rPr>
        <w:t xml:space="preserve"> z dob</w:t>
      </w:r>
      <w:r>
        <w:rPr>
          <w:noProof/>
        </w:rPr>
        <w:t>rostanem zwierząt</w:t>
      </w:r>
      <w:r w:rsidR="00D12858">
        <w:rPr>
          <w:noProof/>
        </w:rPr>
        <w:t xml:space="preserve"> i poc</w:t>
      </w:r>
      <w:r>
        <w:rPr>
          <w:noProof/>
        </w:rPr>
        <w:t>hodzeniem produktów. Przy odpowiednim wsparciu może to stworzyć nowe możliwości dla rolników. Aby zająć się tą kwestią, Komisja będzie ściśle współpracować</w:t>
      </w:r>
      <w:r w:rsidR="00D12858">
        <w:rPr>
          <w:noProof/>
        </w:rPr>
        <w:t xml:space="preserve"> z rol</w:t>
      </w:r>
      <w:r>
        <w:rPr>
          <w:noProof/>
        </w:rPr>
        <w:t>nikami, przedstawicielami łańcucha żywnościowego</w:t>
      </w:r>
      <w:r w:rsidR="00D12858">
        <w:rPr>
          <w:noProof/>
        </w:rPr>
        <w:t xml:space="preserve"> i spo</w:t>
      </w:r>
      <w:r>
        <w:rPr>
          <w:noProof/>
        </w:rPr>
        <w:t xml:space="preserve">łeczeństwa obywatelskiego i na tej podstawie </w:t>
      </w:r>
      <w:r>
        <w:rPr>
          <w:b/>
          <w:noProof/>
        </w:rPr>
        <w:t>przedstawi wnioski dotyczące przeglądu obowiązujących przepisów dotyczących dobrostanu zwierząt</w:t>
      </w:r>
      <w:r>
        <w:rPr>
          <w:noProof/>
        </w:rPr>
        <w:t>,</w:t>
      </w:r>
      <w:r w:rsidR="00D12858">
        <w:rPr>
          <w:noProof/>
        </w:rPr>
        <w:t xml:space="preserve"> w tym</w:t>
      </w:r>
      <w:r>
        <w:rPr>
          <w:noProof/>
        </w:rPr>
        <w:t xml:space="preserve"> swojego zobowiązania do stopniowego wycofania klatek. Przegląd ten będzie oparty na najnowszych dowodach naukowych</w:t>
      </w:r>
      <w:r w:rsidR="00D12858">
        <w:rPr>
          <w:noProof/>
        </w:rPr>
        <w:t xml:space="preserve"> i uwz</w:t>
      </w:r>
      <w:r>
        <w:rPr>
          <w:noProof/>
        </w:rPr>
        <w:t>ględni skutki społeczno-gospodarcze dla rolników</w:t>
      </w:r>
      <w:r w:rsidR="00D12858">
        <w:rPr>
          <w:noProof/>
        </w:rPr>
        <w:t xml:space="preserve"> i łań</w:t>
      </w:r>
      <w:r>
        <w:rPr>
          <w:noProof/>
        </w:rPr>
        <w:t>cucha rolno-spożywczego, zapewniając wsparcie</w:t>
      </w:r>
      <w:r w:rsidR="00D12858">
        <w:rPr>
          <w:noProof/>
        </w:rPr>
        <w:t xml:space="preserve"> i odp</w:t>
      </w:r>
      <w:r>
        <w:rPr>
          <w:noProof/>
        </w:rPr>
        <w:t>owiednie okresy przejściowe</w:t>
      </w:r>
      <w:r w:rsidR="00D12858">
        <w:rPr>
          <w:noProof/>
        </w:rPr>
        <w:t xml:space="preserve"> i ści</w:t>
      </w:r>
      <w:r>
        <w:rPr>
          <w:noProof/>
        </w:rPr>
        <w:t>eżki transformacji</w:t>
      </w:r>
      <w:r w:rsidR="00D12858">
        <w:rPr>
          <w:noProof/>
        </w:rPr>
        <w:t xml:space="preserve"> w odn</w:t>
      </w:r>
      <w:r>
        <w:rPr>
          <w:noProof/>
        </w:rPr>
        <w:t>iesieniu do poszczególnych gatunków</w:t>
      </w:r>
      <w:r w:rsidR="00D12858">
        <w:rPr>
          <w:noProof/>
        </w:rPr>
        <w:t>. W zwi</w:t>
      </w:r>
      <w:r>
        <w:rPr>
          <w:noProof/>
        </w:rPr>
        <w:t>ązku</w:t>
      </w:r>
      <w:r w:rsidR="00D12858">
        <w:rPr>
          <w:noProof/>
        </w:rPr>
        <w:t xml:space="preserve"> z tym</w:t>
      </w:r>
      <w:r>
        <w:rPr>
          <w:noProof/>
        </w:rPr>
        <w:t xml:space="preserve"> Komisja rozważy ukierunkowane etykietowanie dotyczące </w:t>
      </w:r>
      <w:r>
        <w:rPr>
          <w:b/>
          <w:noProof/>
        </w:rPr>
        <w:t>dobrostanu zwierząt</w:t>
      </w:r>
      <w:r>
        <w:rPr>
          <w:noProof/>
        </w:rPr>
        <w:t>, aby sprostać oczekiwaniom społecznym.</w:t>
      </w:r>
    </w:p>
    <w:p w14:paraId="66430DCD" w14:textId="7CBE4BEC" w:rsidR="00EF513A" w:rsidRDefault="00BF5473" w:rsidP="00D310BF">
      <w:pPr>
        <w:rPr>
          <w:noProof/>
        </w:rPr>
      </w:pPr>
      <w:r>
        <w:rPr>
          <w:noProof/>
        </w:rPr>
        <w:t xml:space="preserve">Jednocześnie ważnym priorytetem na nadchodzące lata będą dalsze wysiłki, aby </w:t>
      </w:r>
      <w:r>
        <w:rPr>
          <w:b/>
          <w:noProof/>
        </w:rPr>
        <w:t>ograniczyć straty</w:t>
      </w:r>
      <w:r w:rsidR="00D12858">
        <w:rPr>
          <w:b/>
          <w:noProof/>
        </w:rPr>
        <w:t xml:space="preserve"> i mar</w:t>
      </w:r>
      <w:r>
        <w:rPr>
          <w:b/>
          <w:noProof/>
        </w:rPr>
        <w:t>notrawienie żywności</w:t>
      </w:r>
      <w:r>
        <w:rPr>
          <w:noProof/>
        </w:rPr>
        <w:t>. Ograniczenie</w:t>
      </w:r>
      <w:r w:rsidR="00D12858">
        <w:rPr>
          <w:noProof/>
        </w:rPr>
        <w:t xml:space="preserve"> i wyc</w:t>
      </w:r>
      <w:r>
        <w:rPr>
          <w:noProof/>
        </w:rPr>
        <w:t>ena strat</w:t>
      </w:r>
      <w:r w:rsidR="00D12858">
        <w:rPr>
          <w:noProof/>
        </w:rPr>
        <w:t xml:space="preserve"> i mar</w:t>
      </w:r>
      <w:r>
        <w:rPr>
          <w:noProof/>
        </w:rPr>
        <w:t>notrawienia żywności przyniesie korzyści nie tylko obywatelom UE, rolnikom</w:t>
      </w:r>
      <w:r w:rsidR="00D12858">
        <w:rPr>
          <w:noProof/>
        </w:rPr>
        <w:t xml:space="preserve"> i wsz</w:t>
      </w:r>
      <w:r>
        <w:rPr>
          <w:noProof/>
        </w:rPr>
        <w:t>ystkim innym podmiotom</w:t>
      </w:r>
      <w:r w:rsidR="00D12858">
        <w:rPr>
          <w:noProof/>
        </w:rPr>
        <w:t xml:space="preserve"> w cał</w:t>
      </w:r>
      <w:r>
        <w:rPr>
          <w:noProof/>
        </w:rPr>
        <w:t>ym łańcuchu dostaw żywności, ale również zwiększy zrównoważoność unijnego systemu żywnościowego, przyczyniając się do bardziej efektywnego wykorzystania zasobów</w:t>
      </w:r>
      <w:r w:rsidR="00D12858">
        <w:rPr>
          <w:noProof/>
        </w:rPr>
        <w:t xml:space="preserve"> i bez</w:t>
      </w:r>
      <w:r>
        <w:rPr>
          <w:noProof/>
        </w:rPr>
        <w:t>pieczeństwa żywnościowego.</w:t>
      </w:r>
    </w:p>
    <w:p w14:paraId="3EBA5789" w14:textId="77777777" w:rsidR="00D310BF" w:rsidRPr="00CB3385" w:rsidRDefault="00D310BF" w:rsidP="00D310BF">
      <w:pPr>
        <w:rPr>
          <w:noProof/>
        </w:rPr>
      </w:pPr>
    </w:p>
    <w:p w14:paraId="2104BDCB" w14:textId="60DEF20F" w:rsidR="00EF513A" w:rsidRPr="00CB3385" w:rsidRDefault="005E406F">
      <w:pPr>
        <w:pStyle w:val="Heading1"/>
        <w:numPr>
          <w:ilvl w:val="0"/>
          <w:numId w:val="2"/>
        </w:numPr>
        <w:ind w:left="360" w:hanging="360"/>
        <w:rPr>
          <w:noProof/>
        </w:rPr>
      </w:pPr>
      <w:bookmarkStart w:id="20" w:name="_4d34og8"/>
      <w:bookmarkStart w:id="21" w:name="_Toc191630905"/>
      <w:bookmarkEnd w:id="20"/>
      <w:r>
        <w:rPr>
          <w:noProof/>
        </w:rPr>
        <w:t>Tworzenie sprzyjających warunków: umieszczenie badań naukowych, innowacji, wiedzy</w:t>
      </w:r>
      <w:r w:rsidR="00D12858">
        <w:rPr>
          <w:noProof/>
        </w:rPr>
        <w:t xml:space="preserve"> i umi</w:t>
      </w:r>
      <w:r>
        <w:rPr>
          <w:noProof/>
        </w:rPr>
        <w:t>ejętności</w:t>
      </w:r>
      <w:r w:rsidR="00D12858">
        <w:rPr>
          <w:noProof/>
        </w:rPr>
        <w:t xml:space="preserve"> w cen</w:t>
      </w:r>
      <w:r>
        <w:rPr>
          <w:noProof/>
        </w:rPr>
        <w:t>trum europejskiej gospodarki rolno-spożywczej</w:t>
      </w:r>
      <w:bookmarkEnd w:id="21"/>
    </w:p>
    <w:p w14:paraId="5391B6BA" w14:textId="7777777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Cyfryzacja jako siła napędowa dalszej transformacji</w:t>
      </w:r>
    </w:p>
    <w:p w14:paraId="181BDA09" w14:textId="0D7D789C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Transformacja cyfrowa przebiega</w:t>
      </w:r>
      <w:r w:rsidR="00D12858">
        <w:rPr>
          <w:noProof/>
          <w:color w:val="000000"/>
        </w:rPr>
        <w:t xml:space="preserve"> w nie</w:t>
      </w:r>
      <w:r>
        <w:rPr>
          <w:noProof/>
          <w:color w:val="000000"/>
        </w:rPr>
        <w:t>spotykanym dotąd tempie</w:t>
      </w:r>
      <w:r w:rsidR="00D12858">
        <w:rPr>
          <w:noProof/>
          <w:color w:val="000000"/>
        </w:rPr>
        <w:t xml:space="preserve"> i moż</w:t>
      </w:r>
      <w:r>
        <w:rPr>
          <w:noProof/>
          <w:color w:val="000000"/>
        </w:rPr>
        <w:t>e przyczynić się do szybkiej poprawy wyników gospodarczych gospodarstw rolnych, ich odporności</w:t>
      </w:r>
      <w:r w:rsidR="00D12858">
        <w:rPr>
          <w:noProof/>
          <w:color w:val="000000"/>
        </w:rPr>
        <w:t xml:space="preserve"> i zró</w:t>
      </w:r>
      <w:r>
        <w:rPr>
          <w:noProof/>
          <w:color w:val="000000"/>
        </w:rPr>
        <w:t>wnoważonego rozwoju. Zaawansowane technologie cyfrowe,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</w:t>
      </w:r>
      <w:r>
        <w:rPr>
          <w:b/>
          <w:noProof/>
          <w:color w:val="000000"/>
        </w:rPr>
        <w:t>sztuczna inteligencja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w poł</w:t>
      </w:r>
      <w:r>
        <w:rPr>
          <w:noProof/>
          <w:color w:val="000000"/>
        </w:rPr>
        <w:t>ączeniu</w:t>
      </w:r>
      <w:r w:rsidR="00D12858">
        <w:rPr>
          <w:noProof/>
          <w:color w:val="000000"/>
        </w:rPr>
        <w:t xml:space="preserve"> z dan</w:t>
      </w:r>
      <w:r>
        <w:rPr>
          <w:noProof/>
          <w:color w:val="000000"/>
        </w:rPr>
        <w:t>ymi</w:t>
      </w:r>
      <w:r w:rsidR="00D12858">
        <w:rPr>
          <w:noProof/>
          <w:color w:val="000000"/>
        </w:rPr>
        <w:t xml:space="preserve"> z int</w:t>
      </w:r>
      <w:r>
        <w:rPr>
          <w:noProof/>
          <w:color w:val="000000"/>
        </w:rPr>
        <w:t>ernetu rzeczy (IoT)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ych źródeł mogą znacznie usprawnić działania</w:t>
      </w:r>
      <w:r w:rsidR="00D12858">
        <w:rPr>
          <w:noProof/>
          <w:color w:val="000000"/>
        </w:rPr>
        <w:t xml:space="preserve"> i sty</w:t>
      </w:r>
      <w:r>
        <w:rPr>
          <w:noProof/>
          <w:color w:val="000000"/>
        </w:rPr>
        <w:t>mulować innowacje oraz zrewolucjonizować sposób produkcji żywności, umożliwiając dbałość</w:t>
      </w:r>
      <w:r w:rsidR="00D12858">
        <w:rPr>
          <w:noProof/>
          <w:color w:val="000000"/>
        </w:rPr>
        <w:t xml:space="preserve"> o śro</w:t>
      </w:r>
      <w:r>
        <w:rPr>
          <w:noProof/>
          <w:color w:val="000000"/>
        </w:rPr>
        <w:t>dowisko, klimat</w:t>
      </w:r>
      <w:r w:rsidR="00D12858">
        <w:rPr>
          <w:noProof/>
          <w:color w:val="000000"/>
        </w:rPr>
        <w:t xml:space="preserve"> i lud</w:t>
      </w:r>
      <w:r>
        <w:rPr>
          <w:noProof/>
          <w:color w:val="000000"/>
        </w:rPr>
        <w:t>zi. Niemniej</w:t>
      </w:r>
      <w:r w:rsidR="00D12858">
        <w:rPr>
          <w:noProof/>
          <w:color w:val="000000"/>
        </w:rPr>
        <w:t xml:space="preserve"> w rol</w:t>
      </w:r>
      <w:r>
        <w:rPr>
          <w:noProof/>
          <w:color w:val="000000"/>
        </w:rPr>
        <w:t>nictwie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ych częściach systemu żywnościowego wprowadzanie narzędzi cyfrowych jest powolne. Postrzegane wysokie koszty, brak umiejętności cyfrowych</w:t>
      </w:r>
      <w:r w:rsidR="00D12858">
        <w:rPr>
          <w:noProof/>
          <w:color w:val="000000"/>
        </w:rPr>
        <w:t xml:space="preserve"> i zau</w:t>
      </w:r>
      <w:r>
        <w:rPr>
          <w:noProof/>
          <w:color w:val="000000"/>
        </w:rPr>
        <w:t>fania, brak rozwiązań dostosowanych do potrzeb</w:t>
      </w:r>
      <w:r w:rsidR="00D12858">
        <w:rPr>
          <w:noProof/>
          <w:color w:val="000000"/>
        </w:rPr>
        <w:t xml:space="preserve"> i pro</w:t>
      </w:r>
      <w:r>
        <w:rPr>
          <w:noProof/>
          <w:color w:val="000000"/>
        </w:rPr>
        <w:t>blemy</w:t>
      </w:r>
      <w:r w:rsidR="00D12858">
        <w:rPr>
          <w:noProof/>
          <w:color w:val="000000"/>
        </w:rPr>
        <w:t xml:space="preserve"> z łąc</w:t>
      </w:r>
      <w:r>
        <w:rPr>
          <w:noProof/>
          <w:color w:val="000000"/>
        </w:rPr>
        <w:t>znością to jedne</w:t>
      </w:r>
      <w:r w:rsidR="00D12858">
        <w:rPr>
          <w:noProof/>
          <w:color w:val="000000"/>
        </w:rPr>
        <w:t xml:space="preserve"> z głó</w:t>
      </w:r>
      <w:r>
        <w:rPr>
          <w:noProof/>
          <w:color w:val="000000"/>
        </w:rPr>
        <w:t>wnych powodów, dla których rolnicy nie wykorzystują</w:t>
      </w:r>
      <w:r w:rsidR="00D12858">
        <w:rPr>
          <w:noProof/>
          <w:color w:val="000000"/>
        </w:rPr>
        <w:t xml:space="preserve"> w peł</w:t>
      </w:r>
      <w:r>
        <w:rPr>
          <w:noProof/>
          <w:color w:val="000000"/>
        </w:rPr>
        <w:t xml:space="preserve">ni fali cyfryzacji. </w:t>
      </w:r>
    </w:p>
    <w:p w14:paraId="7F884449" w14:textId="08612DB8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b/>
          <w:noProof/>
          <w:color w:val="000000"/>
        </w:rPr>
        <w:t>Priorytetem będzie zapewnienie łączności na obszarach wiejskich</w:t>
      </w:r>
      <w:r>
        <w:rPr>
          <w:noProof/>
          <w:color w:val="000000"/>
        </w:rPr>
        <w:t>, zwłaszcza na obszarach oddalonych, przy jednoczesnym wykorzystaniu możliwości oferowanych przez alternatywne rozwiązania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łączności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etwarzanie danych na obrzeżach sieci. Bardzo ważne jest też inwestowanie</w:t>
      </w:r>
      <w:r w:rsidR="00D12858">
        <w:rPr>
          <w:noProof/>
          <w:color w:val="000000"/>
        </w:rPr>
        <w:t xml:space="preserve"> w spr</w:t>
      </w:r>
      <w:r>
        <w:rPr>
          <w:noProof/>
          <w:color w:val="000000"/>
        </w:rPr>
        <w:t>zyjające środowisko, np.</w:t>
      </w:r>
      <w:r w:rsidR="00D12858">
        <w:rPr>
          <w:noProof/>
          <w:color w:val="000000"/>
        </w:rPr>
        <w:t xml:space="preserve"> w </w:t>
      </w:r>
      <w:r w:rsidR="00D12858">
        <w:rPr>
          <w:b/>
          <w:noProof/>
          <w:color w:val="000000"/>
        </w:rPr>
        <w:t>roz</w:t>
      </w:r>
      <w:r>
        <w:rPr>
          <w:b/>
          <w:noProof/>
          <w:color w:val="000000"/>
        </w:rPr>
        <w:t>wijanie przez całe życie umiejętności cyfrowych</w:t>
      </w:r>
      <w:r w:rsidR="00D12858">
        <w:rPr>
          <w:b/>
          <w:noProof/>
          <w:color w:val="000000"/>
        </w:rPr>
        <w:t xml:space="preserve"> i dor</w:t>
      </w:r>
      <w:r>
        <w:rPr>
          <w:b/>
          <w:noProof/>
          <w:color w:val="000000"/>
        </w:rPr>
        <w:t>adztwo</w:t>
      </w:r>
      <w:r>
        <w:rPr>
          <w:noProof/>
          <w:color w:val="000000"/>
        </w:rPr>
        <w:t>,</w:t>
      </w:r>
      <w:r w:rsidR="00D12858">
        <w:rPr>
          <w:noProof/>
          <w:color w:val="000000"/>
        </w:rPr>
        <w:t xml:space="preserve"> a tak</w:t>
      </w:r>
      <w:r>
        <w:rPr>
          <w:noProof/>
          <w:color w:val="000000"/>
        </w:rPr>
        <w:t>że zachęcanie do testowania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yjmowania – również zbiorowo (np. za pośrednictwem spółdzielni) – nowych rozwiązań. Należy jeszcze bardziej zintegrować</w:t>
      </w:r>
      <w:r w:rsidR="00D12858">
        <w:rPr>
          <w:noProof/>
          <w:color w:val="000000"/>
        </w:rPr>
        <w:t xml:space="preserve"> i zha</w:t>
      </w:r>
      <w:r>
        <w:rPr>
          <w:noProof/>
          <w:color w:val="000000"/>
        </w:rPr>
        <w:t xml:space="preserve">rmonizować </w:t>
      </w:r>
      <w:r>
        <w:rPr>
          <w:b/>
          <w:noProof/>
          <w:color w:val="000000"/>
        </w:rPr>
        <w:t>systemy cyfrowe</w:t>
      </w:r>
      <w:r>
        <w:rPr>
          <w:noProof/>
          <w:color w:val="000000"/>
        </w:rPr>
        <w:t>, zarówno służące gromadzeniu danych przez rolników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e podmioty systemu żywnościowego, jak</w:t>
      </w:r>
      <w:r w:rsidR="00D12858">
        <w:rPr>
          <w:noProof/>
          <w:color w:val="000000"/>
        </w:rPr>
        <w:t xml:space="preserve"> i sys</w:t>
      </w:r>
      <w:r>
        <w:rPr>
          <w:noProof/>
          <w:color w:val="000000"/>
        </w:rPr>
        <w:t xml:space="preserve">temy państw członkowskich. Komisja będzie stosować zasadę </w:t>
      </w:r>
      <w:r>
        <w:rPr>
          <w:b/>
          <w:noProof/>
          <w:color w:val="000000"/>
        </w:rPr>
        <w:t>„zbierz raz, wykorzystaj wielokrotnie”</w:t>
      </w:r>
      <w:r>
        <w:rPr>
          <w:noProof/>
          <w:color w:val="000000"/>
        </w:rPr>
        <w:t>, zmniejszając obciążenie sprawozdawcze rolników, biorąc pod uwagę istniejące</w:t>
      </w:r>
      <w:r w:rsidR="00D12858">
        <w:rPr>
          <w:noProof/>
          <w:color w:val="000000"/>
        </w:rPr>
        <w:t xml:space="preserve"> i już</w:t>
      </w:r>
      <w:r>
        <w:rPr>
          <w:noProof/>
          <w:color w:val="000000"/>
        </w:rPr>
        <w:t xml:space="preserve"> zmieniające się inicjatywy na szczeblu UE, takie jak wspólna europejska przestrzeń danych dotyczących rolnictwa.</w:t>
      </w:r>
    </w:p>
    <w:p w14:paraId="29B0AD7D" w14:textId="4A069B86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Aby sprostać tym wyzwaniom, </w:t>
      </w:r>
      <w:r>
        <w:rPr>
          <w:b/>
          <w:noProof/>
          <w:color w:val="000000"/>
        </w:rPr>
        <w:t>Komisja zainicjuje strategię cyfrową UE na rzecz rolnictwa</w:t>
      </w:r>
      <w:r>
        <w:rPr>
          <w:noProof/>
          <w:color w:val="000000"/>
        </w:rPr>
        <w:t>, aby umożliwić przejście na sektor rolnictwa</w:t>
      </w:r>
      <w:r w:rsidR="00D12858">
        <w:rPr>
          <w:noProof/>
          <w:color w:val="000000"/>
        </w:rPr>
        <w:t xml:space="preserve"> i żyw</w:t>
      </w:r>
      <w:r>
        <w:rPr>
          <w:noProof/>
          <w:color w:val="000000"/>
        </w:rPr>
        <w:t>ności gotowy do cyfryzacji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yszłościowy, unikając przy tym ewentualnych problemów</w:t>
      </w:r>
      <w:r w:rsidR="007F725E">
        <w:rPr>
          <w:rStyle w:val="FootnoteReference"/>
          <w:noProof/>
          <w:color w:val="000000"/>
        </w:rPr>
        <w:footnoteReference w:id="38"/>
      </w:r>
      <w:r>
        <w:rPr>
          <w:noProof/>
          <w:color w:val="000000"/>
        </w:rPr>
        <w:t>.</w:t>
      </w:r>
    </w:p>
    <w:p w14:paraId="79FC6FBF" w14:textId="77777777" w:rsidR="00EF513A" w:rsidRDefault="00EF513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</w:p>
    <w:p w14:paraId="6457DC55" w14:textId="6E43012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Wiedza, badania naukowe</w:t>
      </w:r>
      <w:r w:rsidR="00D12858">
        <w:rPr>
          <w:b/>
          <w:i/>
          <w:noProof/>
          <w:color w:val="000000"/>
        </w:rPr>
        <w:t xml:space="preserve"> i inn</w:t>
      </w:r>
      <w:r>
        <w:rPr>
          <w:b/>
          <w:i/>
          <w:noProof/>
          <w:color w:val="000000"/>
        </w:rPr>
        <w:t>owacje jako katalizatory zmian</w:t>
      </w:r>
    </w:p>
    <w:p w14:paraId="19ACA317" w14:textId="0D2051AB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/>
        </w:rPr>
        <w:t xml:space="preserve">Nowa </w:t>
      </w:r>
      <w:r>
        <w:rPr>
          <w:b/>
          <w:noProof/>
          <w:color w:val="000000"/>
        </w:rPr>
        <w:t>wiedza</w:t>
      </w:r>
      <w:r w:rsidR="00D12858">
        <w:rPr>
          <w:b/>
          <w:noProof/>
          <w:color w:val="000000"/>
        </w:rPr>
        <w:t xml:space="preserve"> i inn</w:t>
      </w:r>
      <w:r>
        <w:rPr>
          <w:b/>
          <w:noProof/>
          <w:color w:val="000000"/>
        </w:rPr>
        <w:t>owacje muszą szybciej i na szerszą skalę docierać do rolników</w:t>
      </w:r>
      <w:r w:rsidR="00D12858">
        <w:rPr>
          <w:b/>
          <w:noProof/>
          <w:color w:val="000000"/>
        </w:rPr>
        <w:t xml:space="preserve"> i inn</w:t>
      </w:r>
      <w:r>
        <w:rPr>
          <w:b/>
          <w:noProof/>
          <w:color w:val="000000"/>
        </w:rPr>
        <w:t>ych podmiotów systemu żywnościowego</w:t>
      </w:r>
      <w:r>
        <w:rPr>
          <w:noProof/>
          <w:color w:val="000000"/>
        </w:rPr>
        <w:t>, przy czym innowacyjne rozwiązania muszą nadawać się do stosowania</w:t>
      </w:r>
      <w:r w:rsidR="00D12858">
        <w:rPr>
          <w:noProof/>
          <w:color w:val="000000"/>
        </w:rPr>
        <w:t xml:space="preserve"> w gos</w:t>
      </w:r>
      <w:r>
        <w:rPr>
          <w:noProof/>
          <w:color w:val="000000"/>
        </w:rPr>
        <w:t>podarstwach</w:t>
      </w:r>
      <w:r w:rsidR="00D12858">
        <w:rPr>
          <w:noProof/>
          <w:color w:val="000000"/>
        </w:rPr>
        <w:t xml:space="preserve"> i zak</w:t>
      </w:r>
      <w:r>
        <w:rPr>
          <w:noProof/>
          <w:color w:val="000000"/>
        </w:rPr>
        <w:t>ładach przetwórczych. Nie zaczynamy jednak od zera. Misja „Gleba”</w:t>
      </w:r>
      <w:r w:rsidR="00D12858">
        <w:rPr>
          <w:noProof/>
          <w:color w:val="000000"/>
        </w:rPr>
        <w:t xml:space="preserve"> w ram</w:t>
      </w:r>
      <w:r>
        <w:rPr>
          <w:noProof/>
          <w:color w:val="000000"/>
        </w:rPr>
        <w:t>ach programu „Horyzont Europa” pomaga rolnikom</w:t>
      </w:r>
      <w:r w:rsidR="00D12858">
        <w:rPr>
          <w:noProof/>
          <w:color w:val="000000"/>
        </w:rPr>
        <w:t xml:space="preserve"> w prz</w:t>
      </w:r>
      <w:r>
        <w:rPr>
          <w:noProof/>
          <w:color w:val="000000"/>
        </w:rPr>
        <w:t>echodzeniu na zrównoważone praktyki glebowe, łącząc badania naukowe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owacje oraz testy</w:t>
      </w:r>
      <w:r w:rsidR="00D12858">
        <w:rPr>
          <w:noProof/>
          <w:color w:val="000000"/>
        </w:rPr>
        <w:t xml:space="preserve"> i eks</w:t>
      </w:r>
      <w:r>
        <w:rPr>
          <w:noProof/>
          <w:color w:val="000000"/>
        </w:rPr>
        <w:t>perymenty</w:t>
      </w:r>
      <w:r w:rsidR="00D12858">
        <w:rPr>
          <w:noProof/>
          <w:color w:val="000000"/>
        </w:rPr>
        <w:t xml:space="preserve"> w ter</w:t>
      </w:r>
      <w:r>
        <w:rPr>
          <w:noProof/>
          <w:color w:val="000000"/>
        </w:rPr>
        <w:t xml:space="preserve">enie, które należy kontynuować, aby </w:t>
      </w:r>
      <w:r w:rsidRPr="00D12858">
        <w:rPr>
          <w:noProof/>
          <w:color w:val="000000"/>
        </w:rPr>
        <w:t>do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2</w:t>
      </w:r>
      <w:r>
        <w:rPr>
          <w:noProof/>
          <w:color w:val="000000"/>
        </w:rPr>
        <w:t>0</w:t>
      </w:r>
      <w:r w:rsidRPr="00D12858">
        <w:rPr>
          <w:noProof/>
          <w:color w:val="000000"/>
        </w:rPr>
        <w:t>50</w:t>
      </w:r>
      <w:r w:rsidR="00D12858" w:rsidRPr="00D12858">
        <w:rPr>
          <w:noProof/>
          <w:color w:val="000000"/>
        </w:rPr>
        <w:t> </w:t>
      </w:r>
      <w:r w:rsidRPr="00D12858">
        <w:rPr>
          <w:noProof/>
          <w:color w:val="000000"/>
        </w:rPr>
        <w:t>r.</w:t>
      </w:r>
      <w:r>
        <w:rPr>
          <w:noProof/>
          <w:color w:val="000000"/>
        </w:rPr>
        <w:t xml:space="preserve"> osiągnąć dobry stan gleb w UE.</w:t>
      </w:r>
    </w:p>
    <w:p w14:paraId="0EF966A6" w14:textId="798A6265" w:rsidR="00EF513A" w:rsidRDefault="00152D0B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/>
        </w:rPr>
        <w:t>Innowacje postępują</w:t>
      </w:r>
      <w:r w:rsidR="00D12858">
        <w:rPr>
          <w:noProof/>
          <w:color w:val="000000"/>
        </w:rPr>
        <w:t xml:space="preserve"> i nal</w:t>
      </w:r>
      <w:r>
        <w:rPr>
          <w:noProof/>
          <w:color w:val="000000"/>
        </w:rPr>
        <w:t>eży je wykorzystywać. Na przykład testowanie inicjatyw regulacyjnych, nowych technologii lub modeli biznesowych</w:t>
      </w:r>
      <w:r w:rsidR="00D12858">
        <w:rPr>
          <w:noProof/>
          <w:color w:val="000000"/>
        </w:rPr>
        <w:t xml:space="preserve"> w </w:t>
      </w:r>
      <w:r w:rsidR="00D12858">
        <w:rPr>
          <w:b/>
          <w:noProof/>
          <w:color w:val="000000"/>
        </w:rPr>
        <w:t>pia</w:t>
      </w:r>
      <w:r>
        <w:rPr>
          <w:b/>
          <w:noProof/>
          <w:color w:val="000000"/>
        </w:rPr>
        <w:t>skownicach</w:t>
      </w:r>
      <w:r>
        <w:rPr>
          <w:noProof/>
          <w:color w:val="000000"/>
        </w:rPr>
        <w:t xml:space="preserve"> (np.</w:t>
      </w:r>
      <w:r w:rsidR="00D12858">
        <w:rPr>
          <w:noProof/>
          <w:color w:val="000000"/>
        </w:rPr>
        <w:t xml:space="preserve"> w odn</w:t>
      </w:r>
      <w:r>
        <w:rPr>
          <w:noProof/>
          <w:color w:val="000000"/>
        </w:rPr>
        <w:t>iesieniu do narzędzi cyfrowych</w:t>
      </w:r>
      <w:r w:rsidR="00D12858">
        <w:rPr>
          <w:noProof/>
          <w:color w:val="000000"/>
        </w:rPr>
        <w:t xml:space="preserve"> w rol</w:t>
      </w:r>
      <w:r>
        <w:rPr>
          <w:noProof/>
          <w:color w:val="000000"/>
        </w:rPr>
        <w:t xml:space="preserve">nictwie) </w:t>
      </w:r>
      <w:r>
        <w:rPr>
          <w:b/>
          <w:noProof/>
          <w:color w:val="000000"/>
        </w:rPr>
        <w:t>przed ich wdrożeniem oraz zamówienia publiczne na innowacje</w:t>
      </w:r>
      <w:r>
        <w:rPr>
          <w:noProof/>
          <w:color w:val="000000"/>
        </w:rPr>
        <w:t xml:space="preserve"> pomogą usunąć bariery, aby więcej innowacji było gotowych do wykorzystania przez rolników.</w:t>
      </w:r>
    </w:p>
    <w:p w14:paraId="10E3B81D" w14:textId="217F6AAA" w:rsidR="00EF513A" w:rsidRDefault="00BF5473">
      <w:p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</w:rPr>
      </w:pPr>
      <w:r>
        <w:rPr>
          <w:noProof/>
          <w:color w:val="000000"/>
        </w:rPr>
        <w:t xml:space="preserve">Aby wyniki były dostosowane do potrzeb rolników, należy zwiększyć skalę </w:t>
      </w:r>
      <w:r>
        <w:rPr>
          <w:b/>
          <w:noProof/>
          <w:color w:val="000000"/>
        </w:rPr>
        <w:t>współtworzenia</w:t>
      </w:r>
      <w:r>
        <w:rPr>
          <w:noProof/>
          <w:color w:val="000000"/>
        </w:rPr>
        <w:t xml:space="preserve"> wiedzy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owacji</w:t>
      </w:r>
      <w:r w:rsidR="00D12858">
        <w:rPr>
          <w:noProof/>
          <w:color w:val="000000"/>
        </w:rPr>
        <w:t xml:space="preserve"> w lok</w:t>
      </w:r>
      <w:r>
        <w:rPr>
          <w:noProof/>
          <w:color w:val="000000"/>
        </w:rPr>
        <w:t>alnych ośrodkach doświadczalnych</w:t>
      </w:r>
      <w:r w:rsidR="00D12858">
        <w:rPr>
          <w:noProof/>
          <w:color w:val="000000"/>
        </w:rPr>
        <w:t xml:space="preserve"> w gos</w:t>
      </w:r>
      <w:r>
        <w:rPr>
          <w:noProof/>
          <w:color w:val="000000"/>
        </w:rPr>
        <w:t>podarstwach</w:t>
      </w:r>
      <w:r w:rsidR="00D12858">
        <w:rPr>
          <w:noProof/>
          <w:color w:val="000000"/>
        </w:rPr>
        <w:t xml:space="preserve"> z rol</w:t>
      </w:r>
      <w:r>
        <w:rPr>
          <w:noProof/>
          <w:color w:val="000000"/>
        </w:rPr>
        <w:t>nikami, naukowcami, innowatorami</w:t>
      </w:r>
      <w:r w:rsidR="00D12858">
        <w:rPr>
          <w:noProof/>
          <w:color w:val="000000"/>
        </w:rPr>
        <w:t xml:space="preserve"> i prz</w:t>
      </w:r>
      <w:r>
        <w:rPr>
          <w:noProof/>
          <w:color w:val="000000"/>
        </w:rPr>
        <w:t>edsiębiorstwami, np.</w:t>
      </w:r>
      <w:r w:rsidR="00D12858">
        <w:rPr>
          <w:noProof/>
          <w:color w:val="000000"/>
        </w:rPr>
        <w:t xml:space="preserve"> w żyw</w:t>
      </w:r>
      <w:r>
        <w:rPr>
          <w:noProof/>
          <w:color w:val="000000"/>
        </w:rPr>
        <w:t>ych laboratoriach.</w:t>
      </w:r>
    </w:p>
    <w:p w14:paraId="0B1AE0CB" w14:textId="69DBDB8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Opracowanie </w:t>
      </w:r>
      <w:r>
        <w:rPr>
          <w:b/>
          <w:noProof/>
          <w:color w:val="000000"/>
        </w:rPr>
        <w:t>nowego strategicznego podejścia UE do badań naukowych</w:t>
      </w:r>
      <w:r w:rsidR="00D12858">
        <w:rPr>
          <w:b/>
          <w:noProof/>
          <w:color w:val="000000"/>
        </w:rPr>
        <w:t xml:space="preserve"> i inn</w:t>
      </w:r>
      <w:r>
        <w:rPr>
          <w:b/>
          <w:noProof/>
          <w:color w:val="000000"/>
        </w:rPr>
        <w:t>owacji</w:t>
      </w:r>
      <w:r w:rsidR="00D12858">
        <w:rPr>
          <w:b/>
          <w:noProof/>
          <w:color w:val="000000"/>
        </w:rPr>
        <w:t xml:space="preserve"> w cel</w:t>
      </w:r>
      <w:r>
        <w:rPr>
          <w:b/>
          <w:noProof/>
          <w:color w:val="000000"/>
        </w:rPr>
        <w:t>u poprawy konkurencyjności rolnictwa, leśnictwa</w:t>
      </w:r>
      <w:r w:rsidR="00D12858">
        <w:rPr>
          <w:b/>
          <w:noProof/>
          <w:color w:val="000000"/>
        </w:rPr>
        <w:t xml:space="preserve"> i obs</w:t>
      </w:r>
      <w:r>
        <w:rPr>
          <w:b/>
          <w:noProof/>
          <w:color w:val="000000"/>
        </w:rPr>
        <w:t>zarów wiejskich</w:t>
      </w:r>
      <w:r>
        <w:rPr>
          <w:noProof/>
          <w:color w:val="000000"/>
        </w:rPr>
        <w:t xml:space="preserve"> będzie miało zasadnicze znaczenie dla skutecznego ukierunkowania inwestycji, dostosowania przyszłych priorytetów do rozwoju naukowego</w:t>
      </w:r>
      <w:r w:rsidR="00D12858">
        <w:rPr>
          <w:noProof/>
          <w:color w:val="000000"/>
        </w:rPr>
        <w:t xml:space="preserve"> i wyk</w:t>
      </w:r>
      <w:r>
        <w:rPr>
          <w:noProof/>
          <w:color w:val="000000"/>
        </w:rPr>
        <w:t>orzystania nowych możliwości.</w:t>
      </w:r>
    </w:p>
    <w:p w14:paraId="212E7E53" w14:textId="3E8BCEE9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W ramach tego przedsięwzięcia największe znaczenie dla łączenia zasobów, talentów</w:t>
      </w:r>
      <w:r w:rsidR="00D12858">
        <w:rPr>
          <w:noProof/>
          <w:color w:val="000000"/>
        </w:rPr>
        <w:t xml:space="preserve"> i inf</w:t>
      </w:r>
      <w:r>
        <w:rPr>
          <w:noProof/>
          <w:color w:val="000000"/>
        </w:rPr>
        <w:t>rastruktur badawczych będzie miało dalsze zacieśnianie istniejących partnerstw publiczno-publicznych</w:t>
      </w:r>
      <w:r w:rsidR="00D12858">
        <w:rPr>
          <w:noProof/>
          <w:color w:val="000000"/>
        </w:rPr>
        <w:t xml:space="preserve"> i pub</w:t>
      </w:r>
      <w:r>
        <w:rPr>
          <w:noProof/>
          <w:color w:val="000000"/>
        </w:rPr>
        <w:t>liczno-prywatnych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badań naukowych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owacji oraz planowanie nowych</w:t>
      </w:r>
      <w:r w:rsidR="00D12858">
        <w:rPr>
          <w:noProof/>
          <w:color w:val="000000"/>
        </w:rPr>
        <w:t>. W tym</w:t>
      </w:r>
      <w:r>
        <w:rPr>
          <w:noProof/>
          <w:color w:val="000000"/>
        </w:rPr>
        <w:t xml:space="preserve"> względzie niezbędna jest ściślejsza współpraca ze Stałym Komitetem ds. Badań Naukowych</w:t>
      </w:r>
      <w:r w:rsidR="00D12858">
        <w:rPr>
          <w:noProof/>
          <w:color w:val="000000"/>
        </w:rPr>
        <w:t xml:space="preserve"> w dzi</w:t>
      </w:r>
      <w:r>
        <w:rPr>
          <w:noProof/>
          <w:color w:val="000000"/>
        </w:rPr>
        <w:t>edzinie Rolnictwa (SCAR)</w:t>
      </w:r>
      <w:r w:rsidRPr="00D12858">
        <w:rPr>
          <w:noProof/>
          <w:color w:val="000000"/>
        </w:rPr>
        <w:t>.</w:t>
      </w:r>
      <w:r w:rsidR="00D12858" w:rsidRPr="00D12858">
        <w:rPr>
          <w:noProof/>
          <w:color w:val="000000"/>
        </w:rPr>
        <w:t xml:space="preserve"> </w:t>
      </w:r>
      <w:r w:rsidRPr="00D12858">
        <w:rPr>
          <w:noProof/>
          <w:color w:val="000000"/>
        </w:rPr>
        <w:t>N</w:t>
      </w:r>
      <w:r>
        <w:rPr>
          <w:noProof/>
          <w:color w:val="000000"/>
        </w:rPr>
        <w:t xml:space="preserve">a arenie międzynarodowej </w:t>
      </w:r>
      <w:r>
        <w:rPr>
          <w:b/>
          <w:noProof/>
          <w:color w:val="000000"/>
        </w:rPr>
        <w:t>zacieśnienie międzynarodowych partnerstw</w:t>
      </w:r>
      <w:r w:rsidR="00D12858">
        <w:rPr>
          <w:b/>
          <w:noProof/>
          <w:color w:val="000000"/>
        </w:rPr>
        <w:t xml:space="preserve"> i wsp</w:t>
      </w:r>
      <w:r>
        <w:rPr>
          <w:b/>
          <w:noProof/>
          <w:color w:val="000000"/>
        </w:rPr>
        <w:t>ółpracy</w:t>
      </w:r>
      <w:r w:rsidR="00D12858">
        <w:rPr>
          <w:b/>
          <w:noProof/>
          <w:color w:val="000000"/>
        </w:rPr>
        <w:t xml:space="preserve"> z org</w:t>
      </w:r>
      <w:r>
        <w:rPr>
          <w:b/>
          <w:noProof/>
          <w:color w:val="000000"/>
        </w:rPr>
        <w:t>anizacjami międzynarodowymi</w:t>
      </w:r>
      <w:r>
        <w:rPr>
          <w:noProof/>
          <w:color w:val="000000"/>
        </w:rPr>
        <w:t>, takimi jak FAO, WOAH, CGIAR i OECD, pomoże</w:t>
      </w:r>
      <w:r w:rsidR="00D12858">
        <w:rPr>
          <w:noProof/>
          <w:color w:val="000000"/>
        </w:rPr>
        <w:t xml:space="preserve"> w opr</w:t>
      </w:r>
      <w:r>
        <w:rPr>
          <w:noProof/>
          <w:color w:val="000000"/>
        </w:rPr>
        <w:t>acowaniu innowacyjnych rozwiązań globalnych wyzwań oraz Agendy na rzecz zrównoważonego rozwoju 2030.</w:t>
      </w:r>
    </w:p>
    <w:p w14:paraId="0FB100EF" w14:textId="18D76D7A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Innowacje</w:t>
      </w:r>
      <w:r w:rsidR="00D12858">
        <w:rPr>
          <w:noProof/>
          <w:color w:val="000000"/>
        </w:rPr>
        <w:t xml:space="preserve"> w zak</w:t>
      </w:r>
      <w:r>
        <w:rPr>
          <w:noProof/>
          <w:color w:val="000000"/>
        </w:rPr>
        <w:t>resie hodowli roślin,</w:t>
      </w:r>
      <w:r w:rsidR="00D12858">
        <w:rPr>
          <w:noProof/>
          <w:color w:val="000000"/>
        </w:rPr>
        <w:t xml:space="preserve"> w tym</w:t>
      </w:r>
      <w:r>
        <w:rPr>
          <w:noProof/>
          <w:color w:val="000000"/>
        </w:rPr>
        <w:t xml:space="preserve"> wykorzystanie narzędzi biotechnologicznych, takich jak nowe techniki genomowe (NGT), są kluczem do przyspieszenia rozwoju odmian odpornych na zmianę klimatu, zasobooszczędnych, bogatych</w:t>
      </w:r>
      <w:r w:rsidR="00D12858">
        <w:rPr>
          <w:noProof/>
          <w:color w:val="000000"/>
        </w:rPr>
        <w:t xml:space="preserve"> w skł</w:t>
      </w:r>
      <w:r>
        <w:rPr>
          <w:noProof/>
          <w:color w:val="000000"/>
        </w:rPr>
        <w:t>adniki odżywcze</w:t>
      </w:r>
      <w:r w:rsidR="00D12858">
        <w:rPr>
          <w:noProof/>
          <w:color w:val="000000"/>
        </w:rPr>
        <w:t xml:space="preserve"> i o wys</w:t>
      </w:r>
      <w:r>
        <w:rPr>
          <w:noProof/>
          <w:color w:val="000000"/>
        </w:rPr>
        <w:t>okiej wydajności,</w:t>
      </w:r>
      <w:r w:rsidR="00D12858">
        <w:rPr>
          <w:noProof/>
          <w:color w:val="000000"/>
        </w:rPr>
        <w:t xml:space="preserve"> a tym</w:t>
      </w:r>
      <w:r>
        <w:rPr>
          <w:noProof/>
          <w:color w:val="000000"/>
        </w:rPr>
        <w:t xml:space="preserve"> samym przyczynkiem do bezpieczeństwa żywnościowego</w:t>
      </w:r>
      <w:r w:rsidR="00D12858">
        <w:rPr>
          <w:noProof/>
          <w:color w:val="000000"/>
        </w:rPr>
        <w:t xml:space="preserve"> i suw</w:t>
      </w:r>
      <w:r>
        <w:rPr>
          <w:noProof/>
          <w:color w:val="000000"/>
        </w:rPr>
        <w:t>erenności żywnościowej UE. NGT mogą również wytwarzać mikroorganizmy</w:t>
      </w:r>
      <w:r w:rsidR="00D12858">
        <w:rPr>
          <w:noProof/>
          <w:color w:val="000000"/>
        </w:rPr>
        <w:t xml:space="preserve"> o kor</w:t>
      </w:r>
      <w:r>
        <w:rPr>
          <w:noProof/>
          <w:color w:val="000000"/>
        </w:rPr>
        <w:t>zystnym oddziaływaniu na produkcję rolną, np. zmniejszające zapotrzebowanie na nawozy nieorganiczne.</w:t>
      </w:r>
    </w:p>
    <w:p w14:paraId="147D8EF1" w14:textId="7E505041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Aby czerpać korzyści</w:t>
      </w:r>
      <w:r w:rsidR="00D12858">
        <w:rPr>
          <w:noProof/>
          <w:color w:val="000000"/>
        </w:rPr>
        <w:t xml:space="preserve"> z tyc</w:t>
      </w:r>
      <w:r>
        <w:rPr>
          <w:noProof/>
          <w:color w:val="000000"/>
        </w:rPr>
        <w:t>h innowacji, potrzebujemy w UE sprzyjających ram regulacyjnych. Zapewnią one również równe warunki działania coraz liczniejszym państwom trzecim, które są</w:t>
      </w:r>
      <w:r w:rsidR="00D12858">
        <w:rPr>
          <w:noProof/>
          <w:color w:val="000000"/>
        </w:rPr>
        <w:t xml:space="preserve"> w tra</w:t>
      </w:r>
      <w:r>
        <w:rPr>
          <w:noProof/>
          <w:color w:val="000000"/>
        </w:rPr>
        <w:t>kcie dostosowywania swoich przepisów lub już go dokonały</w:t>
      </w:r>
      <w:r w:rsidR="00D12858">
        <w:rPr>
          <w:noProof/>
          <w:color w:val="000000"/>
        </w:rPr>
        <w:t>. W zwi</w:t>
      </w:r>
      <w:r>
        <w:rPr>
          <w:noProof/>
          <w:color w:val="000000"/>
        </w:rPr>
        <w:t>ązku</w:t>
      </w:r>
      <w:r w:rsidR="00D12858">
        <w:rPr>
          <w:noProof/>
          <w:color w:val="000000"/>
        </w:rPr>
        <w:t xml:space="preserve"> z tym</w:t>
      </w:r>
      <w:r>
        <w:rPr>
          <w:noProof/>
          <w:color w:val="000000"/>
        </w:rPr>
        <w:t xml:space="preserve"> szczególnie ważne jest zakończenie procedury ustawodawczej dotyczącej wniosku Komisji</w:t>
      </w:r>
      <w:r w:rsidR="00D12858">
        <w:rPr>
          <w:noProof/>
          <w:color w:val="000000"/>
        </w:rPr>
        <w:t xml:space="preserve"> w spr</w:t>
      </w:r>
      <w:r>
        <w:rPr>
          <w:noProof/>
          <w:color w:val="000000"/>
        </w:rPr>
        <w:t>awie NGT oraz szybkie wdrożenie tych przepisów. Komisja zobowiązuje się do ścisłej współpracy</w:t>
      </w:r>
      <w:r w:rsidR="00D12858">
        <w:rPr>
          <w:noProof/>
          <w:color w:val="000000"/>
        </w:rPr>
        <w:t xml:space="preserve"> z Rad</w:t>
      </w:r>
      <w:r>
        <w:rPr>
          <w:noProof/>
          <w:color w:val="000000"/>
        </w:rPr>
        <w:t>ą</w:t>
      </w:r>
      <w:r w:rsidR="00D12858">
        <w:rPr>
          <w:noProof/>
          <w:color w:val="000000"/>
        </w:rPr>
        <w:t xml:space="preserve"> i Par</w:t>
      </w:r>
      <w:r>
        <w:rPr>
          <w:noProof/>
          <w:color w:val="000000"/>
        </w:rPr>
        <w:t>lamentem Europejskim, aby</w:t>
      </w:r>
      <w:r w:rsidR="00D12858">
        <w:rPr>
          <w:noProof/>
          <w:color w:val="000000"/>
        </w:rPr>
        <w:t xml:space="preserve"> w naj</w:t>
      </w:r>
      <w:r>
        <w:rPr>
          <w:noProof/>
          <w:color w:val="000000"/>
        </w:rPr>
        <w:t>bliższej przyszłości wypracować perspektywiczny kompromis.</w:t>
      </w:r>
    </w:p>
    <w:p w14:paraId="2FE17D48" w14:textId="53BE6442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b/>
          <w:i/>
          <w:noProof/>
          <w:color w:val="000000"/>
        </w:rPr>
      </w:pPr>
      <w:r>
        <w:rPr>
          <w:b/>
          <w:i/>
          <w:noProof/>
          <w:color w:val="000000"/>
        </w:rPr>
        <w:t>Rozwój systemu wiedzy</w:t>
      </w:r>
      <w:r w:rsidR="00D12858">
        <w:rPr>
          <w:b/>
          <w:i/>
          <w:noProof/>
          <w:color w:val="000000"/>
        </w:rPr>
        <w:t xml:space="preserve"> i inn</w:t>
      </w:r>
      <w:r>
        <w:rPr>
          <w:b/>
          <w:i/>
          <w:noProof/>
          <w:color w:val="000000"/>
        </w:rPr>
        <w:t>owacji</w:t>
      </w:r>
      <w:r w:rsidR="00D12858">
        <w:rPr>
          <w:b/>
          <w:i/>
          <w:noProof/>
          <w:color w:val="000000"/>
        </w:rPr>
        <w:t xml:space="preserve"> w rol</w:t>
      </w:r>
      <w:r>
        <w:rPr>
          <w:b/>
          <w:i/>
          <w:noProof/>
          <w:color w:val="000000"/>
        </w:rPr>
        <w:t xml:space="preserve">nictwie oraz wspieranie doradztwa </w:t>
      </w:r>
    </w:p>
    <w:p w14:paraId="789002CD" w14:textId="69E2367F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>Nowa wiedza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owacje oparte na unijnych programach badań naukowych</w:t>
      </w:r>
      <w:r w:rsidR="00D12858">
        <w:rPr>
          <w:noProof/>
          <w:color w:val="000000"/>
        </w:rPr>
        <w:t xml:space="preserve"> i inn</w:t>
      </w:r>
      <w:r>
        <w:rPr>
          <w:noProof/>
          <w:color w:val="000000"/>
        </w:rPr>
        <w:t>owacji muszą być szeroko dostępne</w:t>
      </w:r>
      <w:r w:rsidR="00D12858">
        <w:rPr>
          <w:noProof/>
          <w:color w:val="000000"/>
        </w:rPr>
        <w:t xml:space="preserve"> i wyk</w:t>
      </w:r>
      <w:r>
        <w:rPr>
          <w:noProof/>
          <w:color w:val="000000"/>
        </w:rPr>
        <w:t>orzystywane</w:t>
      </w:r>
      <w:r w:rsidR="00D12858">
        <w:rPr>
          <w:noProof/>
          <w:color w:val="000000"/>
        </w:rPr>
        <w:t xml:space="preserve"> w pra</w:t>
      </w:r>
      <w:r>
        <w:rPr>
          <w:noProof/>
          <w:color w:val="000000"/>
        </w:rPr>
        <w:t xml:space="preserve">ktyce. Państwa członkowskie muszą podjąć znaczne wysiłki, aby </w:t>
      </w:r>
      <w:r>
        <w:rPr>
          <w:b/>
          <w:noProof/>
          <w:color w:val="000000"/>
        </w:rPr>
        <w:t>rozwijać system wiedzy</w:t>
      </w:r>
      <w:r w:rsidR="00D12858">
        <w:rPr>
          <w:b/>
          <w:noProof/>
          <w:color w:val="000000"/>
        </w:rPr>
        <w:t xml:space="preserve"> i inn</w:t>
      </w:r>
      <w:r>
        <w:rPr>
          <w:b/>
          <w:noProof/>
          <w:color w:val="000000"/>
        </w:rPr>
        <w:t>owacji</w:t>
      </w:r>
      <w:r w:rsidR="00D12858">
        <w:rPr>
          <w:b/>
          <w:noProof/>
          <w:color w:val="000000"/>
        </w:rPr>
        <w:t xml:space="preserve"> w rol</w:t>
      </w:r>
      <w:r>
        <w:rPr>
          <w:b/>
          <w:noProof/>
          <w:color w:val="000000"/>
        </w:rPr>
        <w:t>nictwie</w:t>
      </w:r>
      <w:r>
        <w:rPr>
          <w:noProof/>
          <w:color w:val="000000"/>
        </w:rPr>
        <w:t xml:space="preserve"> (AKIS)</w:t>
      </w:r>
      <w:r w:rsidR="00D12858">
        <w:rPr>
          <w:noProof/>
          <w:color w:val="000000"/>
        </w:rPr>
        <w:t xml:space="preserve"> i dos</w:t>
      </w:r>
      <w:r>
        <w:rPr>
          <w:noProof/>
          <w:color w:val="000000"/>
        </w:rPr>
        <w:t xml:space="preserve">tosować zasoby do szerokiego wachlarza potrzeb sektora, </w:t>
      </w:r>
      <w:r>
        <w:rPr>
          <w:noProof/>
          <w:color w:val="000000" w:themeColor="text1"/>
        </w:rPr>
        <w:t>przede wszystkim, aby skuteczniej pomagać rolnikom</w:t>
      </w:r>
      <w:r w:rsidR="00D12858">
        <w:rPr>
          <w:noProof/>
          <w:color w:val="000000" w:themeColor="text1"/>
        </w:rPr>
        <w:t xml:space="preserve"> w prz</w:t>
      </w:r>
      <w:r>
        <w:rPr>
          <w:noProof/>
          <w:color w:val="000000" w:themeColor="text1"/>
        </w:rPr>
        <w:t>echodzeniu na zrównoważone modele</w:t>
      </w:r>
      <w:r w:rsidR="00D12858">
        <w:rPr>
          <w:noProof/>
          <w:color w:val="000000"/>
        </w:rPr>
        <w:t>. Z teg</w:t>
      </w:r>
      <w:r>
        <w:rPr>
          <w:noProof/>
          <w:color w:val="000000"/>
        </w:rPr>
        <w:t xml:space="preserve">o powodu WPR będzie nadal zdecydowanie wspierać wdrażanie strategii AKIS, których podstawą jest europejskie partnerstwo innowacyjne (EPI) AGRI. Będzie również promować dalsze wzmocnienie roli </w:t>
      </w:r>
      <w:r>
        <w:rPr>
          <w:b/>
          <w:noProof/>
          <w:color w:val="000000"/>
        </w:rPr>
        <w:t>niezależnych</w:t>
      </w:r>
      <w:r w:rsidR="00D12858">
        <w:rPr>
          <w:b/>
          <w:noProof/>
          <w:color w:val="000000"/>
        </w:rPr>
        <w:t xml:space="preserve"> i kom</w:t>
      </w:r>
      <w:r>
        <w:rPr>
          <w:b/>
          <w:noProof/>
          <w:color w:val="000000"/>
        </w:rPr>
        <w:t>petentnych doradców</w:t>
      </w:r>
      <w:r>
        <w:rPr>
          <w:noProof/>
          <w:color w:val="000000"/>
        </w:rPr>
        <w:t xml:space="preserve"> oraz opracowywanie </w:t>
      </w:r>
      <w:r>
        <w:rPr>
          <w:b/>
          <w:noProof/>
          <w:color w:val="000000"/>
        </w:rPr>
        <w:t>atrakcyjnych ofert szkoleniowych</w:t>
      </w:r>
      <w:r>
        <w:rPr>
          <w:noProof/>
          <w:color w:val="000000"/>
        </w:rPr>
        <w:t>, które odpowiadają potrzebom rolników</w:t>
      </w:r>
      <w:r w:rsidR="00D12858">
        <w:rPr>
          <w:noProof/>
          <w:color w:val="000000"/>
        </w:rPr>
        <w:t xml:space="preserve"> w cał</w:t>
      </w:r>
      <w:r>
        <w:rPr>
          <w:noProof/>
          <w:color w:val="000000"/>
        </w:rPr>
        <w:t xml:space="preserve">ym ich życiu zawodowym i są szczególnie dostosowane do </w:t>
      </w:r>
      <w:r>
        <w:rPr>
          <w:b/>
          <w:noProof/>
          <w:color w:val="000000"/>
        </w:rPr>
        <w:t>zmieniającego się zapotrzebowania na umiejętności</w:t>
      </w:r>
      <w:r>
        <w:rPr>
          <w:noProof/>
          <w:color w:val="000000"/>
        </w:rPr>
        <w:t xml:space="preserve"> nowego pokolenia rolników</w:t>
      </w:r>
      <w:r w:rsidR="00D12858">
        <w:rPr>
          <w:noProof/>
          <w:color w:val="000000"/>
        </w:rPr>
        <w:t xml:space="preserve"> i jeg</w:t>
      </w:r>
      <w:r>
        <w:rPr>
          <w:noProof/>
          <w:color w:val="000000"/>
        </w:rPr>
        <w:t>o perspektyw zawodowych.</w:t>
      </w:r>
    </w:p>
    <w:p w14:paraId="2010BDF6" w14:textId="33C8A91D" w:rsidR="00DE1580" w:rsidRPr="00DE1580" w:rsidRDefault="00DE1580" w:rsidP="00DE158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  <w:r>
        <w:rPr>
          <w:noProof/>
          <w:color w:val="000000"/>
        </w:rPr>
        <w:t xml:space="preserve">Rozwiązanie problemu </w:t>
      </w:r>
      <w:r>
        <w:rPr>
          <w:b/>
          <w:noProof/>
          <w:color w:val="000000"/>
        </w:rPr>
        <w:t>niedoboru</w:t>
      </w:r>
      <w:r w:rsidR="00D12858">
        <w:rPr>
          <w:b/>
          <w:noProof/>
          <w:color w:val="000000"/>
        </w:rPr>
        <w:t xml:space="preserve"> i nie</w:t>
      </w:r>
      <w:r>
        <w:rPr>
          <w:b/>
          <w:noProof/>
          <w:color w:val="000000"/>
        </w:rPr>
        <w:t>dopasowania umiejętności</w:t>
      </w:r>
      <w:r w:rsidR="00D12858">
        <w:rPr>
          <w:noProof/>
          <w:color w:val="000000"/>
        </w:rPr>
        <w:t xml:space="preserve"> w sek</w:t>
      </w:r>
      <w:r>
        <w:rPr>
          <w:noProof/>
          <w:color w:val="000000"/>
        </w:rPr>
        <w:t>torze rolnictwa poprzez przewidywanie</w:t>
      </w:r>
      <w:r w:rsidR="00D12858">
        <w:rPr>
          <w:noProof/>
          <w:color w:val="000000"/>
        </w:rPr>
        <w:t xml:space="preserve"> i spe</w:t>
      </w:r>
      <w:r>
        <w:rPr>
          <w:noProof/>
          <w:color w:val="000000"/>
        </w:rPr>
        <w:t>cjalne inwestycje</w:t>
      </w:r>
      <w:r w:rsidR="00D12858">
        <w:rPr>
          <w:noProof/>
          <w:color w:val="000000"/>
        </w:rPr>
        <w:t xml:space="preserve"> w wys</w:t>
      </w:r>
      <w:r>
        <w:rPr>
          <w:noProof/>
          <w:color w:val="000000"/>
        </w:rPr>
        <w:t>okiej jakości szkolenia</w:t>
      </w:r>
      <w:r w:rsidR="00D12858">
        <w:rPr>
          <w:noProof/>
          <w:color w:val="000000"/>
        </w:rPr>
        <w:t xml:space="preserve"> i dor</w:t>
      </w:r>
      <w:r>
        <w:rPr>
          <w:noProof/>
          <w:color w:val="000000"/>
        </w:rPr>
        <w:t>adztwo będzie kluczem do przyciągnięcia nowego pokolenia utalentowanych przedsiębiorców rolnych oraz stworzenia konkurencyjnego, zrównoważonego</w:t>
      </w:r>
      <w:r w:rsidR="00D12858">
        <w:rPr>
          <w:noProof/>
          <w:color w:val="000000"/>
        </w:rPr>
        <w:t xml:space="preserve"> i odp</w:t>
      </w:r>
      <w:r>
        <w:rPr>
          <w:noProof/>
          <w:color w:val="000000"/>
        </w:rPr>
        <w:t>ornego rolnictwa</w:t>
      </w:r>
      <w:r w:rsidR="00D12858">
        <w:rPr>
          <w:noProof/>
          <w:color w:val="000000"/>
        </w:rPr>
        <w:t xml:space="preserve"> i sys</w:t>
      </w:r>
      <w:r>
        <w:rPr>
          <w:noProof/>
          <w:color w:val="000000"/>
        </w:rPr>
        <w:t xml:space="preserve">temu żywnościowego. Przyszła </w:t>
      </w:r>
      <w:r>
        <w:rPr>
          <w:b/>
          <w:noProof/>
          <w:color w:val="000000"/>
        </w:rPr>
        <w:t>unia umiejętności</w:t>
      </w:r>
      <w:r>
        <w:rPr>
          <w:noProof/>
          <w:color w:val="000000"/>
        </w:rPr>
        <w:t xml:space="preserve"> nada impuls bardziej strategicznemu podejściu do sprzyjającego włączeniu społecznemu uczenia się przez całe życie</w:t>
      </w:r>
      <w:r w:rsidR="00D12858">
        <w:rPr>
          <w:noProof/>
          <w:color w:val="000000"/>
        </w:rPr>
        <w:t xml:space="preserve"> i roz</w:t>
      </w:r>
      <w:r>
        <w:rPr>
          <w:noProof/>
          <w:color w:val="000000"/>
        </w:rPr>
        <w:t>woju umiejętności</w:t>
      </w:r>
      <w:r w:rsidR="00D12858">
        <w:rPr>
          <w:noProof/>
          <w:color w:val="000000"/>
        </w:rPr>
        <w:t xml:space="preserve"> w rol</w:t>
      </w:r>
      <w:r>
        <w:rPr>
          <w:noProof/>
          <w:color w:val="000000"/>
        </w:rPr>
        <w:t>nictwie oraz jak najlepszemu wykorzystywaniu dostępnych narzędzi, aby zawód rolnika był postrzegany jako atrakcyjny</w:t>
      </w:r>
      <w:r w:rsidR="00D12858">
        <w:rPr>
          <w:noProof/>
          <w:color w:val="000000"/>
        </w:rPr>
        <w:t xml:space="preserve"> i int</w:t>
      </w:r>
      <w:r>
        <w:rPr>
          <w:noProof/>
          <w:color w:val="000000"/>
        </w:rPr>
        <w:t>eresujący wybór kariery zawodowej.</w:t>
      </w:r>
    </w:p>
    <w:p w14:paraId="033E7B86" w14:textId="77777777" w:rsidR="00DE1580" w:rsidRDefault="00DE1580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noProof/>
          <w:color w:val="000000"/>
        </w:rPr>
      </w:pPr>
    </w:p>
    <w:p w14:paraId="47C875E6" w14:textId="78801CD3" w:rsidR="00EF513A" w:rsidRDefault="005E406F" w:rsidP="00774419">
      <w:pPr>
        <w:pStyle w:val="Heading1"/>
        <w:ind w:left="360" w:hanging="360"/>
        <w:rPr>
          <w:noProof/>
        </w:rPr>
      </w:pPr>
      <w:bookmarkStart w:id="22" w:name="_2s8eyo1"/>
      <w:bookmarkStart w:id="23" w:name="_Toc191630906"/>
      <w:bookmarkEnd w:id="22"/>
      <w:r>
        <w:rPr>
          <w:noProof/>
        </w:rPr>
        <w:t>5.</w:t>
      </w:r>
      <w:r>
        <w:rPr>
          <w:noProof/>
        </w:rPr>
        <w:tab/>
        <w:t>WNIOSKI</w:t>
      </w:r>
      <w:bookmarkEnd w:id="23"/>
    </w:p>
    <w:p w14:paraId="705FC31B" w14:textId="6573B580" w:rsidR="00EF513A" w:rsidRDefault="00BF5473">
      <w:pPr>
        <w:rPr>
          <w:noProof/>
        </w:rPr>
      </w:pPr>
      <w:r>
        <w:rPr>
          <w:noProof/>
        </w:rPr>
        <w:t>W niniejszym komunikacie przedstawiono refleksję Komisji na temat przyszłości rolnictwa</w:t>
      </w:r>
      <w:r w:rsidR="00D12858">
        <w:rPr>
          <w:noProof/>
        </w:rPr>
        <w:t xml:space="preserve"> i żyw</w:t>
      </w:r>
      <w:r>
        <w:rPr>
          <w:noProof/>
        </w:rPr>
        <w:t>ności</w:t>
      </w:r>
      <w:r w:rsidR="00D12858">
        <w:rPr>
          <w:noProof/>
        </w:rPr>
        <w:t xml:space="preserve"> w Eur</w:t>
      </w:r>
      <w:r>
        <w:rPr>
          <w:noProof/>
        </w:rPr>
        <w:t>opie. Europejski sektor rolno-spożywczy ma wiele mocnych stron</w:t>
      </w:r>
      <w:r w:rsidR="00D12858">
        <w:rPr>
          <w:noProof/>
        </w:rPr>
        <w:t xml:space="preserve"> i jes</w:t>
      </w:r>
      <w:r>
        <w:rPr>
          <w:noProof/>
        </w:rPr>
        <w:t>t liderem pod względem zdrowia, bezpieczeństwa, jakości, zrównoważonego rozwoju</w:t>
      </w:r>
      <w:r w:rsidR="00D12858">
        <w:rPr>
          <w:noProof/>
        </w:rPr>
        <w:t xml:space="preserve"> i inn</w:t>
      </w:r>
      <w:r>
        <w:rPr>
          <w:noProof/>
        </w:rPr>
        <w:t>owacji</w:t>
      </w:r>
      <w:r w:rsidR="00D12858">
        <w:rPr>
          <w:noProof/>
        </w:rPr>
        <w:t xml:space="preserve"> w pro</w:t>
      </w:r>
      <w:r>
        <w:rPr>
          <w:noProof/>
        </w:rPr>
        <w:t>dukcji żywności. Musimy wykorzystać te mocne strony</w:t>
      </w:r>
      <w:r w:rsidR="00D12858">
        <w:rPr>
          <w:noProof/>
        </w:rPr>
        <w:t>. W obe</w:t>
      </w:r>
      <w:r>
        <w:rPr>
          <w:noProof/>
        </w:rPr>
        <w:t xml:space="preserve">cnym kontekście geopolitycznym Unia musi jednak </w:t>
      </w:r>
      <w:r>
        <w:rPr>
          <w:b/>
          <w:noProof/>
        </w:rPr>
        <w:t>dopracować swoją strategię reagowania</w:t>
      </w:r>
      <w:r>
        <w:rPr>
          <w:noProof/>
        </w:rPr>
        <w:t xml:space="preserve"> na wyzwania stojące przed rolnikami, rybakami, innymi podmiotami wiejskimi</w:t>
      </w:r>
      <w:r w:rsidR="00D12858">
        <w:rPr>
          <w:noProof/>
        </w:rPr>
        <w:t xml:space="preserve"> i sek</w:t>
      </w:r>
      <w:r>
        <w:rPr>
          <w:noProof/>
        </w:rPr>
        <w:t xml:space="preserve">torem rolno-spożywczym oraz przygotować się na przyszłość, podejmując </w:t>
      </w:r>
      <w:r>
        <w:rPr>
          <w:b/>
          <w:noProof/>
        </w:rPr>
        <w:t>bardziej asertywne działania polityczne na rzecz naszej strategicznej autonomii</w:t>
      </w:r>
      <w:r w:rsidR="00D12858">
        <w:rPr>
          <w:b/>
          <w:noProof/>
        </w:rPr>
        <w:t xml:space="preserve"> i suw</w:t>
      </w:r>
      <w:r>
        <w:rPr>
          <w:b/>
          <w:noProof/>
        </w:rPr>
        <w:t>erenności żywnościowej</w:t>
      </w:r>
      <w:r>
        <w:rPr>
          <w:noProof/>
        </w:rPr>
        <w:t>,</w:t>
      </w:r>
      <w:r w:rsidR="00D12858">
        <w:rPr>
          <w:noProof/>
        </w:rPr>
        <w:t xml:space="preserve"> a jed</w:t>
      </w:r>
      <w:r>
        <w:rPr>
          <w:noProof/>
        </w:rPr>
        <w:t>nocześnie realizując swoje cele ochrony przyrody</w:t>
      </w:r>
      <w:r w:rsidR="00D12858">
        <w:rPr>
          <w:noProof/>
        </w:rPr>
        <w:t xml:space="preserve"> i obn</w:t>
      </w:r>
      <w:r>
        <w:rPr>
          <w:noProof/>
        </w:rPr>
        <w:t xml:space="preserve">iżenia emisyjności. Ta reakcja polityczna łączy się ze </w:t>
      </w:r>
      <w:r>
        <w:rPr>
          <w:b/>
          <w:noProof/>
        </w:rPr>
        <w:t>wspólną wizją</w:t>
      </w:r>
      <w:r>
        <w:rPr>
          <w:noProof/>
        </w:rPr>
        <w:t xml:space="preserve">, która </w:t>
      </w:r>
      <w:r>
        <w:rPr>
          <w:b/>
          <w:noProof/>
        </w:rPr>
        <w:t>ukształtuje prace Komisji podczas całego mandatu</w:t>
      </w:r>
      <w:r>
        <w:rPr>
          <w:noProof/>
        </w:rPr>
        <w:t xml:space="preserve"> we wszystkich obszarach polityki, które mają wpływ na rolnictwo</w:t>
      </w:r>
      <w:r w:rsidR="00D12858">
        <w:rPr>
          <w:noProof/>
        </w:rPr>
        <w:t xml:space="preserve"> i żyw</w:t>
      </w:r>
      <w:r>
        <w:rPr>
          <w:noProof/>
        </w:rPr>
        <w:t>ność.</w:t>
      </w:r>
    </w:p>
    <w:p w14:paraId="24CCD8BF" w14:textId="375460E5" w:rsidR="00EF513A" w:rsidRDefault="00BF5473">
      <w:pPr>
        <w:rPr>
          <w:noProof/>
        </w:rPr>
      </w:pPr>
      <w:r>
        <w:rPr>
          <w:noProof/>
        </w:rPr>
        <w:t>Realizacja tej wizji musi wykroczyć poza poziom UE. Wymaga ona, aby nowe pokolenia rolników, podmiotów sektora rolno-spożywczego, świadomych konsumentów</w:t>
      </w:r>
      <w:r w:rsidR="00D12858">
        <w:rPr>
          <w:noProof/>
        </w:rPr>
        <w:t xml:space="preserve"> i spo</w:t>
      </w:r>
      <w:r>
        <w:rPr>
          <w:noProof/>
        </w:rPr>
        <w:t>łeczności wiejskich przejęły pałeczkę od obecnego pokolenia jako przedsiębiorcy, strażnicy obszarów wiejskich</w:t>
      </w:r>
      <w:r w:rsidR="00D12858">
        <w:rPr>
          <w:noProof/>
        </w:rPr>
        <w:t xml:space="preserve"> i ini</w:t>
      </w:r>
      <w:r>
        <w:rPr>
          <w:noProof/>
        </w:rPr>
        <w:t>cjatorzy zmian. Do tego potrzebujemy zintensyfikować dialog</w:t>
      </w:r>
      <w:r w:rsidR="00D12858">
        <w:rPr>
          <w:noProof/>
        </w:rPr>
        <w:t xml:space="preserve"> z ins</w:t>
      </w:r>
      <w:r>
        <w:rPr>
          <w:noProof/>
        </w:rPr>
        <w:t>tytucjami UE, władzami krajowymi, regionalnymi</w:t>
      </w:r>
      <w:r w:rsidR="00D12858">
        <w:rPr>
          <w:noProof/>
        </w:rPr>
        <w:t xml:space="preserve"> i lok</w:t>
      </w:r>
      <w:r>
        <w:rPr>
          <w:noProof/>
        </w:rPr>
        <w:t>alnymi oraz</w:t>
      </w:r>
      <w:r w:rsidR="00D12858">
        <w:rPr>
          <w:noProof/>
        </w:rPr>
        <w:t xml:space="preserve"> z nas</w:t>
      </w:r>
      <w:r>
        <w:rPr>
          <w:noProof/>
        </w:rPr>
        <w:t>zymi partnerami międzynarodowymi na wszystkich szczeblach sprawowania rządów.</w:t>
      </w:r>
    </w:p>
    <w:p w14:paraId="61A3EDA1" w14:textId="46596261" w:rsidR="00EF513A" w:rsidRDefault="00BF5473">
      <w:pPr>
        <w:rPr>
          <w:noProof/>
        </w:rPr>
      </w:pPr>
      <w:r>
        <w:rPr>
          <w:noProof/>
        </w:rPr>
        <w:t>Dlatego niniejszy komunikat rozpoczyna dialog, aby wzbogacić refleksję Komisji na temat dalszych działań</w:t>
      </w:r>
      <w:r w:rsidR="00D12858">
        <w:rPr>
          <w:noProof/>
        </w:rPr>
        <w:t xml:space="preserve"> w odn</w:t>
      </w:r>
      <w:r>
        <w:rPr>
          <w:noProof/>
        </w:rPr>
        <w:t>iesieniu do czterech obszarów priorytetowych</w:t>
      </w:r>
      <w:r w:rsidR="00D12858">
        <w:rPr>
          <w:noProof/>
        </w:rPr>
        <w:t xml:space="preserve"> i war</w:t>
      </w:r>
      <w:r>
        <w:rPr>
          <w:noProof/>
        </w:rPr>
        <w:t>unkujących je czynników. Wiele poruszonych</w:t>
      </w:r>
      <w:r w:rsidR="00D12858">
        <w:rPr>
          <w:noProof/>
        </w:rPr>
        <w:t xml:space="preserve"> w nim</w:t>
      </w:r>
      <w:r>
        <w:rPr>
          <w:noProof/>
        </w:rPr>
        <w:t xml:space="preserve"> kwestii jest drażliwych</w:t>
      </w:r>
      <w:r w:rsidR="00D12858">
        <w:rPr>
          <w:noProof/>
        </w:rPr>
        <w:t xml:space="preserve"> i czę</w:t>
      </w:r>
      <w:r>
        <w:rPr>
          <w:noProof/>
        </w:rPr>
        <w:t>sto trudno osiągnąć wokół nich konsensus społeczny,</w:t>
      </w:r>
      <w:r w:rsidR="00D12858">
        <w:rPr>
          <w:noProof/>
        </w:rPr>
        <w:t xml:space="preserve"> w szc</w:t>
      </w:r>
      <w:r>
        <w:rPr>
          <w:noProof/>
        </w:rPr>
        <w:t>zególności</w:t>
      </w:r>
      <w:r w:rsidR="00D12858">
        <w:rPr>
          <w:noProof/>
        </w:rPr>
        <w:t xml:space="preserve"> w odn</w:t>
      </w:r>
      <w:r>
        <w:rPr>
          <w:noProof/>
        </w:rPr>
        <w:t>iesieniu do aspektów związanych</w:t>
      </w:r>
      <w:r w:rsidR="00D12858">
        <w:rPr>
          <w:noProof/>
        </w:rPr>
        <w:t xml:space="preserve"> z żyw</w:t>
      </w:r>
      <w:r>
        <w:rPr>
          <w:noProof/>
        </w:rPr>
        <w:t>nością, produkcją zwierzęcą</w:t>
      </w:r>
      <w:r w:rsidR="00D12858">
        <w:rPr>
          <w:noProof/>
        </w:rPr>
        <w:t xml:space="preserve"> i prz</w:t>
      </w:r>
      <w:r>
        <w:rPr>
          <w:noProof/>
        </w:rPr>
        <w:t>yszłością WPR. Dlatego też rozpoczęto już prace nad pogłębieniem tych najważniejszych kwestii</w:t>
      </w:r>
      <w:r w:rsidR="00D12858">
        <w:rPr>
          <w:noProof/>
        </w:rPr>
        <w:t xml:space="preserve"> i zna</w:t>
      </w:r>
      <w:r>
        <w:rPr>
          <w:noProof/>
        </w:rPr>
        <w:t>lezieniem rozwiązań</w:t>
      </w:r>
      <w:r w:rsidR="00D12858">
        <w:rPr>
          <w:noProof/>
        </w:rPr>
        <w:t xml:space="preserve"> w ści</w:t>
      </w:r>
      <w:r>
        <w:rPr>
          <w:noProof/>
        </w:rPr>
        <w:t>słej współpracy</w:t>
      </w:r>
      <w:r w:rsidR="00D12858">
        <w:rPr>
          <w:noProof/>
        </w:rPr>
        <w:t xml:space="preserve"> z odp</w:t>
      </w:r>
      <w:r>
        <w:rPr>
          <w:noProof/>
        </w:rPr>
        <w:t>owiednimi zainteresowanymi stronami</w:t>
      </w:r>
      <w:r w:rsidR="00D12858">
        <w:rPr>
          <w:noProof/>
        </w:rPr>
        <w:t xml:space="preserve"> i dec</w:t>
      </w:r>
      <w:r>
        <w:rPr>
          <w:noProof/>
        </w:rPr>
        <w:t>ydentami politycznymi. Doświadczenie pokazuje, że</w:t>
      </w:r>
      <w:r w:rsidR="00D12858">
        <w:rPr>
          <w:noProof/>
        </w:rPr>
        <w:t xml:space="preserve"> w tak</w:t>
      </w:r>
      <w:r>
        <w:rPr>
          <w:noProof/>
        </w:rPr>
        <w:t xml:space="preserve"> zróżnicowanym sektorze nie można stosować uniwersalnych rozwiązań,</w:t>
      </w:r>
      <w:r w:rsidR="00D12858">
        <w:rPr>
          <w:noProof/>
        </w:rPr>
        <w:t xml:space="preserve"> a dia</w:t>
      </w:r>
      <w:r>
        <w:rPr>
          <w:noProof/>
        </w:rPr>
        <w:t>log strategiczny wskazał na potrzebę reakcji terytorialnej</w:t>
      </w:r>
      <w:r w:rsidR="00D12858">
        <w:rPr>
          <w:noProof/>
        </w:rPr>
        <w:t xml:space="preserve"> i dos</w:t>
      </w:r>
      <w:r>
        <w:rPr>
          <w:noProof/>
        </w:rPr>
        <w:t>tosowanej do potrzeb.</w:t>
      </w:r>
    </w:p>
    <w:p w14:paraId="68E015F3" w14:textId="1E6AB208" w:rsidR="00EF513A" w:rsidRDefault="00BF5473">
      <w:pPr>
        <w:rPr>
          <w:noProof/>
        </w:rPr>
      </w:pPr>
      <w:r>
        <w:rPr>
          <w:noProof/>
        </w:rPr>
        <w:t>Komisja zwraca się do Parlamentu Europejskiego, Rady, Europejskiego Komitetu Ekonomiczno-Społecznego, Komitetu Regionów, partnerów społecznych</w:t>
      </w:r>
      <w:r w:rsidR="00D12858">
        <w:rPr>
          <w:noProof/>
        </w:rPr>
        <w:t xml:space="preserve"> i wsz</w:t>
      </w:r>
      <w:r>
        <w:rPr>
          <w:noProof/>
        </w:rPr>
        <w:t>ystkich zainteresowanych stron</w:t>
      </w:r>
      <w:r w:rsidR="00D12858">
        <w:rPr>
          <w:noProof/>
        </w:rPr>
        <w:t xml:space="preserve"> o akt</w:t>
      </w:r>
      <w:r>
        <w:rPr>
          <w:noProof/>
        </w:rPr>
        <w:t>ywny wkład</w:t>
      </w:r>
      <w:r w:rsidR="00D12858">
        <w:rPr>
          <w:noProof/>
        </w:rPr>
        <w:t xml:space="preserve"> w opr</w:t>
      </w:r>
      <w:r>
        <w:rPr>
          <w:noProof/>
        </w:rPr>
        <w:t>acowanie</w:t>
      </w:r>
      <w:r w:rsidR="00D12858">
        <w:rPr>
          <w:noProof/>
        </w:rPr>
        <w:t xml:space="preserve"> i rea</w:t>
      </w:r>
      <w:r>
        <w:rPr>
          <w:noProof/>
        </w:rPr>
        <w:t>lizację inicjatyw opisanych</w:t>
      </w:r>
      <w:r w:rsidR="00D12858">
        <w:rPr>
          <w:noProof/>
        </w:rPr>
        <w:t xml:space="preserve"> w nin</w:t>
      </w:r>
      <w:r>
        <w:rPr>
          <w:noProof/>
        </w:rPr>
        <w:t>iejszym komunikacie.</w:t>
      </w:r>
    </w:p>
    <w:sectPr w:rsidR="00EF513A" w:rsidSect="005C7E8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020" w:right="1701" w:bottom="1020" w:left="1587" w:header="601" w:footer="107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4B3E0" w14:textId="77777777" w:rsidR="00A21847" w:rsidRDefault="00A21847">
      <w:pPr>
        <w:spacing w:after="0"/>
      </w:pPr>
      <w:r>
        <w:separator/>
      </w:r>
    </w:p>
  </w:endnote>
  <w:endnote w:type="continuationSeparator" w:id="0">
    <w:p w14:paraId="698E29C2" w14:textId="77777777" w:rsidR="00A21847" w:rsidRDefault="00A21847">
      <w:pPr>
        <w:spacing w:after="0"/>
      </w:pPr>
      <w:r>
        <w:continuationSeparator/>
      </w:r>
    </w:p>
  </w:endnote>
  <w:endnote w:type="continuationNotice" w:id="1">
    <w:p w14:paraId="23B9A2FD" w14:textId="77777777" w:rsidR="00A21847" w:rsidRDefault="00A2184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2F38" w14:textId="4E3310A8" w:rsidR="003E3CB6" w:rsidRPr="003E3CB6" w:rsidRDefault="003E3CB6" w:rsidP="003E3CB6">
    <w:pPr>
      <w:pStyle w:val="FooterCoverPage"/>
      <w:rPr>
        <w:rFonts w:ascii="Arial" w:hAnsi="Arial" w:cs="Arial"/>
        <w:b/>
        <w:sz w:val="48"/>
      </w:rPr>
    </w:pPr>
    <w:r w:rsidRPr="003E3CB6">
      <w:rPr>
        <w:rFonts w:ascii="Arial" w:hAnsi="Arial" w:cs="Arial"/>
        <w:b/>
        <w:sz w:val="48"/>
      </w:rPr>
      <w:t>PL</w:t>
    </w:r>
    <w:r w:rsidRPr="003E3CB6">
      <w:rPr>
        <w:rFonts w:ascii="Arial" w:hAnsi="Arial" w:cs="Arial"/>
        <w:b/>
        <w:sz w:val="48"/>
      </w:rPr>
      <w:tab/>
    </w:r>
    <w:r w:rsidRPr="003E3CB6">
      <w:rPr>
        <w:rFonts w:ascii="Arial" w:hAnsi="Arial" w:cs="Arial"/>
        <w:b/>
        <w:sz w:val="48"/>
      </w:rPr>
      <w:tab/>
    </w:r>
    <w:r w:rsidRPr="003E3CB6">
      <w:tab/>
    </w:r>
    <w:r w:rsidRPr="003E3CB6">
      <w:rPr>
        <w:rFonts w:ascii="Arial" w:hAnsi="Arial" w:cs="Arial"/>
        <w:b/>
        <w:sz w:val="48"/>
      </w:rPr>
      <w:t>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3054A" w14:textId="1306E7C1" w:rsidR="003E3CB6" w:rsidRPr="003E3CB6" w:rsidRDefault="003E3CB6" w:rsidP="003E3CB6">
    <w:pPr>
      <w:pStyle w:val="FooterCoverPage"/>
      <w:rPr>
        <w:rFonts w:ascii="Arial" w:hAnsi="Arial" w:cs="Arial"/>
        <w:b/>
        <w:sz w:val="48"/>
      </w:rPr>
    </w:pPr>
    <w:r w:rsidRPr="003E3CB6">
      <w:rPr>
        <w:rFonts w:ascii="Arial" w:hAnsi="Arial" w:cs="Arial"/>
        <w:b/>
        <w:sz w:val="48"/>
      </w:rPr>
      <w:t>PL</w:t>
    </w:r>
    <w:r w:rsidRPr="003E3CB6">
      <w:rPr>
        <w:rFonts w:ascii="Arial" w:hAnsi="Arial" w:cs="Arial"/>
        <w:b/>
        <w:sz w:val="48"/>
      </w:rPr>
      <w:tab/>
    </w:r>
    <w:r w:rsidRPr="003E3CB6">
      <w:rPr>
        <w:rFonts w:ascii="Arial" w:hAnsi="Arial" w:cs="Arial"/>
        <w:b/>
        <w:sz w:val="48"/>
      </w:rPr>
      <w:tab/>
    </w:r>
    <w:r w:rsidRPr="003E3CB6">
      <w:tab/>
    </w:r>
    <w:r w:rsidRPr="003E3CB6">
      <w:rPr>
        <w:rFonts w:ascii="Arial" w:hAnsi="Arial" w:cs="Arial"/>
        <w:b/>
        <w:sz w:val="48"/>
      </w:rPr>
      <w:t>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4D651" w14:textId="77777777" w:rsidR="003E3CB6" w:rsidRPr="003E3CB6" w:rsidRDefault="003E3CB6" w:rsidP="003E3CB6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C6DF1" w14:textId="77777777" w:rsidR="00552F94" w:rsidRPr="006A1CC6" w:rsidRDefault="00552F94" w:rsidP="006A1CC6">
    <w:pPr>
      <w:pStyle w:val="FooterCoverPage"/>
      <w:rPr>
        <w:rFonts w:ascii="Arial" w:hAnsi="Arial" w:cs="Arial"/>
        <w:b/>
        <w:sz w:val="48"/>
      </w:rPr>
    </w:pPr>
    <w:r>
      <w:rPr>
        <w:rFonts w:ascii="Arial" w:hAnsi="Arial"/>
        <w:b/>
        <w:sz w:val="48"/>
      </w:rPr>
      <w:t>EN</w:t>
    </w:r>
    <w:r>
      <w:rPr>
        <w:rFonts w:ascii="Arial" w:hAnsi="Arial"/>
        <w:b/>
        <w:sz w:val="48"/>
      </w:rPr>
      <w:tab/>
    </w:r>
    <w:r>
      <w:rPr>
        <w:rFonts w:ascii="Arial" w:hAnsi="Arial"/>
        <w:b/>
        <w:sz w:val="48"/>
      </w:rPr>
      <w:tab/>
    </w:r>
    <w:r>
      <w:tab/>
    </w:r>
    <w:r>
      <w:rPr>
        <w:rFonts w:ascii="Arial" w:hAnsi="Arial"/>
        <w:b/>
        <w:sz w:val="48"/>
      </w:rPr>
      <w:t>EN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3337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7F81B" w14:textId="54E40245" w:rsidR="0017748F" w:rsidRDefault="0017748F">
        <w:pPr>
          <w:pStyle w:val="Footer"/>
          <w:jc w:val="center"/>
        </w:pPr>
        <w:r w:rsidRPr="0017748F">
          <w:rPr>
            <w:sz w:val="16"/>
          </w:rPr>
          <w:fldChar w:fldCharType="begin"/>
        </w:r>
        <w:r w:rsidRPr="0017748F">
          <w:rPr>
            <w:sz w:val="16"/>
          </w:rPr>
          <w:instrText xml:space="preserve"> PAGE   \* MERGEFORMAT </w:instrText>
        </w:r>
        <w:r w:rsidRPr="0017748F">
          <w:rPr>
            <w:sz w:val="16"/>
          </w:rPr>
          <w:fldChar w:fldCharType="separate"/>
        </w:r>
        <w:r w:rsidR="003E3CB6">
          <w:rPr>
            <w:noProof/>
            <w:sz w:val="16"/>
          </w:rPr>
          <w:t>1</w:t>
        </w:r>
        <w:r w:rsidRPr="0017748F">
          <w:rPr>
            <w:sz w:val="16"/>
          </w:rPr>
          <w:fldChar w:fldCharType="end"/>
        </w:r>
      </w:p>
    </w:sdtContent>
  </w:sdt>
  <w:p w14:paraId="32513366" w14:textId="2FA8C184" w:rsidR="00552F94" w:rsidRPr="006A1CC6" w:rsidRDefault="00552F94" w:rsidP="006A1CC6">
    <w:pPr>
      <w:pStyle w:val="FooterCoverPage"/>
      <w:rPr>
        <w:rFonts w:ascii="Arial" w:hAnsi="Arial" w:cs="Arial"/>
        <w:b/>
        <w:sz w:val="4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F97E8" w14:textId="77777777" w:rsidR="00552F94" w:rsidRDefault="00552F94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98E28" w14:textId="77777777" w:rsidR="005C7E87" w:rsidRDefault="005C7E87">
    <w:pPr>
      <w:pBdr>
        <w:top w:val="nil"/>
        <w:left w:val="nil"/>
        <w:bottom w:val="nil"/>
        <w:right w:val="nil"/>
        <w:between w:val="nil"/>
      </w:pBdr>
      <w:tabs>
        <w:tab w:val="right" w:pos="8646"/>
      </w:tabs>
      <w:spacing w:before="120" w:after="0" w:line="264" w:lineRule="auto"/>
      <w:jc w:val="center"/>
      <w:rPr>
        <w:color w:val="000000"/>
        <w:sz w:val="16"/>
        <w:szCs w:val="16"/>
      </w:rPr>
    </w:pPr>
    <w:r>
      <w:rPr>
        <w:color w:val="000000"/>
        <w:sz w:val="16"/>
      </w:rPr>
      <w:fldChar w:fldCharType="begin"/>
    </w:r>
    <w:r>
      <w:rPr>
        <w:color w:val="000000"/>
        <w:sz w:val="16"/>
      </w:rPr>
      <w:instrText>PAGE</w:instrText>
    </w:r>
    <w:r>
      <w:rPr>
        <w:color w:val="000000"/>
        <w:sz w:val="16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97DA6" w14:textId="3D885BC0" w:rsidR="005C7E87" w:rsidRDefault="005C7E87">
    <w:pPr>
      <w:pBdr>
        <w:top w:val="nil"/>
        <w:left w:val="nil"/>
        <w:bottom w:val="nil"/>
        <w:right w:val="nil"/>
        <w:between w:val="nil"/>
      </w:pBdr>
      <w:tabs>
        <w:tab w:val="right" w:pos="8646"/>
      </w:tabs>
      <w:spacing w:before="120" w:after="0" w:line="264" w:lineRule="auto"/>
      <w:jc w:val="center"/>
      <w:rPr>
        <w:color w:val="000000"/>
        <w:sz w:val="16"/>
        <w:szCs w:val="16"/>
      </w:rPr>
    </w:pPr>
    <w:r>
      <w:rPr>
        <w:color w:val="000000"/>
        <w:sz w:val="16"/>
      </w:rPr>
      <w:fldChar w:fldCharType="begin"/>
    </w:r>
    <w:r>
      <w:rPr>
        <w:color w:val="000000"/>
        <w:sz w:val="16"/>
      </w:rPr>
      <w:instrText>PAGE</w:instrText>
    </w:r>
    <w:r>
      <w:rPr>
        <w:color w:val="000000"/>
        <w:sz w:val="16"/>
      </w:rPr>
      <w:fldChar w:fldCharType="separate"/>
    </w:r>
    <w:r w:rsidR="003E3CB6">
      <w:rPr>
        <w:noProof/>
        <w:color w:val="000000"/>
        <w:sz w:val="16"/>
      </w:rPr>
      <w:t>9</w:t>
    </w:r>
    <w:r>
      <w:rPr>
        <w:color w:val="000000"/>
        <w:sz w:val="16"/>
      </w:rP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901627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E9FAE9" w14:textId="18ED2A8D" w:rsidR="0017748F" w:rsidRPr="0017748F" w:rsidRDefault="0017748F">
        <w:pPr>
          <w:pStyle w:val="Footer"/>
          <w:jc w:val="center"/>
          <w:rPr>
            <w:sz w:val="16"/>
            <w:szCs w:val="16"/>
          </w:rPr>
        </w:pPr>
        <w:r w:rsidRPr="0017748F">
          <w:rPr>
            <w:sz w:val="16"/>
          </w:rPr>
          <w:fldChar w:fldCharType="begin"/>
        </w:r>
        <w:r w:rsidRPr="0017748F">
          <w:rPr>
            <w:sz w:val="16"/>
          </w:rPr>
          <w:instrText xml:space="preserve"> PAGE   \* MERGEFORMAT </w:instrText>
        </w:r>
        <w:r w:rsidRPr="0017748F">
          <w:rPr>
            <w:sz w:val="16"/>
          </w:rPr>
          <w:fldChar w:fldCharType="separate"/>
        </w:r>
        <w:r w:rsidR="003E3CB6">
          <w:rPr>
            <w:noProof/>
            <w:sz w:val="16"/>
          </w:rPr>
          <w:t>2</w:t>
        </w:r>
        <w:r w:rsidRPr="0017748F">
          <w:rPr>
            <w:sz w:val="16"/>
          </w:rPr>
          <w:fldChar w:fldCharType="end"/>
        </w:r>
      </w:p>
    </w:sdtContent>
  </w:sdt>
  <w:p w14:paraId="2721BEB6" w14:textId="77777777" w:rsidR="005C7E87" w:rsidRPr="0017748F" w:rsidRDefault="005C7E87">
    <w:pPr>
      <w:pBdr>
        <w:top w:val="nil"/>
        <w:left w:val="nil"/>
        <w:bottom w:val="nil"/>
        <w:right w:val="nil"/>
        <w:between w:val="nil"/>
      </w:pBdr>
      <w:spacing w:after="0"/>
      <w:ind w:right="-567"/>
      <w:jc w:val="left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BE51D" w14:textId="77777777" w:rsidR="00A21847" w:rsidRDefault="00A21847">
      <w:pPr>
        <w:spacing w:after="0"/>
      </w:pPr>
      <w:r>
        <w:separator/>
      </w:r>
    </w:p>
  </w:footnote>
  <w:footnote w:type="continuationSeparator" w:id="0">
    <w:p w14:paraId="0BA22109" w14:textId="77777777" w:rsidR="00A21847" w:rsidRDefault="00A21847">
      <w:pPr>
        <w:spacing w:after="0"/>
      </w:pPr>
      <w:r>
        <w:continuationSeparator/>
      </w:r>
    </w:p>
  </w:footnote>
  <w:footnote w:type="continuationNotice" w:id="1">
    <w:p w14:paraId="78AC1672" w14:textId="77777777" w:rsidR="00A21847" w:rsidRDefault="00A21847">
      <w:pPr>
        <w:spacing w:after="0"/>
      </w:pPr>
    </w:p>
  </w:footnote>
  <w:footnote w:id="2">
    <w:p w14:paraId="2ED10921" w14:textId="63B78E53" w:rsidR="00FB22DF" w:rsidRPr="00730C4D" w:rsidRDefault="00FB22DF" w:rsidP="00730C4D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Niinistö, S., </w:t>
      </w:r>
      <w:r>
        <w:rPr>
          <w:i/>
        </w:rPr>
        <w:t>Safer together – Strengthening Europe’s Civilian and Military Preparedness and Readiness</w:t>
      </w:r>
      <w:r>
        <w:t>, [</w:t>
      </w:r>
      <w:r>
        <w:rPr>
          <w:i/>
          <w:iCs/>
        </w:rPr>
        <w:t>Razem bezpieczniej – zwiększenie gotowości</w:t>
      </w:r>
      <w:r w:rsidR="00D12858">
        <w:rPr>
          <w:i/>
          <w:iCs/>
        </w:rPr>
        <w:t xml:space="preserve"> i prz</w:t>
      </w:r>
      <w:r>
        <w:rPr>
          <w:i/>
          <w:iCs/>
        </w:rPr>
        <w:t>ygotowania cywilnego</w:t>
      </w:r>
      <w:r w:rsidR="00D12858">
        <w:rPr>
          <w:i/>
          <w:iCs/>
        </w:rPr>
        <w:t xml:space="preserve"> i obr</w:t>
      </w:r>
      <w:r>
        <w:rPr>
          <w:i/>
          <w:iCs/>
        </w:rPr>
        <w:t>onnego</w:t>
      </w:r>
      <w:r w:rsidR="00D12858">
        <w:rPr>
          <w:i/>
          <w:iCs/>
        </w:rPr>
        <w:t xml:space="preserve"> w Eur</w:t>
      </w:r>
      <w:r>
        <w:rPr>
          <w:i/>
          <w:iCs/>
        </w:rPr>
        <w:t>opie</w:t>
      </w:r>
      <w:r>
        <w:t>], 20</w:t>
      </w:r>
      <w:r w:rsidRPr="00D12858">
        <w:t>24</w:t>
      </w:r>
      <w:r w:rsidR="00D12858" w:rsidRPr="00D12858">
        <w:t> </w:t>
      </w:r>
      <w:r w:rsidRPr="00D12858">
        <w:t>r.</w:t>
      </w:r>
      <w:r>
        <w:rPr>
          <w:sz w:val="18"/>
        </w:rPr>
        <w:t xml:space="preserve"> </w:t>
      </w:r>
    </w:p>
  </w:footnote>
  <w:footnote w:id="3">
    <w:p w14:paraId="3D880E48" w14:textId="67ABBF90" w:rsidR="0719D775" w:rsidRDefault="0719D775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Komisja Europejska, Eurobarometr 2025: </w:t>
      </w:r>
      <w:hyperlink r:id="rId1" w:history="1">
        <w:r>
          <w:rPr>
            <w:rStyle w:val="Hyperlink"/>
            <w:sz w:val="18"/>
          </w:rPr>
          <w:t>Europejczycy, rolnictwo i WPR – styczeń 20</w:t>
        </w:r>
        <w:r w:rsidRPr="00D12858">
          <w:rPr>
            <w:rStyle w:val="Hyperlink"/>
            <w:sz w:val="18"/>
          </w:rPr>
          <w:t>25</w:t>
        </w:r>
        <w:r w:rsidR="00D12858" w:rsidRPr="00D12858">
          <w:rPr>
            <w:rStyle w:val="Hyperlink"/>
            <w:sz w:val="18"/>
          </w:rPr>
          <w:t> </w:t>
        </w:r>
        <w:r w:rsidRPr="00D12858">
          <w:rPr>
            <w:rStyle w:val="Hyperlink"/>
            <w:sz w:val="18"/>
          </w:rPr>
          <w:t>r.</w:t>
        </w:r>
        <w:r>
          <w:rPr>
            <w:rStyle w:val="Hyperlink"/>
            <w:sz w:val="18"/>
          </w:rPr>
          <w:t xml:space="preserve"> – badanie Eurobarometr</w:t>
        </w:r>
      </w:hyperlink>
      <w:r>
        <w:t>.</w:t>
      </w:r>
      <w:r>
        <w:rPr>
          <w:sz w:val="18"/>
        </w:rPr>
        <w:t xml:space="preserve"> </w:t>
      </w:r>
    </w:p>
  </w:footnote>
  <w:footnote w:id="4">
    <w:p w14:paraId="1B85E74A" w14:textId="5C119EC6" w:rsidR="007D54B1" w:rsidRDefault="007D54B1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>Eurostat</w:t>
      </w:r>
      <w:r>
        <w:t xml:space="preserve">, </w:t>
      </w:r>
      <w:hyperlink r:id="rId2">
        <w:r>
          <w:rPr>
            <w:i/>
            <w:color w:val="000000"/>
            <w:sz w:val="18"/>
          </w:rPr>
          <w:t>Kluczowe dane liczbowe dotyczące europejskiego łańcucha żywnościowego</w:t>
        </w:r>
      </w:hyperlink>
      <w:r>
        <w:t xml:space="preserve"> – wydanie</w:t>
      </w:r>
      <w:r w:rsidR="00D12858">
        <w:t xml:space="preserve"> z 2</w:t>
      </w:r>
      <w:r>
        <w:t>0</w:t>
      </w:r>
      <w:r w:rsidRPr="00D12858">
        <w:t>24</w:t>
      </w:r>
      <w:r w:rsidR="00D12858" w:rsidRPr="00D12858">
        <w:t> </w:t>
      </w:r>
      <w:r w:rsidRPr="00D12858">
        <w:t>r.</w:t>
      </w:r>
      <w:r>
        <w:t xml:space="preserve"> (europa.eu), </w:t>
      </w:r>
      <w:r>
        <w:rPr>
          <w:color w:val="000000"/>
          <w:sz w:val="18"/>
        </w:rPr>
        <w:t>2024. Dane dotyczące zatrudnienia</w:t>
      </w:r>
      <w:r w:rsidR="00D12858">
        <w:rPr>
          <w:color w:val="000000"/>
          <w:sz w:val="18"/>
        </w:rPr>
        <w:t xml:space="preserve"> w rol</w:t>
      </w:r>
      <w:r>
        <w:rPr>
          <w:color w:val="000000"/>
          <w:sz w:val="18"/>
        </w:rPr>
        <w:t>nictwie pochodzą</w:t>
      </w:r>
      <w:r w:rsidR="00D12858">
        <w:rPr>
          <w:color w:val="000000"/>
          <w:sz w:val="18"/>
        </w:rPr>
        <w:t xml:space="preserve"> z 2</w:t>
      </w:r>
      <w:r>
        <w:rPr>
          <w:color w:val="000000"/>
          <w:sz w:val="18"/>
        </w:rPr>
        <w:t>0</w:t>
      </w:r>
      <w:r w:rsidRPr="00D12858">
        <w:rPr>
          <w:color w:val="000000"/>
          <w:sz w:val="18"/>
        </w:rPr>
        <w:t>20</w:t>
      </w:r>
      <w:r w:rsidR="00D12858" w:rsidRPr="00D12858">
        <w:rPr>
          <w:color w:val="000000"/>
          <w:sz w:val="18"/>
        </w:rPr>
        <w:t> </w:t>
      </w:r>
      <w:r w:rsidRPr="00D12858">
        <w:rPr>
          <w:color w:val="000000"/>
          <w:sz w:val="18"/>
        </w:rPr>
        <w:t>r.</w:t>
      </w:r>
    </w:p>
  </w:footnote>
  <w:footnote w:id="5">
    <w:p w14:paraId="6CBA512D" w14:textId="25AD51C8" w:rsidR="00C81EE8" w:rsidRDefault="00C81EE8" w:rsidP="0017748F">
      <w:pPr>
        <w:pStyle w:val="FootnoteText"/>
        <w:ind w:left="360" w:hanging="360"/>
        <w:rPr>
          <w:sz w:val="18"/>
          <w:szCs w:val="18"/>
        </w:rPr>
      </w:pPr>
      <w:r w:rsidRPr="00D12858">
        <w:rPr>
          <w:rStyle w:val="FootnoteReference"/>
          <w:sz w:val="18"/>
          <w:szCs w:val="18"/>
        </w:rPr>
        <w:footnoteRef/>
      </w:r>
      <w:r w:rsidR="00D12858" w:rsidRPr="00D12858">
        <w:t xml:space="preserve"> </w:t>
      </w:r>
      <w:r w:rsidRPr="00D12858">
        <w:rPr>
          <w:sz w:val="18"/>
        </w:rPr>
        <w:tab/>
      </w:r>
      <w:r>
        <w:rPr>
          <w:sz w:val="18"/>
        </w:rPr>
        <w:t>DG ds. Rolnictwa</w:t>
      </w:r>
      <w:r w:rsidR="00D12858">
        <w:rPr>
          <w:sz w:val="18"/>
        </w:rPr>
        <w:t xml:space="preserve"> i Roz</w:t>
      </w:r>
      <w:r>
        <w:rPr>
          <w:sz w:val="18"/>
        </w:rPr>
        <w:t>woju Obszarów Wiejskich</w:t>
      </w:r>
      <w:r>
        <w:t xml:space="preserve">, </w:t>
      </w:r>
      <w:hyperlink r:id="rId3" w:history="1">
        <w:r>
          <w:rPr>
            <w:rStyle w:val="Hyperlink"/>
            <w:i/>
            <w:sz w:val="18"/>
          </w:rPr>
          <w:t>Monitorowanie handlu produktami rolno-spożywczymi w UE</w:t>
        </w:r>
      </w:hyperlink>
      <w:r>
        <w:t>.</w:t>
      </w:r>
      <w:hyperlink r:id="rId4" w:history="1">
        <w:r>
          <w:rPr>
            <w:rStyle w:val="Hyperlink"/>
            <w:i/>
            <w:sz w:val="18"/>
          </w:rPr>
          <w:t>Sytuacja</w:t>
        </w:r>
        <w:r w:rsidR="00D12858">
          <w:rPr>
            <w:rStyle w:val="Hyperlink"/>
            <w:i/>
            <w:sz w:val="18"/>
          </w:rPr>
          <w:t xml:space="preserve"> w 2</w:t>
        </w:r>
        <w:r>
          <w:rPr>
            <w:rStyle w:val="Hyperlink"/>
            <w:i/>
            <w:sz w:val="18"/>
          </w:rPr>
          <w:t>0</w:t>
        </w:r>
        <w:r w:rsidRPr="00D12858">
          <w:rPr>
            <w:rStyle w:val="Hyperlink"/>
            <w:i/>
            <w:sz w:val="18"/>
          </w:rPr>
          <w:t>23</w:t>
        </w:r>
        <w:r w:rsidR="00D12858" w:rsidRPr="00D12858">
          <w:rPr>
            <w:rStyle w:val="Hyperlink"/>
            <w:i/>
            <w:sz w:val="18"/>
          </w:rPr>
          <w:t> </w:t>
        </w:r>
        <w:r w:rsidRPr="00D12858">
          <w:rPr>
            <w:rStyle w:val="Hyperlink"/>
            <w:i/>
            <w:sz w:val="18"/>
          </w:rPr>
          <w:t>r.</w:t>
        </w:r>
        <w:r>
          <w:rPr>
            <w:rStyle w:val="Hyperlink"/>
            <w:i/>
            <w:sz w:val="18"/>
          </w:rPr>
          <w:t>,</w:t>
        </w:r>
      </w:hyperlink>
      <w:r>
        <w:rPr>
          <w:i/>
          <w:sz w:val="18"/>
        </w:rPr>
        <w:t xml:space="preserve"> </w:t>
      </w:r>
      <w:r>
        <w:rPr>
          <w:sz w:val="18"/>
        </w:rPr>
        <w:t>marzec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6">
    <w:p w14:paraId="559C4E99" w14:textId="3740DBE8" w:rsidR="005F492E" w:rsidRDefault="005F492E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Eurostat, </w:t>
      </w:r>
      <w:hyperlink r:id="rId5" w:history="1">
        <w:r>
          <w:rPr>
            <w:rStyle w:val="Hyperlink"/>
            <w:i/>
            <w:sz w:val="18"/>
          </w:rPr>
          <w:t>Urban-rural Europe - introduction - Statistics Explained</w:t>
        </w:r>
      </w:hyperlink>
      <w:r>
        <w:rPr>
          <w:i/>
        </w:rPr>
        <w:t xml:space="preserve"> [Europa miejsko-wiejska – wprowadzenie], </w:t>
      </w:r>
      <w:r>
        <w:t>dostęp</w:t>
      </w:r>
      <w:r w:rsidR="00D12858">
        <w:t xml:space="preserve"> w lut</w:t>
      </w:r>
      <w:r>
        <w:t>ym 20</w:t>
      </w:r>
      <w:r w:rsidRPr="00D12858">
        <w:t>25</w:t>
      </w:r>
      <w:r w:rsidR="00D12858" w:rsidRPr="00D12858">
        <w:t> </w:t>
      </w:r>
      <w:r w:rsidRPr="00D12858">
        <w:t>r.</w:t>
      </w:r>
    </w:p>
  </w:footnote>
  <w:footnote w:id="7">
    <w:p w14:paraId="46CB8B87" w14:textId="25272D8D" w:rsidR="001314A2" w:rsidRDefault="001314A2" w:rsidP="0017748F">
      <w:pPr>
        <w:pStyle w:val="FootnoteText"/>
        <w:ind w:left="360" w:hanging="360"/>
        <w:rPr>
          <w:i/>
          <w:iCs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Eurostat, </w:t>
      </w:r>
      <w:hyperlink r:id="rId6" w:history="1">
        <w:r>
          <w:rPr>
            <w:rStyle w:val="Hyperlink"/>
            <w:i/>
            <w:sz w:val="18"/>
          </w:rPr>
          <w:t>Farmers and the agricultural labour force - statistics - Statistics Explained [Rolnicy</w:t>
        </w:r>
        <w:r w:rsidR="00D12858">
          <w:rPr>
            <w:rStyle w:val="Hyperlink"/>
            <w:i/>
            <w:sz w:val="18"/>
          </w:rPr>
          <w:t xml:space="preserve"> i rol</w:t>
        </w:r>
        <w:r>
          <w:rPr>
            <w:rStyle w:val="Hyperlink"/>
            <w:i/>
            <w:sz w:val="18"/>
          </w:rPr>
          <w:t>nicza siła robocza – statystyki]</w:t>
        </w:r>
      </w:hyperlink>
      <w:r>
        <w:t>, dostęp</w:t>
      </w:r>
      <w:r w:rsidR="00D12858">
        <w:t xml:space="preserve"> w lut</w:t>
      </w:r>
      <w:r>
        <w:t>ym 20</w:t>
      </w:r>
      <w:r w:rsidRPr="00D12858">
        <w:t>25</w:t>
      </w:r>
      <w:r w:rsidR="00D12858" w:rsidRPr="00D12858">
        <w:t> </w:t>
      </w:r>
      <w:r w:rsidRPr="00D12858">
        <w:t>r.</w:t>
      </w:r>
    </w:p>
  </w:footnote>
  <w:footnote w:id="8">
    <w:p w14:paraId="16EF2110" w14:textId="092E9DF9" w:rsidR="003337CD" w:rsidRDefault="003337CD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>DG ds. Rolnictwa</w:t>
      </w:r>
      <w:r w:rsidR="00D12858">
        <w:t xml:space="preserve"> i Roz</w:t>
      </w:r>
      <w:r>
        <w:t xml:space="preserve">woju Obszarów Wiejskich, </w:t>
      </w:r>
      <w:hyperlink r:id="rId7" w:history="1">
        <w:r>
          <w:rPr>
            <w:rStyle w:val="Hyperlink"/>
            <w:i/>
            <w:sz w:val="18"/>
          </w:rPr>
          <w:t>EU Farm Economics Overview [Przegląd ekonomiki rolnej UE]</w:t>
        </w:r>
      </w:hyperlink>
      <w:r>
        <w:t>, dostęp</w:t>
      </w:r>
      <w:r w:rsidR="00D12858">
        <w:t xml:space="preserve"> w lut</w:t>
      </w:r>
      <w:r>
        <w:t>ym 20</w:t>
      </w:r>
      <w:r w:rsidRPr="00D12858">
        <w:t>25</w:t>
      </w:r>
      <w:r w:rsidR="00D12858" w:rsidRPr="00D12858">
        <w:t> </w:t>
      </w:r>
      <w:r w:rsidRPr="00D12858">
        <w:t>r.</w:t>
      </w:r>
    </w:p>
  </w:footnote>
  <w:footnote w:id="9">
    <w:p w14:paraId="3D42EE89" w14:textId="360B72EE" w:rsidR="0016632D" w:rsidRPr="00730C4D" w:rsidRDefault="0016632D" w:rsidP="0017748F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hanging="360"/>
        <w:rPr>
          <w:color w:val="000000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color w:val="000000"/>
          <w:sz w:val="18"/>
        </w:rPr>
        <w:t xml:space="preserve">Komisja Europejska (2025), </w:t>
      </w:r>
      <w:r>
        <w:rPr>
          <w:i/>
          <w:color w:val="000000"/>
          <w:sz w:val="18"/>
        </w:rPr>
        <w:t>Kompas konkurencyjności dla UE</w:t>
      </w:r>
      <w:r>
        <w:rPr>
          <w:color w:val="000000"/>
          <w:sz w:val="18"/>
        </w:rPr>
        <w:t>, COM(2025) 30 final.</w:t>
      </w:r>
    </w:p>
  </w:footnote>
  <w:footnote w:id="10">
    <w:p w14:paraId="001D27C3" w14:textId="46CF245A" w:rsidR="64BD01FB" w:rsidRPr="00730C4D" w:rsidRDefault="64BD01FB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</w:r>
      <w:hyperlink r:id="rId8">
        <w:r>
          <w:rPr>
            <w:rStyle w:val="Hyperlink"/>
            <w:i/>
            <w:sz w:val="18"/>
          </w:rPr>
          <w:t>Strategiczny dialog na temat przyszłości rolnictwa w UE.</w:t>
        </w:r>
      </w:hyperlink>
      <w:hyperlink r:id="rId9">
        <w:r>
          <w:rPr>
            <w:rStyle w:val="Hyperlink"/>
            <w:i/>
            <w:sz w:val="18"/>
          </w:rPr>
          <w:t>Wspólna perspektywa rolnictwa</w:t>
        </w:r>
        <w:r w:rsidR="00D12858">
          <w:rPr>
            <w:rStyle w:val="Hyperlink"/>
            <w:i/>
            <w:sz w:val="18"/>
          </w:rPr>
          <w:t xml:space="preserve"> i żyw</w:t>
        </w:r>
        <w:r>
          <w:rPr>
            <w:rStyle w:val="Hyperlink"/>
            <w:i/>
            <w:sz w:val="18"/>
          </w:rPr>
          <w:t>ności</w:t>
        </w:r>
        <w:r w:rsidR="00D12858">
          <w:rPr>
            <w:rStyle w:val="Hyperlink"/>
            <w:i/>
            <w:sz w:val="18"/>
          </w:rPr>
          <w:t xml:space="preserve"> w Eur</w:t>
        </w:r>
        <w:r>
          <w:rPr>
            <w:rStyle w:val="Hyperlink"/>
            <w:i/>
            <w:sz w:val="18"/>
          </w:rPr>
          <w:t>opie.</w:t>
        </w:r>
      </w:hyperlink>
      <w:r>
        <w:rPr>
          <w:sz w:val="18"/>
        </w:rPr>
        <w:t xml:space="preserve">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11">
    <w:p w14:paraId="4D10C1A7" w14:textId="146F686B" w:rsidR="30577F5E" w:rsidRDefault="30577F5E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Draghi, M.,</w:t>
      </w:r>
      <w:r>
        <w:rPr>
          <w:i/>
          <w:sz w:val="18"/>
        </w:rPr>
        <w:t xml:space="preserve"> </w:t>
      </w:r>
      <w:hyperlink r:id="rId10" w:history="1">
        <w:r>
          <w:rPr>
            <w:rStyle w:val="Hyperlink"/>
            <w:i/>
            <w:sz w:val="18"/>
          </w:rPr>
          <w:t>Przyszłość europejskiej konkurencyjności</w:t>
        </w:r>
      </w:hyperlink>
      <w:r>
        <w:rPr>
          <w:i/>
          <w:sz w:val="18"/>
        </w:rPr>
        <w:t xml:space="preserve">, </w:t>
      </w:r>
      <w:r>
        <w:rPr>
          <w:sz w:val="18"/>
        </w:rPr>
        <w:t>wrzesień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  <w:r>
        <w:rPr>
          <w:sz w:val="18"/>
        </w:rPr>
        <w:t xml:space="preserve"> </w:t>
      </w:r>
    </w:p>
  </w:footnote>
  <w:footnote w:id="12">
    <w:p w14:paraId="6CB51821" w14:textId="5BF45905" w:rsidR="68C50343" w:rsidRDefault="68C50343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 w:rsidRPr="0021322E">
        <w:rPr>
          <w:rStyle w:val="FootnoteReference"/>
          <w:sz w:val="18"/>
          <w:lang w:val="en-IE"/>
        </w:rPr>
        <w:t xml:space="preserve"> </w:t>
      </w:r>
      <w:r w:rsidRPr="0021322E">
        <w:rPr>
          <w:sz w:val="18"/>
          <w:lang w:val="en-IE"/>
        </w:rPr>
        <w:tab/>
        <w:t xml:space="preserve">Letta, E., </w:t>
      </w:r>
      <w:r w:rsidRPr="0021322E">
        <w:rPr>
          <w:i/>
          <w:sz w:val="18"/>
          <w:lang w:val="en-IE"/>
        </w:rPr>
        <w:t>Much more than</w:t>
      </w:r>
      <w:r w:rsidR="00D12858" w:rsidRPr="0021322E">
        <w:rPr>
          <w:i/>
          <w:sz w:val="18"/>
          <w:lang w:val="en-IE"/>
        </w:rPr>
        <w:t xml:space="preserve"> a</w:t>
      </w:r>
      <w:r w:rsidR="00D12858">
        <w:rPr>
          <w:i/>
          <w:sz w:val="18"/>
          <w:lang w:val="en-IE"/>
        </w:rPr>
        <w:t> </w:t>
      </w:r>
      <w:r w:rsidR="00D12858" w:rsidRPr="0021322E">
        <w:rPr>
          <w:i/>
          <w:sz w:val="18"/>
          <w:lang w:val="en-IE"/>
        </w:rPr>
        <w:t>mar</w:t>
      </w:r>
      <w:r w:rsidRPr="0021322E">
        <w:rPr>
          <w:i/>
          <w:sz w:val="18"/>
          <w:lang w:val="en-IE"/>
        </w:rPr>
        <w:t>ket. Speed, Security, Solidarity. Empowering the Single Market to deliver</w:t>
      </w:r>
      <w:r w:rsidR="00D12858" w:rsidRPr="0021322E">
        <w:rPr>
          <w:i/>
          <w:sz w:val="18"/>
          <w:lang w:val="en-IE"/>
        </w:rPr>
        <w:t xml:space="preserve"> a</w:t>
      </w:r>
      <w:r w:rsidR="00D12858">
        <w:rPr>
          <w:i/>
          <w:sz w:val="18"/>
          <w:lang w:val="en-IE"/>
        </w:rPr>
        <w:t> </w:t>
      </w:r>
      <w:r w:rsidR="00D12858" w:rsidRPr="0021322E">
        <w:rPr>
          <w:i/>
          <w:sz w:val="18"/>
          <w:lang w:val="en-IE"/>
        </w:rPr>
        <w:t>sus</w:t>
      </w:r>
      <w:r w:rsidRPr="0021322E">
        <w:rPr>
          <w:i/>
          <w:sz w:val="18"/>
          <w:lang w:val="en-IE"/>
        </w:rPr>
        <w:t xml:space="preserve">tainable future and prosperity for all EU Citizens [Znacznie więcej niż rynek. </w:t>
      </w:r>
      <w:r>
        <w:rPr>
          <w:i/>
          <w:sz w:val="18"/>
        </w:rPr>
        <w:t>Szybkość, bezpieczeństwo, solidarność – wzmocnienie jednolitego rynku</w:t>
      </w:r>
      <w:r w:rsidR="00D12858">
        <w:rPr>
          <w:i/>
          <w:sz w:val="18"/>
        </w:rPr>
        <w:t xml:space="preserve"> w cel</w:t>
      </w:r>
      <w:r>
        <w:rPr>
          <w:i/>
          <w:sz w:val="18"/>
        </w:rPr>
        <w:t>u zapewnienia zrównoważonej przyszłości</w:t>
      </w:r>
      <w:r w:rsidR="00D12858">
        <w:rPr>
          <w:i/>
          <w:sz w:val="18"/>
        </w:rPr>
        <w:t xml:space="preserve"> i dob</w:t>
      </w:r>
      <w:r>
        <w:rPr>
          <w:i/>
          <w:sz w:val="18"/>
        </w:rPr>
        <w:t>robytu wszystkim obywatelom UE], 2023</w:t>
      </w:r>
      <w:r>
        <w:rPr>
          <w:sz w:val="18"/>
        </w:rPr>
        <w:t>.</w:t>
      </w:r>
    </w:p>
  </w:footnote>
  <w:footnote w:id="13">
    <w:p w14:paraId="67D997DE" w14:textId="2E6120B9" w:rsidR="6C7C4CFA" w:rsidRDefault="6C7C4CFA">
      <w:pPr>
        <w:pStyle w:val="FootnoteText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Niinistö, S., </w:t>
      </w:r>
      <w:r>
        <w:rPr>
          <w:i/>
        </w:rPr>
        <w:t>Safer together – Strengthening Europe’s Civilian and Military Preparedness and Readiness</w:t>
      </w:r>
      <w:r>
        <w:t xml:space="preserve"> [</w:t>
      </w:r>
      <w:r>
        <w:rPr>
          <w:i/>
          <w:iCs/>
        </w:rPr>
        <w:t>Razem bezpieczniej – zwiększenie gotowości</w:t>
      </w:r>
      <w:r w:rsidR="00D12858">
        <w:rPr>
          <w:i/>
          <w:iCs/>
        </w:rPr>
        <w:t xml:space="preserve"> i prz</w:t>
      </w:r>
      <w:r>
        <w:rPr>
          <w:i/>
          <w:iCs/>
        </w:rPr>
        <w:t>ygotowania cywilnego</w:t>
      </w:r>
      <w:r w:rsidR="00D12858">
        <w:rPr>
          <w:i/>
          <w:iCs/>
        </w:rPr>
        <w:t xml:space="preserve"> i obr</w:t>
      </w:r>
      <w:r>
        <w:rPr>
          <w:i/>
          <w:iCs/>
        </w:rPr>
        <w:t>onnego</w:t>
      </w:r>
      <w:r w:rsidR="00D12858">
        <w:rPr>
          <w:i/>
          <w:iCs/>
        </w:rPr>
        <w:t xml:space="preserve"> w Eur</w:t>
      </w:r>
      <w:r>
        <w:rPr>
          <w:i/>
          <w:iCs/>
        </w:rPr>
        <w:t>opie</w:t>
      </w:r>
      <w:r>
        <w:t xml:space="preserve">], </w:t>
      </w:r>
      <w:r>
        <w:rPr>
          <w:sz w:val="18"/>
        </w:rPr>
        <w:t>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14">
    <w:p w14:paraId="53C68BD9" w14:textId="648FD5DC" w:rsidR="00152234" w:rsidRDefault="00152234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>Program strategiczny Rady Europejskiej na lata 2024–2029, deklaracja wersalska</w:t>
      </w:r>
      <w:r w:rsidR="00D12858">
        <w:t xml:space="preserve"> z 2</w:t>
      </w:r>
      <w:r>
        <w:t>0</w:t>
      </w:r>
      <w:r w:rsidRPr="00D12858">
        <w:t>22</w:t>
      </w:r>
      <w:r w:rsidR="00D12858" w:rsidRPr="00D12858">
        <w:t> </w:t>
      </w:r>
      <w:r w:rsidRPr="00D12858">
        <w:t>r.</w:t>
      </w:r>
      <w:r>
        <w:t>, deklaracja</w:t>
      </w:r>
      <w:r w:rsidR="00D12858">
        <w:t xml:space="preserve"> z Gre</w:t>
      </w:r>
      <w:r>
        <w:t>nady</w:t>
      </w:r>
      <w:r w:rsidR="00D12858">
        <w:t xml:space="preserve"> z 2</w:t>
      </w:r>
      <w:r>
        <w:t>0</w:t>
      </w:r>
      <w:r w:rsidRPr="00D12858">
        <w:t>23</w:t>
      </w:r>
      <w:r w:rsidR="00D12858" w:rsidRPr="00D12858">
        <w:t> </w:t>
      </w:r>
      <w:r w:rsidRPr="00D12858">
        <w:t>r.</w:t>
      </w:r>
      <w:r w:rsidR="00D12858">
        <w:t xml:space="preserve"> i dek</w:t>
      </w:r>
      <w:r>
        <w:t>laracja budapeszteńska</w:t>
      </w:r>
      <w:r w:rsidR="00D12858">
        <w:t xml:space="preserve"> z 2</w:t>
      </w:r>
      <w:r>
        <w:t>0</w:t>
      </w:r>
      <w:r w:rsidRPr="00D12858">
        <w:t>24</w:t>
      </w:r>
      <w:r w:rsidR="00D12858" w:rsidRPr="00D12858">
        <w:t> </w:t>
      </w:r>
      <w:r w:rsidRPr="00D12858">
        <w:t>r.</w:t>
      </w:r>
    </w:p>
  </w:footnote>
  <w:footnote w:id="15">
    <w:p w14:paraId="560AD5CB" w14:textId="691A979F" w:rsidR="00AA3D24" w:rsidRPr="00730C4D" w:rsidRDefault="00AA3D24" w:rsidP="0017748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</w:r>
      <w:hyperlink r:id="rId11" w:history="1">
        <w:r>
          <w:rPr>
            <w:rStyle w:val="Hyperlink"/>
            <w:sz w:val="18"/>
          </w:rPr>
          <w:t>Grupa doradcza wysokiego szczebla</w:t>
        </w:r>
      </w:hyperlink>
      <w:r>
        <w:t>,</w:t>
      </w:r>
      <w:r w:rsidR="00D12858">
        <w:rPr>
          <w:sz w:val="18"/>
        </w:rPr>
        <w:t xml:space="preserve"> w skł</w:t>
      </w:r>
      <w:r>
        <w:rPr>
          <w:sz w:val="18"/>
        </w:rPr>
        <w:t>ad której wchodzi 30 organizacji członkowskich reprezentujących trzy kategorie zainteresowanych stron: społeczność rolniczą, inne podmioty</w:t>
      </w:r>
      <w:r w:rsidR="00D12858">
        <w:rPr>
          <w:sz w:val="18"/>
        </w:rPr>
        <w:t xml:space="preserve"> w łań</w:t>
      </w:r>
      <w:r>
        <w:rPr>
          <w:sz w:val="18"/>
        </w:rPr>
        <w:t>cuchu dostaw żywności oraz społeczeństwo obywatelskie, obejmując obszary takie jak środowisko</w:t>
      </w:r>
      <w:r w:rsidR="00D12858">
        <w:rPr>
          <w:sz w:val="18"/>
        </w:rPr>
        <w:t xml:space="preserve"> i kli</w:t>
      </w:r>
      <w:r>
        <w:rPr>
          <w:sz w:val="18"/>
        </w:rPr>
        <w:t>mat, dobrostan zwierząt</w:t>
      </w:r>
      <w:r w:rsidR="00D12858">
        <w:rPr>
          <w:sz w:val="18"/>
        </w:rPr>
        <w:t xml:space="preserve"> i kwe</w:t>
      </w:r>
      <w:r>
        <w:rPr>
          <w:sz w:val="18"/>
        </w:rPr>
        <w:t>stie konsumenckie.</w:t>
      </w:r>
    </w:p>
  </w:footnote>
  <w:footnote w:id="16">
    <w:p w14:paraId="127E66D5" w14:textId="20247F23" w:rsidR="002573B5" w:rsidRPr="00730C4D" w:rsidRDefault="002573B5" w:rsidP="0017748F">
      <w:pPr>
        <w:pStyle w:val="FootnoteText"/>
        <w:ind w:left="360" w:hanging="360"/>
      </w:pPr>
      <w:r>
        <w:rPr>
          <w:rStyle w:val="FootnoteReference"/>
        </w:rPr>
        <w:footnoteRef/>
      </w:r>
      <w:r>
        <w:t xml:space="preserve"> </w:t>
      </w:r>
      <w:r>
        <w:tab/>
        <w:t>Krzysztofowicz, M., Rudkin, J., Winthagen, V.</w:t>
      </w:r>
      <w:r w:rsidR="00D12858">
        <w:t xml:space="preserve"> i Boc</w:t>
      </w:r>
      <w:r>
        <w:t xml:space="preserve">k, A., </w:t>
      </w:r>
      <w:hyperlink r:id="rId12" w:history="1">
        <w:r>
          <w:rPr>
            <w:rStyle w:val="Hyperlink"/>
            <w:i/>
          </w:rPr>
          <w:t>Farmers of the future</w:t>
        </w:r>
      </w:hyperlink>
      <w:r>
        <w:t>, EUR 30464 EN, Urząd Publikacji Unii Europejskiej, Luksemburg, 2020, ISBN 978-92-76-26331-9, doi:10.2760/5237, JRC122308.</w:t>
      </w:r>
    </w:p>
  </w:footnote>
  <w:footnote w:id="17">
    <w:p w14:paraId="6D54BA04" w14:textId="79C9EFCD" w:rsidR="00EF513A" w:rsidRPr="003A6D0D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sz w:val="18"/>
          <w:szCs w:val="18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</w:rPr>
        <w:t xml:space="preserve"> </w:t>
      </w:r>
      <w:r>
        <w:rPr>
          <w:sz w:val="20"/>
        </w:rPr>
        <w:tab/>
      </w:r>
      <w:hyperlink r:id="rId13">
        <w:r>
          <w:rPr>
            <w:color w:val="0563C1"/>
            <w:sz w:val="18"/>
            <w:u w:val="single"/>
          </w:rPr>
          <w:t>Komisja Europejska, Portal danych rolno-spożywczych:</w:t>
        </w:r>
      </w:hyperlink>
      <w:hyperlink r:id="rId14">
        <w:r>
          <w:rPr>
            <w:color w:val="0563C1"/>
            <w:sz w:val="18"/>
            <w:u w:val="single"/>
          </w:rPr>
          <w:t>Zatrudnienie</w:t>
        </w:r>
        <w:r w:rsidR="00D12858">
          <w:rPr>
            <w:color w:val="0563C1"/>
            <w:sz w:val="18"/>
            <w:u w:val="single"/>
          </w:rPr>
          <w:t xml:space="preserve"> i wzr</w:t>
        </w:r>
        <w:r>
          <w:rPr>
            <w:color w:val="0563C1"/>
            <w:sz w:val="18"/>
            <w:u w:val="single"/>
          </w:rPr>
          <w:t>ost gospodarczy na obszarach wiejskich</w:t>
        </w:r>
      </w:hyperlink>
      <w:r>
        <w:t>.</w:t>
      </w:r>
      <w:hyperlink r:id="rId15">
        <w:r>
          <w:rPr>
            <w:color w:val="0563C1"/>
            <w:sz w:val="18"/>
            <w:u w:val="single"/>
          </w:rPr>
          <w:t>Dochody rolników</w:t>
        </w:r>
        <w:r w:rsidR="00D12858">
          <w:rPr>
            <w:color w:val="0563C1"/>
            <w:sz w:val="18"/>
            <w:u w:val="single"/>
          </w:rPr>
          <w:t xml:space="preserve"> w por</w:t>
        </w:r>
        <w:r>
          <w:rPr>
            <w:color w:val="0563C1"/>
            <w:sz w:val="18"/>
            <w:u w:val="single"/>
          </w:rPr>
          <w:t>ównaniu</w:t>
        </w:r>
        <w:r w:rsidR="00D12858">
          <w:rPr>
            <w:color w:val="0563C1"/>
            <w:sz w:val="18"/>
            <w:u w:val="single"/>
          </w:rPr>
          <w:t xml:space="preserve"> z pła</w:t>
        </w:r>
        <w:r>
          <w:rPr>
            <w:color w:val="0563C1"/>
            <w:sz w:val="18"/>
            <w:u w:val="single"/>
          </w:rPr>
          <w:t>cami</w:t>
        </w:r>
        <w:r w:rsidR="00D12858">
          <w:rPr>
            <w:color w:val="0563C1"/>
            <w:sz w:val="18"/>
            <w:u w:val="single"/>
          </w:rPr>
          <w:t xml:space="preserve"> w poz</w:t>
        </w:r>
        <w:r>
          <w:rPr>
            <w:color w:val="0563C1"/>
            <w:sz w:val="18"/>
            <w:u w:val="single"/>
          </w:rPr>
          <w:t>ostałej części gospodarki – dostęp</w:t>
        </w:r>
        <w:r w:rsidR="00D12858">
          <w:rPr>
            <w:color w:val="0563C1"/>
            <w:sz w:val="18"/>
            <w:u w:val="single"/>
          </w:rPr>
          <w:t xml:space="preserve"> w lut</w:t>
        </w:r>
        <w:r>
          <w:rPr>
            <w:color w:val="0563C1"/>
            <w:sz w:val="18"/>
            <w:u w:val="single"/>
          </w:rPr>
          <w:t>ym 20</w:t>
        </w:r>
        <w:r w:rsidRPr="00D12858">
          <w:rPr>
            <w:color w:val="0563C1"/>
            <w:sz w:val="18"/>
            <w:u w:val="single"/>
          </w:rPr>
          <w:t>25</w:t>
        </w:r>
        <w:r w:rsidR="00D12858" w:rsidRPr="00D12858">
          <w:rPr>
            <w:color w:val="0563C1"/>
            <w:sz w:val="18"/>
            <w:u w:val="single"/>
          </w:rPr>
          <w:t> </w:t>
        </w:r>
        <w:r w:rsidRPr="00D12858">
          <w:rPr>
            <w:color w:val="0563C1"/>
            <w:sz w:val="18"/>
            <w:u w:val="single"/>
          </w:rPr>
          <w:t>r.</w:t>
        </w:r>
      </w:hyperlink>
    </w:p>
  </w:footnote>
  <w:footnote w:id="18">
    <w:p w14:paraId="034AFE4B" w14:textId="27DE3347" w:rsidR="003B02DD" w:rsidRDefault="003B02DD" w:rsidP="0017748F">
      <w:pPr>
        <w:pStyle w:val="FootnoteText"/>
        <w:ind w:left="357" w:hanging="357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18"/>
        </w:rPr>
        <w:t>Proponowane ostatnio zmiany do rozporządzenia</w:t>
      </w:r>
      <w:r w:rsidR="00D12858">
        <w:rPr>
          <w:b/>
          <w:sz w:val="18"/>
        </w:rPr>
        <w:t xml:space="preserve"> o wsp</w:t>
      </w:r>
      <w:r>
        <w:rPr>
          <w:b/>
          <w:sz w:val="18"/>
        </w:rPr>
        <w:t>ólnej organizacji rynków</w:t>
      </w:r>
      <w:r>
        <w:rPr>
          <w:sz w:val="18"/>
        </w:rPr>
        <w:t xml:space="preserve"> mają na celu wzmocnienie </w:t>
      </w:r>
      <w:r>
        <w:rPr>
          <w:color w:val="000000"/>
          <w:sz w:val="18"/>
        </w:rPr>
        <w:t>pozycji producentów</w:t>
      </w:r>
      <w:r w:rsidR="00D12858">
        <w:rPr>
          <w:color w:val="000000"/>
          <w:sz w:val="18"/>
        </w:rPr>
        <w:t xml:space="preserve"> w neg</w:t>
      </w:r>
      <w:r>
        <w:rPr>
          <w:color w:val="000000"/>
          <w:sz w:val="18"/>
        </w:rPr>
        <w:t>ocjacjach</w:t>
      </w:r>
      <w:r w:rsidR="00D12858">
        <w:rPr>
          <w:color w:val="000000"/>
          <w:sz w:val="18"/>
        </w:rPr>
        <w:t xml:space="preserve"> i prz</w:t>
      </w:r>
      <w:r>
        <w:rPr>
          <w:color w:val="000000"/>
          <w:sz w:val="18"/>
        </w:rPr>
        <w:t>y zawieraniu umów na dostawy produktów rolnych, wspieranie współpracy</w:t>
      </w:r>
      <w:r w:rsidR="00D12858">
        <w:rPr>
          <w:color w:val="000000"/>
          <w:sz w:val="18"/>
        </w:rPr>
        <w:t xml:space="preserve"> i pop</w:t>
      </w:r>
      <w:r>
        <w:rPr>
          <w:color w:val="000000"/>
          <w:sz w:val="18"/>
        </w:rPr>
        <w:t>rawy transmisji cen. Podobnie proponowane nowe przepisy dotyczące transgranicznego egzekwowania przepisów</w:t>
      </w:r>
      <w:r w:rsidR="00D12858">
        <w:rPr>
          <w:color w:val="000000"/>
          <w:sz w:val="18"/>
        </w:rPr>
        <w:t xml:space="preserve"> w ram</w:t>
      </w:r>
      <w:r>
        <w:rPr>
          <w:color w:val="000000"/>
          <w:sz w:val="18"/>
        </w:rPr>
        <w:t xml:space="preserve">ach </w:t>
      </w:r>
      <w:r>
        <w:rPr>
          <w:b/>
          <w:color w:val="000000"/>
          <w:sz w:val="18"/>
        </w:rPr>
        <w:t>dyrektywy</w:t>
      </w:r>
      <w:r w:rsidR="00D12858">
        <w:rPr>
          <w:b/>
          <w:color w:val="000000"/>
          <w:sz w:val="18"/>
        </w:rPr>
        <w:t xml:space="preserve"> o nie</w:t>
      </w:r>
      <w:r>
        <w:rPr>
          <w:b/>
          <w:color w:val="000000"/>
          <w:sz w:val="18"/>
        </w:rPr>
        <w:t>uczciwych praktykach handlowych</w:t>
      </w:r>
      <w:r>
        <w:rPr>
          <w:color w:val="000000"/>
          <w:sz w:val="18"/>
        </w:rPr>
        <w:t xml:space="preserve"> powinny pomóc nam lepiej chronić rolników przed nieuczciwymi praktykami handlowymi.</w:t>
      </w:r>
    </w:p>
  </w:footnote>
  <w:footnote w:id="19">
    <w:p w14:paraId="794A2F83" w14:textId="79DB6B52" w:rsidR="00EF513A" w:rsidRPr="003A6D0D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 xml:space="preserve">Komisja Europejska (2023), </w:t>
      </w:r>
      <w:r>
        <w:rPr>
          <w:i/>
          <w:color w:val="000000"/>
          <w:sz w:val="18"/>
        </w:rPr>
        <w:t>Sprawozdanie Komisji dla Parlamentu Europejskiego</w:t>
      </w:r>
      <w:r w:rsidR="00D12858">
        <w:rPr>
          <w:i/>
          <w:color w:val="000000"/>
          <w:sz w:val="18"/>
        </w:rPr>
        <w:t xml:space="preserve"> i Rad</w:t>
      </w:r>
      <w:r>
        <w:rPr>
          <w:i/>
          <w:color w:val="000000"/>
          <w:sz w:val="18"/>
        </w:rPr>
        <w:t>y: Podsumowanie planów strategicznych WPR na lata 2023–2027: wspólne wysiłki</w:t>
      </w:r>
      <w:r w:rsidR="00D12858">
        <w:rPr>
          <w:i/>
          <w:color w:val="000000"/>
          <w:sz w:val="18"/>
        </w:rPr>
        <w:t xml:space="preserve"> i zbi</w:t>
      </w:r>
      <w:r>
        <w:rPr>
          <w:i/>
          <w:color w:val="000000"/>
          <w:sz w:val="18"/>
        </w:rPr>
        <w:t>orcze ambicje.</w:t>
      </w:r>
    </w:p>
  </w:footnote>
  <w:footnote w:id="20">
    <w:p w14:paraId="7B962EB2" w14:textId="0C912645" w:rsidR="001B372A" w:rsidRDefault="001B372A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Rozporządzenie (UE) 2024/3012.</w:t>
      </w:r>
    </w:p>
  </w:footnote>
  <w:footnote w:id="21">
    <w:p w14:paraId="2E0DA13D" w14:textId="48B722D2" w:rsidR="00EF513A" w:rsidRPr="003A6D0D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 xml:space="preserve">Komisja Europejska i EBI, </w:t>
      </w:r>
      <w:r>
        <w:rPr>
          <w:i/>
          <w:color w:val="000000"/>
          <w:sz w:val="18"/>
        </w:rPr>
        <w:t>Financing gap in the EU agricultural and agri-food sectors</w:t>
      </w:r>
      <w:r>
        <w:rPr>
          <w:color w:val="000000"/>
          <w:sz w:val="18"/>
        </w:rPr>
        <w:t xml:space="preserve"> [</w:t>
      </w:r>
      <w:r>
        <w:rPr>
          <w:i/>
          <w:iCs/>
          <w:color w:val="000000"/>
          <w:sz w:val="18"/>
        </w:rPr>
        <w:t>Luka finansowa</w:t>
      </w:r>
      <w:r w:rsidR="00D12858">
        <w:rPr>
          <w:i/>
          <w:iCs/>
          <w:color w:val="000000"/>
          <w:sz w:val="18"/>
        </w:rPr>
        <w:t xml:space="preserve"> w sek</w:t>
      </w:r>
      <w:r>
        <w:rPr>
          <w:i/>
          <w:iCs/>
          <w:color w:val="000000"/>
          <w:sz w:val="18"/>
        </w:rPr>
        <w:t>torze rolnym</w:t>
      </w:r>
      <w:r w:rsidR="00D12858">
        <w:rPr>
          <w:i/>
          <w:iCs/>
          <w:color w:val="000000"/>
          <w:sz w:val="18"/>
        </w:rPr>
        <w:t xml:space="preserve"> i rol</w:t>
      </w:r>
      <w:r>
        <w:rPr>
          <w:i/>
          <w:iCs/>
          <w:color w:val="000000"/>
          <w:sz w:val="18"/>
        </w:rPr>
        <w:t>no-spożywczym w UE</w:t>
      </w:r>
      <w:r>
        <w:rPr>
          <w:color w:val="000000"/>
          <w:sz w:val="18"/>
        </w:rPr>
        <w:t>], FI Compass, 2023.</w:t>
      </w:r>
    </w:p>
  </w:footnote>
  <w:footnote w:id="22">
    <w:p w14:paraId="09C2298B" w14:textId="1D8CD337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i/>
          <w:color w:val="000000"/>
          <w:sz w:val="18"/>
        </w:rPr>
        <w:t xml:space="preserve"> </w:t>
      </w:r>
      <w:r>
        <w:rPr>
          <w:i/>
          <w:color w:val="000000"/>
          <w:sz w:val="18"/>
        </w:rPr>
        <w:tab/>
        <w:t>PP 08 25 01 — Unijne obserwatorium gruntów rolnych oraz kontroli</w:t>
      </w:r>
      <w:r w:rsidR="00D12858">
        <w:rPr>
          <w:i/>
          <w:color w:val="000000"/>
          <w:sz w:val="18"/>
        </w:rPr>
        <w:t xml:space="preserve"> i dos</w:t>
      </w:r>
      <w:r>
        <w:rPr>
          <w:i/>
          <w:color w:val="000000"/>
          <w:sz w:val="18"/>
        </w:rPr>
        <w:t xml:space="preserve">tępu do obszarów rolnych; </w:t>
      </w:r>
      <w:r>
        <w:rPr>
          <w:color w:val="000000"/>
          <w:sz w:val="18"/>
        </w:rPr>
        <w:t>Rezolucja ustawodawcza Parlamentu Europejskiego</w:t>
      </w:r>
      <w:r w:rsidR="00D12858">
        <w:rPr>
          <w:color w:val="000000"/>
          <w:sz w:val="18"/>
        </w:rPr>
        <w:t xml:space="preserve"> z dni</w:t>
      </w:r>
      <w:r>
        <w:rPr>
          <w:color w:val="000000"/>
          <w:sz w:val="18"/>
        </w:rPr>
        <w:t>a 27 listopada 20</w:t>
      </w:r>
      <w:r w:rsidRPr="00D12858">
        <w:rPr>
          <w:color w:val="000000"/>
          <w:sz w:val="18"/>
        </w:rPr>
        <w:t>24</w:t>
      </w:r>
      <w:r w:rsidR="00D12858" w:rsidRPr="00D12858">
        <w:rPr>
          <w:color w:val="000000"/>
          <w:sz w:val="18"/>
        </w:rPr>
        <w:t> </w:t>
      </w:r>
      <w:r w:rsidRPr="00D12858">
        <w:rPr>
          <w:color w:val="000000"/>
          <w:sz w:val="18"/>
        </w:rPr>
        <w:t>r.</w:t>
      </w:r>
      <w:r w:rsidR="00D12858">
        <w:rPr>
          <w:color w:val="000000"/>
          <w:sz w:val="18"/>
        </w:rPr>
        <w:t xml:space="preserve"> w spr</w:t>
      </w:r>
      <w:r>
        <w:rPr>
          <w:color w:val="000000"/>
          <w:sz w:val="18"/>
        </w:rPr>
        <w:t>awie wspólnego projektu budżetu ogólnego Unii Europejskiej na rok budżetowy 2025, P10TA(2024)0050.</w:t>
      </w:r>
    </w:p>
  </w:footnote>
  <w:footnote w:id="23">
    <w:p w14:paraId="78C06A6C" w14:textId="298E0C27" w:rsidR="00EF513A" w:rsidRPr="003A6D0D" w:rsidRDefault="00BF5473" w:rsidP="0071161F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>Wartość wywozu produktów rolno-spożywczych z UE wyniosła</w:t>
      </w:r>
      <w:r w:rsidR="00D12858">
        <w:rPr>
          <w:color w:val="000000"/>
          <w:sz w:val="18"/>
        </w:rPr>
        <w:t xml:space="preserve"> w 2</w:t>
      </w:r>
      <w:r>
        <w:rPr>
          <w:color w:val="000000"/>
          <w:sz w:val="18"/>
        </w:rPr>
        <w:t>0</w:t>
      </w:r>
      <w:r w:rsidRPr="00D12858">
        <w:rPr>
          <w:color w:val="000000"/>
          <w:sz w:val="18"/>
        </w:rPr>
        <w:t>23</w:t>
      </w:r>
      <w:r w:rsidR="00D12858" w:rsidRPr="00D12858">
        <w:rPr>
          <w:color w:val="000000"/>
          <w:sz w:val="18"/>
        </w:rPr>
        <w:t> </w:t>
      </w:r>
      <w:r w:rsidRPr="00D12858">
        <w:rPr>
          <w:color w:val="000000"/>
          <w:sz w:val="18"/>
        </w:rPr>
        <w:t>r.</w:t>
      </w:r>
      <w:r>
        <w:rPr>
          <w:color w:val="000000"/>
          <w:sz w:val="18"/>
        </w:rPr>
        <w:t xml:space="preserve"> 230 mld EUR (9 % łącznego wywozu),</w:t>
      </w:r>
      <w:r w:rsidR="00D12858">
        <w:rPr>
          <w:color w:val="000000"/>
          <w:sz w:val="18"/>
        </w:rPr>
        <w:t xml:space="preserve"> a war</w:t>
      </w:r>
      <w:r>
        <w:rPr>
          <w:color w:val="000000"/>
          <w:sz w:val="18"/>
        </w:rPr>
        <w:t>tość przywozu do UE – 160 mld EUR (6 % łącznego przywozu), co generuje nadwyżkę handlową</w:t>
      </w:r>
      <w:r w:rsidR="00D12858">
        <w:rPr>
          <w:color w:val="000000"/>
          <w:sz w:val="18"/>
        </w:rPr>
        <w:t xml:space="preserve"> w wys</w:t>
      </w:r>
      <w:r>
        <w:rPr>
          <w:color w:val="000000"/>
          <w:sz w:val="18"/>
        </w:rPr>
        <w:t xml:space="preserve">okości 70 mld EUR. Źródło: </w:t>
      </w:r>
      <w:r>
        <w:rPr>
          <w:sz w:val="18"/>
        </w:rPr>
        <w:t>DG ds. Rolnictwa</w:t>
      </w:r>
      <w:r w:rsidR="00D12858">
        <w:rPr>
          <w:sz w:val="18"/>
        </w:rPr>
        <w:t xml:space="preserve"> i Roz</w:t>
      </w:r>
      <w:r>
        <w:rPr>
          <w:sz w:val="18"/>
        </w:rPr>
        <w:t>woju Obszarów Wiejskich</w:t>
      </w:r>
      <w:r>
        <w:t xml:space="preserve">, </w:t>
      </w:r>
      <w:hyperlink r:id="rId16" w:history="1">
        <w:r>
          <w:rPr>
            <w:rStyle w:val="Hyperlink"/>
            <w:i/>
            <w:sz w:val="18"/>
          </w:rPr>
          <w:t>Monitorowanie handlu produktami rolno-spożywczymi w UE</w:t>
        </w:r>
      </w:hyperlink>
      <w:r>
        <w:t>.</w:t>
      </w:r>
      <w:hyperlink r:id="rId17" w:history="1">
        <w:r>
          <w:rPr>
            <w:rStyle w:val="Hyperlink"/>
            <w:i/>
            <w:sz w:val="18"/>
          </w:rPr>
          <w:t>Sytuacja</w:t>
        </w:r>
        <w:r w:rsidR="00D12858">
          <w:rPr>
            <w:rStyle w:val="Hyperlink"/>
            <w:i/>
            <w:sz w:val="18"/>
          </w:rPr>
          <w:t xml:space="preserve"> w 2</w:t>
        </w:r>
        <w:r>
          <w:rPr>
            <w:rStyle w:val="Hyperlink"/>
            <w:i/>
            <w:sz w:val="18"/>
          </w:rPr>
          <w:t>0</w:t>
        </w:r>
        <w:r w:rsidRPr="00D12858">
          <w:rPr>
            <w:rStyle w:val="Hyperlink"/>
            <w:i/>
            <w:sz w:val="18"/>
          </w:rPr>
          <w:t>23</w:t>
        </w:r>
        <w:r w:rsidR="00D12858" w:rsidRPr="00D12858">
          <w:rPr>
            <w:rStyle w:val="Hyperlink"/>
            <w:i/>
            <w:sz w:val="18"/>
          </w:rPr>
          <w:t> </w:t>
        </w:r>
        <w:r w:rsidRPr="00D12858">
          <w:rPr>
            <w:rStyle w:val="Hyperlink"/>
            <w:i/>
            <w:sz w:val="18"/>
          </w:rPr>
          <w:t>r.</w:t>
        </w:r>
        <w:r>
          <w:rPr>
            <w:rStyle w:val="Hyperlink"/>
            <w:i/>
            <w:sz w:val="18"/>
          </w:rPr>
          <w:t>,</w:t>
        </w:r>
      </w:hyperlink>
      <w:r>
        <w:rPr>
          <w:i/>
          <w:sz w:val="18"/>
        </w:rPr>
        <w:t xml:space="preserve"> </w:t>
      </w:r>
      <w:r>
        <w:rPr>
          <w:sz w:val="18"/>
        </w:rPr>
        <w:t>marzec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24">
    <w:p w14:paraId="4F6A6A87" w14:textId="5D5D2C89" w:rsidR="0073094B" w:rsidRDefault="0073094B" w:rsidP="0071161F">
      <w:pPr>
        <w:pStyle w:val="FootnoteText"/>
        <w:ind w:left="357" w:hanging="357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Draghi, M.,</w:t>
      </w:r>
      <w:r>
        <w:rPr>
          <w:i/>
          <w:sz w:val="18"/>
        </w:rPr>
        <w:t xml:space="preserve"> </w:t>
      </w:r>
      <w:hyperlink r:id="rId18" w:history="1">
        <w:r>
          <w:rPr>
            <w:rStyle w:val="Hyperlink"/>
            <w:i/>
            <w:sz w:val="18"/>
          </w:rPr>
          <w:t>Przyszłość europejskiej konkurencyjności</w:t>
        </w:r>
      </w:hyperlink>
      <w:r>
        <w:rPr>
          <w:i/>
          <w:sz w:val="18"/>
        </w:rPr>
        <w:t>. Część A: Strategia konkurencyjności dla Europy</w:t>
      </w:r>
      <w:r>
        <w:rPr>
          <w:sz w:val="18"/>
        </w:rPr>
        <w:t>, wrzesień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  <w:r>
        <w:rPr>
          <w:sz w:val="18"/>
        </w:rPr>
        <w:t>, s. 15.</w:t>
      </w:r>
    </w:p>
  </w:footnote>
  <w:footnote w:id="25">
    <w:p w14:paraId="08BFA288" w14:textId="4782DE71" w:rsidR="00EF513A" w:rsidRPr="003A6D0D" w:rsidRDefault="00BF5473" w:rsidP="0071161F">
      <w:p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</w:r>
      <w:r>
        <w:t>Hiszpańskie Krajowe Biuro Prognoz</w:t>
      </w:r>
      <w:r w:rsidR="00D12858">
        <w:t xml:space="preserve"> i Str</w:t>
      </w:r>
      <w:r>
        <w:t xml:space="preserve">ategii </w:t>
      </w:r>
      <w:hyperlink r:id="rId19" w:history="1">
        <w:r>
          <w:rPr>
            <w:rStyle w:val="Hyperlink"/>
            <w:i/>
            <w:sz w:val="18"/>
          </w:rPr>
          <w:t>Odporna UE 2030</w:t>
        </w:r>
      </w:hyperlink>
      <w:r>
        <w:t>.</w:t>
      </w:r>
      <w:hyperlink r:id="rId20" w:history="1">
        <w:r>
          <w:rPr>
            <w:rStyle w:val="Hyperlink"/>
            <w:i/>
            <w:sz w:val="18"/>
          </w:rPr>
          <w:t>Podejście zorientowane na przyszłość</w:t>
        </w:r>
        <w:r w:rsidR="00D12858">
          <w:rPr>
            <w:rStyle w:val="Hyperlink"/>
            <w:i/>
            <w:sz w:val="18"/>
          </w:rPr>
          <w:t xml:space="preserve"> w cel</w:t>
        </w:r>
        <w:r>
          <w:rPr>
            <w:rStyle w:val="Hyperlink"/>
            <w:i/>
            <w:sz w:val="18"/>
          </w:rPr>
          <w:t>u wzmocnienia otwartej strategicznej autonomii UE</w:t>
        </w:r>
        <w:r w:rsidR="00D12858">
          <w:rPr>
            <w:rStyle w:val="Hyperlink"/>
            <w:i/>
            <w:sz w:val="18"/>
          </w:rPr>
          <w:t xml:space="preserve"> i glo</w:t>
        </w:r>
        <w:r>
          <w:rPr>
            <w:rStyle w:val="Hyperlink"/>
            <w:i/>
            <w:sz w:val="18"/>
          </w:rPr>
          <w:t>balnego przywództwa</w:t>
        </w:r>
      </w:hyperlink>
      <w:r>
        <w:t xml:space="preserve">, </w:t>
      </w:r>
      <w:r>
        <w:rPr>
          <w:color w:val="000000"/>
          <w:sz w:val="18"/>
        </w:rPr>
        <w:t>20</w:t>
      </w:r>
      <w:r w:rsidRPr="00D12858">
        <w:rPr>
          <w:color w:val="000000"/>
          <w:sz w:val="18"/>
        </w:rPr>
        <w:t>23</w:t>
      </w:r>
      <w:r w:rsidR="00D12858" w:rsidRPr="00D12858">
        <w:rPr>
          <w:color w:val="000000"/>
          <w:sz w:val="18"/>
        </w:rPr>
        <w:t> </w:t>
      </w:r>
      <w:r w:rsidRPr="00D12858">
        <w:rPr>
          <w:color w:val="000000"/>
          <w:sz w:val="18"/>
        </w:rPr>
        <w:t>r.</w:t>
      </w:r>
    </w:p>
  </w:footnote>
  <w:footnote w:id="26">
    <w:p w14:paraId="5E0C418D" w14:textId="7BE9CACC" w:rsidR="00C17572" w:rsidRDefault="00C17572" w:rsidP="00D310BF">
      <w:pPr>
        <w:pStyle w:val="FootnoteText"/>
        <w:ind w:left="357" w:hanging="357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DG ds. Rolnictwa</w:t>
      </w:r>
      <w:r w:rsidR="00D12858">
        <w:rPr>
          <w:sz w:val="18"/>
        </w:rPr>
        <w:t xml:space="preserve"> i Roz</w:t>
      </w:r>
      <w:r>
        <w:rPr>
          <w:sz w:val="18"/>
        </w:rPr>
        <w:t>woju Obszarów Wiejskich,</w:t>
      </w:r>
      <w:hyperlink r:id="rId21" w:history="1">
        <w:r>
          <w:rPr>
            <w:rStyle w:val="Hyperlink"/>
            <w:sz w:val="18"/>
          </w:rPr>
          <w:t xml:space="preserve"> </w:t>
        </w:r>
        <w:r>
          <w:rPr>
            <w:rStyle w:val="Hyperlink"/>
            <w:i/>
            <w:sz w:val="18"/>
          </w:rPr>
          <w:t>Podaż białka</w:t>
        </w:r>
        <w:r w:rsidR="00D12858">
          <w:rPr>
            <w:rStyle w:val="Hyperlink"/>
            <w:i/>
            <w:sz w:val="18"/>
          </w:rPr>
          <w:t xml:space="preserve"> i pop</w:t>
        </w:r>
        <w:r>
          <w:rPr>
            <w:rStyle w:val="Hyperlink"/>
            <w:i/>
            <w:sz w:val="18"/>
          </w:rPr>
          <w:t>yt na nie</w:t>
        </w:r>
        <w:r>
          <w:rPr>
            <w:rStyle w:val="Hyperlink"/>
            <w:sz w:val="18"/>
          </w:rPr>
          <w:t>,</w:t>
        </w:r>
      </w:hyperlink>
      <w:r>
        <w:rPr>
          <w:sz w:val="18"/>
        </w:rPr>
        <w:t xml:space="preserve"> wrzesień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27">
    <w:p w14:paraId="3ACAE119" w14:textId="0BDF29F7" w:rsidR="00EF513A" w:rsidRPr="00901734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>W przypadku przywozu mocznika: 38 %</w:t>
      </w:r>
      <w:r w:rsidR="00D12858">
        <w:rPr>
          <w:color w:val="000000"/>
          <w:sz w:val="18"/>
        </w:rPr>
        <w:t xml:space="preserve"> z Egi</w:t>
      </w:r>
      <w:r>
        <w:rPr>
          <w:color w:val="000000"/>
          <w:sz w:val="18"/>
        </w:rPr>
        <w:t>ptu, 33 %</w:t>
      </w:r>
      <w:r w:rsidR="00D12858">
        <w:rPr>
          <w:color w:val="000000"/>
          <w:sz w:val="18"/>
        </w:rPr>
        <w:t xml:space="preserve"> z Ros</w:t>
      </w:r>
      <w:r>
        <w:rPr>
          <w:color w:val="000000"/>
          <w:sz w:val="18"/>
        </w:rPr>
        <w:t>ji</w:t>
      </w:r>
      <w:r w:rsidR="00D12858">
        <w:rPr>
          <w:color w:val="000000"/>
          <w:sz w:val="18"/>
        </w:rPr>
        <w:t xml:space="preserve"> i Bia</w:t>
      </w:r>
      <w:r>
        <w:rPr>
          <w:color w:val="000000"/>
          <w:sz w:val="18"/>
        </w:rPr>
        <w:t>łorusi oraz 19 %</w:t>
      </w:r>
      <w:r w:rsidR="00D12858">
        <w:rPr>
          <w:color w:val="000000"/>
          <w:sz w:val="18"/>
        </w:rPr>
        <w:t xml:space="preserve"> z Alg</w:t>
      </w:r>
      <w:r>
        <w:rPr>
          <w:color w:val="000000"/>
          <w:sz w:val="18"/>
        </w:rPr>
        <w:t>ierii, źródło: Komisja Europejska, DG ds. Rolnictwa</w:t>
      </w:r>
      <w:r w:rsidR="00D12858">
        <w:rPr>
          <w:color w:val="000000"/>
          <w:sz w:val="18"/>
        </w:rPr>
        <w:t xml:space="preserve"> i Roz</w:t>
      </w:r>
      <w:r>
        <w:rPr>
          <w:color w:val="000000"/>
          <w:sz w:val="18"/>
        </w:rPr>
        <w:t>woju Obszarów Wiejskich</w:t>
      </w:r>
      <w:r>
        <w:t xml:space="preserve">, </w:t>
      </w:r>
      <w:hyperlink r:id="rId22" w:history="1">
        <w:r>
          <w:rPr>
            <w:rStyle w:val="Hyperlink"/>
            <w:sz w:val="18"/>
          </w:rPr>
          <w:t>https://agriculture.ec.europa.eu/data-and-analysis/markets/overviews/market-observatories/fertilisers_pl</w:t>
        </w:r>
      </w:hyperlink>
      <w:r>
        <w:t>, dostęp</w:t>
      </w:r>
      <w:r w:rsidR="00D12858">
        <w:t xml:space="preserve"> w lut</w:t>
      </w:r>
      <w:r>
        <w:t>ym 20</w:t>
      </w:r>
      <w:r w:rsidRPr="00D12858">
        <w:t>25</w:t>
      </w:r>
      <w:r w:rsidR="00D12858" w:rsidRPr="00D12858">
        <w:t> </w:t>
      </w:r>
      <w:r w:rsidRPr="00D12858">
        <w:t>r.</w:t>
      </w:r>
    </w:p>
  </w:footnote>
  <w:footnote w:id="28">
    <w:p w14:paraId="142A3D93" w14:textId="281F6A4D" w:rsidR="00EF513A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b/>
          <w:bCs/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bookmarkStart w:id="15" w:name="_Hlk190288784"/>
      <w:r>
        <w:rPr>
          <w:color w:val="000000"/>
          <w:sz w:val="18"/>
        </w:rPr>
        <w:tab/>
        <w:t xml:space="preserve">Komisja Europejska (2020), </w:t>
      </w:r>
      <w:r>
        <w:rPr>
          <w:i/>
          <w:color w:val="000000"/>
          <w:sz w:val="18"/>
        </w:rPr>
        <w:t>Strategia</w:t>
      </w:r>
      <w:r w:rsidR="00D12858">
        <w:rPr>
          <w:i/>
          <w:color w:val="000000"/>
          <w:sz w:val="18"/>
        </w:rPr>
        <w:t xml:space="preserve"> w zak</w:t>
      </w:r>
      <w:r>
        <w:rPr>
          <w:i/>
          <w:color w:val="000000"/>
          <w:sz w:val="18"/>
        </w:rPr>
        <w:t>resie chemikaliów na rzecz zrównoważoności</w:t>
      </w:r>
      <w:r>
        <w:rPr>
          <w:color w:val="000000"/>
          <w:sz w:val="18"/>
        </w:rPr>
        <w:t>.</w:t>
      </w:r>
      <w:r>
        <w:rPr>
          <w:i/>
          <w:color w:val="000000"/>
          <w:sz w:val="18"/>
        </w:rPr>
        <w:t xml:space="preserve"> </w:t>
      </w:r>
      <w:r>
        <w:rPr>
          <w:i/>
        </w:rPr>
        <w:t>Na rzecz nietoksycznego środowiska</w:t>
      </w:r>
      <w:r>
        <w:t>, COM(2020) 667 final.</w:t>
      </w:r>
      <w:bookmarkEnd w:id="15"/>
    </w:p>
  </w:footnote>
  <w:footnote w:id="29">
    <w:p w14:paraId="688349E3" w14:textId="1FF6F299" w:rsidR="00270289" w:rsidRDefault="00270289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Niinistö, S., </w:t>
      </w:r>
      <w:r>
        <w:rPr>
          <w:i/>
          <w:sz w:val="18"/>
        </w:rPr>
        <w:t>Safer together – Strengthening Europe’s Civilian and Military Preparedness and Readiness</w:t>
      </w:r>
      <w:r>
        <w:rPr>
          <w:sz w:val="18"/>
        </w:rPr>
        <w:t xml:space="preserve"> [</w:t>
      </w:r>
      <w:r>
        <w:rPr>
          <w:i/>
          <w:iCs/>
          <w:sz w:val="18"/>
        </w:rPr>
        <w:t>Razem bezpieczniej – zwiększenie gotowości</w:t>
      </w:r>
      <w:r w:rsidR="00D12858">
        <w:rPr>
          <w:i/>
          <w:iCs/>
          <w:sz w:val="18"/>
        </w:rPr>
        <w:t xml:space="preserve"> i prz</w:t>
      </w:r>
      <w:r>
        <w:rPr>
          <w:i/>
          <w:iCs/>
          <w:sz w:val="18"/>
        </w:rPr>
        <w:t>ygotowania cywilnego</w:t>
      </w:r>
      <w:r w:rsidR="00D12858">
        <w:rPr>
          <w:i/>
          <w:iCs/>
          <w:sz w:val="18"/>
        </w:rPr>
        <w:t xml:space="preserve"> i obr</w:t>
      </w:r>
      <w:r>
        <w:rPr>
          <w:i/>
          <w:iCs/>
          <w:sz w:val="18"/>
        </w:rPr>
        <w:t>onnego</w:t>
      </w:r>
      <w:r w:rsidR="00D12858">
        <w:rPr>
          <w:i/>
          <w:iCs/>
          <w:sz w:val="18"/>
        </w:rPr>
        <w:t xml:space="preserve"> w Eur</w:t>
      </w:r>
      <w:r>
        <w:rPr>
          <w:i/>
          <w:iCs/>
          <w:sz w:val="18"/>
        </w:rPr>
        <w:t>opie</w:t>
      </w:r>
      <w:r>
        <w:rPr>
          <w:sz w:val="18"/>
        </w:rPr>
        <w:t>],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  <w:r>
        <w:rPr>
          <w:sz w:val="18"/>
        </w:rPr>
        <w:t>, s. 4.</w:t>
      </w:r>
    </w:p>
  </w:footnote>
  <w:footnote w:id="30">
    <w:p w14:paraId="70F71ACE" w14:textId="70967857" w:rsidR="00C00635" w:rsidRDefault="00C00635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Strategia UE</w:t>
      </w:r>
      <w:r w:rsidR="00D12858">
        <w:rPr>
          <w:sz w:val="18"/>
        </w:rPr>
        <w:t xml:space="preserve"> w zak</w:t>
      </w:r>
      <w:r>
        <w:rPr>
          <w:sz w:val="18"/>
        </w:rPr>
        <w:t>resie przystosowania się do zmiany klimatu, komunikat</w:t>
      </w:r>
      <w:r w:rsidR="00D12858">
        <w:rPr>
          <w:sz w:val="18"/>
        </w:rPr>
        <w:t xml:space="preserve"> w spr</w:t>
      </w:r>
      <w:r>
        <w:rPr>
          <w:sz w:val="18"/>
        </w:rPr>
        <w:t>awie zarządzania ryzykiem klimatycznym oraz WPR.</w:t>
      </w:r>
    </w:p>
  </w:footnote>
  <w:footnote w:id="31">
    <w:p w14:paraId="5D77685F" w14:textId="6E001E0F" w:rsidR="00812019" w:rsidRPr="00901734" w:rsidRDefault="00812019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>Grupa wysokiego szczebla ds. polityki</w:t>
      </w:r>
      <w:r w:rsidR="00D12858">
        <w:rPr>
          <w:sz w:val="18"/>
        </w:rPr>
        <w:t xml:space="preserve"> w zak</w:t>
      </w:r>
      <w:r>
        <w:rPr>
          <w:sz w:val="18"/>
        </w:rPr>
        <w:t xml:space="preserve">resie wina, </w:t>
      </w:r>
      <w:hyperlink r:id="rId23" w:history="1">
        <w:r>
          <w:rPr>
            <w:rStyle w:val="Hyperlink"/>
            <w:i/>
            <w:sz w:val="18"/>
          </w:rPr>
          <w:t>Zalecenia polityczne dotyczące przyszłości sektora wina w UE</w:t>
        </w:r>
      </w:hyperlink>
      <w:r>
        <w:rPr>
          <w:i/>
          <w:sz w:val="18"/>
        </w:rPr>
        <w:t xml:space="preserve">, </w:t>
      </w:r>
      <w:r>
        <w:rPr>
          <w:sz w:val="18"/>
        </w:rPr>
        <w:t>grudzień 20</w:t>
      </w:r>
      <w:r w:rsidRPr="00D12858">
        <w:rPr>
          <w:sz w:val="18"/>
        </w:rPr>
        <w:t>24</w:t>
      </w:r>
      <w:r w:rsidR="00D12858" w:rsidRPr="00D12858">
        <w:rPr>
          <w:sz w:val="18"/>
        </w:rPr>
        <w:t> </w:t>
      </w:r>
      <w:r w:rsidRPr="00D12858">
        <w:rPr>
          <w:sz w:val="18"/>
        </w:rPr>
        <w:t>r.</w:t>
      </w:r>
    </w:p>
  </w:footnote>
  <w:footnote w:id="32">
    <w:p w14:paraId="3388DA70" w14:textId="45687341" w:rsidR="00EF513A" w:rsidRPr="00901734" w:rsidRDefault="00BF5473">
      <w:p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t xml:space="preserve"> </w:t>
      </w:r>
      <w:r>
        <w:tab/>
      </w:r>
      <w:r>
        <w:rPr>
          <w:color w:val="000000"/>
          <w:sz w:val="18"/>
        </w:rPr>
        <w:t xml:space="preserve">Komisja Europejska (2025), </w:t>
      </w:r>
      <w:r>
        <w:rPr>
          <w:i/>
          <w:color w:val="000000"/>
          <w:sz w:val="18"/>
        </w:rPr>
        <w:t>Kompas konkurencyjności dla UE</w:t>
      </w:r>
      <w:r>
        <w:rPr>
          <w:color w:val="000000"/>
          <w:sz w:val="18"/>
        </w:rPr>
        <w:t>, COM(2025) 30 final.</w:t>
      </w:r>
    </w:p>
  </w:footnote>
  <w:footnote w:id="33">
    <w:p w14:paraId="1C2456A6" w14:textId="6C5FC151" w:rsidR="00096A1E" w:rsidRDefault="00096A1E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Europejska Agencja Środowiska, </w:t>
      </w:r>
      <w:r>
        <w:rPr>
          <w:i/>
        </w:rPr>
        <w:t>Europejska ocena ryzyka związanego</w:t>
      </w:r>
      <w:r w:rsidR="00D12858">
        <w:rPr>
          <w:i/>
        </w:rPr>
        <w:t xml:space="preserve"> z kli</w:t>
      </w:r>
      <w:r>
        <w:rPr>
          <w:i/>
        </w:rPr>
        <w:t>matem</w:t>
      </w:r>
      <w:r>
        <w:t>, 20</w:t>
      </w:r>
      <w:r w:rsidRPr="00D12858">
        <w:t>24</w:t>
      </w:r>
      <w:r w:rsidR="00D12858" w:rsidRPr="00D12858">
        <w:t> </w:t>
      </w:r>
      <w:r w:rsidRPr="00D12858">
        <w:t>r.</w:t>
      </w:r>
    </w:p>
  </w:footnote>
  <w:footnote w:id="34">
    <w:p w14:paraId="5FC72323" w14:textId="55A211DB" w:rsidR="00646AD0" w:rsidRDefault="00646AD0" w:rsidP="00D310BF">
      <w:pPr>
        <w:pStyle w:val="FootnoteText"/>
        <w:ind w:left="360" w:hanging="360"/>
        <w:rPr>
          <w:i/>
          <w:iCs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t xml:space="preserve"> </w:t>
      </w:r>
      <w:r>
        <w:tab/>
        <w:t xml:space="preserve">Komisja Europejska (2023) </w:t>
      </w:r>
      <w:r>
        <w:rPr>
          <w:i/>
        </w:rPr>
        <w:t>Komunikat Komisji</w:t>
      </w:r>
      <w:r w:rsidR="00D12858">
        <w:rPr>
          <w:i/>
        </w:rPr>
        <w:t xml:space="preserve"> w spr</w:t>
      </w:r>
      <w:r>
        <w:rPr>
          <w:i/>
        </w:rPr>
        <w:t>awie kompleksowego podejścia do zdrowia psychicznego</w:t>
      </w:r>
      <w:r>
        <w:t xml:space="preserve"> (COM(2023) 298 final).</w:t>
      </w:r>
    </w:p>
  </w:footnote>
  <w:footnote w:id="35">
    <w:p w14:paraId="2430D0B5" w14:textId="34B8AB2B" w:rsidR="00EF513A" w:rsidRPr="00901734" w:rsidRDefault="00BF5473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  <w:sz w:val="18"/>
          <w:szCs w:val="18"/>
        </w:rPr>
      </w:pPr>
      <w:r>
        <w:rPr>
          <w:sz w:val="18"/>
          <w:szCs w:val="18"/>
          <w:vertAlign w:val="superscript"/>
        </w:rPr>
        <w:footnoteRef/>
      </w:r>
      <w:r>
        <w:rPr>
          <w:color w:val="000000"/>
          <w:sz w:val="18"/>
        </w:rPr>
        <w:t xml:space="preserve"> </w:t>
      </w:r>
      <w:r>
        <w:rPr>
          <w:color w:val="000000"/>
          <w:sz w:val="18"/>
        </w:rPr>
        <w:tab/>
        <w:t xml:space="preserve">Teagasc &amp; Mental Health Ireland, </w:t>
      </w:r>
      <w:hyperlink r:id="rId24" w:anchor=":~:text=This%20leaflet%20aims%20to%20raise,seeking%20professional%20help%20when%20needed." w:history="1">
        <w:r>
          <w:rPr>
            <w:rStyle w:val="Hyperlink"/>
            <w:i/>
            <w:sz w:val="18"/>
          </w:rPr>
          <w:t>Sowing Seeds of Support:</w:t>
        </w:r>
      </w:hyperlink>
      <w:hyperlink r:id="rId25" w:anchor=":~:text=This%20leaflet%20aims%20to%20raise,seeking%20professional%20help%20when%20needed." w:history="1">
        <w:r>
          <w:rPr>
            <w:rStyle w:val="Hyperlink"/>
            <w:i/>
            <w:sz w:val="18"/>
          </w:rPr>
          <w:t xml:space="preserve"> Positive Mental Health Guidance for the Farming Community</w:t>
        </w:r>
      </w:hyperlink>
      <w:r>
        <w:rPr>
          <w:color w:val="000000"/>
          <w:sz w:val="18"/>
        </w:rPr>
        <w:t xml:space="preserve"> </w:t>
      </w:r>
      <w:r>
        <w:rPr>
          <w:i/>
          <w:iCs/>
          <w:color w:val="000000"/>
          <w:sz w:val="18"/>
        </w:rPr>
        <w:t>[Ziarna pomocy: wskazówki dotyczące zdrowia psychicznego dla społeczności rolniczej]</w:t>
      </w:r>
      <w:r>
        <w:rPr>
          <w:color w:val="000000"/>
          <w:sz w:val="18"/>
        </w:rPr>
        <w:t>, 20</w:t>
      </w:r>
      <w:r w:rsidRPr="00D12858">
        <w:rPr>
          <w:color w:val="000000"/>
          <w:sz w:val="18"/>
        </w:rPr>
        <w:t>24</w:t>
      </w:r>
      <w:r w:rsidR="00D12858" w:rsidRPr="00D12858">
        <w:rPr>
          <w:color w:val="000000"/>
          <w:sz w:val="18"/>
        </w:rPr>
        <w:t> </w:t>
      </w:r>
      <w:r w:rsidRPr="00D12858">
        <w:rPr>
          <w:color w:val="000000"/>
          <w:sz w:val="18"/>
        </w:rPr>
        <w:t>r.</w:t>
      </w:r>
    </w:p>
  </w:footnote>
  <w:footnote w:id="36">
    <w:p w14:paraId="091DD256" w14:textId="76E51798" w:rsidR="00340A99" w:rsidRDefault="00340A99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</w:r>
      <w:hyperlink r:id="rId26" w:history="1">
        <w:r>
          <w:rPr>
            <w:rStyle w:val="Hyperlink"/>
            <w:sz w:val="18"/>
          </w:rPr>
          <w:t>Strona główna platformy wspólnoty paktu na rzecz obszarów wiejskich |</w:t>
        </w:r>
      </w:hyperlink>
      <w:hyperlink r:id="rId27" w:history="1">
        <w:r>
          <w:rPr>
            <w:rStyle w:val="Hyperlink"/>
            <w:sz w:val="18"/>
          </w:rPr>
          <w:t xml:space="preserve"> Platforma wspólnoty paktu na rzecz obszarów wiejskich</w:t>
        </w:r>
      </w:hyperlink>
      <w:r>
        <w:rPr>
          <w:sz w:val="18"/>
        </w:rPr>
        <w:t>.</w:t>
      </w:r>
    </w:p>
  </w:footnote>
  <w:footnote w:id="37">
    <w:p w14:paraId="2F2C731F" w14:textId="6A92A460" w:rsidR="00D106CA" w:rsidRDefault="00D106CA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Komisja Europejska (2021), </w:t>
      </w:r>
      <w:hyperlink r:id="rId28" w:history="1">
        <w:r>
          <w:rPr>
            <w:rStyle w:val="Hyperlink"/>
            <w:i/>
            <w:sz w:val="18"/>
          </w:rPr>
          <w:t>Długoterminowa wizja dla obszarów wiejskich UE – W kierunku silniejszych, lepiej skomunikowanych, odpornych</w:t>
        </w:r>
        <w:r w:rsidR="00D12858">
          <w:rPr>
            <w:rStyle w:val="Hyperlink"/>
            <w:i/>
            <w:sz w:val="18"/>
          </w:rPr>
          <w:t xml:space="preserve"> i zam</w:t>
        </w:r>
        <w:r>
          <w:rPr>
            <w:rStyle w:val="Hyperlink"/>
            <w:i/>
            <w:sz w:val="18"/>
          </w:rPr>
          <w:t xml:space="preserve">ożnych obszarów wiejskich </w:t>
        </w:r>
        <w:r w:rsidRPr="00D12858">
          <w:rPr>
            <w:rStyle w:val="Hyperlink"/>
            <w:i/>
            <w:sz w:val="18"/>
          </w:rPr>
          <w:t>do</w:t>
        </w:r>
        <w:r w:rsidR="00D12858" w:rsidRPr="00D12858">
          <w:rPr>
            <w:rStyle w:val="Hyperlink"/>
            <w:i/>
            <w:sz w:val="18"/>
          </w:rPr>
          <w:t> </w:t>
        </w:r>
        <w:r w:rsidRPr="00D12858">
          <w:rPr>
            <w:rStyle w:val="Hyperlink"/>
            <w:i/>
            <w:sz w:val="18"/>
          </w:rPr>
          <w:t>2</w:t>
        </w:r>
        <w:r>
          <w:rPr>
            <w:rStyle w:val="Hyperlink"/>
            <w:i/>
            <w:sz w:val="18"/>
          </w:rPr>
          <w:t>0</w:t>
        </w:r>
        <w:r w:rsidRPr="00D12858">
          <w:rPr>
            <w:rStyle w:val="Hyperlink"/>
            <w:i/>
            <w:sz w:val="18"/>
          </w:rPr>
          <w:t>40</w:t>
        </w:r>
        <w:r w:rsidR="00D12858" w:rsidRPr="00D12858">
          <w:rPr>
            <w:rStyle w:val="Hyperlink"/>
            <w:i/>
            <w:sz w:val="18"/>
          </w:rPr>
          <w:t> </w:t>
        </w:r>
        <w:r w:rsidRPr="00D12858">
          <w:rPr>
            <w:rStyle w:val="Hyperlink"/>
            <w:i/>
            <w:sz w:val="18"/>
          </w:rPr>
          <w:t>r.</w:t>
        </w:r>
      </w:hyperlink>
      <w:r>
        <w:rPr>
          <w:sz w:val="18"/>
        </w:rPr>
        <w:t>COM(2021) 345 final.</w:t>
      </w:r>
    </w:p>
  </w:footnote>
  <w:footnote w:id="38">
    <w:p w14:paraId="68859B12" w14:textId="6758DA53" w:rsidR="007F725E" w:rsidRPr="00901734" w:rsidRDefault="007F725E" w:rsidP="00D310BF">
      <w:pPr>
        <w:pStyle w:val="FootnoteText"/>
        <w:ind w:left="360" w:hanging="360"/>
        <w:rPr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sz w:val="18"/>
        </w:rPr>
        <w:t xml:space="preserve"> </w:t>
      </w:r>
      <w:r>
        <w:rPr>
          <w:sz w:val="18"/>
        </w:rPr>
        <w:tab/>
        <w:t xml:space="preserve">Barabanova, Y. and Krzysztofowicz, M., </w:t>
      </w:r>
      <w:hyperlink r:id="rId29" w:history="1">
        <w:r>
          <w:rPr>
            <w:rStyle w:val="Hyperlink"/>
            <w:i/>
            <w:sz w:val="18"/>
          </w:rPr>
          <w:t>Transformacja cyfrowa:</w:t>
        </w:r>
      </w:hyperlink>
      <w:hyperlink r:id="rId30" w:history="1">
        <w:r>
          <w:rPr>
            <w:rStyle w:val="Hyperlink"/>
            <w:i/>
            <w:sz w:val="18"/>
          </w:rPr>
          <w:t>długoterminowe skutki dla rolników</w:t>
        </w:r>
        <w:r w:rsidR="00D12858">
          <w:rPr>
            <w:rStyle w:val="Hyperlink"/>
            <w:i/>
            <w:sz w:val="18"/>
          </w:rPr>
          <w:t xml:space="preserve"> i spo</w:t>
        </w:r>
        <w:r>
          <w:rPr>
            <w:rStyle w:val="Hyperlink"/>
            <w:i/>
            <w:sz w:val="18"/>
          </w:rPr>
          <w:t>łeczności wiejskich w UE</w:t>
        </w:r>
        <w:r>
          <w:rPr>
            <w:rStyle w:val="Hyperlink"/>
            <w:sz w:val="18"/>
          </w:rPr>
          <w:t>, Urząd Publikacji Unii Europejskiej</w:t>
        </w:r>
      </w:hyperlink>
      <w:r>
        <w:t xml:space="preserve">, Luksemburg, </w:t>
      </w:r>
      <w:r>
        <w:rPr>
          <w:sz w:val="18"/>
        </w:rPr>
        <w:t>2023, doi:10.2760/286916, JRC134571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0E005" w14:textId="77777777" w:rsidR="003E3CB6" w:rsidRPr="003E3CB6" w:rsidRDefault="003E3CB6" w:rsidP="003E3CB6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ACECE" w14:textId="77777777" w:rsidR="003E3CB6" w:rsidRPr="003E3CB6" w:rsidRDefault="003E3CB6" w:rsidP="003E3CB6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9CE55" w14:textId="77777777" w:rsidR="003E3CB6" w:rsidRPr="003E3CB6" w:rsidRDefault="003E3CB6" w:rsidP="003E3CB6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5F9DA" w14:textId="116C9CE8" w:rsidR="00552F94" w:rsidRDefault="00552F9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55E54" w14:textId="77777777" w:rsidR="00552F94" w:rsidRDefault="00552F9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4399D" w14:textId="77777777" w:rsidR="00552F94" w:rsidRDefault="00552F9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3F1B5" w14:textId="77777777" w:rsidR="005C7E87" w:rsidRDefault="005C7E87">
    <w:pPr>
      <w:pBdr>
        <w:top w:val="nil"/>
        <w:left w:val="nil"/>
        <w:bottom w:val="nil"/>
        <w:right w:val="nil"/>
        <w:between w:val="nil"/>
      </w:pBdr>
      <w:tabs>
        <w:tab w:val="center" w:pos="4150"/>
        <w:tab w:val="right" w:pos="8306"/>
      </w:tabs>
      <w:spacing w:after="0"/>
      <w:rPr>
        <w:color w:val="00000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9CD31" w14:textId="77777777" w:rsidR="005C7E87" w:rsidRDefault="005C7E87">
    <w:pPr>
      <w:pBdr>
        <w:top w:val="nil"/>
        <w:left w:val="nil"/>
        <w:bottom w:val="nil"/>
        <w:right w:val="nil"/>
        <w:between w:val="nil"/>
      </w:pBdr>
      <w:tabs>
        <w:tab w:val="center" w:pos="4150"/>
        <w:tab w:val="right" w:pos="8306"/>
      </w:tabs>
      <w:spacing w:after="0"/>
      <w:rPr>
        <w:color w:val="00000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06684" w14:textId="77777777" w:rsidR="005C7E87" w:rsidRDefault="005C7E87">
    <w:pPr>
      <w:pBdr>
        <w:top w:val="nil"/>
        <w:left w:val="nil"/>
        <w:bottom w:val="nil"/>
        <w:right w:val="nil"/>
        <w:between w:val="nil"/>
      </w:pBdr>
      <w:tabs>
        <w:tab w:val="center" w:pos="4150"/>
        <w:tab w:val="right" w:pos="8306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3E18"/>
    <w:multiLevelType w:val="multilevel"/>
    <w:tmpl w:val="55B43C6C"/>
    <w:lvl w:ilvl="0">
      <w:start w:val="1"/>
      <w:numFmt w:val="decimal"/>
      <w:lvlText w:val="(%1)"/>
      <w:lvlJc w:val="left"/>
      <w:pPr>
        <w:ind w:left="1191" w:hanging="709"/>
      </w:pPr>
    </w:lvl>
    <w:lvl w:ilvl="1">
      <w:start w:val="1"/>
      <w:numFmt w:val="lowerLetter"/>
      <w:lvlText w:val="%2)"/>
      <w:lvlJc w:val="left"/>
      <w:pPr>
        <w:ind w:left="1551" w:hanging="360"/>
      </w:pPr>
      <w:rPr>
        <w:b/>
        <w:bCs/>
      </w:rPr>
    </w:lvl>
    <w:lvl w:ilvl="2">
      <w:start w:val="1"/>
      <w:numFmt w:val="bullet"/>
      <w:lvlText w:val="–"/>
      <w:lvlJc w:val="left"/>
      <w:pPr>
        <w:ind w:left="2608" w:hanging="709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317" w:hanging="709"/>
      </w:pPr>
      <w:rPr>
        <w:rFonts w:ascii="Noto Sans Symbols" w:eastAsia="Noto Sans Symbols" w:hAnsi="Noto Sans Symbols" w:cs="Noto Sans Symbols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EFF546C"/>
    <w:multiLevelType w:val="multilevel"/>
    <w:tmpl w:val="094AD4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C51992"/>
    <w:multiLevelType w:val="multilevel"/>
    <w:tmpl w:val="727C792E"/>
    <w:lvl w:ilvl="0">
      <w:start w:val="1"/>
      <w:numFmt w:val="bullet"/>
      <w:lvlText w:val="●"/>
      <w:lvlJc w:val="left"/>
      <w:pPr>
        <w:ind w:left="765" w:hanging="283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49" w:hanging="284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332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16" w:hanging="284"/>
      </w:pPr>
      <w:rPr>
        <w:rFonts w:ascii="Noto Sans Symbols" w:eastAsia="Noto Sans Symbols" w:hAnsi="Noto Sans Symbols" w:cs="Noto Sans Symbols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79C50B1"/>
    <w:multiLevelType w:val="multilevel"/>
    <w:tmpl w:val="B178DF08"/>
    <w:lvl w:ilvl="0">
      <w:start w:val="1"/>
      <w:numFmt w:val="decimal"/>
      <w:lvlText w:val="%1."/>
      <w:lvlJc w:val="left"/>
      <w:pPr>
        <w:ind w:left="482" w:hanging="482"/>
      </w:pPr>
    </w:lvl>
    <w:lvl w:ilvl="1">
      <w:start w:val="1"/>
      <w:numFmt w:val="decimal"/>
      <w:lvlText w:val="%1.%2."/>
      <w:lvlJc w:val="left"/>
      <w:pPr>
        <w:ind w:left="1202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2211" w:hanging="1009"/>
      </w:pPr>
    </w:lvl>
    <w:lvl w:ilvl="3">
      <w:start w:val="1"/>
      <w:numFmt w:val="decimal"/>
      <w:lvlText w:val="%1.%2.%3.%4."/>
      <w:lvlJc w:val="left"/>
      <w:pPr>
        <w:ind w:left="2211" w:hanging="1009"/>
      </w:pPr>
    </w:lvl>
    <w:lvl w:ilvl="4">
      <w:start w:val="1"/>
      <w:numFmt w:val="decimal"/>
      <w:lvlText w:val="%1.%2.%3.%4.%5."/>
      <w:lvlJc w:val="left"/>
      <w:pPr>
        <w:ind w:left="3838" w:hanging="958"/>
      </w:pPr>
    </w:lvl>
    <w:lvl w:ilvl="5">
      <w:start w:val="1"/>
      <w:numFmt w:val="decimal"/>
      <w:lvlText w:val="%1.%2.%3.%4.%5.%6."/>
      <w:lvlJc w:val="left"/>
      <w:pPr>
        <w:ind w:left="3838" w:hanging="958"/>
      </w:pPr>
    </w:lvl>
    <w:lvl w:ilvl="6">
      <w:start w:val="1"/>
      <w:numFmt w:val="decimal"/>
      <w:lvlText w:val="%1.%2.%3.%4.%5.%6.%7."/>
      <w:lvlJc w:val="left"/>
      <w:pPr>
        <w:ind w:left="3838" w:hanging="958"/>
      </w:pPr>
    </w:lvl>
    <w:lvl w:ilvl="7">
      <w:start w:val="1"/>
      <w:numFmt w:val="decimal"/>
      <w:lvlText w:val="%1.%2.%3.%4.%5.%6.%7.%8."/>
      <w:lvlJc w:val="left"/>
      <w:pPr>
        <w:ind w:left="3838" w:hanging="958"/>
      </w:pPr>
    </w:lvl>
    <w:lvl w:ilvl="8">
      <w:start w:val="1"/>
      <w:numFmt w:val="decimal"/>
      <w:lvlText w:val="%1.%2.%3.%4.%5.%6.%7.%8.%9."/>
      <w:lvlJc w:val="left"/>
      <w:pPr>
        <w:ind w:left="3838" w:hanging="958"/>
      </w:pPr>
    </w:lvl>
  </w:abstractNum>
  <w:abstractNum w:abstractNumId="4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6C61CD7"/>
    <w:multiLevelType w:val="hybridMultilevel"/>
    <w:tmpl w:val="FFFFFFFF"/>
    <w:lvl w:ilvl="0" w:tplc="D92ACD86">
      <w:numFmt w:val="none"/>
      <w:lvlText w:val=""/>
      <w:lvlJc w:val="left"/>
      <w:pPr>
        <w:tabs>
          <w:tab w:val="num" w:pos="360"/>
        </w:tabs>
      </w:pPr>
    </w:lvl>
    <w:lvl w:ilvl="1" w:tplc="49D015FA">
      <w:start w:val="1"/>
      <w:numFmt w:val="lowerLetter"/>
      <w:lvlText w:val="%2."/>
      <w:lvlJc w:val="left"/>
      <w:pPr>
        <w:ind w:left="1562" w:hanging="360"/>
      </w:pPr>
    </w:lvl>
    <w:lvl w:ilvl="2" w:tplc="90E29286">
      <w:start w:val="1"/>
      <w:numFmt w:val="lowerRoman"/>
      <w:lvlText w:val="%3."/>
      <w:lvlJc w:val="right"/>
      <w:pPr>
        <w:ind w:left="2282" w:hanging="180"/>
      </w:pPr>
    </w:lvl>
    <w:lvl w:ilvl="3" w:tplc="B9A8D4EA">
      <w:start w:val="1"/>
      <w:numFmt w:val="decimal"/>
      <w:lvlText w:val="%4."/>
      <w:lvlJc w:val="left"/>
      <w:pPr>
        <w:ind w:left="3002" w:hanging="360"/>
      </w:pPr>
    </w:lvl>
    <w:lvl w:ilvl="4" w:tplc="A6B4C520">
      <w:start w:val="1"/>
      <w:numFmt w:val="lowerLetter"/>
      <w:lvlText w:val="%5."/>
      <w:lvlJc w:val="left"/>
      <w:pPr>
        <w:ind w:left="3722" w:hanging="360"/>
      </w:pPr>
    </w:lvl>
    <w:lvl w:ilvl="5" w:tplc="ED6CE1CA">
      <w:start w:val="1"/>
      <w:numFmt w:val="lowerRoman"/>
      <w:lvlText w:val="%6."/>
      <w:lvlJc w:val="right"/>
      <w:pPr>
        <w:ind w:left="4442" w:hanging="180"/>
      </w:pPr>
    </w:lvl>
    <w:lvl w:ilvl="6" w:tplc="C240CB36">
      <w:start w:val="1"/>
      <w:numFmt w:val="decimal"/>
      <w:lvlText w:val="%7."/>
      <w:lvlJc w:val="left"/>
      <w:pPr>
        <w:ind w:left="5162" w:hanging="360"/>
      </w:pPr>
    </w:lvl>
    <w:lvl w:ilvl="7" w:tplc="7B9A5A70">
      <w:start w:val="1"/>
      <w:numFmt w:val="lowerLetter"/>
      <w:lvlText w:val="%8."/>
      <w:lvlJc w:val="left"/>
      <w:pPr>
        <w:ind w:left="5882" w:hanging="360"/>
      </w:pPr>
    </w:lvl>
    <w:lvl w:ilvl="8" w:tplc="D6CABFC2">
      <w:start w:val="1"/>
      <w:numFmt w:val="lowerRoman"/>
      <w:lvlText w:val="%9."/>
      <w:lvlJc w:val="right"/>
      <w:pPr>
        <w:ind w:left="6602" w:hanging="180"/>
      </w:pPr>
    </w:lvl>
  </w:abstractNum>
  <w:abstractNum w:abstractNumId="6" w15:restartNumberingAfterBreak="0">
    <w:nsid w:val="644E4D08"/>
    <w:multiLevelType w:val="hybridMultilevel"/>
    <w:tmpl w:val="5D52ACF4"/>
    <w:lvl w:ilvl="0" w:tplc="75C2312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1757F"/>
    <w:multiLevelType w:val="hybridMultilevel"/>
    <w:tmpl w:val="FFFFFFFF"/>
    <w:lvl w:ilvl="0" w:tplc="85905BCE">
      <w:numFmt w:val="none"/>
      <w:lvlText w:val=""/>
      <w:lvlJc w:val="left"/>
      <w:pPr>
        <w:tabs>
          <w:tab w:val="num" w:pos="360"/>
        </w:tabs>
      </w:pPr>
    </w:lvl>
    <w:lvl w:ilvl="1" w:tplc="7E282534">
      <w:start w:val="1"/>
      <w:numFmt w:val="lowerLetter"/>
      <w:lvlText w:val="%2."/>
      <w:lvlJc w:val="left"/>
      <w:pPr>
        <w:ind w:left="1562" w:hanging="360"/>
      </w:pPr>
    </w:lvl>
    <w:lvl w:ilvl="2" w:tplc="A0E27FBA">
      <w:start w:val="1"/>
      <w:numFmt w:val="lowerRoman"/>
      <w:lvlText w:val="%3."/>
      <w:lvlJc w:val="right"/>
      <w:pPr>
        <w:ind w:left="2282" w:hanging="180"/>
      </w:pPr>
    </w:lvl>
    <w:lvl w:ilvl="3" w:tplc="849E1760">
      <w:start w:val="1"/>
      <w:numFmt w:val="decimal"/>
      <w:lvlText w:val="%4."/>
      <w:lvlJc w:val="left"/>
      <w:pPr>
        <w:ind w:left="3002" w:hanging="360"/>
      </w:pPr>
    </w:lvl>
    <w:lvl w:ilvl="4" w:tplc="42A40EE6">
      <w:start w:val="1"/>
      <w:numFmt w:val="lowerLetter"/>
      <w:lvlText w:val="%5."/>
      <w:lvlJc w:val="left"/>
      <w:pPr>
        <w:ind w:left="3722" w:hanging="360"/>
      </w:pPr>
    </w:lvl>
    <w:lvl w:ilvl="5" w:tplc="06B251BA">
      <w:start w:val="1"/>
      <w:numFmt w:val="lowerRoman"/>
      <w:lvlText w:val="%6."/>
      <w:lvlJc w:val="right"/>
      <w:pPr>
        <w:ind w:left="4442" w:hanging="180"/>
      </w:pPr>
    </w:lvl>
    <w:lvl w:ilvl="6" w:tplc="D9CABA1E">
      <w:start w:val="1"/>
      <w:numFmt w:val="decimal"/>
      <w:lvlText w:val="%7."/>
      <w:lvlJc w:val="left"/>
      <w:pPr>
        <w:ind w:left="5162" w:hanging="360"/>
      </w:pPr>
    </w:lvl>
    <w:lvl w:ilvl="7" w:tplc="A0324B1C">
      <w:start w:val="1"/>
      <w:numFmt w:val="lowerLetter"/>
      <w:lvlText w:val="%8."/>
      <w:lvlJc w:val="left"/>
      <w:pPr>
        <w:ind w:left="5882" w:hanging="360"/>
      </w:pPr>
    </w:lvl>
    <w:lvl w:ilvl="8" w:tplc="073CD12E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4"/>
  </w:num>
  <w:num w:numId="7">
    <w:abstractNumId w:val="4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</w:compat>
  <w:docVars>
    <w:docVar w:name="DocStatus" w:val="Green"/>
    <w:docVar w:name="LW_CORRIGENDUM" w:val="&lt;UNUSED&gt;"/>
    <w:docVar w:name="LW_COVERPAGE_EXISTS" w:val="True"/>
    <w:docVar w:name="LW_COVERPAGE_GUID" w:val="21493104-7FE6-4E57-BD18-98F86815F626"/>
    <w:docVar w:name="LW_COVERPAGE_TYPE" w:val="1"/>
    <w:docVar w:name="LW_CROSSREFERENCE" w:val="&lt;UNUSED&gt;"/>
    <w:docVar w:name="LW_DocType" w:val="NORMAL"/>
    <w:docVar w:name="LW_EMISSION" w:val="19.2.2025"/>
    <w:docVar w:name="LW_EMISSION_ISODATE" w:val="2025-02-19"/>
    <w:docVar w:name="LW_EMISSION_LOCATION" w:val="BRX"/>
    <w:docVar w:name="LW_EMISSION_PREFIX" w:val="Bruksela, dnia "/>
    <w:docVar w:name="LW_EMISSION_SUFFIX" w:val=" r."/>
    <w:docVar w:name="LW_ID_DOCTYPE_NONLW" w:val="CP-014"/>
    <w:docVar w:name="LW_LANGUE" w:val="PL"/>
    <w:docVar w:name="LW_LEVEL_OF_SENSITIVITY" w:val="Standard treatment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75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Wizja dla rolnictwa i \u380?ywno\u347?ci_x000d__x000d__x000d__x000d__x000d__x000d__x000d__x000b__x000d__x000d__x000d__x000d__x000d__x000d_&lt;FMT:Font=Calibri&gt;W&lt;/FMT&gt;&lt;FMT:Font=Calibri CE&gt;spólne kszta\u322?towanie unijnego sektora rolnego i spo\u380?ywczego, atrakcyjnego dla przysz\u322?ych pokole\u324?&lt;/FMT&gt;_x000d__x000d__x000d__x000d__x000d__x000d__x000d__x000d__x000d__x000d__x000d__x000d__x000d__x000d__x000d__x000d__x000b_"/>
    <w:docVar w:name="LW_TYPE.DOC.CP" w:val="KOMUNIKAT KOMISJI DO PARLAMENTU EUROPEJSKIEGO, RADY, EUROPEJSKIEGO KOMITETU EKONOMICZNO-SPO\u321?ECZNEGO I KOMITETU REGIONÓW"/>
    <w:docVar w:name="LW_TYPE.DOC.CP.USERTEXT" w:val="&lt;EMPTY&gt;"/>
    <w:docVar w:name="LwApiVersions" w:val="LW4CoDe 1.24.5.0; LW 9.0, Build 20240221"/>
  </w:docVars>
  <w:rsids>
    <w:rsidRoot w:val="00EF513A"/>
    <w:rsid w:val="0000089B"/>
    <w:rsid w:val="00000D15"/>
    <w:rsid w:val="000016B3"/>
    <w:rsid w:val="00001C81"/>
    <w:rsid w:val="00001E97"/>
    <w:rsid w:val="00002ACB"/>
    <w:rsid w:val="00002BDD"/>
    <w:rsid w:val="00002D5C"/>
    <w:rsid w:val="00002E15"/>
    <w:rsid w:val="00003FD3"/>
    <w:rsid w:val="0000509C"/>
    <w:rsid w:val="00005698"/>
    <w:rsid w:val="00007C73"/>
    <w:rsid w:val="000114B2"/>
    <w:rsid w:val="00011763"/>
    <w:rsid w:val="000117A6"/>
    <w:rsid w:val="00011A73"/>
    <w:rsid w:val="00011C2C"/>
    <w:rsid w:val="00012636"/>
    <w:rsid w:val="000126E1"/>
    <w:rsid w:val="000132F3"/>
    <w:rsid w:val="00013849"/>
    <w:rsid w:val="00014384"/>
    <w:rsid w:val="00014E25"/>
    <w:rsid w:val="0001518A"/>
    <w:rsid w:val="000165FA"/>
    <w:rsid w:val="000176FF"/>
    <w:rsid w:val="00017EBC"/>
    <w:rsid w:val="0002032D"/>
    <w:rsid w:val="00020A37"/>
    <w:rsid w:val="00020A74"/>
    <w:rsid w:val="00022BC4"/>
    <w:rsid w:val="00022C23"/>
    <w:rsid w:val="00022D66"/>
    <w:rsid w:val="00022F9A"/>
    <w:rsid w:val="0002330F"/>
    <w:rsid w:val="00023663"/>
    <w:rsid w:val="000242FF"/>
    <w:rsid w:val="000245AF"/>
    <w:rsid w:val="00024AAA"/>
    <w:rsid w:val="00025023"/>
    <w:rsid w:val="00025FCB"/>
    <w:rsid w:val="000261F0"/>
    <w:rsid w:val="00026753"/>
    <w:rsid w:val="00030FFD"/>
    <w:rsid w:val="0003232D"/>
    <w:rsid w:val="0003471E"/>
    <w:rsid w:val="00034C53"/>
    <w:rsid w:val="000368B3"/>
    <w:rsid w:val="0004096E"/>
    <w:rsid w:val="00040D66"/>
    <w:rsid w:val="00041B2F"/>
    <w:rsid w:val="000432BA"/>
    <w:rsid w:val="00043B36"/>
    <w:rsid w:val="00043B9B"/>
    <w:rsid w:val="00043D60"/>
    <w:rsid w:val="00043E33"/>
    <w:rsid w:val="00044B4D"/>
    <w:rsid w:val="000451D1"/>
    <w:rsid w:val="000467DC"/>
    <w:rsid w:val="00046818"/>
    <w:rsid w:val="00046819"/>
    <w:rsid w:val="00046BB7"/>
    <w:rsid w:val="00046E61"/>
    <w:rsid w:val="00047013"/>
    <w:rsid w:val="00050318"/>
    <w:rsid w:val="00050471"/>
    <w:rsid w:val="0005095F"/>
    <w:rsid w:val="00050E4C"/>
    <w:rsid w:val="00050ECE"/>
    <w:rsid w:val="0005250A"/>
    <w:rsid w:val="000525E1"/>
    <w:rsid w:val="00052A11"/>
    <w:rsid w:val="00052D1C"/>
    <w:rsid w:val="00052EC1"/>
    <w:rsid w:val="0005392D"/>
    <w:rsid w:val="00054C79"/>
    <w:rsid w:val="0005522D"/>
    <w:rsid w:val="000560B4"/>
    <w:rsid w:val="00056A8D"/>
    <w:rsid w:val="00056A9A"/>
    <w:rsid w:val="00057030"/>
    <w:rsid w:val="0005748E"/>
    <w:rsid w:val="00057790"/>
    <w:rsid w:val="00060BBC"/>
    <w:rsid w:val="00060D86"/>
    <w:rsid w:val="00060EFF"/>
    <w:rsid w:val="00062273"/>
    <w:rsid w:val="000637B1"/>
    <w:rsid w:val="00064510"/>
    <w:rsid w:val="000647B9"/>
    <w:rsid w:val="00064867"/>
    <w:rsid w:val="000649FC"/>
    <w:rsid w:val="00064AFD"/>
    <w:rsid w:val="0006538C"/>
    <w:rsid w:val="000655FF"/>
    <w:rsid w:val="00065B7A"/>
    <w:rsid w:val="00066F96"/>
    <w:rsid w:val="00067FAB"/>
    <w:rsid w:val="000701C3"/>
    <w:rsid w:val="00070C31"/>
    <w:rsid w:val="00071506"/>
    <w:rsid w:val="000717F2"/>
    <w:rsid w:val="00072012"/>
    <w:rsid w:val="0007437E"/>
    <w:rsid w:val="00074894"/>
    <w:rsid w:val="00074C77"/>
    <w:rsid w:val="000755F1"/>
    <w:rsid w:val="00076D2F"/>
    <w:rsid w:val="00080336"/>
    <w:rsid w:val="000808BC"/>
    <w:rsid w:val="00081085"/>
    <w:rsid w:val="0008111C"/>
    <w:rsid w:val="00082E99"/>
    <w:rsid w:val="00083D41"/>
    <w:rsid w:val="00084129"/>
    <w:rsid w:val="0008545B"/>
    <w:rsid w:val="0008586B"/>
    <w:rsid w:val="00085D61"/>
    <w:rsid w:val="00085E12"/>
    <w:rsid w:val="00085F4D"/>
    <w:rsid w:val="000860D7"/>
    <w:rsid w:val="0008629F"/>
    <w:rsid w:val="000873E3"/>
    <w:rsid w:val="0008779D"/>
    <w:rsid w:val="00087BE2"/>
    <w:rsid w:val="00090011"/>
    <w:rsid w:val="000910F3"/>
    <w:rsid w:val="00091CDB"/>
    <w:rsid w:val="000922B5"/>
    <w:rsid w:val="0009298F"/>
    <w:rsid w:val="00093CDD"/>
    <w:rsid w:val="00094294"/>
    <w:rsid w:val="000950A0"/>
    <w:rsid w:val="00095328"/>
    <w:rsid w:val="00096A1E"/>
    <w:rsid w:val="0009711C"/>
    <w:rsid w:val="000A001D"/>
    <w:rsid w:val="000A085C"/>
    <w:rsid w:val="000A0EBC"/>
    <w:rsid w:val="000A18B2"/>
    <w:rsid w:val="000A1AFB"/>
    <w:rsid w:val="000A299B"/>
    <w:rsid w:val="000A2A85"/>
    <w:rsid w:val="000A4797"/>
    <w:rsid w:val="000A5D4D"/>
    <w:rsid w:val="000A6CF2"/>
    <w:rsid w:val="000A7610"/>
    <w:rsid w:val="000A7B2A"/>
    <w:rsid w:val="000B0276"/>
    <w:rsid w:val="000B0C0F"/>
    <w:rsid w:val="000B2D2F"/>
    <w:rsid w:val="000B339E"/>
    <w:rsid w:val="000B44BD"/>
    <w:rsid w:val="000B6585"/>
    <w:rsid w:val="000B6A3C"/>
    <w:rsid w:val="000B6F96"/>
    <w:rsid w:val="000B7B46"/>
    <w:rsid w:val="000C0A31"/>
    <w:rsid w:val="000C0C65"/>
    <w:rsid w:val="000C1BF2"/>
    <w:rsid w:val="000C51E3"/>
    <w:rsid w:val="000C5ABD"/>
    <w:rsid w:val="000C5ABF"/>
    <w:rsid w:val="000C5CDB"/>
    <w:rsid w:val="000C7C17"/>
    <w:rsid w:val="000D043F"/>
    <w:rsid w:val="000D1068"/>
    <w:rsid w:val="000D1141"/>
    <w:rsid w:val="000D1700"/>
    <w:rsid w:val="000D1F2D"/>
    <w:rsid w:val="000D28FE"/>
    <w:rsid w:val="000D307E"/>
    <w:rsid w:val="000D4063"/>
    <w:rsid w:val="000D4AA7"/>
    <w:rsid w:val="000D4CA6"/>
    <w:rsid w:val="000D549A"/>
    <w:rsid w:val="000D59BE"/>
    <w:rsid w:val="000D5A55"/>
    <w:rsid w:val="000D5BC4"/>
    <w:rsid w:val="000D61E4"/>
    <w:rsid w:val="000D7037"/>
    <w:rsid w:val="000D7727"/>
    <w:rsid w:val="000D7795"/>
    <w:rsid w:val="000D7BF0"/>
    <w:rsid w:val="000D7E8D"/>
    <w:rsid w:val="000E1235"/>
    <w:rsid w:val="000E1CA4"/>
    <w:rsid w:val="000E203D"/>
    <w:rsid w:val="000E23D4"/>
    <w:rsid w:val="000E24D6"/>
    <w:rsid w:val="000E365F"/>
    <w:rsid w:val="000E39CA"/>
    <w:rsid w:val="000E46A4"/>
    <w:rsid w:val="000E49CD"/>
    <w:rsid w:val="000E4B0C"/>
    <w:rsid w:val="000E59FE"/>
    <w:rsid w:val="000E5BF0"/>
    <w:rsid w:val="000E66A1"/>
    <w:rsid w:val="000E67DE"/>
    <w:rsid w:val="000E7148"/>
    <w:rsid w:val="000E7275"/>
    <w:rsid w:val="000F0CDB"/>
    <w:rsid w:val="000F1D4B"/>
    <w:rsid w:val="000F44F4"/>
    <w:rsid w:val="000F603A"/>
    <w:rsid w:val="000F71B7"/>
    <w:rsid w:val="000F7E50"/>
    <w:rsid w:val="0010294C"/>
    <w:rsid w:val="00103B12"/>
    <w:rsid w:val="00104CF7"/>
    <w:rsid w:val="00106F3A"/>
    <w:rsid w:val="0010795D"/>
    <w:rsid w:val="0011057D"/>
    <w:rsid w:val="00110585"/>
    <w:rsid w:val="00110871"/>
    <w:rsid w:val="00110BEC"/>
    <w:rsid w:val="00110CE1"/>
    <w:rsid w:val="0011101C"/>
    <w:rsid w:val="00111277"/>
    <w:rsid w:val="0011278B"/>
    <w:rsid w:val="00112DD7"/>
    <w:rsid w:val="0011319C"/>
    <w:rsid w:val="00113DF2"/>
    <w:rsid w:val="00116579"/>
    <w:rsid w:val="0011660C"/>
    <w:rsid w:val="001170FD"/>
    <w:rsid w:val="0012075D"/>
    <w:rsid w:val="00121600"/>
    <w:rsid w:val="00121F7B"/>
    <w:rsid w:val="0012217B"/>
    <w:rsid w:val="001222ED"/>
    <w:rsid w:val="00122F82"/>
    <w:rsid w:val="001234A8"/>
    <w:rsid w:val="00123718"/>
    <w:rsid w:val="00124284"/>
    <w:rsid w:val="001242A2"/>
    <w:rsid w:val="001255D9"/>
    <w:rsid w:val="001256F1"/>
    <w:rsid w:val="001266E6"/>
    <w:rsid w:val="00126CA5"/>
    <w:rsid w:val="00126D34"/>
    <w:rsid w:val="00126D61"/>
    <w:rsid w:val="00126D92"/>
    <w:rsid w:val="001273DA"/>
    <w:rsid w:val="00127D6A"/>
    <w:rsid w:val="0013004B"/>
    <w:rsid w:val="001301DA"/>
    <w:rsid w:val="00130BC6"/>
    <w:rsid w:val="001310E1"/>
    <w:rsid w:val="00131351"/>
    <w:rsid w:val="001314A2"/>
    <w:rsid w:val="00131EBE"/>
    <w:rsid w:val="00132DB7"/>
    <w:rsid w:val="0013314D"/>
    <w:rsid w:val="00133E23"/>
    <w:rsid w:val="00133E4E"/>
    <w:rsid w:val="00135506"/>
    <w:rsid w:val="001358F5"/>
    <w:rsid w:val="00135E4E"/>
    <w:rsid w:val="001361FE"/>
    <w:rsid w:val="0013634C"/>
    <w:rsid w:val="001365D2"/>
    <w:rsid w:val="00136C32"/>
    <w:rsid w:val="00137E05"/>
    <w:rsid w:val="001407BE"/>
    <w:rsid w:val="001411FC"/>
    <w:rsid w:val="00142298"/>
    <w:rsid w:val="00142373"/>
    <w:rsid w:val="001426AD"/>
    <w:rsid w:val="0014351E"/>
    <w:rsid w:val="0014375C"/>
    <w:rsid w:val="0014489E"/>
    <w:rsid w:val="0014494F"/>
    <w:rsid w:val="001458D9"/>
    <w:rsid w:val="001461AE"/>
    <w:rsid w:val="00151CBE"/>
    <w:rsid w:val="00152234"/>
    <w:rsid w:val="001523E8"/>
    <w:rsid w:val="00152479"/>
    <w:rsid w:val="0015291B"/>
    <w:rsid w:val="00152BBD"/>
    <w:rsid w:val="00152D0B"/>
    <w:rsid w:val="00153EF2"/>
    <w:rsid w:val="00154BC7"/>
    <w:rsid w:val="001564A3"/>
    <w:rsid w:val="001568A3"/>
    <w:rsid w:val="00157BC0"/>
    <w:rsid w:val="00160481"/>
    <w:rsid w:val="00160A9B"/>
    <w:rsid w:val="00161450"/>
    <w:rsid w:val="001615E2"/>
    <w:rsid w:val="001619B1"/>
    <w:rsid w:val="001645CE"/>
    <w:rsid w:val="00164C9B"/>
    <w:rsid w:val="00164F19"/>
    <w:rsid w:val="0016632D"/>
    <w:rsid w:val="00166E3C"/>
    <w:rsid w:val="00167363"/>
    <w:rsid w:val="00167665"/>
    <w:rsid w:val="001676C2"/>
    <w:rsid w:val="00167B11"/>
    <w:rsid w:val="00167B7F"/>
    <w:rsid w:val="00170FEA"/>
    <w:rsid w:val="001715B7"/>
    <w:rsid w:val="0017162F"/>
    <w:rsid w:val="00171806"/>
    <w:rsid w:val="00171B20"/>
    <w:rsid w:val="00171C62"/>
    <w:rsid w:val="0017467A"/>
    <w:rsid w:val="00175143"/>
    <w:rsid w:val="00175355"/>
    <w:rsid w:val="001754C5"/>
    <w:rsid w:val="001754CB"/>
    <w:rsid w:val="001762E7"/>
    <w:rsid w:val="001765BE"/>
    <w:rsid w:val="0017696B"/>
    <w:rsid w:val="00176D02"/>
    <w:rsid w:val="0017748F"/>
    <w:rsid w:val="00180B2D"/>
    <w:rsid w:val="00181918"/>
    <w:rsid w:val="00181C14"/>
    <w:rsid w:val="00182BE5"/>
    <w:rsid w:val="00183116"/>
    <w:rsid w:val="0018360E"/>
    <w:rsid w:val="00183CFB"/>
    <w:rsid w:val="00183D62"/>
    <w:rsid w:val="001843CA"/>
    <w:rsid w:val="00185327"/>
    <w:rsid w:val="00185338"/>
    <w:rsid w:val="00185636"/>
    <w:rsid w:val="00185639"/>
    <w:rsid w:val="001875A2"/>
    <w:rsid w:val="0018763D"/>
    <w:rsid w:val="00190955"/>
    <w:rsid w:val="00190E8F"/>
    <w:rsid w:val="00191050"/>
    <w:rsid w:val="001918BD"/>
    <w:rsid w:val="00192923"/>
    <w:rsid w:val="001939FD"/>
    <w:rsid w:val="00195153"/>
    <w:rsid w:val="00196688"/>
    <w:rsid w:val="00197225"/>
    <w:rsid w:val="00197908"/>
    <w:rsid w:val="00197A33"/>
    <w:rsid w:val="001A0677"/>
    <w:rsid w:val="001A1B08"/>
    <w:rsid w:val="001A2381"/>
    <w:rsid w:val="001A2D0A"/>
    <w:rsid w:val="001A3375"/>
    <w:rsid w:val="001A3A2C"/>
    <w:rsid w:val="001A4238"/>
    <w:rsid w:val="001A4813"/>
    <w:rsid w:val="001A4B33"/>
    <w:rsid w:val="001A56B1"/>
    <w:rsid w:val="001A5E58"/>
    <w:rsid w:val="001A705A"/>
    <w:rsid w:val="001A72DA"/>
    <w:rsid w:val="001A791F"/>
    <w:rsid w:val="001B003C"/>
    <w:rsid w:val="001B0770"/>
    <w:rsid w:val="001B11A7"/>
    <w:rsid w:val="001B16B0"/>
    <w:rsid w:val="001B20BC"/>
    <w:rsid w:val="001B21D0"/>
    <w:rsid w:val="001B317D"/>
    <w:rsid w:val="001B372A"/>
    <w:rsid w:val="001B4BB6"/>
    <w:rsid w:val="001B4D8F"/>
    <w:rsid w:val="001B59ED"/>
    <w:rsid w:val="001B667A"/>
    <w:rsid w:val="001B7121"/>
    <w:rsid w:val="001C0299"/>
    <w:rsid w:val="001C02AE"/>
    <w:rsid w:val="001C30CA"/>
    <w:rsid w:val="001C4225"/>
    <w:rsid w:val="001C43FA"/>
    <w:rsid w:val="001C4E2F"/>
    <w:rsid w:val="001C55D5"/>
    <w:rsid w:val="001C6397"/>
    <w:rsid w:val="001C68E1"/>
    <w:rsid w:val="001C7059"/>
    <w:rsid w:val="001C7640"/>
    <w:rsid w:val="001C79EE"/>
    <w:rsid w:val="001D01EC"/>
    <w:rsid w:val="001D05FA"/>
    <w:rsid w:val="001D075D"/>
    <w:rsid w:val="001D1978"/>
    <w:rsid w:val="001D2D49"/>
    <w:rsid w:val="001D3DE7"/>
    <w:rsid w:val="001D412A"/>
    <w:rsid w:val="001D44A3"/>
    <w:rsid w:val="001D49BD"/>
    <w:rsid w:val="001D4E1D"/>
    <w:rsid w:val="001D5DD7"/>
    <w:rsid w:val="001D7570"/>
    <w:rsid w:val="001D7904"/>
    <w:rsid w:val="001D7A43"/>
    <w:rsid w:val="001D7B29"/>
    <w:rsid w:val="001D7E31"/>
    <w:rsid w:val="001D7EE3"/>
    <w:rsid w:val="001E08C0"/>
    <w:rsid w:val="001E1502"/>
    <w:rsid w:val="001E21CA"/>
    <w:rsid w:val="001E3073"/>
    <w:rsid w:val="001E42F4"/>
    <w:rsid w:val="001E4D40"/>
    <w:rsid w:val="001E5238"/>
    <w:rsid w:val="001E6522"/>
    <w:rsid w:val="001F1175"/>
    <w:rsid w:val="001F1215"/>
    <w:rsid w:val="001F252D"/>
    <w:rsid w:val="001F475B"/>
    <w:rsid w:val="001F50B7"/>
    <w:rsid w:val="001F6313"/>
    <w:rsid w:val="001F6849"/>
    <w:rsid w:val="001F74FE"/>
    <w:rsid w:val="001F7FD0"/>
    <w:rsid w:val="00200B6C"/>
    <w:rsid w:val="00201FBF"/>
    <w:rsid w:val="0020204C"/>
    <w:rsid w:val="00202777"/>
    <w:rsid w:val="00202C73"/>
    <w:rsid w:val="0020397A"/>
    <w:rsid w:val="002043DA"/>
    <w:rsid w:val="002043E9"/>
    <w:rsid w:val="0020444D"/>
    <w:rsid w:val="00204A8E"/>
    <w:rsid w:val="00207028"/>
    <w:rsid w:val="00207065"/>
    <w:rsid w:val="002108D5"/>
    <w:rsid w:val="00211C67"/>
    <w:rsid w:val="00211FAD"/>
    <w:rsid w:val="00213132"/>
    <w:rsid w:val="0021322E"/>
    <w:rsid w:val="00213F60"/>
    <w:rsid w:val="00214154"/>
    <w:rsid w:val="00214312"/>
    <w:rsid w:val="00214711"/>
    <w:rsid w:val="002149A2"/>
    <w:rsid w:val="00214BAC"/>
    <w:rsid w:val="00214ECC"/>
    <w:rsid w:val="00214EE4"/>
    <w:rsid w:val="0021509C"/>
    <w:rsid w:val="00215394"/>
    <w:rsid w:val="002158CC"/>
    <w:rsid w:val="002170CD"/>
    <w:rsid w:val="0021764A"/>
    <w:rsid w:val="002176F1"/>
    <w:rsid w:val="0021772B"/>
    <w:rsid w:val="002179CF"/>
    <w:rsid w:val="0022132D"/>
    <w:rsid w:val="00221656"/>
    <w:rsid w:val="00221B39"/>
    <w:rsid w:val="002231D9"/>
    <w:rsid w:val="00223490"/>
    <w:rsid w:val="00223BC4"/>
    <w:rsid w:val="00223CB5"/>
    <w:rsid w:val="00224FAA"/>
    <w:rsid w:val="002264AC"/>
    <w:rsid w:val="002264F2"/>
    <w:rsid w:val="00226F48"/>
    <w:rsid w:val="00227216"/>
    <w:rsid w:val="00227FC1"/>
    <w:rsid w:val="0023042C"/>
    <w:rsid w:val="0023101F"/>
    <w:rsid w:val="00231E36"/>
    <w:rsid w:val="00231EEA"/>
    <w:rsid w:val="00232CF1"/>
    <w:rsid w:val="00233268"/>
    <w:rsid w:val="0023338D"/>
    <w:rsid w:val="00235758"/>
    <w:rsid w:val="00235D3C"/>
    <w:rsid w:val="002364F8"/>
    <w:rsid w:val="00236CAC"/>
    <w:rsid w:val="00237091"/>
    <w:rsid w:val="00237B0C"/>
    <w:rsid w:val="00237DE0"/>
    <w:rsid w:val="0024069D"/>
    <w:rsid w:val="0024167E"/>
    <w:rsid w:val="0024177A"/>
    <w:rsid w:val="00243141"/>
    <w:rsid w:val="002443F9"/>
    <w:rsid w:val="00245920"/>
    <w:rsid w:val="00245D89"/>
    <w:rsid w:val="00246324"/>
    <w:rsid w:val="002471B4"/>
    <w:rsid w:val="002524A4"/>
    <w:rsid w:val="00252EA6"/>
    <w:rsid w:val="00253071"/>
    <w:rsid w:val="00253F87"/>
    <w:rsid w:val="00254474"/>
    <w:rsid w:val="002544FA"/>
    <w:rsid w:val="00254CAA"/>
    <w:rsid w:val="00255FA7"/>
    <w:rsid w:val="00257072"/>
    <w:rsid w:val="00257326"/>
    <w:rsid w:val="002573B5"/>
    <w:rsid w:val="002579AA"/>
    <w:rsid w:val="00257E7B"/>
    <w:rsid w:val="0026104F"/>
    <w:rsid w:val="00261356"/>
    <w:rsid w:val="00261C28"/>
    <w:rsid w:val="00261EA6"/>
    <w:rsid w:val="00261F58"/>
    <w:rsid w:val="0026224A"/>
    <w:rsid w:val="0026231C"/>
    <w:rsid w:val="0026236A"/>
    <w:rsid w:val="0026247B"/>
    <w:rsid w:val="00262C9D"/>
    <w:rsid w:val="0026317F"/>
    <w:rsid w:val="00263295"/>
    <w:rsid w:val="002645B2"/>
    <w:rsid w:val="002646B4"/>
    <w:rsid w:val="0026575D"/>
    <w:rsid w:val="00265847"/>
    <w:rsid w:val="0026660C"/>
    <w:rsid w:val="00267225"/>
    <w:rsid w:val="00267EF7"/>
    <w:rsid w:val="00270289"/>
    <w:rsid w:val="00270331"/>
    <w:rsid w:val="0027042F"/>
    <w:rsid w:val="002709E0"/>
    <w:rsid w:val="00271D10"/>
    <w:rsid w:val="00273367"/>
    <w:rsid w:val="00273A4E"/>
    <w:rsid w:val="00273BDC"/>
    <w:rsid w:val="00275DA5"/>
    <w:rsid w:val="002761EB"/>
    <w:rsid w:val="00276287"/>
    <w:rsid w:val="002762CB"/>
    <w:rsid w:val="0027713C"/>
    <w:rsid w:val="00277F48"/>
    <w:rsid w:val="00280392"/>
    <w:rsid w:val="002805D9"/>
    <w:rsid w:val="00280ECB"/>
    <w:rsid w:val="0028135C"/>
    <w:rsid w:val="00281C1A"/>
    <w:rsid w:val="00281F67"/>
    <w:rsid w:val="002835CC"/>
    <w:rsid w:val="00285409"/>
    <w:rsid w:val="00285E52"/>
    <w:rsid w:val="00286043"/>
    <w:rsid w:val="0028668E"/>
    <w:rsid w:val="0028782F"/>
    <w:rsid w:val="00287B0E"/>
    <w:rsid w:val="002907B5"/>
    <w:rsid w:val="002910E5"/>
    <w:rsid w:val="00292830"/>
    <w:rsid w:val="00293736"/>
    <w:rsid w:val="002939C8"/>
    <w:rsid w:val="00295141"/>
    <w:rsid w:val="00297D9D"/>
    <w:rsid w:val="00297F34"/>
    <w:rsid w:val="002A0BB4"/>
    <w:rsid w:val="002A15E8"/>
    <w:rsid w:val="002A343C"/>
    <w:rsid w:val="002A3EF1"/>
    <w:rsid w:val="002A49FF"/>
    <w:rsid w:val="002A539A"/>
    <w:rsid w:val="002A5A85"/>
    <w:rsid w:val="002A5E6D"/>
    <w:rsid w:val="002A5E89"/>
    <w:rsid w:val="002A6D91"/>
    <w:rsid w:val="002A74EE"/>
    <w:rsid w:val="002A74FD"/>
    <w:rsid w:val="002A7667"/>
    <w:rsid w:val="002A78CC"/>
    <w:rsid w:val="002A7B4D"/>
    <w:rsid w:val="002B061E"/>
    <w:rsid w:val="002B09B7"/>
    <w:rsid w:val="002B0CB8"/>
    <w:rsid w:val="002B1F2B"/>
    <w:rsid w:val="002B2340"/>
    <w:rsid w:val="002B2E14"/>
    <w:rsid w:val="002B3DA1"/>
    <w:rsid w:val="002B442B"/>
    <w:rsid w:val="002B672D"/>
    <w:rsid w:val="002B6B58"/>
    <w:rsid w:val="002C0E0E"/>
    <w:rsid w:val="002C0FF4"/>
    <w:rsid w:val="002C2984"/>
    <w:rsid w:val="002C378F"/>
    <w:rsid w:val="002C38D0"/>
    <w:rsid w:val="002C3E9B"/>
    <w:rsid w:val="002C4164"/>
    <w:rsid w:val="002C43B1"/>
    <w:rsid w:val="002C457B"/>
    <w:rsid w:val="002C47C6"/>
    <w:rsid w:val="002C55DF"/>
    <w:rsid w:val="002C63F1"/>
    <w:rsid w:val="002C6D87"/>
    <w:rsid w:val="002C6EFC"/>
    <w:rsid w:val="002C715F"/>
    <w:rsid w:val="002C7759"/>
    <w:rsid w:val="002D0452"/>
    <w:rsid w:val="002D1BAD"/>
    <w:rsid w:val="002D2209"/>
    <w:rsid w:val="002D250B"/>
    <w:rsid w:val="002D2C35"/>
    <w:rsid w:val="002D4013"/>
    <w:rsid w:val="002D5099"/>
    <w:rsid w:val="002D5D0C"/>
    <w:rsid w:val="002D7589"/>
    <w:rsid w:val="002E07B6"/>
    <w:rsid w:val="002E0BBD"/>
    <w:rsid w:val="002E0DCD"/>
    <w:rsid w:val="002E17BA"/>
    <w:rsid w:val="002E29EC"/>
    <w:rsid w:val="002E3CE8"/>
    <w:rsid w:val="002E4EAB"/>
    <w:rsid w:val="002E5186"/>
    <w:rsid w:val="002E51BE"/>
    <w:rsid w:val="002E54EF"/>
    <w:rsid w:val="002E5601"/>
    <w:rsid w:val="002E5C96"/>
    <w:rsid w:val="002E718C"/>
    <w:rsid w:val="002E72D1"/>
    <w:rsid w:val="002E7A3F"/>
    <w:rsid w:val="002F0831"/>
    <w:rsid w:val="002F0A15"/>
    <w:rsid w:val="002F0DC0"/>
    <w:rsid w:val="002F11D8"/>
    <w:rsid w:val="002F153C"/>
    <w:rsid w:val="002F1760"/>
    <w:rsid w:val="002F358B"/>
    <w:rsid w:val="002F3D67"/>
    <w:rsid w:val="002F463A"/>
    <w:rsid w:val="002F4819"/>
    <w:rsid w:val="002F4E08"/>
    <w:rsid w:val="002F5600"/>
    <w:rsid w:val="002F5CD5"/>
    <w:rsid w:val="002F6169"/>
    <w:rsid w:val="002F6261"/>
    <w:rsid w:val="002F6510"/>
    <w:rsid w:val="002F6FBD"/>
    <w:rsid w:val="00300D47"/>
    <w:rsid w:val="00300EB5"/>
    <w:rsid w:val="003012C7"/>
    <w:rsid w:val="0030153C"/>
    <w:rsid w:val="0030165F"/>
    <w:rsid w:val="00301DC2"/>
    <w:rsid w:val="003024A0"/>
    <w:rsid w:val="00302EA0"/>
    <w:rsid w:val="00302F7B"/>
    <w:rsid w:val="00303267"/>
    <w:rsid w:val="00303544"/>
    <w:rsid w:val="00303833"/>
    <w:rsid w:val="00304CEB"/>
    <w:rsid w:val="003058AE"/>
    <w:rsid w:val="00305FF0"/>
    <w:rsid w:val="00307090"/>
    <w:rsid w:val="0030727A"/>
    <w:rsid w:val="00307390"/>
    <w:rsid w:val="0030767D"/>
    <w:rsid w:val="00311DC1"/>
    <w:rsid w:val="0031238A"/>
    <w:rsid w:val="00314053"/>
    <w:rsid w:val="00314265"/>
    <w:rsid w:val="00314958"/>
    <w:rsid w:val="003160B5"/>
    <w:rsid w:val="003166A5"/>
    <w:rsid w:val="00317992"/>
    <w:rsid w:val="00320039"/>
    <w:rsid w:val="00320308"/>
    <w:rsid w:val="00320CAB"/>
    <w:rsid w:val="00320DEE"/>
    <w:rsid w:val="00322075"/>
    <w:rsid w:val="003223EB"/>
    <w:rsid w:val="00322723"/>
    <w:rsid w:val="00322E03"/>
    <w:rsid w:val="00322F88"/>
    <w:rsid w:val="00323A33"/>
    <w:rsid w:val="00324069"/>
    <w:rsid w:val="00324A48"/>
    <w:rsid w:val="00324E72"/>
    <w:rsid w:val="003251CD"/>
    <w:rsid w:val="00325F62"/>
    <w:rsid w:val="003267F0"/>
    <w:rsid w:val="00326972"/>
    <w:rsid w:val="0033035E"/>
    <w:rsid w:val="0033083D"/>
    <w:rsid w:val="00331E0D"/>
    <w:rsid w:val="00332073"/>
    <w:rsid w:val="0033338B"/>
    <w:rsid w:val="003337CD"/>
    <w:rsid w:val="0033414B"/>
    <w:rsid w:val="00334533"/>
    <w:rsid w:val="00334821"/>
    <w:rsid w:val="00334881"/>
    <w:rsid w:val="003357FF"/>
    <w:rsid w:val="003358DB"/>
    <w:rsid w:val="00336A3A"/>
    <w:rsid w:val="00336D08"/>
    <w:rsid w:val="00336DF9"/>
    <w:rsid w:val="00337153"/>
    <w:rsid w:val="00340A99"/>
    <w:rsid w:val="003416B0"/>
    <w:rsid w:val="00341AAF"/>
    <w:rsid w:val="00341C79"/>
    <w:rsid w:val="00343559"/>
    <w:rsid w:val="00343CF2"/>
    <w:rsid w:val="00343D4F"/>
    <w:rsid w:val="00343E59"/>
    <w:rsid w:val="003442FC"/>
    <w:rsid w:val="00344914"/>
    <w:rsid w:val="00344B78"/>
    <w:rsid w:val="003452DD"/>
    <w:rsid w:val="003454D1"/>
    <w:rsid w:val="00345F3D"/>
    <w:rsid w:val="0034661F"/>
    <w:rsid w:val="003471A5"/>
    <w:rsid w:val="003508D5"/>
    <w:rsid w:val="00351947"/>
    <w:rsid w:val="00351A40"/>
    <w:rsid w:val="00351D38"/>
    <w:rsid w:val="00351D44"/>
    <w:rsid w:val="00352FCA"/>
    <w:rsid w:val="00352FD6"/>
    <w:rsid w:val="00353D07"/>
    <w:rsid w:val="003552BA"/>
    <w:rsid w:val="00355B7A"/>
    <w:rsid w:val="00355ED1"/>
    <w:rsid w:val="00356219"/>
    <w:rsid w:val="00356299"/>
    <w:rsid w:val="003572CD"/>
    <w:rsid w:val="00357636"/>
    <w:rsid w:val="00357EB0"/>
    <w:rsid w:val="003609EC"/>
    <w:rsid w:val="00361FDA"/>
    <w:rsid w:val="003631DD"/>
    <w:rsid w:val="00363A2D"/>
    <w:rsid w:val="00363ECD"/>
    <w:rsid w:val="0036464A"/>
    <w:rsid w:val="003646E9"/>
    <w:rsid w:val="0036489E"/>
    <w:rsid w:val="0036527E"/>
    <w:rsid w:val="00365494"/>
    <w:rsid w:val="00365552"/>
    <w:rsid w:val="00365C20"/>
    <w:rsid w:val="00365DA2"/>
    <w:rsid w:val="0036675A"/>
    <w:rsid w:val="00370808"/>
    <w:rsid w:val="00370968"/>
    <w:rsid w:val="00370EFC"/>
    <w:rsid w:val="0037114F"/>
    <w:rsid w:val="003732EB"/>
    <w:rsid w:val="003745B4"/>
    <w:rsid w:val="00376995"/>
    <w:rsid w:val="00376CCD"/>
    <w:rsid w:val="0037716A"/>
    <w:rsid w:val="00377329"/>
    <w:rsid w:val="003773C1"/>
    <w:rsid w:val="00380620"/>
    <w:rsid w:val="003812E9"/>
    <w:rsid w:val="0038194D"/>
    <w:rsid w:val="00381D5A"/>
    <w:rsid w:val="003838DC"/>
    <w:rsid w:val="00385538"/>
    <w:rsid w:val="003858EC"/>
    <w:rsid w:val="003859FF"/>
    <w:rsid w:val="00386CB5"/>
    <w:rsid w:val="00386FC1"/>
    <w:rsid w:val="00387707"/>
    <w:rsid w:val="00387863"/>
    <w:rsid w:val="00387938"/>
    <w:rsid w:val="00387963"/>
    <w:rsid w:val="00390745"/>
    <w:rsid w:val="00392427"/>
    <w:rsid w:val="00392E67"/>
    <w:rsid w:val="00393D96"/>
    <w:rsid w:val="0039467E"/>
    <w:rsid w:val="0039622E"/>
    <w:rsid w:val="00396C3F"/>
    <w:rsid w:val="003977FB"/>
    <w:rsid w:val="003A0262"/>
    <w:rsid w:val="003A0706"/>
    <w:rsid w:val="003A148D"/>
    <w:rsid w:val="003A1E15"/>
    <w:rsid w:val="003A377F"/>
    <w:rsid w:val="003A5179"/>
    <w:rsid w:val="003A550E"/>
    <w:rsid w:val="003A5AFF"/>
    <w:rsid w:val="003A68BB"/>
    <w:rsid w:val="003A6D0D"/>
    <w:rsid w:val="003A6F3C"/>
    <w:rsid w:val="003B02DD"/>
    <w:rsid w:val="003B2B1F"/>
    <w:rsid w:val="003B36DC"/>
    <w:rsid w:val="003B3A55"/>
    <w:rsid w:val="003B4991"/>
    <w:rsid w:val="003B4A71"/>
    <w:rsid w:val="003B4DE5"/>
    <w:rsid w:val="003B59C0"/>
    <w:rsid w:val="003B7167"/>
    <w:rsid w:val="003C0339"/>
    <w:rsid w:val="003C03E1"/>
    <w:rsid w:val="003C10CB"/>
    <w:rsid w:val="003C1BA1"/>
    <w:rsid w:val="003C1F9C"/>
    <w:rsid w:val="003C219F"/>
    <w:rsid w:val="003C23AB"/>
    <w:rsid w:val="003C35F5"/>
    <w:rsid w:val="003C36BE"/>
    <w:rsid w:val="003C489D"/>
    <w:rsid w:val="003C4F6C"/>
    <w:rsid w:val="003C5785"/>
    <w:rsid w:val="003C62C1"/>
    <w:rsid w:val="003C62F4"/>
    <w:rsid w:val="003C64DB"/>
    <w:rsid w:val="003C73EE"/>
    <w:rsid w:val="003C7857"/>
    <w:rsid w:val="003D0302"/>
    <w:rsid w:val="003D0599"/>
    <w:rsid w:val="003D1A1E"/>
    <w:rsid w:val="003D1B82"/>
    <w:rsid w:val="003D1BF6"/>
    <w:rsid w:val="003D2BB9"/>
    <w:rsid w:val="003D3D71"/>
    <w:rsid w:val="003D3DC7"/>
    <w:rsid w:val="003D490B"/>
    <w:rsid w:val="003D660A"/>
    <w:rsid w:val="003D7331"/>
    <w:rsid w:val="003E05B2"/>
    <w:rsid w:val="003E2631"/>
    <w:rsid w:val="003E27A8"/>
    <w:rsid w:val="003E27CD"/>
    <w:rsid w:val="003E2EC2"/>
    <w:rsid w:val="003E3865"/>
    <w:rsid w:val="003E3CB6"/>
    <w:rsid w:val="003E4465"/>
    <w:rsid w:val="003E4FBE"/>
    <w:rsid w:val="003E5059"/>
    <w:rsid w:val="003E7C4F"/>
    <w:rsid w:val="003E7D2D"/>
    <w:rsid w:val="003F1A5A"/>
    <w:rsid w:val="003F2279"/>
    <w:rsid w:val="003F38AA"/>
    <w:rsid w:val="003F3C97"/>
    <w:rsid w:val="003F5240"/>
    <w:rsid w:val="003F5406"/>
    <w:rsid w:val="003F5453"/>
    <w:rsid w:val="003F5468"/>
    <w:rsid w:val="003F648E"/>
    <w:rsid w:val="003F6D6F"/>
    <w:rsid w:val="003F6FA4"/>
    <w:rsid w:val="003F7A98"/>
    <w:rsid w:val="00400E23"/>
    <w:rsid w:val="0040126C"/>
    <w:rsid w:val="0040199D"/>
    <w:rsid w:val="00402429"/>
    <w:rsid w:val="004026E9"/>
    <w:rsid w:val="0040345A"/>
    <w:rsid w:val="00403692"/>
    <w:rsid w:val="00403B47"/>
    <w:rsid w:val="004042EC"/>
    <w:rsid w:val="00404C2D"/>
    <w:rsid w:val="00404FCD"/>
    <w:rsid w:val="00405101"/>
    <w:rsid w:val="0040536D"/>
    <w:rsid w:val="00406C6A"/>
    <w:rsid w:val="004102F4"/>
    <w:rsid w:val="00412F28"/>
    <w:rsid w:val="00412F5C"/>
    <w:rsid w:val="004130D8"/>
    <w:rsid w:val="0041362F"/>
    <w:rsid w:val="0041506C"/>
    <w:rsid w:val="004154DD"/>
    <w:rsid w:val="0041567B"/>
    <w:rsid w:val="00416EEF"/>
    <w:rsid w:val="0042014F"/>
    <w:rsid w:val="00420514"/>
    <w:rsid w:val="00420581"/>
    <w:rsid w:val="00421A29"/>
    <w:rsid w:val="00423859"/>
    <w:rsid w:val="00424331"/>
    <w:rsid w:val="0042440C"/>
    <w:rsid w:val="004244D7"/>
    <w:rsid w:val="004245FD"/>
    <w:rsid w:val="0042498E"/>
    <w:rsid w:val="004261AF"/>
    <w:rsid w:val="0042690C"/>
    <w:rsid w:val="0043014C"/>
    <w:rsid w:val="004301E6"/>
    <w:rsid w:val="00431223"/>
    <w:rsid w:val="00431494"/>
    <w:rsid w:val="0043271A"/>
    <w:rsid w:val="00434B9F"/>
    <w:rsid w:val="0043520C"/>
    <w:rsid w:val="00435DC4"/>
    <w:rsid w:val="00435DE7"/>
    <w:rsid w:val="004363AA"/>
    <w:rsid w:val="004365AD"/>
    <w:rsid w:val="0043678B"/>
    <w:rsid w:val="0043696C"/>
    <w:rsid w:val="004369A7"/>
    <w:rsid w:val="00436A83"/>
    <w:rsid w:val="00436DEB"/>
    <w:rsid w:val="00437FA2"/>
    <w:rsid w:val="0044084E"/>
    <w:rsid w:val="0044168C"/>
    <w:rsid w:val="00441691"/>
    <w:rsid w:val="004418DF"/>
    <w:rsid w:val="00441C76"/>
    <w:rsid w:val="0044236B"/>
    <w:rsid w:val="00443495"/>
    <w:rsid w:val="00443B4B"/>
    <w:rsid w:val="00443CED"/>
    <w:rsid w:val="004457B4"/>
    <w:rsid w:val="0044614F"/>
    <w:rsid w:val="0044668A"/>
    <w:rsid w:val="0044692D"/>
    <w:rsid w:val="00447334"/>
    <w:rsid w:val="004476B0"/>
    <w:rsid w:val="0044797E"/>
    <w:rsid w:val="004500FA"/>
    <w:rsid w:val="00450782"/>
    <w:rsid w:val="004520B0"/>
    <w:rsid w:val="0045413D"/>
    <w:rsid w:val="004557FB"/>
    <w:rsid w:val="00455A59"/>
    <w:rsid w:val="004566CE"/>
    <w:rsid w:val="004573BF"/>
    <w:rsid w:val="004573FD"/>
    <w:rsid w:val="004575A2"/>
    <w:rsid w:val="00457E33"/>
    <w:rsid w:val="004614FB"/>
    <w:rsid w:val="00461FC9"/>
    <w:rsid w:val="00462335"/>
    <w:rsid w:val="00462907"/>
    <w:rsid w:val="004637C0"/>
    <w:rsid w:val="0046401D"/>
    <w:rsid w:val="00464A08"/>
    <w:rsid w:val="00464AD9"/>
    <w:rsid w:val="00465255"/>
    <w:rsid w:val="004675CC"/>
    <w:rsid w:val="00467E2D"/>
    <w:rsid w:val="004700CB"/>
    <w:rsid w:val="004718C9"/>
    <w:rsid w:val="00471DD4"/>
    <w:rsid w:val="00472C7A"/>
    <w:rsid w:val="00473A21"/>
    <w:rsid w:val="00473B80"/>
    <w:rsid w:val="00473E57"/>
    <w:rsid w:val="004742E2"/>
    <w:rsid w:val="00475FBF"/>
    <w:rsid w:val="00476C84"/>
    <w:rsid w:val="004770EF"/>
    <w:rsid w:val="004774BA"/>
    <w:rsid w:val="00477B94"/>
    <w:rsid w:val="00480150"/>
    <w:rsid w:val="00482235"/>
    <w:rsid w:val="00482A0B"/>
    <w:rsid w:val="00483593"/>
    <w:rsid w:val="004839A0"/>
    <w:rsid w:val="004855BB"/>
    <w:rsid w:val="0048706B"/>
    <w:rsid w:val="00487D3A"/>
    <w:rsid w:val="00490E85"/>
    <w:rsid w:val="0049156B"/>
    <w:rsid w:val="0049212E"/>
    <w:rsid w:val="004924C1"/>
    <w:rsid w:val="004930E2"/>
    <w:rsid w:val="004946C1"/>
    <w:rsid w:val="00494CDD"/>
    <w:rsid w:val="00495078"/>
    <w:rsid w:val="00495235"/>
    <w:rsid w:val="004953EE"/>
    <w:rsid w:val="0049545D"/>
    <w:rsid w:val="00495827"/>
    <w:rsid w:val="00495DDB"/>
    <w:rsid w:val="00496402"/>
    <w:rsid w:val="004A01D2"/>
    <w:rsid w:val="004A10F4"/>
    <w:rsid w:val="004A22C8"/>
    <w:rsid w:val="004A2AF1"/>
    <w:rsid w:val="004A3E58"/>
    <w:rsid w:val="004A3EEE"/>
    <w:rsid w:val="004A53F2"/>
    <w:rsid w:val="004A54A9"/>
    <w:rsid w:val="004A5DA8"/>
    <w:rsid w:val="004A6198"/>
    <w:rsid w:val="004A6DCA"/>
    <w:rsid w:val="004B0606"/>
    <w:rsid w:val="004B4382"/>
    <w:rsid w:val="004B460F"/>
    <w:rsid w:val="004B4A96"/>
    <w:rsid w:val="004B4F47"/>
    <w:rsid w:val="004B62BA"/>
    <w:rsid w:val="004B67E5"/>
    <w:rsid w:val="004B6A83"/>
    <w:rsid w:val="004B751F"/>
    <w:rsid w:val="004C0322"/>
    <w:rsid w:val="004C0AF7"/>
    <w:rsid w:val="004C1076"/>
    <w:rsid w:val="004C11EE"/>
    <w:rsid w:val="004C2363"/>
    <w:rsid w:val="004C347C"/>
    <w:rsid w:val="004C3D4C"/>
    <w:rsid w:val="004C4A64"/>
    <w:rsid w:val="004C5244"/>
    <w:rsid w:val="004C54EB"/>
    <w:rsid w:val="004C5BF4"/>
    <w:rsid w:val="004C6155"/>
    <w:rsid w:val="004C6A70"/>
    <w:rsid w:val="004C7285"/>
    <w:rsid w:val="004C7C88"/>
    <w:rsid w:val="004C7EE4"/>
    <w:rsid w:val="004D134A"/>
    <w:rsid w:val="004D13E5"/>
    <w:rsid w:val="004D236F"/>
    <w:rsid w:val="004D3E87"/>
    <w:rsid w:val="004D5C5C"/>
    <w:rsid w:val="004D6D44"/>
    <w:rsid w:val="004E0638"/>
    <w:rsid w:val="004E20E1"/>
    <w:rsid w:val="004E2BCA"/>
    <w:rsid w:val="004E2F50"/>
    <w:rsid w:val="004E3140"/>
    <w:rsid w:val="004E31DF"/>
    <w:rsid w:val="004E483E"/>
    <w:rsid w:val="004E4B39"/>
    <w:rsid w:val="004E4D0B"/>
    <w:rsid w:val="004E5626"/>
    <w:rsid w:val="004E5DF8"/>
    <w:rsid w:val="004E7B7D"/>
    <w:rsid w:val="004E7B87"/>
    <w:rsid w:val="004F0560"/>
    <w:rsid w:val="004F07A9"/>
    <w:rsid w:val="004F1123"/>
    <w:rsid w:val="004F23DF"/>
    <w:rsid w:val="004F25CD"/>
    <w:rsid w:val="004F5713"/>
    <w:rsid w:val="004F57C8"/>
    <w:rsid w:val="004F591C"/>
    <w:rsid w:val="004F5C86"/>
    <w:rsid w:val="004F620A"/>
    <w:rsid w:val="004F6A1D"/>
    <w:rsid w:val="004F7059"/>
    <w:rsid w:val="00500989"/>
    <w:rsid w:val="00500D4E"/>
    <w:rsid w:val="00501D55"/>
    <w:rsid w:val="00502B50"/>
    <w:rsid w:val="00502C76"/>
    <w:rsid w:val="00502F07"/>
    <w:rsid w:val="00503977"/>
    <w:rsid w:val="00503C35"/>
    <w:rsid w:val="0050499E"/>
    <w:rsid w:val="00505A8B"/>
    <w:rsid w:val="00506989"/>
    <w:rsid w:val="00506ABE"/>
    <w:rsid w:val="005074B2"/>
    <w:rsid w:val="00511211"/>
    <w:rsid w:val="00511B35"/>
    <w:rsid w:val="005122F8"/>
    <w:rsid w:val="00512896"/>
    <w:rsid w:val="00512A3E"/>
    <w:rsid w:val="00512E51"/>
    <w:rsid w:val="0051372C"/>
    <w:rsid w:val="00515B97"/>
    <w:rsid w:val="00516BAD"/>
    <w:rsid w:val="00516F8A"/>
    <w:rsid w:val="00517800"/>
    <w:rsid w:val="00517B91"/>
    <w:rsid w:val="00520260"/>
    <w:rsid w:val="00520C3F"/>
    <w:rsid w:val="00521460"/>
    <w:rsid w:val="00523126"/>
    <w:rsid w:val="005241AF"/>
    <w:rsid w:val="005255C4"/>
    <w:rsid w:val="00525A95"/>
    <w:rsid w:val="005265E7"/>
    <w:rsid w:val="00526F4C"/>
    <w:rsid w:val="0052707F"/>
    <w:rsid w:val="00527285"/>
    <w:rsid w:val="005272B8"/>
    <w:rsid w:val="005279DA"/>
    <w:rsid w:val="00527BD4"/>
    <w:rsid w:val="00527E5E"/>
    <w:rsid w:val="0053046D"/>
    <w:rsid w:val="00530591"/>
    <w:rsid w:val="0053078C"/>
    <w:rsid w:val="00530A60"/>
    <w:rsid w:val="00530F7D"/>
    <w:rsid w:val="005315F5"/>
    <w:rsid w:val="00532161"/>
    <w:rsid w:val="005353D6"/>
    <w:rsid w:val="0053555E"/>
    <w:rsid w:val="00537061"/>
    <w:rsid w:val="00541401"/>
    <w:rsid w:val="00541CEB"/>
    <w:rsid w:val="00541F24"/>
    <w:rsid w:val="00542213"/>
    <w:rsid w:val="00542DB1"/>
    <w:rsid w:val="00542FAC"/>
    <w:rsid w:val="00543A18"/>
    <w:rsid w:val="00543AB5"/>
    <w:rsid w:val="005445E2"/>
    <w:rsid w:val="00546029"/>
    <w:rsid w:val="005515BA"/>
    <w:rsid w:val="00551BA8"/>
    <w:rsid w:val="00551FA3"/>
    <w:rsid w:val="00552A4C"/>
    <w:rsid w:val="00552F94"/>
    <w:rsid w:val="00553163"/>
    <w:rsid w:val="005536E5"/>
    <w:rsid w:val="00554011"/>
    <w:rsid w:val="00555DB9"/>
    <w:rsid w:val="00556259"/>
    <w:rsid w:val="005562DC"/>
    <w:rsid w:val="005567DE"/>
    <w:rsid w:val="00557226"/>
    <w:rsid w:val="0056005D"/>
    <w:rsid w:val="0056082B"/>
    <w:rsid w:val="005609CA"/>
    <w:rsid w:val="005617F3"/>
    <w:rsid w:val="00562458"/>
    <w:rsid w:val="0056261A"/>
    <w:rsid w:val="0056272D"/>
    <w:rsid w:val="005648A8"/>
    <w:rsid w:val="00566112"/>
    <w:rsid w:val="00566504"/>
    <w:rsid w:val="0056664D"/>
    <w:rsid w:val="00566D4B"/>
    <w:rsid w:val="005676B9"/>
    <w:rsid w:val="005708F7"/>
    <w:rsid w:val="00570906"/>
    <w:rsid w:val="00571D15"/>
    <w:rsid w:val="00572C4D"/>
    <w:rsid w:val="00573009"/>
    <w:rsid w:val="0057425F"/>
    <w:rsid w:val="00574EF7"/>
    <w:rsid w:val="005756A9"/>
    <w:rsid w:val="005759FD"/>
    <w:rsid w:val="00575EEB"/>
    <w:rsid w:val="005765B9"/>
    <w:rsid w:val="005769F1"/>
    <w:rsid w:val="00577B19"/>
    <w:rsid w:val="0058104D"/>
    <w:rsid w:val="00581338"/>
    <w:rsid w:val="00581851"/>
    <w:rsid w:val="00582DB1"/>
    <w:rsid w:val="00583291"/>
    <w:rsid w:val="00583938"/>
    <w:rsid w:val="0058429F"/>
    <w:rsid w:val="00590199"/>
    <w:rsid w:val="005901E3"/>
    <w:rsid w:val="0059073C"/>
    <w:rsid w:val="005916CF"/>
    <w:rsid w:val="005926DC"/>
    <w:rsid w:val="00593808"/>
    <w:rsid w:val="00594465"/>
    <w:rsid w:val="0059674B"/>
    <w:rsid w:val="00596A28"/>
    <w:rsid w:val="005A14C5"/>
    <w:rsid w:val="005A1D39"/>
    <w:rsid w:val="005A2D4C"/>
    <w:rsid w:val="005A33BF"/>
    <w:rsid w:val="005A4039"/>
    <w:rsid w:val="005A441C"/>
    <w:rsid w:val="005A45B0"/>
    <w:rsid w:val="005A53C3"/>
    <w:rsid w:val="005A653F"/>
    <w:rsid w:val="005A74BB"/>
    <w:rsid w:val="005A7E46"/>
    <w:rsid w:val="005B23C1"/>
    <w:rsid w:val="005B501F"/>
    <w:rsid w:val="005B7C48"/>
    <w:rsid w:val="005B7FF6"/>
    <w:rsid w:val="005C10A0"/>
    <w:rsid w:val="005C1130"/>
    <w:rsid w:val="005C176E"/>
    <w:rsid w:val="005C31E5"/>
    <w:rsid w:val="005C3517"/>
    <w:rsid w:val="005C3EA5"/>
    <w:rsid w:val="005C6484"/>
    <w:rsid w:val="005C6FC5"/>
    <w:rsid w:val="005C7E78"/>
    <w:rsid w:val="005C7E87"/>
    <w:rsid w:val="005D05B2"/>
    <w:rsid w:val="005D0E93"/>
    <w:rsid w:val="005D121D"/>
    <w:rsid w:val="005D18F5"/>
    <w:rsid w:val="005D1B39"/>
    <w:rsid w:val="005D201D"/>
    <w:rsid w:val="005D2352"/>
    <w:rsid w:val="005D242E"/>
    <w:rsid w:val="005D3E04"/>
    <w:rsid w:val="005D4BB4"/>
    <w:rsid w:val="005D4C6A"/>
    <w:rsid w:val="005D6722"/>
    <w:rsid w:val="005D6C7B"/>
    <w:rsid w:val="005D72B5"/>
    <w:rsid w:val="005D774D"/>
    <w:rsid w:val="005E1828"/>
    <w:rsid w:val="005E2213"/>
    <w:rsid w:val="005E406F"/>
    <w:rsid w:val="005E4332"/>
    <w:rsid w:val="005E43B4"/>
    <w:rsid w:val="005E45E3"/>
    <w:rsid w:val="005E6B48"/>
    <w:rsid w:val="005E7315"/>
    <w:rsid w:val="005F0A0E"/>
    <w:rsid w:val="005F10C4"/>
    <w:rsid w:val="005F2A90"/>
    <w:rsid w:val="005F2F81"/>
    <w:rsid w:val="005F2FAA"/>
    <w:rsid w:val="005F34FD"/>
    <w:rsid w:val="005F3692"/>
    <w:rsid w:val="005F492E"/>
    <w:rsid w:val="005F4DA5"/>
    <w:rsid w:val="005F4FFF"/>
    <w:rsid w:val="005F7790"/>
    <w:rsid w:val="005F7DC2"/>
    <w:rsid w:val="005F7F24"/>
    <w:rsid w:val="0060150B"/>
    <w:rsid w:val="006019A1"/>
    <w:rsid w:val="00601B39"/>
    <w:rsid w:val="00601C25"/>
    <w:rsid w:val="00601E59"/>
    <w:rsid w:val="00601EE0"/>
    <w:rsid w:val="0060246F"/>
    <w:rsid w:val="0060257A"/>
    <w:rsid w:val="00602720"/>
    <w:rsid w:val="00602776"/>
    <w:rsid w:val="006032BD"/>
    <w:rsid w:val="00603406"/>
    <w:rsid w:val="006038A5"/>
    <w:rsid w:val="00603D84"/>
    <w:rsid w:val="006044D8"/>
    <w:rsid w:val="00604CD6"/>
    <w:rsid w:val="006054F8"/>
    <w:rsid w:val="006064F7"/>
    <w:rsid w:val="00606533"/>
    <w:rsid w:val="006068B8"/>
    <w:rsid w:val="006069DD"/>
    <w:rsid w:val="0060778B"/>
    <w:rsid w:val="006101D0"/>
    <w:rsid w:val="00610C5A"/>
    <w:rsid w:val="00610FAB"/>
    <w:rsid w:val="0061105C"/>
    <w:rsid w:val="0061152D"/>
    <w:rsid w:val="006126F4"/>
    <w:rsid w:val="00612B65"/>
    <w:rsid w:val="00612D5D"/>
    <w:rsid w:val="00612E90"/>
    <w:rsid w:val="006132E9"/>
    <w:rsid w:val="00613471"/>
    <w:rsid w:val="00613608"/>
    <w:rsid w:val="00613770"/>
    <w:rsid w:val="0061393C"/>
    <w:rsid w:val="00614EF6"/>
    <w:rsid w:val="00615259"/>
    <w:rsid w:val="006156E5"/>
    <w:rsid w:val="0061619A"/>
    <w:rsid w:val="0061625D"/>
    <w:rsid w:val="00616338"/>
    <w:rsid w:val="00616546"/>
    <w:rsid w:val="00616DEE"/>
    <w:rsid w:val="006173AD"/>
    <w:rsid w:val="00617A70"/>
    <w:rsid w:val="00620B22"/>
    <w:rsid w:val="00620C17"/>
    <w:rsid w:val="00620D07"/>
    <w:rsid w:val="00620F8B"/>
    <w:rsid w:val="006212D0"/>
    <w:rsid w:val="00622C5F"/>
    <w:rsid w:val="00622DEE"/>
    <w:rsid w:val="0062313B"/>
    <w:rsid w:val="00623EA6"/>
    <w:rsid w:val="00625FF2"/>
    <w:rsid w:val="006268A5"/>
    <w:rsid w:val="006269E8"/>
    <w:rsid w:val="0062719A"/>
    <w:rsid w:val="00627DAB"/>
    <w:rsid w:val="00627ED1"/>
    <w:rsid w:val="00630173"/>
    <w:rsid w:val="00630C93"/>
    <w:rsid w:val="00631770"/>
    <w:rsid w:val="00632495"/>
    <w:rsid w:val="0063269B"/>
    <w:rsid w:val="00632AC7"/>
    <w:rsid w:val="00632EA2"/>
    <w:rsid w:val="00633C14"/>
    <w:rsid w:val="00633FEC"/>
    <w:rsid w:val="006349BD"/>
    <w:rsid w:val="006350CC"/>
    <w:rsid w:val="006352B1"/>
    <w:rsid w:val="0063549F"/>
    <w:rsid w:val="0063655C"/>
    <w:rsid w:val="00637296"/>
    <w:rsid w:val="0064076D"/>
    <w:rsid w:val="00640E4E"/>
    <w:rsid w:val="00641F98"/>
    <w:rsid w:val="006425CB"/>
    <w:rsid w:val="00642EB2"/>
    <w:rsid w:val="00643449"/>
    <w:rsid w:val="00643B4E"/>
    <w:rsid w:val="00643C50"/>
    <w:rsid w:val="0064467C"/>
    <w:rsid w:val="00644A9D"/>
    <w:rsid w:val="006451F4"/>
    <w:rsid w:val="006452EC"/>
    <w:rsid w:val="00646AD0"/>
    <w:rsid w:val="006472A3"/>
    <w:rsid w:val="00647D13"/>
    <w:rsid w:val="006500CD"/>
    <w:rsid w:val="00651990"/>
    <w:rsid w:val="006525C5"/>
    <w:rsid w:val="00652EB9"/>
    <w:rsid w:val="0065307A"/>
    <w:rsid w:val="00654B81"/>
    <w:rsid w:val="00655599"/>
    <w:rsid w:val="006559D8"/>
    <w:rsid w:val="006564D2"/>
    <w:rsid w:val="00656EF2"/>
    <w:rsid w:val="00657274"/>
    <w:rsid w:val="0065771F"/>
    <w:rsid w:val="00657B8B"/>
    <w:rsid w:val="0066037C"/>
    <w:rsid w:val="00660584"/>
    <w:rsid w:val="00662D43"/>
    <w:rsid w:val="00663D4A"/>
    <w:rsid w:val="006640A1"/>
    <w:rsid w:val="00664283"/>
    <w:rsid w:val="00664513"/>
    <w:rsid w:val="00664E7C"/>
    <w:rsid w:val="00665090"/>
    <w:rsid w:val="00665183"/>
    <w:rsid w:val="00665C39"/>
    <w:rsid w:val="006668ED"/>
    <w:rsid w:val="006677EA"/>
    <w:rsid w:val="006708EF"/>
    <w:rsid w:val="00671430"/>
    <w:rsid w:val="00671730"/>
    <w:rsid w:val="0067207A"/>
    <w:rsid w:val="0067288A"/>
    <w:rsid w:val="00672A8F"/>
    <w:rsid w:val="00672AFF"/>
    <w:rsid w:val="00672D12"/>
    <w:rsid w:val="006734DA"/>
    <w:rsid w:val="00673FAE"/>
    <w:rsid w:val="006744CB"/>
    <w:rsid w:val="0067490A"/>
    <w:rsid w:val="00674D17"/>
    <w:rsid w:val="00674E0B"/>
    <w:rsid w:val="00674E3C"/>
    <w:rsid w:val="006755EB"/>
    <w:rsid w:val="00676978"/>
    <w:rsid w:val="006816A8"/>
    <w:rsid w:val="006821A4"/>
    <w:rsid w:val="006825E9"/>
    <w:rsid w:val="006827E2"/>
    <w:rsid w:val="00682B6F"/>
    <w:rsid w:val="00683BBE"/>
    <w:rsid w:val="00684FA0"/>
    <w:rsid w:val="0068564F"/>
    <w:rsid w:val="006858B6"/>
    <w:rsid w:val="00685E5A"/>
    <w:rsid w:val="0068760B"/>
    <w:rsid w:val="00687EE8"/>
    <w:rsid w:val="00687F60"/>
    <w:rsid w:val="00690D1D"/>
    <w:rsid w:val="00691974"/>
    <w:rsid w:val="0069246D"/>
    <w:rsid w:val="00692A6E"/>
    <w:rsid w:val="00693FAE"/>
    <w:rsid w:val="00696AB8"/>
    <w:rsid w:val="006A003F"/>
    <w:rsid w:val="006A04FA"/>
    <w:rsid w:val="006A0D8F"/>
    <w:rsid w:val="006A1B34"/>
    <w:rsid w:val="006A1CC6"/>
    <w:rsid w:val="006A1D98"/>
    <w:rsid w:val="006A3009"/>
    <w:rsid w:val="006A3058"/>
    <w:rsid w:val="006A3431"/>
    <w:rsid w:val="006A3B58"/>
    <w:rsid w:val="006A3FE4"/>
    <w:rsid w:val="006A409A"/>
    <w:rsid w:val="006A5F0C"/>
    <w:rsid w:val="006A7044"/>
    <w:rsid w:val="006A7F9E"/>
    <w:rsid w:val="006B0ACD"/>
    <w:rsid w:val="006B10C3"/>
    <w:rsid w:val="006B17B1"/>
    <w:rsid w:val="006B2ED4"/>
    <w:rsid w:val="006B3801"/>
    <w:rsid w:val="006B3A7A"/>
    <w:rsid w:val="006B4D7A"/>
    <w:rsid w:val="006B7557"/>
    <w:rsid w:val="006C1435"/>
    <w:rsid w:val="006C1899"/>
    <w:rsid w:val="006C1AFE"/>
    <w:rsid w:val="006C1E54"/>
    <w:rsid w:val="006C1F1E"/>
    <w:rsid w:val="006C2073"/>
    <w:rsid w:val="006C234A"/>
    <w:rsid w:val="006C24CC"/>
    <w:rsid w:val="006C2ACF"/>
    <w:rsid w:val="006C3C46"/>
    <w:rsid w:val="006C3E50"/>
    <w:rsid w:val="006C40CD"/>
    <w:rsid w:val="006C484C"/>
    <w:rsid w:val="006C4992"/>
    <w:rsid w:val="006C4ECA"/>
    <w:rsid w:val="006C4F69"/>
    <w:rsid w:val="006C5850"/>
    <w:rsid w:val="006C5C8C"/>
    <w:rsid w:val="006C5FE7"/>
    <w:rsid w:val="006C7409"/>
    <w:rsid w:val="006C7463"/>
    <w:rsid w:val="006D03A5"/>
    <w:rsid w:val="006D0766"/>
    <w:rsid w:val="006D174E"/>
    <w:rsid w:val="006D257C"/>
    <w:rsid w:val="006D37B5"/>
    <w:rsid w:val="006D405C"/>
    <w:rsid w:val="006D63A6"/>
    <w:rsid w:val="006D7202"/>
    <w:rsid w:val="006D79E6"/>
    <w:rsid w:val="006E1E44"/>
    <w:rsid w:val="006E269D"/>
    <w:rsid w:val="006E2CAC"/>
    <w:rsid w:val="006E3550"/>
    <w:rsid w:val="006E39F4"/>
    <w:rsid w:val="006E3FD0"/>
    <w:rsid w:val="006E4817"/>
    <w:rsid w:val="006E497A"/>
    <w:rsid w:val="006E4B24"/>
    <w:rsid w:val="006E4BAE"/>
    <w:rsid w:val="006E4E76"/>
    <w:rsid w:val="006E5B3C"/>
    <w:rsid w:val="006E64A8"/>
    <w:rsid w:val="006E6A1F"/>
    <w:rsid w:val="006E7D24"/>
    <w:rsid w:val="006F1802"/>
    <w:rsid w:val="006F28A6"/>
    <w:rsid w:val="006F42EE"/>
    <w:rsid w:val="006F7995"/>
    <w:rsid w:val="0070038C"/>
    <w:rsid w:val="00700706"/>
    <w:rsid w:val="00702038"/>
    <w:rsid w:val="00702FF8"/>
    <w:rsid w:val="007033DA"/>
    <w:rsid w:val="00703496"/>
    <w:rsid w:val="00704516"/>
    <w:rsid w:val="00705C8E"/>
    <w:rsid w:val="00706A11"/>
    <w:rsid w:val="0071000D"/>
    <w:rsid w:val="0071161F"/>
    <w:rsid w:val="007119B3"/>
    <w:rsid w:val="0071227A"/>
    <w:rsid w:val="007132A2"/>
    <w:rsid w:val="00713E8D"/>
    <w:rsid w:val="00714436"/>
    <w:rsid w:val="007146A5"/>
    <w:rsid w:val="00714D02"/>
    <w:rsid w:val="00715453"/>
    <w:rsid w:val="007172FA"/>
    <w:rsid w:val="007202BD"/>
    <w:rsid w:val="007209D6"/>
    <w:rsid w:val="0072179D"/>
    <w:rsid w:val="00721E16"/>
    <w:rsid w:val="00722032"/>
    <w:rsid w:val="00722E31"/>
    <w:rsid w:val="00723237"/>
    <w:rsid w:val="007241D7"/>
    <w:rsid w:val="007255A5"/>
    <w:rsid w:val="00725AE5"/>
    <w:rsid w:val="00725DB1"/>
    <w:rsid w:val="007268CE"/>
    <w:rsid w:val="00726C1D"/>
    <w:rsid w:val="00727C92"/>
    <w:rsid w:val="007307E6"/>
    <w:rsid w:val="0073094B"/>
    <w:rsid w:val="007309F5"/>
    <w:rsid w:val="00730C4D"/>
    <w:rsid w:val="0073293B"/>
    <w:rsid w:val="00732F25"/>
    <w:rsid w:val="007332DD"/>
    <w:rsid w:val="0073388C"/>
    <w:rsid w:val="00733DC2"/>
    <w:rsid w:val="007340BC"/>
    <w:rsid w:val="00734122"/>
    <w:rsid w:val="0073672E"/>
    <w:rsid w:val="00737E95"/>
    <w:rsid w:val="00737F59"/>
    <w:rsid w:val="00740247"/>
    <w:rsid w:val="0074031B"/>
    <w:rsid w:val="00740527"/>
    <w:rsid w:val="00740A89"/>
    <w:rsid w:val="00740F3A"/>
    <w:rsid w:val="007417FA"/>
    <w:rsid w:val="0074196D"/>
    <w:rsid w:val="00741ED5"/>
    <w:rsid w:val="00742489"/>
    <w:rsid w:val="00742F9F"/>
    <w:rsid w:val="007433B3"/>
    <w:rsid w:val="00743901"/>
    <w:rsid w:val="00744D64"/>
    <w:rsid w:val="00744F3F"/>
    <w:rsid w:val="007454DC"/>
    <w:rsid w:val="007476C8"/>
    <w:rsid w:val="007478C7"/>
    <w:rsid w:val="0075075C"/>
    <w:rsid w:val="0075168E"/>
    <w:rsid w:val="00751E9B"/>
    <w:rsid w:val="00753107"/>
    <w:rsid w:val="007535C0"/>
    <w:rsid w:val="00754969"/>
    <w:rsid w:val="00756022"/>
    <w:rsid w:val="00757829"/>
    <w:rsid w:val="0076028B"/>
    <w:rsid w:val="00761747"/>
    <w:rsid w:val="007617DE"/>
    <w:rsid w:val="00762531"/>
    <w:rsid w:val="007634C1"/>
    <w:rsid w:val="0076414D"/>
    <w:rsid w:val="007644A3"/>
    <w:rsid w:val="0076488E"/>
    <w:rsid w:val="00764D3B"/>
    <w:rsid w:val="007650C7"/>
    <w:rsid w:val="007653EA"/>
    <w:rsid w:val="00766403"/>
    <w:rsid w:val="007667C4"/>
    <w:rsid w:val="00766BBE"/>
    <w:rsid w:val="00766CD7"/>
    <w:rsid w:val="00767920"/>
    <w:rsid w:val="00770786"/>
    <w:rsid w:val="007708AE"/>
    <w:rsid w:val="00771270"/>
    <w:rsid w:val="00771BEE"/>
    <w:rsid w:val="00772049"/>
    <w:rsid w:val="00773BD5"/>
    <w:rsid w:val="00774419"/>
    <w:rsid w:val="007755FA"/>
    <w:rsid w:val="00775D1D"/>
    <w:rsid w:val="007771B6"/>
    <w:rsid w:val="007803E0"/>
    <w:rsid w:val="007805AD"/>
    <w:rsid w:val="00780FEF"/>
    <w:rsid w:val="00781622"/>
    <w:rsid w:val="0078234F"/>
    <w:rsid w:val="007827EE"/>
    <w:rsid w:val="007832B4"/>
    <w:rsid w:val="00783776"/>
    <w:rsid w:val="00783FF5"/>
    <w:rsid w:val="007848A0"/>
    <w:rsid w:val="007850BC"/>
    <w:rsid w:val="007856D0"/>
    <w:rsid w:val="007856F1"/>
    <w:rsid w:val="00787244"/>
    <w:rsid w:val="007876F7"/>
    <w:rsid w:val="007877C5"/>
    <w:rsid w:val="007879D8"/>
    <w:rsid w:val="00787C21"/>
    <w:rsid w:val="0079249D"/>
    <w:rsid w:val="00793532"/>
    <w:rsid w:val="00794290"/>
    <w:rsid w:val="00794844"/>
    <w:rsid w:val="007953A5"/>
    <w:rsid w:val="0079649A"/>
    <w:rsid w:val="0079694C"/>
    <w:rsid w:val="007972B0"/>
    <w:rsid w:val="00797B66"/>
    <w:rsid w:val="007A0088"/>
    <w:rsid w:val="007A044B"/>
    <w:rsid w:val="007A2499"/>
    <w:rsid w:val="007A2FE6"/>
    <w:rsid w:val="007A459A"/>
    <w:rsid w:val="007A49F3"/>
    <w:rsid w:val="007A5ED4"/>
    <w:rsid w:val="007A6467"/>
    <w:rsid w:val="007A7C56"/>
    <w:rsid w:val="007B0665"/>
    <w:rsid w:val="007B109E"/>
    <w:rsid w:val="007B1852"/>
    <w:rsid w:val="007B3465"/>
    <w:rsid w:val="007B54F6"/>
    <w:rsid w:val="007B60ED"/>
    <w:rsid w:val="007B7887"/>
    <w:rsid w:val="007C13A6"/>
    <w:rsid w:val="007C3DD3"/>
    <w:rsid w:val="007C49E5"/>
    <w:rsid w:val="007C5ABC"/>
    <w:rsid w:val="007C65F6"/>
    <w:rsid w:val="007C6D68"/>
    <w:rsid w:val="007D1035"/>
    <w:rsid w:val="007D2235"/>
    <w:rsid w:val="007D248D"/>
    <w:rsid w:val="007D26BF"/>
    <w:rsid w:val="007D319E"/>
    <w:rsid w:val="007D412A"/>
    <w:rsid w:val="007D4694"/>
    <w:rsid w:val="007D50FB"/>
    <w:rsid w:val="007D5222"/>
    <w:rsid w:val="007D54B1"/>
    <w:rsid w:val="007D58A4"/>
    <w:rsid w:val="007D5B4F"/>
    <w:rsid w:val="007D6188"/>
    <w:rsid w:val="007D62E7"/>
    <w:rsid w:val="007D69B7"/>
    <w:rsid w:val="007D6D01"/>
    <w:rsid w:val="007D796C"/>
    <w:rsid w:val="007E05DC"/>
    <w:rsid w:val="007E07DF"/>
    <w:rsid w:val="007E1C6A"/>
    <w:rsid w:val="007E2716"/>
    <w:rsid w:val="007E30C1"/>
    <w:rsid w:val="007E378A"/>
    <w:rsid w:val="007E37EF"/>
    <w:rsid w:val="007E5AA8"/>
    <w:rsid w:val="007E5EAA"/>
    <w:rsid w:val="007E7651"/>
    <w:rsid w:val="007F0884"/>
    <w:rsid w:val="007F0C6C"/>
    <w:rsid w:val="007F4973"/>
    <w:rsid w:val="007F4AF5"/>
    <w:rsid w:val="007F5AE0"/>
    <w:rsid w:val="007F725E"/>
    <w:rsid w:val="007F7396"/>
    <w:rsid w:val="00800077"/>
    <w:rsid w:val="00800A83"/>
    <w:rsid w:val="00801798"/>
    <w:rsid w:val="00801C42"/>
    <w:rsid w:val="00802F71"/>
    <w:rsid w:val="0080406E"/>
    <w:rsid w:val="00806A3F"/>
    <w:rsid w:val="00806FAC"/>
    <w:rsid w:val="008070C4"/>
    <w:rsid w:val="008076CC"/>
    <w:rsid w:val="008079E8"/>
    <w:rsid w:val="00807B33"/>
    <w:rsid w:val="00810488"/>
    <w:rsid w:val="00810A64"/>
    <w:rsid w:val="008113F0"/>
    <w:rsid w:val="00811B14"/>
    <w:rsid w:val="00812019"/>
    <w:rsid w:val="00812224"/>
    <w:rsid w:val="008127E5"/>
    <w:rsid w:val="00812EDD"/>
    <w:rsid w:val="0081386A"/>
    <w:rsid w:val="00814F7B"/>
    <w:rsid w:val="00815930"/>
    <w:rsid w:val="00815E58"/>
    <w:rsid w:val="00817221"/>
    <w:rsid w:val="0081797D"/>
    <w:rsid w:val="0081799A"/>
    <w:rsid w:val="00817D7F"/>
    <w:rsid w:val="00820975"/>
    <w:rsid w:val="00820AE8"/>
    <w:rsid w:val="008215A5"/>
    <w:rsid w:val="008218E3"/>
    <w:rsid w:val="0082294D"/>
    <w:rsid w:val="00822E31"/>
    <w:rsid w:val="00823B3B"/>
    <w:rsid w:val="00824A74"/>
    <w:rsid w:val="008257B9"/>
    <w:rsid w:val="00825B01"/>
    <w:rsid w:val="0082694B"/>
    <w:rsid w:val="00827397"/>
    <w:rsid w:val="00827BBC"/>
    <w:rsid w:val="0083017A"/>
    <w:rsid w:val="0083071C"/>
    <w:rsid w:val="00830D30"/>
    <w:rsid w:val="008316B6"/>
    <w:rsid w:val="008325E5"/>
    <w:rsid w:val="00832AF9"/>
    <w:rsid w:val="00834144"/>
    <w:rsid w:val="008343B7"/>
    <w:rsid w:val="00834BF5"/>
    <w:rsid w:val="0083506A"/>
    <w:rsid w:val="00835084"/>
    <w:rsid w:val="00835259"/>
    <w:rsid w:val="008356DB"/>
    <w:rsid w:val="00835C53"/>
    <w:rsid w:val="0083603D"/>
    <w:rsid w:val="00836E26"/>
    <w:rsid w:val="008374FD"/>
    <w:rsid w:val="00842B73"/>
    <w:rsid w:val="00842BE0"/>
    <w:rsid w:val="00842D7C"/>
    <w:rsid w:val="0084479E"/>
    <w:rsid w:val="008449E9"/>
    <w:rsid w:val="00844DBF"/>
    <w:rsid w:val="008464CC"/>
    <w:rsid w:val="0084667F"/>
    <w:rsid w:val="00846968"/>
    <w:rsid w:val="00846B8D"/>
    <w:rsid w:val="008472C1"/>
    <w:rsid w:val="00850095"/>
    <w:rsid w:val="0085035B"/>
    <w:rsid w:val="0085076B"/>
    <w:rsid w:val="00851EC4"/>
    <w:rsid w:val="0085227F"/>
    <w:rsid w:val="0085286E"/>
    <w:rsid w:val="00852C18"/>
    <w:rsid w:val="0085411F"/>
    <w:rsid w:val="0085533E"/>
    <w:rsid w:val="008555A9"/>
    <w:rsid w:val="00855999"/>
    <w:rsid w:val="00855C8A"/>
    <w:rsid w:val="00856048"/>
    <w:rsid w:val="008566D0"/>
    <w:rsid w:val="008570E2"/>
    <w:rsid w:val="00857B02"/>
    <w:rsid w:val="0086052F"/>
    <w:rsid w:val="0086074D"/>
    <w:rsid w:val="00860951"/>
    <w:rsid w:val="0086149F"/>
    <w:rsid w:val="008619E2"/>
    <w:rsid w:val="00862CD4"/>
    <w:rsid w:val="00865852"/>
    <w:rsid w:val="00865F28"/>
    <w:rsid w:val="00866A6F"/>
    <w:rsid w:val="00866AB4"/>
    <w:rsid w:val="00866AD5"/>
    <w:rsid w:val="00870917"/>
    <w:rsid w:val="008724F8"/>
    <w:rsid w:val="00872B72"/>
    <w:rsid w:val="00872B81"/>
    <w:rsid w:val="00873BA7"/>
    <w:rsid w:val="00873C2E"/>
    <w:rsid w:val="0087471B"/>
    <w:rsid w:val="00874CE3"/>
    <w:rsid w:val="00874E3E"/>
    <w:rsid w:val="00877707"/>
    <w:rsid w:val="008777A8"/>
    <w:rsid w:val="00880BCC"/>
    <w:rsid w:val="00881F52"/>
    <w:rsid w:val="00882398"/>
    <w:rsid w:val="00882662"/>
    <w:rsid w:val="008833C0"/>
    <w:rsid w:val="0088433D"/>
    <w:rsid w:val="00886941"/>
    <w:rsid w:val="00886C40"/>
    <w:rsid w:val="00890999"/>
    <w:rsid w:val="008912C5"/>
    <w:rsid w:val="00891E14"/>
    <w:rsid w:val="00892B93"/>
    <w:rsid w:val="0089410E"/>
    <w:rsid w:val="0089485B"/>
    <w:rsid w:val="00895ECC"/>
    <w:rsid w:val="0089603C"/>
    <w:rsid w:val="00896935"/>
    <w:rsid w:val="00896B6C"/>
    <w:rsid w:val="008A07A4"/>
    <w:rsid w:val="008A1800"/>
    <w:rsid w:val="008A2086"/>
    <w:rsid w:val="008A34EB"/>
    <w:rsid w:val="008A36BD"/>
    <w:rsid w:val="008A444D"/>
    <w:rsid w:val="008A68B5"/>
    <w:rsid w:val="008A72A8"/>
    <w:rsid w:val="008B08ED"/>
    <w:rsid w:val="008B0F97"/>
    <w:rsid w:val="008B17BC"/>
    <w:rsid w:val="008B19F8"/>
    <w:rsid w:val="008B4494"/>
    <w:rsid w:val="008B6EFA"/>
    <w:rsid w:val="008B7290"/>
    <w:rsid w:val="008B7370"/>
    <w:rsid w:val="008B7B87"/>
    <w:rsid w:val="008C0897"/>
    <w:rsid w:val="008C0A59"/>
    <w:rsid w:val="008C1DAA"/>
    <w:rsid w:val="008C2E3C"/>
    <w:rsid w:val="008C3004"/>
    <w:rsid w:val="008C3A56"/>
    <w:rsid w:val="008C3AB5"/>
    <w:rsid w:val="008C3F33"/>
    <w:rsid w:val="008C4324"/>
    <w:rsid w:val="008C440B"/>
    <w:rsid w:val="008C4991"/>
    <w:rsid w:val="008C4C9B"/>
    <w:rsid w:val="008C59C4"/>
    <w:rsid w:val="008C6B66"/>
    <w:rsid w:val="008C6E2F"/>
    <w:rsid w:val="008C7330"/>
    <w:rsid w:val="008D02CD"/>
    <w:rsid w:val="008D05B2"/>
    <w:rsid w:val="008D1182"/>
    <w:rsid w:val="008D2F73"/>
    <w:rsid w:val="008D400D"/>
    <w:rsid w:val="008D404F"/>
    <w:rsid w:val="008D4365"/>
    <w:rsid w:val="008D4391"/>
    <w:rsid w:val="008D48B9"/>
    <w:rsid w:val="008D5192"/>
    <w:rsid w:val="008D62CC"/>
    <w:rsid w:val="008D67A6"/>
    <w:rsid w:val="008D6922"/>
    <w:rsid w:val="008E01C5"/>
    <w:rsid w:val="008E1A23"/>
    <w:rsid w:val="008E1BE5"/>
    <w:rsid w:val="008E20CE"/>
    <w:rsid w:val="008E2FD6"/>
    <w:rsid w:val="008E368A"/>
    <w:rsid w:val="008E43E6"/>
    <w:rsid w:val="008E489A"/>
    <w:rsid w:val="008E4D26"/>
    <w:rsid w:val="008E5031"/>
    <w:rsid w:val="008E5521"/>
    <w:rsid w:val="008E6531"/>
    <w:rsid w:val="008E6607"/>
    <w:rsid w:val="008E6E0E"/>
    <w:rsid w:val="008E7166"/>
    <w:rsid w:val="008F060D"/>
    <w:rsid w:val="008F0A24"/>
    <w:rsid w:val="008F0CAB"/>
    <w:rsid w:val="008F1047"/>
    <w:rsid w:val="008F3957"/>
    <w:rsid w:val="008F3D10"/>
    <w:rsid w:val="008F4894"/>
    <w:rsid w:val="008F5707"/>
    <w:rsid w:val="008F5D45"/>
    <w:rsid w:val="008F61E9"/>
    <w:rsid w:val="0090092E"/>
    <w:rsid w:val="00901734"/>
    <w:rsid w:val="009021E0"/>
    <w:rsid w:val="0090322E"/>
    <w:rsid w:val="0090410D"/>
    <w:rsid w:val="00907726"/>
    <w:rsid w:val="0090781F"/>
    <w:rsid w:val="00907BA2"/>
    <w:rsid w:val="00907EF4"/>
    <w:rsid w:val="009103CB"/>
    <w:rsid w:val="009115D7"/>
    <w:rsid w:val="00911618"/>
    <w:rsid w:val="00911730"/>
    <w:rsid w:val="0091314C"/>
    <w:rsid w:val="00914528"/>
    <w:rsid w:val="00914F16"/>
    <w:rsid w:val="0091510F"/>
    <w:rsid w:val="00915AB5"/>
    <w:rsid w:val="0091636E"/>
    <w:rsid w:val="0091789B"/>
    <w:rsid w:val="00917A3E"/>
    <w:rsid w:val="00921DC2"/>
    <w:rsid w:val="00923995"/>
    <w:rsid w:val="00923D0C"/>
    <w:rsid w:val="00924422"/>
    <w:rsid w:val="00924B76"/>
    <w:rsid w:val="00924CF2"/>
    <w:rsid w:val="00924FF9"/>
    <w:rsid w:val="0092539A"/>
    <w:rsid w:val="00925BBB"/>
    <w:rsid w:val="0092658B"/>
    <w:rsid w:val="00927355"/>
    <w:rsid w:val="00931767"/>
    <w:rsid w:val="00931B5B"/>
    <w:rsid w:val="00931C94"/>
    <w:rsid w:val="00932791"/>
    <w:rsid w:val="0093437D"/>
    <w:rsid w:val="009364B1"/>
    <w:rsid w:val="00936808"/>
    <w:rsid w:val="00936C7D"/>
    <w:rsid w:val="00936CBA"/>
    <w:rsid w:val="0093D09E"/>
    <w:rsid w:val="00940723"/>
    <w:rsid w:val="00941277"/>
    <w:rsid w:val="00942AB9"/>
    <w:rsid w:val="00943134"/>
    <w:rsid w:val="00943612"/>
    <w:rsid w:val="00943A55"/>
    <w:rsid w:val="00943B62"/>
    <w:rsid w:val="0094461C"/>
    <w:rsid w:val="009450DE"/>
    <w:rsid w:val="0094541E"/>
    <w:rsid w:val="00945EA4"/>
    <w:rsid w:val="00947117"/>
    <w:rsid w:val="00947AA3"/>
    <w:rsid w:val="00950BCA"/>
    <w:rsid w:val="009512A0"/>
    <w:rsid w:val="00951539"/>
    <w:rsid w:val="009515AF"/>
    <w:rsid w:val="009517A0"/>
    <w:rsid w:val="00951C9E"/>
    <w:rsid w:val="009528AB"/>
    <w:rsid w:val="0095376C"/>
    <w:rsid w:val="00954D64"/>
    <w:rsid w:val="00955A05"/>
    <w:rsid w:val="00955DE7"/>
    <w:rsid w:val="00956160"/>
    <w:rsid w:val="0095651F"/>
    <w:rsid w:val="009567F5"/>
    <w:rsid w:val="0095744B"/>
    <w:rsid w:val="00957F70"/>
    <w:rsid w:val="00960518"/>
    <w:rsid w:val="0096156F"/>
    <w:rsid w:val="00961D1A"/>
    <w:rsid w:val="0096235A"/>
    <w:rsid w:val="00963118"/>
    <w:rsid w:val="0096349A"/>
    <w:rsid w:val="00963646"/>
    <w:rsid w:val="009637EE"/>
    <w:rsid w:val="00965C2A"/>
    <w:rsid w:val="00965D08"/>
    <w:rsid w:val="00965D23"/>
    <w:rsid w:val="0096682C"/>
    <w:rsid w:val="00966D0B"/>
    <w:rsid w:val="00966F53"/>
    <w:rsid w:val="00967C12"/>
    <w:rsid w:val="0097049D"/>
    <w:rsid w:val="009710FA"/>
    <w:rsid w:val="009719DC"/>
    <w:rsid w:val="009720C1"/>
    <w:rsid w:val="00972D49"/>
    <w:rsid w:val="00974054"/>
    <w:rsid w:val="00974133"/>
    <w:rsid w:val="00975D4D"/>
    <w:rsid w:val="0097714D"/>
    <w:rsid w:val="009774B3"/>
    <w:rsid w:val="0098016E"/>
    <w:rsid w:val="00980263"/>
    <w:rsid w:val="00980A3A"/>
    <w:rsid w:val="00981600"/>
    <w:rsid w:val="00982055"/>
    <w:rsid w:val="009820C8"/>
    <w:rsid w:val="00982890"/>
    <w:rsid w:val="009835D3"/>
    <w:rsid w:val="00983662"/>
    <w:rsid w:val="0098379F"/>
    <w:rsid w:val="00983DD5"/>
    <w:rsid w:val="00984244"/>
    <w:rsid w:val="009842F3"/>
    <w:rsid w:val="00984AFD"/>
    <w:rsid w:val="00984C10"/>
    <w:rsid w:val="00984F81"/>
    <w:rsid w:val="0098577A"/>
    <w:rsid w:val="0098666E"/>
    <w:rsid w:val="00986FFD"/>
    <w:rsid w:val="00987245"/>
    <w:rsid w:val="009872BC"/>
    <w:rsid w:val="00987870"/>
    <w:rsid w:val="00990C67"/>
    <w:rsid w:val="00991291"/>
    <w:rsid w:val="00991980"/>
    <w:rsid w:val="00991AC2"/>
    <w:rsid w:val="009920FD"/>
    <w:rsid w:val="0099253E"/>
    <w:rsid w:val="00992ABD"/>
    <w:rsid w:val="00992E01"/>
    <w:rsid w:val="00992F58"/>
    <w:rsid w:val="00993AD0"/>
    <w:rsid w:val="009941F8"/>
    <w:rsid w:val="00994DD6"/>
    <w:rsid w:val="009951E7"/>
    <w:rsid w:val="00995368"/>
    <w:rsid w:val="009959B6"/>
    <w:rsid w:val="00997369"/>
    <w:rsid w:val="00997512"/>
    <w:rsid w:val="00997691"/>
    <w:rsid w:val="0099783F"/>
    <w:rsid w:val="009A04BE"/>
    <w:rsid w:val="009A0B84"/>
    <w:rsid w:val="009A136F"/>
    <w:rsid w:val="009A1C23"/>
    <w:rsid w:val="009A2E76"/>
    <w:rsid w:val="009A2F4B"/>
    <w:rsid w:val="009A3D90"/>
    <w:rsid w:val="009A5367"/>
    <w:rsid w:val="009A560F"/>
    <w:rsid w:val="009A59EB"/>
    <w:rsid w:val="009A6D8B"/>
    <w:rsid w:val="009A7E53"/>
    <w:rsid w:val="009B00EB"/>
    <w:rsid w:val="009B146D"/>
    <w:rsid w:val="009B24FF"/>
    <w:rsid w:val="009B3818"/>
    <w:rsid w:val="009B4364"/>
    <w:rsid w:val="009B6011"/>
    <w:rsid w:val="009B68AA"/>
    <w:rsid w:val="009B6ACB"/>
    <w:rsid w:val="009B72D4"/>
    <w:rsid w:val="009B7427"/>
    <w:rsid w:val="009B7D6D"/>
    <w:rsid w:val="009B7F46"/>
    <w:rsid w:val="009C018F"/>
    <w:rsid w:val="009C0FCA"/>
    <w:rsid w:val="009C10F9"/>
    <w:rsid w:val="009C1A34"/>
    <w:rsid w:val="009C2FD2"/>
    <w:rsid w:val="009C37C9"/>
    <w:rsid w:val="009C3EB5"/>
    <w:rsid w:val="009C4F95"/>
    <w:rsid w:val="009D12D4"/>
    <w:rsid w:val="009D15C9"/>
    <w:rsid w:val="009D1C3E"/>
    <w:rsid w:val="009D1DC1"/>
    <w:rsid w:val="009D2E3B"/>
    <w:rsid w:val="009D4334"/>
    <w:rsid w:val="009D6D25"/>
    <w:rsid w:val="009D753A"/>
    <w:rsid w:val="009D7A93"/>
    <w:rsid w:val="009E0034"/>
    <w:rsid w:val="009E081A"/>
    <w:rsid w:val="009E117D"/>
    <w:rsid w:val="009E1CF9"/>
    <w:rsid w:val="009E2072"/>
    <w:rsid w:val="009E245E"/>
    <w:rsid w:val="009E2B9A"/>
    <w:rsid w:val="009E3940"/>
    <w:rsid w:val="009E3C49"/>
    <w:rsid w:val="009E4CCA"/>
    <w:rsid w:val="009E4EC4"/>
    <w:rsid w:val="009E50BC"/>
    <w:rsid w:val="009E57C8"/>
    <w:rsid w:val="009E66B8"/>
    <w:rsid w:val="009E6813"/>
    <w:rsid w:val="009E79FD"/>
    <w:rsid w:val="009E7A89"/>
    <w:rsid w:val="009F0942"/>
    <w:rsid w:val="009F1018"/>
    <w:rsid w:val="009F17DA"/>
    <w:rsid w:val="009F181F"/>
    <w:rsid w:val="009F22EC"/>
    <w:rsid w:val="009F252B"/>
    <w:rsid w:val="009F2B78"/>
    <w:rsid w:val="009F2BF2"/>
    <w:rsid w:val="009F530F"/>
    <w:rsid w:val="009F5480"/>
    <w:rsid w:val="009F6E3A"/>
    <w:rsid w:val="009F763F"/>
    <w:rsid w:val="00A0068D"/>
    <w:rsid w:val="00A00783"/>
    <w:rsid w:val="00A010B2"/>
    <w:rsid w:val="00A0167B"/>
    <w:rsid w:val="00A02D5F"/>
    <w:rsid w:val="00A030B4"/>
    <w:rsid w:val="00A03F5D"/>
    <w:rsid w:val="00A06B59"/>
    <w:rsid w:val="00A109FD"/>
    <w:rsid w:val="00A11A3A"/>
    <w:rsid w:val="00A11B80"/>
    <w:rsid w:val="00A11F01"/>
    <w:rsid w:val="00A12EA8"/>
    <w:rsid w:val="00A136A7"/>
    <w:rsid w:val="00A14561"/>
    <w:rsid w:val="00A16012"/>
    <w:rsid w:val="00A20C0B"/>
    <w:rsid w:val="00A21012"/>
    <w:rsid w:val="00A2116D"/>
    <w:rsid w:val="00A21847"/>
    <w:rsid w:val="00A218A9"/>
    <w:rsid w:val="00A22138"/>
    <w:rsid w:val="00A22191"/>
    <w:rsid w:val="00A226F8"/>
    <w:rsid w:val="00A23927"/>
    <w:rsid w:val="00A24840"/>
    <w:rsid w:val="00A26228"/>
    <w:rsid w:val="00A272C8"/>
    <w:rsid w:val="00A304B4"/>
    <w:rsid w:val="00A3060B"/>
    <w:rsid w:val="00A3170F"/>
    <w:rsid w:val="00A31D99"/>
    <w:rsid w:val="00A323EF"/>
    <w:rsid w:val="00A32451"/>
    <w:rsid w:val="00A3257A"/>
    <w:rsid w:val="00A32BC8"/>
    <w:rsid w:val="00A34977"/>
    <w:rsid w:val="00A3513E"/>
    <w:rsid w:val="00A36088"/>
    <w:rsid w:val="00A369D4"/>
    <w:rsid w:val="00A40423"/>
    <w:rsid w:val="00A40C7A"/>
    <w:rsid w:val="00A40E38"/>
    <w:rsid w:val="00A42EED"/>
    <w:rsid w:val="00A431E5"/>
    <w:rsid w:val="00A43309"/>
    <w:rsid w:val="00A43402"/>
    <w:rsid w:val="00A43749"/>
    <w:rsid w:val="00A44488"/>
    <w:rsid w:val="00A4607A"/>
    <w:rsid w:val="00A477B5"/>
    <w:rsid w:val="00A5226C"/>
    <w:rsid w:val="00A5374E"/>
    <w:rsid w:val="00A54A33"/>
    <w:rsid w:val="00A54E7D"/>
    <w:rsid w:val="00A55626"/>
    <w:rsid w:val="00A556C4"/>
    <w:rsid w:val="00A5665E"/>
    <w:rsid w:val="00A56C96"/>
    <w:rsid w:val="00A571AF"/>
    <w:rsid w:val="00A61C3A"/>
    <w:rsid w:val="00A61C63"/>
    <w:rsid w:val="00A62DE0"/>
    <w:rsid w:val="00A658C9"/>
    <w:rsid w:val="00A67802"/>
    <w:rsid w:val="00A67832"/>
    <w:rsid w:val="00A67837"/>
    <w:rsid w:val="00A71301"/>
    <w:rsid w:val="00A7133A"/>
    <w:rsid w:val="00A726D1"/>
    <w:rsid w:val="00A72E20"/>
    <w:rsid w:val="00A7436F"/>
    <w:rsid w:val="00A74814"/>
    <w:rsid w:val="00A75360"/>
    <w:rsid w:val="00A7543D"/>
    <w:rsid w:val="00A75B7C"/>
    <w:rsid w:val="00A765E0"/>
    <w:rsid w:val="00A76FA3"/>
    <w:rsid w:val="00A776CC"/>
    <w:rsid w:val="00A77918"/>
    <w:rsid w:val="00A80026"/>
    <w:rsid w:val="00A808DF"/>
    <w:rsid w:val="00A80B49"/>
    <w:rsid w:val="00A81711"/>
    <w:rsid w:val="00A8264B"/>
    <w:rsid w:val="00A833F7"/>
    <w:rsid w:val="00A848B8"/>
    <w:rsid w:val="00A85B0B"/>
    <w:rsid w:val="00A866B4"/>
    <w:rsid w:val="00A86C31"/>
    <w:rsid w:val="00A90375"/>
    <w:rsid w:val="00A919AA"/>
    <w:rsid w:val="00A91DD1"/>
    <w:rsid w:val="00A93AB0"/>
    <w:rsid w:val="00A93D3A"/>
    <w:rsid w:val="00A953B2"/>
    <w:rsid w:val="00A9579E"/>
    <w:rsid w:val="00A95B56"/>
    <w:rsid w:val="00A95F4A"/>
    <w:rsid w:val="00A978D0"/>
    <w:rsid w:val="00AA09AB"/>
    <w:rsid w:val="00AA0D2F"/>
    <w:rsid w:val="00AA1179"/>
    <w:rsid w:val="00AA118C"/>
    <w:rsid w:val="00AA1A5F"/>
    <w:rsid w:val="00AA2688"/>
    <w:rsid w:val="00AA2D41"/>
    <w:rsid w:val="00AA344B"/>
    <w:rsid w:val="00AA398E"/>
    <w:rsid w:val="00AA3D24"/>
    <w:rsid w:val="00AA3D86"/>
    <w:rsid w:val="00AA4D4E"/>
    <w:rsid w:val="00AA56D0"/>
    <w:rsid w:val="00AA5BAD"/>
    <w:rsid w:val="00AA6BA8"/>
    <w:rsid w:val="00AA7A00"/>
    <w:rsid w:val="00AB032E"/>
    <w:rsid w:val="00AB03D6"/>
    <w:rsid w:val="00AB0E41"/>
    <w:rsid w:val="00AB1ACB"/>
    <w:rsid w:val="00AB1C1E"/>
    <w:rsid w:val="00AB2253"/>
    <w:rsid w:val="00AB358F"/>
    <w:rsid w:val="00AB563F"/>
    <w:rsid w:val="00AB6073"/>
    <w:rsid w:val="00AB6533"/>
    <w:rsid w:val="00AB7088"/>
    <w:rsid w:val="00AB71EB"/>
    <w:rsid w:val="00AB7A1E"/>
    <w:rsid w:val="00AC02F5"/>
    <w:rsid w:val="00AC1100"/>
    <w:rsid w:val="00AC17CA"/>
    <w:rsid w:val="00AC18F6"/>
    <w:rsid w:val="00AC329C"/>
    <w:rsid w:val="00AC3980"/>
    <w:rsid w:val="00AC42B7"/>
    <w:rsid w:val="00AC4729"/>
    <w:rsid w:val="00AC51B8"/>
    <w:rsid w:val="00AC533A"/>
    <w:rsid w:val="00AC587F"/>
    <w:rsid w:val="00AC76E5"/>
    <w:rsid w:val="00AC7D21"/>
    <w:rsid w:val="00AD0297"/>
    <w:rsid w:val="00AD09EE"/>
    <w:rsid w:val="00AD0E2C"/>
    <w:rsid w:val="00AD1189"/>
    <w:rsid w:val="00AD1377"/>
    <w:rsid w:val="00AD1D59"/>
    <w:rsid w:val="00AD25E9"/>
    <w:rsid w:val="00AD3C66"/>
    <w:rsid w:val="00AD3D6A"/>
    <w:rsid w:val="00AD46FF"/>
    <w:rsid w:val="00AD5189"/>
    <w:rsid w:val="00AD60E8"/>
    <w:rsid w:val="00AD6CCA"/>
    <w:rsid w:val="00AD7C49"/>
    <w:rsid w:val="00AE0915"/>
    <w:rsid w:val="00AE0BCE"/>
    <w:rsid w:val="00AE2816"/>
    <w:rsid w:val="00AE28AC"/>
    <w:rsid w:val="00AE35F0"/>
    <w:rsid w:val="00AE38AB"/>
    <w:rsid w:val="00AE4649"/>
    <w:rsid w:val="00AE4B67"/>
    <w:rsid w:val="00AE574C"/>
    <w:rsid w:val="00AE5AEC"/>
    <w:rsid w:val="00AE62E8"/>
    <w:rsid w:val="00AE773B"/>
    <w:rsid w:val="00AE7D4D"/>
    <w:rsid w:val="00AF24F0"/>
    <w:rsid w:val="00AF2773"/>
    <w:rsid w:val="00AF3917"/>
    <w:rsid w:val="00AF3B19"/>
    <w:rsid w:val="00AF3CCA"/>
    <w:rsid w:val="00AF4393"/>
    <w:rsid w:val="00AF49A2"/>
    <w:rsid w:val="00AF5703"/>
    <w:rsid w:val="00AF6621"/>
    <w:rsid w:val="00AF7062"/>
    <w:rsid w:val="00AF762C"/>
    <w:rsid w:val="00AF76B9"/>
    <w:rsid w:val="00B00396"/>
    <w:rsid w:val="00B00B69"/>
    <w:rsid w:val="00B0165C"/>
    <w:rsid w:val="00B01C08"/>
    <w:rsid w:val="00B0300E"/>
    <w:rsid w:val="00B03805"/>
    <w:rsid w:val="00B03B38"/>
    <w:rsid w:val="00B042E1"/>
    <w:rsid w:val="00B055E6"/>
    <w:rsid w:val="00B07BCD"/>
    <w:rsid w:val="00B10A2B"/>
    <w:rsid w:val="00B1195F"/>
    <w:rsid w:val="00B12720"/>
    <w:rsid w:val="00B12D16"/>
    <w:rsid w:val="00B1387D"/>
    <w:rsid w:val="00B17089"/>
    <w:rsid w:val="00B2000F"/>
    <w:rsid w:val="00B21A79"/>
    <w:rsid w:val="00B22472"/>
    <w:rsid w:val="00B22E66"/>
    <w:rsid w:val="00B22F29"/>
    <w:rsid w:val="00B230AC"/>
    <w:rsid w:val="00B23CFF"/>
    <w:rsid w:val="00B24449"/>
    <w:rsid w:val="00B250AA"/>
    <w:rsid w:val="00B26F36"/>
    <w:rsid w:val="00B270AC"/>
    <w:rsid w:val="00B27162"/>
    <w:rsid w:val="00B272B2"/>
    <w:rsid w:val="00B308C8"/>
    <w:rsid w:val="00B30BD4"/>
    <w:rsid w:val="00B319FF"/>
    <w:rsid w:val="00B31D72"/>
    <w:rsid w:val="00B32D78"/>
    <w:rsid w:val="00B32E53"/>
    <w:rsid w:val="00B335E3"/>
    <w:rsid w:val="00B33F1C"/>
    <w:rsid w:val="00B35CF1"/>
    <w:rsid w:val="00B36CD2"/>
    <w:rsid w:val="00B373CE"/>
    <w:rsid w:val="00B375BB"/>
    <w:rsid w:val="00B411F8"/>
    <w:rsid w:val="00B4177E"/>
    <w:rsid w:val="00B41893"/>
    <w:rsid w:val="00B41B62"/>
    <w:rsid w:val="00B429A4"/>
    <w:rsid w:val="00B430AA"/>
    <w:rsid w:val="00B430D4"/>
    <w:rsid w:val="00B4311D"/>
    <w:rsid w:val="00B434CE"/>
    <w:rsid w:val="00B43939"/>
    <w:rsid w:val="00B43EE0"/>
    <w:rsid w:val="00B442EA"/>
    <w:rsid w:val="00B44721"/>
    <w:rsid w:val="00B45121"/>
    <w:rsid w:val="00B455E2"/>
    <w:rsid w:val="00B4767A"/>
    <w:rsid w:val="00B47947"/>
    <w:rsid w:val="00B47F53"/>
    <w:rsid w:val="00B50273"/>
    <w:rsid w:val="00B5035E"/>
    <w:rsid w:val="00B5052F"/>
    <w:rsid w:val="00B50B82"/>
    <w:rsid w:val="00B50FAB"/>
    <w:rsid w:val="00B513C2"/>
    <w:rsid w:val="00B5180B"/>
    <w:rsid w:val="00B51AB3"/>
    <w:rsid w:val="00B54721"/>
    <w:rsid w:val="00B54749"/>
    <w:rsid w:val="00B55583"/>
    <w:rsid w:val="00B570E9"/>
    <w:rsid w:val="00B57BA3"/>
    <w:rsid w:val="00B57C63"/>
    <w:rsid w:val="00B6008C"/>
    <w:rsid w:val="00B60E50"/>
    <w:rsid w:val="00B612A3"/>
    <w:rsid w:val="00B6168F"/>
    <w:rsid w:val="00B61B2E"/>
    <w:rsid w:val="00B61C1B"/>
    <w:rsid w:val="00B643FB"/>
    <w:rsid w:val="00B65CE5"/>
    <w:rsid w:val="00B65E32"/>
    <w:rsid w:val="00B66301"/>
    <w:rsid w:val="00B66A52"/>
    <w:rsid w:val="00B670BC"/>
    <w:rsid w:val="00B67930"/>
    <w:rsid w:val="00B70A50"/>
    <w:rsid w:val="00B711BF"/>
    <w:rsid w:val="00B7176B"/>
    <w:rsid w:val="00B72E3A"/>
    <w:rsid w:val="00B732D5"/>
    <w:rsid w:val="00B740AF"/>
    <w:rsid w:val="00B74A34"/>
    <w:rsid w:val="00B74B65"/>
    <w:rsid w:val="00B74BFD"/>
    <w:rsid w:val="00B752AD"/>
    <w:rsid w:val="00B75931"/>
    <w:rsid w:val="00B76047"/>
    <w:rsid w:val="00B76783"/>
    <w:rsid w:val="00B76EA2"/>
    <w:rsid w:val="00B771B6"/>
    <w:rsid w:val="00B81E67"/>
    <w:rsid w:val="00B8201C"/>
    <w:rsid w:val="00B82D78"/>
    <w:rsid w:val="00B8479A"/>
    <w:rsid w:val="00B84C67"/>
    <w:rsid w:val="00B861F1"/>
    <w:rsid w:val="00B87397"/>
    <w:rsid w:val="00B913EF"/>
    <w:rsid w:val="00B91B77"/>
    <w:rsid w:val="00B91BFA"/>
    <w:rsid w:val="00B9229A"/>
    <w:rsid w:val="00B93BC7"/>
    <w:rsid w:val="00B942B4"/>
    <w:rsid w:val="00B94B5E"/>
    <w:rsid w:val="00B95F50"/>
    <w:rsid w:val="00B96DC8"/>
    <w:rsid w:val="00B97883"/>
    <w:rsid w:val="00B97E43"/>
    <w:rsid w:val="00BA1040"/>
    <w:rsid w:val="00BA1292"/>
    <w:rsid w:val="00BA1EF6"/>
    <w:rsid w:val="00BA2532"/>
    <w:rsid w:val="00BA34C6"/>
    <w:rsid w:val="00BA380F"/>
    <w:rsid w:val="00BA4105"/>
    <w:rsid w:val="00BA45C1"/>
    <w:rsid w:val="00BA4D98"/>
    <w:rsid w:val="00BA54CD"/>
    <w:rsid w:val="00BA57D5"/>
    <w:rsid w:val="00BA59F2"/>
    <w:rsid w:val="00BA6448"/>
    <w:rsid w:val="00BA6594"/>
    <w:rsid w:val="00BA6FB8"/>
    <w:rsid w:val="00BA7E37"/>
    <w:rsid w:val="00BB069F"/>
    <w:rsid w:val="00BB1176"/>
    <w:rsid w:val="00BB1E1B"/>
    <w:rsid w:val="00BB2190"/>
    <w:rsid w:val="00BB454F"/>
    <w:rsid w:val="00BB66B3"/>
    <w:rsid w:val="00BB7147"/>
    <w:rsid w:val="00BB75EC"/>
    <w:rsid w:val="00BB7E70"/>
    <w:rsid w:val="00BC0633"/>
    <w:rsid w:val="00BC0CED"/>
    <w:rsid w:val="00BC0D2B"/>
    <w:rsid w:val="00BC1CF8"/>
    <w:rsid w:val="00BC24AE"/>
    <w:rsid w:val="00BC4051"/>
    <w:rsid w:val="00BC44CD"/>
    <w:rsid w:val="00BC462F"/>
    <w:rsid w:val="00BC6375"/>
    <w:rsid w:val="00BC65CA"/>
    <w:rsid w:val="00BC67C3"/>
    <w:rsid w:val="00BC7653"/>
    <w:rsid w:val="00BC7941"/>
    <w:rsid w:val="00BD038F"/>
    <w:rsid w:val="00BD0B94"/>
    <w:rsid w:val="00BD10BB"/>
    <w:rsid w:val="00BD18BE"/>
    <w:rsid w:val="00BD2DAF"/>
    <w:rsid w:val="00BD3547"/>
    <w:rsid w:val="00BD3578"/>
    <w:rsid w:val="00BD39E8"/>
    <w:rsid w:val="00BD3A95"/>
    <w:rsid w:val="00BD4708"/>
    <w:rsid w:val="00BD5705"/>
    <w:rsid w:val="00BD66E8"/>
    <w:rsid w:val="00BD69D4"/>
    <w:rsid w:val="00BD6B1C"/>
    <w:rsid w:val="00BD70A4"/>
    <w:rsid w:val="00BD754B"/>
    <w:rsid w:val="00BE0CF5"/>
    <w:rsid w:val="00BE0E62"/>
    <w:rsid w:val="00BE1B45"/>
    <w:rsid w:val="00BE21BC"/>
    <w:rsid w:val="00BE2449"/>
    <w:rsid w:val="00BE2C67"/>
    <w:rsid w:val="00BE2FBC"/>
    <w:rsid w:val="00BE36CA"/>
    <w:rsid w:val="00BE37A5"/>
    <w:rsid w:val="00BE3835"/>
    <w:rsid w:val="00BE421D"/>
    <w:rsid w:val="00BE46AD"/>
    <w:rsid w:val="00BE50C0"/>
    <w:rsid w:val="00BE5595"/>
    <w:rsid w:val="00BE586F"/>
    <w:rsid w:val="00BE58D1"/>
    <w:rsid w:val="00BE5FF4"/>
    <w:rsid w:val="00BE6103"/>
    <w:rsid w:val="00BE6C34"/>
    <w:rsid w:val="00BE7254"/>
    <w:rsid w:val="00BE7C42"/>
    <w:rsid w:val="00BF0404"/>
    <w:rsid w:val="00BF0C79"/>
    <w:rsid w:val="00BF2759"/>
    <w:rsid w:val="00BF3052"/>
    <w:rsid w:val="00BF3365"/>
    <w:rsid w:val="00BF3E53"/>
    <w:rsid w:val="00BF4616"/>
    <w:rsid w:val="00BF4C81"/>
    <w:rsid w:val="00BF4CA0"/>
    <w:rsid w:val="00BF5318"/>
    <w:rsid w:val="00BF5473"/>
    <w:rsid w:val="00BF6264"/>
    <w:rsid w:val="00BF6E21"/>
    <w:rsid w:val="00BF7363"/>
    <w:rsid w:val="00C0011A"/>
    <w:rsid w:val="00C0039F"/>
    <w:rsid w:val="00C00635"/>
    <w:rsid w:val="00C0098D"/>
    <w:rsid w:val="00C01701"/>
    <w:rsid w:val="00C01D2F"/>
    <w:rsid w:val="00C01D60"/>
    <w:rsid w:val="00C0415E"/>
    <w:rsid w:val="00C047F1"/>
    <w:rsid w:val="00C054C7"/>
    <w:rsid w:val="00C0557B"/>
    <w:rsid w:val="00C05CD4"/>
    <w:rsid w:val="00C05DB0"/>
    <w:rsid w:val="00C05F4B"/>
    <w:rsid w:val="00C105C5"/>
    <w:rsid w:val="00C10670"/>
    <w:rsid w:val="00C10DB2"/>
    <w:rsid w:val="00C114B3"/>
    <w:rsid w:val="00C12684"/>
    <w:rsid w:val="00C145B2"/>
    <w:rsid w:val="00C1531B"/>
    <w:rsid w:val="00C15FEF"/>
    <w:rsid w:val="00C160D7"/>
    <w:rsid w:val="00C1743E"/>
    <w:rsid w:val="00C17572"/>
    <w:rsid w:val="00C17C6F"/>
    <w:rsid w:val="00C17FB9"/>
    <w:rsid w:val="00C20F70"/>
    <w:rsid w:val="00C21539"/>
    <w:rsid w:val="00C2173D"/>
    <w:rsid w:val="00C217F1"/>
    <w:rsid w:val="00C2259A"/>
    <w:rsid w:val="00C22C78"/>
    <w:rsid w:val="00C23787"/>
    <w:rsid w:val="00C24537"/>
    <w:rsid w:val="00C24862"/>
    <w:rsid w:val="00C25BA4"/>
    <w:rsid w:val="00C25FE6"/>
    <w:rsid w:val="00C26E4C"/>
    <w:rsid w:val="00C301BE"/>
    <w:rsid w:val="00C31FC0"/>
    <w:rsid w:val="00C32C39"/>
    <w:rsid w:val="00C32E4B"/>
    <w:rsid w:val="00C33507"/>
    <w:rsid w:val="00C342E0"/>
    <w:rsid w:val="00C344FE"/>
    <w:rsid w:val="00C347FF"/>
    <w:rsid w:val="00C35B1B"/>
    <w:rsid w:val="00C35BD3"/>
    <w:rsid w:val="00C36744"/>
    <w:rsid w:val="00C3692D"/>
    <w:rsid w:val="00C37291"/>
    <w:rsid w:val="00C37641"/>
    <w:rsid w:val="00C40225"/>
    <w:rsid w:val="00C42779"/>
    <w:rsid w:val="00C4277C"/>
    <w:rsid w:val="00C43309"/>
    <w:rsid w:val="00C43C15"/>
    <w:rsid w:val="00C448EA"/>
    <w:rsid w:val="00C453F7"/>
    <w:rsid w:val="00C47040"/>
    <w:rsid w:val="00C47CF5"/>
    <w:rsid w:val="00C502EB"/>
    <w:rsid w:val="00C50914"/>
    <w:rsid w:val="00C5395D"/>
    <w:rsid w:val="00C5408B"/>
    <w:rsid w:val="00C54091"/>
    <w:rsid w:val="00C551F6"/>
    <w:rsid w:val="00C55C0F"/>
    <w:rsid w:val="00C565B8"/>
    <w:rsid w:val="00C566E6"/>
    <w:rsid w:val="00C56953"/>
    <w:rsid w:val="00C57BA3"/>
    <w:rsid w:val="00C57C01"/>
    <w:rsid w:val="00C60247"/>
    <w:rsid w:val="00C602AA"/>
    <w:rsid w:val="00C60865"/>
    <w:rsid w:val="00C61B55"/>
    <w:rsid w:val="00C61EA2"/>
    <w:rsid w:val="00C61EC0"/>
    <w:rsid w:val="00C62C7F"/>
    <w:rsid w:val="00C630F5"/>
    <w:rsid w:val="00C63CA4"/>
    <w:rsid w:val="00C6592F"/>
    <w:rsid w:val="00C660B7"/>
    <w:rsid w:val="00C661BD"/>
    <w:rsid w:val="00C66F6A"/>
    <w:rsid w:val="00C6770C"/>
    <w:rsid w:val="00C67B3C"/>
    <w:rsid w:val="00C67B7D"/>
    <w:rsid w:val="00C67BAE"/>
    <w:rsid w:val="00C70019"/>
    <w:rsid w:val="00C708F6"/>
    <w:rsid w:val="00C73AB7"/>
    <w:rsid w:val="00C73C40"/>
    <w:rsid w:val="00C73D2F"/>
    <w:rsid w:val="00C74449"/>
    <w:rsid w:val="00C74879"/>
    <w:rsid w:val="00C77E7A"/>
    <w:rsid w:val="00C80274"/>
    <w:rsid w:val="00C80336"/>
    <w:rsid w:val="00C805F9"/>
    <w:rsid w:val="00C81EE8"/>
    <w:rsid w:val="00C82935"/>
    <w:rsid w:val="00C82D38"/>
    <w:rsid w:val="00C82DF2"/>
    <w:rsid w:val="00C8464C"/>
    <w:rsid w:val="00C85160"/>
    <w:rsid w:val="00C87B88"/>
    <w:rsid w:val="00C91048"/>
    <w:rsid w:val="00C91CF3"/>
    <w:rsid w:val="00C928B8"/>
    <w:rsid w:val="00C932AA"/>
    <w:rsid w:val="00C93675"/>
    <w:rsid w:val="00C9392B"/>
    <w:rsid w:val="00C96C99"/>
    <w:rsid w:val="00C972C2"/>
    <w:rsid w:val="00CA0A2E"/>
    <w:rsid w:val="00CA1863"/>
    <w:rsid w:val="00CA2515"/>
    <w:rsid w:val="00CA26A2"/>
    <w:rsid w:val="00CA281A"/>
    <w:rsid w:val="00CA2BD1"/>
    <w:rsid w:val="00CA3267"/>
    <w:rsid w:val="00CA351B"/>
    <w:rsid w:val="00CA3BAD"/>
    <w:rsid w:val="00CA402B"/>
    <w:rsid w:val="00CA489C"/>
    <w:rsid w:val="00CA5424"/>
    <w:rsid w:val="00CA5E52"/>
    <w:rsid w:val="00CA6FC2"/>
    <w:rsid w:val="00CA715F"/>
    <w:rsid w:val="00CA7237"/>
    <w:rsid w:val="00CA7A94"/>
    <w:rsid w:val="00CA7CA6"/>
    <w:rsid w:val="00CB1138"/>
    <w:rsid w:val="00CB159C"/>
    <w:rsid w:val="00CB1752"/>
    <w:rsid w:val="00CB2524"/>
    <w:rsid w:val="00CB3385"/>
    <w:rsid w:val="00CB3665"/>
    <w:rsid w:val="00CB398D"/>
    <w:rsid w:val="00CB491A"/>
    <w:rsid w:val="00CB4BE5"/>
    <w:rsid w:val="00CB5458"/>
    <w:rsid w:val="00CB581F"/>
    <w:rsid w:val="00CB6878"/>
    <w:rsid w:val="00CB6B5E"/>
    <w:rsid w:val="00CB6EBE"/>
    <w:rsid w:val="00CB6F45"/>
    <w:rsid w:val="00CB7044"/>
    <w:rsid w:val="00CB750C"/>
    <w:rsid w:val="00CB78FC"/>
    <w:rsid w:val="00CB7C4B"/>
    <w:rsid w:val="00CB7EFB"/>
    <w:rsid w:val="00CC0145"/>
    <w:rsid w:val="00CC03DE"/>
    <w:rsid w:val="00CC1620"/>
    <w:rsid w:val="00CC168C"/>
    <w:rsid w:val="00CC1BF5"/>
    <w:rsid w:val="00CC2DBC"/>
    <w:rsid w:val="00CC3AD7"/>
    <w:rsid w:val="00CC3DC4"/>
    <w:rsid w:val="00CC4275"/>
    <w:rsid w:val="00CC55B4"/>
    <w:rsid w:val="00CC5740"/>
    <w:rsid w:val="00CC57E5"/>
    <w:rsid w:val="00CD0154"/>
    <w:rsid w:val="00CD081D"/>
    <w:rsid w:val="00CD29A4"/>
    <w:rsid w:val="00CD2DC2"/>
    <w:rsid w:val="00CD4205"/>
    <w:rsid w:val="00CD4E1E"/>
    <w:rsid w:val="00CD5226"/>
    <w:rsid w:val="00CD5CE3"/>
    <w:rsid w:val="00CD608C"/>
    <w:rsid w:val="00CD60DB"/>
    <w:rsid w:val="00CD6F54"/>
    <w:rsid w:val="00CD76B2"/>
    <w:rsid w:val="00CD7749"/>
    <w:rsid w:val="00CD78FB"/>
    <w:rsid w:val="00CE262F"/>
    <w:rsid w:val="00CE4EC8"/>
    <w:rsid w:val="00CE5006"/>
    <w:rsid w:val="00CE67BB"/>
    <w:rsid w:val="00CE6E6B"/>
    <w:rsid w:val="00CF01CE"/>
    <w:rsid w:val="00CF1CF8"/>
    <w:rsid w:val="00CF1DB6"/>
    <w:rsid w:val="00CF1FB2"/>
    <w:rsid w:val="00CF28D1"/>
    <w:rsid w:val="00CF61EB"/>
    <w:rsid w:val="00CF6210"/>
    <w:rsid w:val="00CF66A1"/>
    <w:rsid w:val="00CF714F"/>
    <w:rsid w:val="00CF7990"/>
    <w:rsid w:val="00CF7D5E"/>
    <w:rsid w:val="00D00228"/>
    <w:rsid w:val="00D00698"/>
    <w:rsid w:val="00D01B6E"/>
    <w:rsid w:val="00D01CE1"/>
    <w:rsid w:val="00D0300A"/>
    <w:rsid w:val="00D04FE2"/>
    <w:rsid w:val="00D0576D"/>
    <w:rsid w:val="00D05C08"/>
    <w:rsid w:val="00D05D3D"/>
    <w:rsid w:val="00D062D8"/>
    <w:rsid w:val="00D106CA"/>
    <w:rsid w:val="00D107E2"/>
    <w:rsid w:val="00D11754"/>
    <w:rsid w:val="00D11867"/>
    <w:rsid w:val="00D11C3B"/>
    <w:rsid w:val="00D12858"/>
    <w:rsid w:val="00D13919"/>
    <w:rsid w:val="00D13DEC"/>
    <w:rsid w:val="00D147C2"/>
    <w:rsid w:val="00D14854"/>
    <w:rsid w:val="00D15064"/>
    <w:rsid w:val="00D164D6"/>
    <w:rsid w:val="00D16715"/>
    <w:rsid w:val="00D169E3"/>
    <w:rsid w:val="00D17B5D"/>
    <w:rsid w:val="00D20F81"/>
    <w:rsid w:val="00D2253D"/>
    <w:rsid w:val="00D23426"/>
    <w:rsid w:val="00D2511B"/>
    <w:rsid w:val="00D2736D"/>
    <w:rsid w:val="00D2783E"/>
    <w:rsid w:val="00D3069F"/>
    <w:rsid w:val="00D306AF"/>
    <w:rsid w:val="00D30D8F"/>
    <w:rsid w:val="00D310BF"/>
    <w:rsid w:val="00D32DB7"/>
    <w:rsid w:val="00D33027"/>
    <w:rsid w:val="00D33594"/>
    <w:rsid w:val="00D35BC8"/>
    <w:rsid w:val="00D36046"/>
    <w:rsid w:val="00D362E3"/>
    <w:rsid w:val="00D37ACA"/>
    <w:rsid w:val="00D37BB5"/>
    <w:rsid w:val="00D37CF8"/>
    <w:rsid w:val="00D4026A"/>
    <w:rsid w:val="00D42059"/>
    <w:rsid w:val="00D426A6"/>
    <w:rsid w:val="00D42859"/>
    <w:rsid w:val="00D43352"/>
    <w:rsid w:val="00D43D58"/>
    <w:rsid w:val="00D43F21"/>
    <w:rsid w:val="00D4432F"/>
    <w:rsid w:val="00D44C91"/>
    <w:rsid w:val="00D460CB"/>
    <w:rsid w:val="00D46542"/>
    <w:rsid w:val="00D46C5B"/>
    <w:rsid w:val="00D47DC4"/>
    <w:rsid w:val="00D502BC"/>
    <w:rsid w:val="00D503E5"/>
    <w:rsid w:val="00D51AE7"/>
    <w:rsid w:val="00D51E55"/>
    <w:rsid w:val="00D51FC1"/>
    <w:rsid w:val="00D5203C"/>
    <w:rsid w:val="00D52C78"/>
    <w:rsid w:val="00D53FFB"/>
    <w:rsid w:val="00D54578"/>
    <w:rsid w:val="00D54718"/>
    <w:rsid w:val="00D557A5"/>
    <w:rsid w:val="00D56152"/>
    <w:rsid w:val="00D56889"/>
    <w:rsid w:val="00D57640"/>
    <w:rsid w:val="00D60FA4"/>
    <w:rsid w:val="00D634E9"/>
    <w:rsid w:val="00D63EBF"/>
    <w:rsid w:val="00D64218"/>
    <w:rsid w:val="00D65FD3"/>
    <w:rsid w:val="00D66373"/>
    <w:rsid w:val="00D66788"/>
    <w:rsid w:val="00D67D4A"/>
    <w:rsid w:val="00D707B6"/>
    <w:rsid w:val="00D70F56"/>
    <w:rsid w:val="00D71C9F"/>
    <w:rsid w:val="00D71E48"/>
    <w:rsid w:val="00D72CED"/>
    <w:rsid w:val="00D743A0"/>
    <w:rsid w:val="00D745F7"/>
    <w:rsid w:val="00D747D9"/>
    <w:rsid w:val="00D75979"/>
    <w:rsid w:val="00D76A2E"/>
    <w:rsid w:val="00D76CB5"/>
    <w:rsid w:val="00D80297"/>
    <w:rsid w:val="00D8198B"/>
    <w:rsid w:val="00D81A75"/>
    <w:rsid w:val="00D81F29"/>
    <w:rsid w:val="00D82646"/>
    <w:rsid w:val="00D833A7"/>
    <w:rsid w:val="00D83DDD"/>
    <w:rsid w:val="00D8519A"/>
    <w:rsid w:val="00D85F97"/>
    <w:rsid w:val="00D87E90"/>
    <w:rsid w:val="00D92A47"/>
    <w:rsid w:val="00D92D43"/>
    <w:rsid w:val="00D935D1"/>
    <w:rsid w:val="00D95A09"/>
    <w:rsid w:val="00D967D1"/>
    <w:rsid w:val="00D97FE3"/>
    <w:rsid w:val="00DA01FE"/>
    <w:rsid w:val="00DA0315"/>
    <w:rsid w:val="00DA1D71"/>
    <w:rsid w:val="00DA1DE3"/>
    <w:rsid w:val="00DA2148"/>
    <w:rsid w:val="00DA227B"/>
    <w:rsid w:val="00DA3215"/>
    <w:rsid w:val="00DA3497"/>
    <w:rsid w:val="00DA351F"/>
    <w:rsid w:val="00DA3C2F"/>
    <w:rsid w:val="00DA44EA"/>
    <w:rsid w:val="00DA54BE"/>
    <w:rsid w:val="00DA6E59"/>
    <w:rsid w:val="00DB0048"/>
    <w:rsid w:val="00DB1819"/>
    <w:rsid w:val="00DB186B"/>
    <w:rsid w:val="00DB2B7D"/>
    <w:rsid w:val="00DB35F5"/>
    <w:rsid w:val="00DB5B2F"/>
    <w:rsid w:val="00DB62BC"/>
    <w:rsid w:val="00DB6360"/>
    <w:rsid w:val="00DB6CAE"/>
    <w:rsid w:val="00DC0F45"/>
    <w:rsid w:val="00DC135D"/>
    <w:rsid w:val="00DC1ECE"/>
    <w:rsid w:val="00DC25AB"/>
    <w:rsid w:val="00DC2AD7"/>
    <w:rsid w:val="00DC4D65"/>
    <w:rsid w:val="00DC528F"/>
    <w:rsid w:val="00DD00E8"/>
    <w:rsid w:val="00DD0496"/>
    <w:rsid w:val="00DD1277"/>
    <w:rsid w:val="00DD170D"/>
    <w:rsid w:val="00DD1DE2"/>
    <w:rsid w:val="00DD2A5E"/>
    <w:rsid w:val="00DD2B4E"/>
    <w:rsid w:val="00DD30B5"/>
    <w:rsid w:val="00DD4CED"/>
    <w:rsid w:val="00DD6896"/>
    <w:rsid w:val="00DD68C4"/>
    <w:rsid w:val="00DD7FCA"/>
    <w:rsid w:val="00DE08E0"/>
    <w:rsid w:val="00DE1448"/>
    <w:rsid w:val="00DE1580"/>
    <w:rsid w:val="00DE17AD"/>
    <w:rsid w:val="00DE28E9"/>
    <w:rsid w:val="00DE3AAA"/>
    <w:rsid w:val="00DE3AFB"/>
    <w:rsid w:val="00DE4A82"/>
    <w:rsid w:val="00DE4E38"/>
    <w:rsid w:val="00DE5D5E"/>
    <w:rsid w:val="00DE635D"/>
    <w:rsid w:val="00DE697C"/>
    <w:rsid w:val="00DE6C7D"/>
    <w:rsid w:val="00DE7667"/>
    <w:rsid w:val="00DE7FDD"/>
    <w:rsid w:val="00DF20C7"/>
    <w:rsid w:val="00DF25A4"/>
    <w:rsid w:val="00DF2BD4"/>
    <w:rsid w:val="00DF3127"/>
    <w:rsid w:val="00DF37E2"/>
    <w:rsid w:val="00DF3F44"/>
    <w:rsid w:val="00DF41FC"/>
    <w:rsid w:val="00DF5257"/>
    <w:rsid w:val="00DF612E"/>
    <w:rsid w:val="00DF6585"/>
    <w:rsid w:val="00DF725E"/>
    <w:rsid w:val="00E001E6"/>
    <w:rsid w:val="00E00215"/>
    <w:rsid w:val="00E0079B"/>
    <w:rsid w:val="00E01234"/>
    <w:rsid w:val="00E0191D"/>
    <w:rsid w:val="00E01DB5"/>
    <w:rsid w:val="00E024F6"/>
    <w:rsid w:val="00E0337A"/>
    <w:rsid w:val="00E04777"/>
    <w:rsid w:val="00E04BC7"/>
    <w:rsid w:val="00E050AC"/>
    <w:rsid w:val="00E05219"/>
    <w:rsid w:val="00E0528E"/>
    <w:rsid w:val="00E05442"/>
    <w:rsid w:val="00E06D82"/>
    <w:rsid w:val="00E07BD8"/>
    <w:rsid w:val="00E10143"/>
    <w:rsid w:val="00E104DC"/>
    <w:rsid w:val="00E10B15"/>
    <w:rsid w:val="00E12DAF"/>
    <w:rsid w:val="00E1306F"/>
    <w:rsid w:val="00E133DA"/>
    <w:rsid w:val="00E13D2A"/>
    <w:rsid w:val="00E13ECF"/>
    <w:rsid w:val="00E146E4"/>
    <w:rsid w:val="00E164E0"/>
    <w:rsid w:val="00E1663E"/>
    <w:rsid w:val="00E166D2"/>
    <w:rsid w:val="00E17190"/>
    <w:rsid w:val="00E17A57"/>
    <w:rsid w:val="00E17CCC"/>
    <w:rsid w:val="00E20CC0"/>
    <w:rsid w:val="00E2200D"/>
    <w:rsid w:val="00E22B22"/>
    <w:rsid w:val="00E24698"/>
    <w:rsid w:val="00E250F2"/>
    <w:rsid w:val="00E25A37"/>
    <w:rsid w:val="00E25DBE"/>
    <w:rsid w:val="00E2706D"/>
    <w:rsid w:val="00E27ED8"/>
    <w:rsid w:val="00E30732"/>
    <w:rsid w:val="00E3167D"/>
    <w:rsid w:val="00E31768"/>
    <w:rsid w:val="00E31A76"/>
    <w:rsid w:val="00E323E4"/>
    <w:rsid w:val="00E34A97"/>
    <w:rsid w:val="00E34ABD"/>
    <w:rsid w:val="00E34CBF"/>
    <w:rsid w:val="00E355D0"/>
    <w:rsid w:val="00E365C6"/>
    <w:rsid w:val="00E36A53"/>
    <w:rsid w:val="00E36FB8"/>
    <w:rsid w:val="00E40D6B"/>
    <w:rsid w:val="00E4198A"/>
    <w:rsid w:val="00E425F7"/>
    <w:rsid w:val="00E43274"/>
    <w:rsid w:val="00E4395F"/>
    <w:rsid w:val="00E4424E"/>
    <w:rsid w:val="00E44472"/>
    <w:rsid w:val="00E4497C"/>
    <w:rsid w:val="00E45C7A"/>
    <w:rsid w:val="00E46370"/>
    <w:rsid w:val="00E46BD4"/>
    <w:rsid w:val="00E4717E"/>
    <w:rsid w:val="00E47EF3"/>
    <w:rsid w:val="00E5190C"/>
    <w:rsid w:val="00E52180"/>
    <w:rsid w:val="00E52BB5"/>
    <w:rsid w:val="00E5330B"/>
    <w:rsid w:val="00E53B5A"/>
    <w:rsid w:val="00E56716"/>
    <w:rsid w:val="00E5675E"/>
    <w:rsid w:val="00E56A55"/>
    <w:rsid w:val="00E60455"/>
    <w:rsid w:val="00E608F1"/>
    <w:rsid w:val="00E611DE"/>
    <w:rsid w:val="00E61269"/>
    <w:rsid w:val="00E624BB"/>
    <w:rsid w:val="00E628A7"/>
    <w:rsid w:val="00E6418C"/>
    <w:rsid w:val="00E64747"/>
    <w:rsid w:val="00E6546D"/>
    <w:rsid w:val="00E65624"/>
    <w:rsid w:val="00E66393"/>
    <w:rsid w:val="00E67C1E"/>
    <w:rsid w:val="00E6C691"/>
    <w:rsid w:val="00E7133E"/>
    <w:rsid w:val="00E715C7"/>
    <w:rsid w:val="00E73252"/>
    <w:rsid w:val="00E7413D"/>
    <w:rsid w:val="00E74362"/>
    <w:rsid w:val="00E7561B"/>
    <w:rsid w:val="00E758CB"/>
    <w:rsid w:val="00E76B89"/>
    <w:rsid w:val="00E77D74"/>
    <w:rsid w:val="00E77FC3"/>
    <w:rsid w:val="00E80399"/>
    <w:rsid w:val="00E8436E"/>
    <w:rsid w:val="00E84B30"/>
    <w:rsid w:val="00E855AE"/>
    <w:rsid w:val="00E85CDA"/>
    <w:rsid w:val="00E8645C"/>
    <w:rsid w:val="00E86D60"/>
    <w:rsid w:val="00E87599"/>
    <w:rsid w:val="00E8F387"/>
    <w:rsid w:val="00E907C5"/>
    <w:rsid w:val="00E90845"/>
    <w:rsid w:val="00E90FFC"/>
    <w:rsid w:val="00E91133"/>
    <w:rsid w:val="00E91D48"/>
    <w:rsid w:val="00E94D5C"/>
    <w:rsid w:val="00E956C6"/>
    <w:rsid w:val="00E963CD"/>
    <w:rsid w:val="00E974FD"/>
    <w:rsid w:val="00EA1BB9"/>
    <w:rsid w:val="00EA1D42"/>
    <w:rsid w:val="00EA1D77"/>
    <w:rsid w:val="00EA1E5C"/>
    <w:rsid w:val="00EA296B"/>
    <w:rsid w:val="00EA349B"/>
    <w:rsid w:val="00EA3DFA"/>
    <w:rsid w:val="00EA40EB"/>
    <w:rsid w:val="00EA47BD"/>
    <w:rsid w:val="00EA53A1"/>
    <w:rsid w:val="00EA5F18"/>
    <w:rsid w:val="00EA6785"/>
    <w:rsid w:val="00EA733C"/>
    <w:rsid w:val="00EB0030"/>
    <w:rsid w:val="00EB0ACC"/>
    <w:rsid w:val="00EB0AED"/>
    <w:rsid w:val="00EB1B95"/>
    <w:rsid w:val="00EB24B1"/>
    <w:rsid w:val="00EB2D3B"/>
    <w:rsid w:val="00EB3288"/>
    <w:rsid w:val="00EB55F4"/>
    <w:rsid w:val="00EB6957"/>
    <w:rsid w:val="00EB69F0"/>
    <w:rsid w:val="00EB6F13"/>
    <w:rsid w:val="00EB740E"/>
    <w:rsid w:val="00EC0C77"/>
    <w:rsid w:val="00EC1B21"/>
    <w:rsid w:val="00EC1F01"/>
    <w:rsid w:val="00EC1F7D"/>
    <w:rsid w:val="00EC2398"/>
    <w:rsid w:val="00EC343C"/>
    <w:rsid w:val="00EC3966"/>
    <w:rsid w:val="00EC4B3C"/>
    <w:rsid w:val="00EC5B63"/>
    <w:rsid w:val="00EC5CF4"/>
    <w:rsid w:val="00EC5FB7"/>
    <w:rsid w:val="00EC68B2"/>
    <w:rsid w:val="00EC6CD6"/>
    <w:rsid w:val="00EC706A"/>
    <w:rsid w:val="00ED0ECA"/>
    <w:rsid w:val="00ED214A"/>
    <w:rsid w:val="00ED246D"/>
    <w:rsid w:val="00ED2ABE"/>
    <w:rsid w:val="00ED2BA3"/>
    <w:rsid w:val="00ED2E85"/>
    <w:rsid w:val="00ED330A"/>
    <w:rsid w:val="00ED3535"/>
    <w:rsid w:val="00ED3F07"/>
    <w:rsid w:val="00ED4802"/>
    <w:rsid w:val="00ED4D67"/>
    <w:rsid w:val="00ED4F45"/>
    <w:rsid w:val="00ED56B7"/>
    <w:rsid w:val="00ED68DE"/>
    <w:rsid w:val="00ED7F3E"/>
    <w:rsid w:val="00EE0509"/>
    <w:rsid w:val="00EE0765"/>
    <w:rsid w:val="00EE0FF8"/>
    <w:rsid w:val="00EE19D6"/>
    <w:rsid w:val="00EE1AC1"/>
    <w:rsid w:val="00EE1BFC"/>
    <w:rsid w:val="00EE1D06"/>
    <w:rsid w:val="00EE6136"/>
    <w:rsid w:val="00EE6A82"/>
    <w:rsid w:val="00EF08D5"/>
    <w:rsid w:val="00EF0E49"/>
    <w:rsid w:val="00EF1A29"/>
    <w:rsid w:val="00EF2083"/>
    <w:rsid w:val="00EF32F4"/>
    <w:rsid w:val="00EF3642"/>
    <w:rsid w:val="00EF38B8"/>
    <w:rsid w:val="00EF44D9"/>
    <w:rsid w:val="00EF4612"/>
    <w:rsid w:val="00EF4D97"/>
    <w:rsid w:val="00EF513A"/>
    <w:rsid w:val="00EF5A1A"/>
    <w:rsid w:val="00EF73E5"/>
    <w:rsid w:val="00EF7B70"/>
    <w:rsid w:val="00EF7EF2"/>
    <w:rsid w:val="00EF7F94"/>
    <w:rsid w:val="00F00114"/>
    <w:rsid w:val="00F001FF"/>
    <w:rsid w:val="00F01A60"/>
    <w:rsid w:val="00F02144"/>
    <w:rsid w:val="00F02A20"/>
    <w:rsid w:val="00F02A84"/>
    <w:rsid w:val="00F05334"/>
    <w:rsid w:val="00F05EFB"/>
    <w:rsid w:val="00F0601B"/>
    <w:rsid w:val="00F0622E"/>
    <w:rsid w:val="00F10E57"/>
    <w:rsid w:val="00F115A6"/>
    <w:rsid w:val="00F11644"/>
    <w:rsid w:val="00F12663"/>
    <w:rsid w:val="00F13007"/>
    <w:rsid w:val="00F1301B"/>
    <w:rsid w:val="00F1354B"/>
    <w:rsid w:val="00F15573"/>
    <w:rsid w:val="00F17C22"/>
    <w:rsid w:val="00F203CF"/>
    <w:rsid w:val="00F20D3E"/>
    <w:rsid w:val="00F21186"/>
    <w:rsid w:val="00F21339"/>
    <w:rsid w:val="00F21BA3"/>
    <w:rsid w:val="00F21F03"/>
    <w:rsid w:val="00F22148"/>
    <w:rsid w:val="00F22FAE"/>
    <w:rsid w:val="00F23653"/>
    <w:rsid w:val="00F256AC"/>
    <w:rsid w:val="00F2586F"/>
    <w:rsid w:val="00F26316"/>
    <w:rsid w:val="00F26B59"/>
    <w:rsid w:val="00F27380"/>
    <w:rsid w:val="00F308B0"/>
    <w:rsid w:val="00F31109"/>
    <w:rsid w:val="00F314DF"/>
    <w:rsid w:val="00F31649"/>
    <w:rsid w:val="00F327DD"/>
    <w:rsid w:val="00F32901"/>
    <w:rsid w:val="00F32B2B"/>
    <w:rsid w:val="00F32F28"/>
    <w:rsid w:val="00F33B12"/>
    <w:rsid w:val="00F34852"/>
    <w:rsid w:val="00F34BF9"/>
    <w:rsid w:val="00F36B79"/>
    <w:rsid w:val="00F37B40"/>
    <w:rsid w:val="00F4034F"/>
    <w:rsid w:val="00F404B3"/>
    <w:rsid w:val="00F417F0"/>
    <w:rsid w:val="00F42DCD"/>
    <w:rsid w:val="00F43D08"/>
    <w:rsid w:val="00F4578C"/>
    <w:rsid w:val="00F45BFF"/>
    <w:rsid w:val="00F45C91"/>
    <w:rsid w:val="00F4655E"/>
    <w:rsid w:val="00F46571"/>
    <w:rsid w:val="00F50A1B"/>
    <w:rsid w:val="00F50E39"/>
    <w:rsid w:val="00F51063"/>
    <w:rsid w:val="00F53A13"/>
    <w:rsid w:val="00F53CD7"/>
    <w:rsid w:val="00F54CAD"/>
    <w:rsid w:val="00F54DFF"/>
    <w:rsid w:val="00F563CF"/>
    <w:rsid w:val="00F57264"/>
    <w:rsid w:val="00F57C47"/>
    <w:rsid w:val="00F60D0A"/>
    <w:rsid w:val="00F61DE5"/>
    <w:rsid w:val="00F621DA"/>
    <w:rsid w:val="00F6337F"/>
    <w:rsid w:val="00F63EAC"/>
    <w:rsid w:val="00F64057"/>
    <w:rsid w:val="00F65250"/>
    <w:rsid w:val="00F6572C"/>
    <w:rsid w:val="00F65C76"/>
    <w:rsid w:val="00F65C88"/>
    <w:rsid w:val="00F67EFA"/>
    <w:rsid w:val="00F70832"/>
    <w:rsid w:val="00F72ACA"/>
    <w:rsid w:val="00F72E1A"/>
    <w:rsid w:val="00F74A84"/>
    <w:rsid w:val="00F74D3D"/>
    <w:rsid w:val="00F776BE"/>
    <w:rsid w:val="00F77B1C"/>
    <w:rsid w:val="00F81437"/>
    <w:rsid w:val="00F81472"/>
    <w:rsid w:val="00F8253E"/>
    <w:rsid w:val="00F82E12"/>
    <w:rsid w:val="00F8306C"/>
    <w:rsid w:val="00F85705"/>
    <w:rsid w:val="00F879E9"/>
    <w:rsid w:val="00F90A69"/>
    <w:rsid w:val="00F91437"/>
    <w:rsid w:val="00F91D15"/>
    <w:rsid w:val="00F924B7"/>
    <w:rsid w:val="00F92FBC"/>
    <w:rsid w:val="00F9408D"/>
    <w:rsid w:val="00F94749"/>
    <w:rsid w:val="00F94797"/>
    <w:rsid w:val="00F94BB0"/>
    <w:rsid w:val="00F94EB9"/>
    <w:rsid w:val="00F9623B"/>
    <w:rsid w:val="00F964E0"/>
    <w:rsid w:val="00FA0778"/>
    <w:rsid w:val="00FA1378"/>
    <w:rsid w:val="00FA180D"/>
    <w:rsid w:val="00FA1CE9"/>
    <w:rsid w:val="00FA1FFB"/>
    <w:rsid w:val="00FA36D8"/>
    <w:rsid w:val="00FA3F08"/>
    <w:rsid w:val="00FA48D9"/>
    <w:rsid w:val="00FA4E48"/>
    <w:rsid w:val="00FA50F8"/>
    <w:rsid w:val="00FA67C6"/>
    <w:rsid w:val="00FB07F0"/>
    <w:rsid w:val="00FB116F"/>
    <w:rsid w:val="00FB22DF"/>
    <w:rsid w:val="00FB25DF"/>
    <w:rsid w:val="00FB2FD0"/>
    <w:rsid w:val="00FB38AD"/>
    <w:rsid w:val="00FB46B9"/>
    <w:rsid w:val="00FB5A53"/>
    <w:rsid w:val="00FB5B5C"/>
    <w:rsid w:val="00FB6C9B"/>
    <w:rsid w:val="00FB6F6B"/>
    <w:rsid w:val="00FC0CDF"/>
    <w:rsid w:val="00FC1D64"/>
    <w:rsid w:val="00FC24CA"/>
    <w:rsid w:val="00FC2CA9"/>
    <w:rsid w:val="00FC2F15"/>
    <w:rsid w:val="00FC40FB"/>
    <w:rsid w:val="00FC4628"/>
    <w:rsid w:val="00FC550F"/>
    <w:rsid w:val="00FC68F0"/>
    <w:rsid w:val="00FC6F50"/>
    <w:rsid w:val="00FC7136"/>
    <w:rsid w:val="00FC780E"/>
    <w:rsid w:val="00FD0797"/>
    <w:rsid w:val="00FD17EC"/>
    <w:rsid w:val="00FD19EB"/>
    <w:rsid w:val="00FD1BF4"/>
    <w:rsid w:val="00FD1DFE"/>
    <w:rsid w:val="00FD3320"/>
    <w:rsid w:val="00FD4CD6"/>
    <w:rsid w:val="00FD5297"/>
    <w:rsid w:val="00FD5E8F"/>
    <w:rsid w:val="00FD6BD7"/>
    <w:rsid w:val="00FD7276"/>
    <w:rsid w:val="00FD7367"/>
    <w:rsid w:val="00FD74C6"/>
    <w:rsid w:val="00FD783A"/>
    <w:rsid w:val="00FD7CB2"/>
    <w:rsid w:val="00FE06A7"/>
    <w:rsid w:val="00FE08BA"/>
    <w:rsid w:val="00FE0E27"/>
    <w:rsid w:val="00FE1077"/>
    <w:rsid w:val="00FE15BB"/>
    <w:rsid w:val="00FE1AFF"/>
    <w:rsid w:val="00FE1B72"/>
    <w:rsid w:val="00FE20C1"/>
    <w:rsid w:val="00FE21B2"/>
    <w:rsid w:val="00FE29A6"/>
    <w:rsid w:val="00FE340D"/>
    <w:rsid w:val="00FE4584"/>
    <w:rsid w:val="00FE4745"/>
    <w:rsid w:val="00FE4A3A"/>
    <w:rsid w:val="00FE4A7E"/>
    <w:rsid w:val="00FE4F17"/>
    <w:rsid w:val="00FE53C8"/>
    <w:rsid w:val="00FE5E59"/>
    <w:rsid w:val="00FE6D25"/>
    <w:rsid w:val="00FE6FC9"/>
    <w:rsid w:val="00FE7B33"/>
    <w:rsid w:val="00FF19AF"/>
    <w:rsid w:val="00FF2135"/>
    <w:rsid w:val="00FF3BA8"/>
    <w:rsid w:val="00FF3FD5"/>
    <w:rsid w:val="00FF44CC"/>
    <w:rsid w:val="00FF4970"/>
    <w:rsid w:val="012B2FD6"/>
    <w:rsid w:val="01F436A4"/>
    <w:rsid w:val="0265FF52"/>
    <w:rsid w:val="026806C1"/>
    <w:rsid w:val="027B67DD"/>
    <w:rsid w:val="02D6B8F4"/>
    <w:rsid w:val="03138CA3"/>
    <w:rsid w:val="03A3CC79"/>
    <w:rsid w:val="03BF69B1"/>
    <w:rsid w:val="03CA41CC"/>
    <w:rsid w:val="04441469"/>
    <w:rsid w:val="04E8434A"/>
    <w:rsid w:val="0581A550"/>
    <w:rsid w:val="05CF8A29"/>
    <w:rsid w:val="05D3BE32"/>
    <w:rsid w:val="0674C3B8"/>
    <w:rsid w:val="067BF1D5"/>
    <w:rsid w:val="06A20FA7"/>
    <w:rsid w:val="06CE1758"/>
    <w:rsid w:val="07144D71"/>
    <w:rsid w:val="0719D775"/>
    <w:rsid w:val="0757E5CB"/>
    <w:rsid w:val="07B2DCC7"/>
    <w:rsid w:val="07DB5FB0"/>
    <w:rsid w:val="07EE553F"/>
    <w:rsid w:val="080676B0"/>
    <w:rsid w:val="0807F2B8"/>
    <w:rsid w:val="081C4AFE"/>
    <w:rsid w:val="08436F67"/>
    <w:rsid w:val="08463EAA"/>
    <w:rsid w:val="088AEB63"/>
    <w:rsid w:val="08A2B9FC"/>
    <w:rsid w:val="08A995DB"/>
    <w:rsid w:val="0926085D"/>
    <w:rsid w:val="09567FCD"/>
    <w:rsid w:val="09D8AC3E"/>
    <w:rsid w:val="0AA8F67E"/>
    <w:rsid w:val="0ABDF24F"/>
    <w:rsid w:val="0B77F167"/>
    <w:rsid w:val="0BB0AD4E"/>
    <w:rsid w:val="0BD29E5D"/>
    <w:rsid w:val="0C6CE0D6"/>
    <w:rsid w:val="0D34AA70"/>
    <w:rsid w:val="0D7D4F79"/>
    <w:rsid w:val="0E1C5547"/>
    <w:rsid w:val="0F79C255"/>
    <w:rsid w:val="0FC8D011"/>
    <w:rsid w:val="0FD6CB08"/>
    <w:rsid w:val="10A6C1AE"/>
    <w:rsid w:val="115004E5"/>
    <w:rsid w:val="11B155C4"/>
    <w:rsid w:val="1293DF17"/>
    <w:rsid w:val="12C10F21"/>
    <w:rsid w:val="12D72793"/>
    <w:rsid w:val="12FDE1FF"/>
    <w:rsid w:val="1329966E"/>
    <w:rsid w:val="13E4DAD7"/>
    <w:rsid w:val="13F1EFC4"/>
    <w:rsid w:val="146D7A58"/>
    <w:rsid w:val="14D266B0"/>
    <w:rsid w:val="151D2763"/>
    <w:rsid w:val="154E1040"/>
    <w:rsid w:val="15510F0E"/>
    <w:rsid w:val="16542E40"/>
    <w:rsid w:val="1670A3C5"/>
    <w:rsid w:val="167817B2"/>
    <w:rsid w:val="16866649"/>
    <w:rsid w:val="16C9FA24"/>
    <w:rsid w:val="16FEEF71"/>
    <w:rsid w:val="173092CF"/>
    <w:rsid w:val="17DE62E5"/>
    <w:rsid w:val="17FE490C"/>
    <w:rsid w:val="1903333F"/>
    <w:rsid w:val="194E6FE4"/>
    <w:rsid w:val="195E4B48"/>
    <w:rsid w:val="19779D19"/>
    <w:rsid w:val="1AA93C7D"/>
    <w:rsid w:val="1B5FF764"/>
    <w:rsid w:val="1B8A15BD"/>
    <w:rsid w:val="1C030951"/>
    <w:rsid w:val="1C7990B5"/>
    <w:rsid w:val="1C935771"/>
    <w:rsid w:val="1D3965B8"/>
    <w:rsid w:val="1D62FED4"/>
    <w:rsid w:val="1D98BAF1"/>
    <w:rsid w:val="1E004089"/>
    <w:rsid w:val="1E55E3AB"/>
    <w:rsid w:val="1E814F56"/>
    <w:rsid w:val="1F9FE441"/>
    <w:rsid w:val="1FD3275E"/>
    <w:rsid w:val="20389AF5"/>
    <w:rsid w:val="205CB3B4"/>
    <w:rsid w:val="209E59DE"/>
    <w:rsid w:val="211F6B64"/>
    <w:rsid w:val="21380365"/>
    <w:rsid w:val="21CC1BF3"/>
    <w:rsid w:val="21DB3CC1"/>
    <w:rsid w:val="22441AB4"/>
    <w:rsid w:val="228520DC"/>
    <w:rsid w:val="23505892"/>
    <w:rsid w:val="2369554A"/>
    <w:rsid w:val="236CFC00"/>
    <w:rsid w:val="236F70E3"/>
    <w:rsid w:val="240C8AAC"/>
    <w:rsid w:val="244FEB0D"/>
    <w:rsid w:val="24690116"/>
    <w:rsid w:val="24AB3EEC"/>
    <w:rsid w:val="253F0C44"/>
    <w:rsid w:val="2567C7C7"/>
    <w:rsid w:val="25854FB5"/>
    <w:rsid w:val="25B5FFE2"/>
    <w:rsid w:val="25E390E7"/>
    <w:rsid w:val="26030194"/>
    <w:rsid w:val="261CCD83"/>
    <w:rsid w:val="2663ABCC"/>
    <w:rsid w:val="26A412D3"/>
    <w:rsid w:val="26C7B5E1"/>
    <w:rsid w:val="27222B91"/>
    <w:rsid w:val="276170FD"/>
    <w:rsid w:val="27706B52"/>
    <w:rsid w:val="278ECD5D"/>
    <w:rsid w:val="279BCD63"/>
    <w:rsid w:val="27D0A874"/>
    <w:rsid w:val="27ED6648"/>
    <w:rsid w:val="285AF00C"/>
    <w:rsid w:val="286D546A"/>
    <w:rsid w:val="28B1B613"/>
    <w:rsid w:val="291AC641"/>
    <w:rsid w:val="291F2779"/>
    <w:rsid w:val="2999CBD0"/>
    <w:rsid w:val="29B61F86"/>
    <w:rsid w:val="2A69CAD3"/>
    <w:rsid w:val="2AA06E26"/>
    <w:rsid w:val="2B51D35E"/>
    <w:rsid w:val="2BACC107"/>
    <w:rsid w:val="2CD8935B"/>
    <w:rsid w:val="2D641F28"/>
    <w:rsid w:val="2D7A4D27"/>
    <w:rsid w:val="2D9A1E0A"/>
    <w:rsid w:val="2E99782A"/>
    <w:rsid w:val="2EB40A3D"/>
    <w:rsid w:val="2EE045FC"/>
    <w:rsid w:val="2EE38002"/>
    <w:rsid w:val="2F4A2168"/>
    <w:rsid w:val="2F5009A9"/>
    <w:rsid w:val="2F61C036"/>
    <w:rsid w:val="2FAA8376"/>
    <w:rsid w:val="2FDC06F9"/>
    <w:rsid w:val="30123BDB"/>
    <w:rsid w:val="301A1D0A"/>
    <w:rsid w:val="30577F5E"/>
    <w:rsid w:val="30761EFB"/>
    <w:rsid w:val="30C0AEF4"/>
    <w:rsid w:val="30E0C465"/>
    <w:rsid w:val="30FB94D2"/>
    <w:rsid w:val="310BB077"/>
    <w:rsid w:val="312E5521"/>
    <w:rsid w:val="315563C0"/>
    <w:rsid w:val="317AE588"/>
    <w:rsid w:val="31F1E89B"/>
    <w:rsid w:val="322048D1"/>
    <w:rsid w:val="3269BC91"/>
    <w:rsid w:val="326AD77E"/>
    <w:rsid w:val="32B4BFA7"/>
    <w:rsid w:val="32D063CD"/>
    <w:rsid w:val="3447A5D4"/>
    <w:rsid w:val="344A9A14"/>
    <w:rsid w:val="352F713A"/>
    <w:rsid w:val="3596BFB6"/>
    <w:rsid w:val="35ABB22F"/>
    <w:rsid w:val="35EF4DF4"/>
    <w:rsid w:val="35F9933C"/>
    <w:rsid w:val="36152109"/>
    <w:rsid w:val="363D8D64"/>
    <w:rsid w:val="36657BE5"/>
    <w:rsid w:val="3686AD6B"/>
    <w:rsid w:val="36AF01E1"/>
    <w:rsid w:val="375C6F2A"/>
    <w:rsid w:val="37B3EB82"/>
    <w:rsid w:val="37BD9205"/>
    <w:rsid w:val="37DA67BF"/>
    <w:rsid w:val="37DEF6A0"/>
    <w:rsid w:val="38395DC2"/>
    <w:rsid w:val="384BFDD5"/>
    <w:rsid w:val="3867FE3E"/>
    <w:rsid w:val="39501B06"/>
    <w:rsid w:val="39B21C2D"/>
    <w:rsid w:val="3A1C830F"/>
    <w:rsid w:val="3B63A2E2"/>
    <w:rsid w:val="3C074331"/>
    <w:rsid w:val="3C25F59E"/>
    <w:rsid w:val="3C477899"/>
    <w:rsid w:val="3D02C841"/>
    <w:rsid w:val="3D59156D"/>
    <w:rsid w:val="3DC09E4F"/>
    <w:rsid w:val="3DEA078B"/>
    <w:rsid w:val="3DF1D1BC"/>
    <w:rsid w:val="3DF3DC5E"/>
    <w:rsid w:val="3E9030DF"/>
    <w:rsid w:val="3ED0D4C8"/>
    <w:rsid w:val="40457A66"/>
    <w:rsid w:val="40B031D4"/>
    <w:rsid w:val="417FDDDF"/>
    <w:rsid w:val="4187D16A"/>
    <w:rsid w:val="419D1E7A"/>
    <w:rsid w:val="41AEEA3D"/>
    <w:rsid w:val="42420B9F"/>
    <w:rsid w:val="42578A94"/>
    <w:rsid w:val="4283B5A8"/>
    <w:rsid w:val="43633EDB"/>
    <w:rsid w:val="43CD28C4"/>
    <w:rsid w:val="440C121B"/>
    <w:rsid w:val="4417FBCC"/>
    <w:rsid w:val="44C95A21"/>
    <w:rsid w:val="455C05C0"/>
    <w:rsid w:val="45A29FCA"/>
    <w:rsid w:val="4631D7A1"/>
    <w:rsid w:val="46826489"/>
    <w:rsid w:val="4730B3A4"/>
    <w:rsid w:val="47C277E1"/>
    <w:rsid w:val="47F4DBF5"/>
    <w:rsid w:val="485B33C4"/>
    <w:rsid w:val="48F11944"/>
    <w:rsid w:val="4940067C"/>
    <w:rsid w:val="49E831FC"/>
    <w:rsid w:val="49FF343D"/>
    <w:rsid w:val="4AF584AE"/>
    <w:rsid w:val="4B1C131F"/>
    <w:rsid w:val="4B63B91B"/>
    <w:rsid w:val="4BADF5ED"/>
    <w:rsid w:val="4C3ACAE4"/>
    <w:rsid w:val="4CDA576B"/>
    <w:rsid w:val="4D5CD595"/>
    <w:rsid w:val="4DF5B1CB"/>
    <w:rsid w:val="4DF8227E"/>
    <w:rsid w:val="4E3AA0CB"/>
    <w:rsid w:val="4E434E30"/>
    <w:rsid w:val="4E6926E3"/>
    <w:rsid w:val="4F033CE2"/>
    <w:rsid w:val="5024C127"/>
    <w:rsid w:val="503B9E73"/>
    <w:rsid w:val="509374A9"/>
    <w:rsid w:val="509480A6"/>
    <w:rsid w:val="50AFBBD1"/>
    <w:rsid w:val="50BF3F69"/>
    <w:rsid w:val="50C0C313"/>
    <w:rsid w:val="515642CF"/>
    <w:rsid w:val="51803038"/>
    <w:rsid w:val="51A88B62"/>
    <w:rsid w:val="521728A5"/>
    <w:rsid w:val="525E67F6"/>
    <w:rsid w:val="5292812A"/>
    <w:rsid w:val="529D9FE9"/>
    <w:rsid w:val="52BA547F"/>
    <w:rsid w:val="52BD6D28"/>
    <w:rsid w:val="531588C1"/>
    <w:rsid w:val="53682206"/>
    <w:rsid w:val="542D29CF"/>
    <w:rsid w:val="54321ED4"/>
    <w:rsid w:val="5439CCF1"/>
    <w:rsid w:val="544E0D87"/>
    <w:rsid w:val="54715019"/>
    <w:rsid w:val="5482DD4E"/>
    <w:rsid w:val="553BE662"/>
    <w:rsid w:val="55AAA27B"/>
    <w:rsid w:val="55C3241C"/>
    <w:rsid w:val="55D1F6DA"/>
    <w:rsid w:val="562E5E9A"/>
    <w:rsid w:val="5679048E"/>
    <w:rsid w:val="57289F9A"/>
    <w:rsid w:val="5777E3E2"/>
    <w:rsid w:val="57D4AD4C"/>
    <w:rsid w:val="58373B56"/>
    <w:rsid w:val="58DAFFE6"/>
    <w:rsid w:val="5A45600F"/>
    <w:rsid w:val="5A776111"/>
    <w:rsid w:val="5AE6BFC8"/>
    <w:rsid w:val="5B084912"/>
    <w:rsid w:val="5B3D350D"/>
    <w:rsid w:val="5B424169"/>
    <w:rsid w:val="5B95DF83"/>
    <w:rsid w:val="5C2EDEBD"/>
    <w:rsid w:val="5C854AFE"/>
    <w:rsid w:val="5C8D0CF8"/>
    <w:rsid w:val="5DEA87EB"/>
    <w:rsid w:val="5EC26D42"/>
    <w:rsid w:val="5EE81D07"/>
    <w:rsid w:val="5EEBD1F4"/>
    <w:rsid w:val="5EFB2259"/>
    <w:rsid w:val="5F04AAA9"/>
    <w:rsid w:val="5F5C8211"/>
    <w:rsid w:val="5F5F8888"/>
    <w:rsid w:val="5F6C568D"/>
    <w:rsid w:val="5FDD3941"/>
    <w:rsid w:val="5FF41838"/>
    <w:rsid w:val="608C6D25"/>
    <w:rsid w:val="6092E530"/>
    <w:rsid w:val="60957744"/>
    <w:rsid w:val="60C7C17D"/>
    <w:rsid w:val="60E40289"/>
    <w:rsid w:val="6181D533"/>
    <w:rsid w:val="62465D55"/>
    <w:rsid w:val="626BB969"/>
    <w:rsid w:val="62859CF3"/>
    <w:rsid w:val="62C041F5"/>
    <w:rsid w:val="62CF9887"/>
    <w:rsid w:val="63C1549D"/>
    <w:rsid w:val="6433FAEC"/>
    <w:rsid w:val="64BD01FB"/>
    <w:rsid w:val="6529440D"/>
    <w:rsid w:val="6541A6D0"/>
    <w:rsid w:val="65C44652"/>
    <w:rsid w:val="65CC0D5C"/>
    <w:rsid w:val="65FD72E5"/>
    <w:rsid w:val="6601AEE9"/>
    <w:rsid w:val="66399FB5"/>
    <w:rsid w:val="665D90DD"/>
    <w:rsid w:val="668BCA08"/>
    <w:rsid w:val="670ECD18"/>
    <w:rsid w:val="6794D248"/>
    <w:rsid w:val="6810A385"/>
    <w:rsid w:val="68B747E8"/>
    <w:rsid w:val="68C10896"/>
    <w:rsid w:val="68C50343"/>
    <w:rsid w:val="68CAAA45"/>
    <w:rsid w:val="68F063DC"/>
    <w:rsid w:val="69BDE6A5"/>
    <w:rsid w:val="69DF5A75"/>
    <w:rsid w:val="69E2E74F"/>
    <w:rsid w:val="6A0D26F7"/>
    <w:rsid w:val="6A54BA56"/>
    <w:rsid w:val="6A62A201"/>
    <w:rsid w:val="6A8AB359"/>
    <w:rsid w:val="6A90A089"/>
    <w:rsid w:val="6A9DECAB"/>
    <w:rsid w:val="6AC6DDDC"/>
    <w:rsid w:val="6AE4E6AF"/>
    <w:rsid w:val="6B397546"/>
    <w:rsid w:val="6B8291A9"/>
    <w:rsid w:val="6BA9F927"/>
    <w:rsid w:val="6C25A983"/>
    <w:rsid w:val="6C7C4CFA"/>
    <w:rsid w:val="6C8E344D"/>
    <w:rsid w:val="6CE7C472"/>
    <w:rsid w:val="6CFB5F74"/>
    <w:rsid w:val="6DF00F11"/>
    <w:rsid w:val="6E6A657E"/>
    <w:rsid w:val="6ECDA9AE"/>
    <w:rsid w:val="6ED1EBCE"/>
    <w:rsid w:val="6ED71592"/>
    <w:rsid w:val="6ED7ACEE"/>
    <w:rsid w:val="6F2D7C09"/>
    <w:rsid w:val="6F3A0A5C"/>
    <w:rsid w:val="6FA291A0"/>
    <w:rsid w:val="702ABDF9"/>
    <w:rsid w:val="7055B989"/>
    <w:rsid w:val="7055F52F"/>
    <w:rsid w:val="70ECC99A"/>
    <w:rsid w:val="7144A150"/>
    <w:rsid w:val="717880BD"/>
    <w:rsid w:val="71E4D87F"/>
    <w:rsid w:val="722E6C55"/>
    <w:rsid w:val="723C701B"/>
    <w:rsid w:val="725ABFAD"/>
    <w:rsid w:val="727C1F06"/>
    <w:rsid w:val="73D132C3"/>
    <w:rsid w:val="74016C38"/>
    <w:rsid w:val="745EC235"/>
    <w:rsid w:val="7466B339"/>
    <w:rsid w:val="74748025"/>
    <w:rsid w:val="748CE837"/>
    <w:rsid w:val="749BF49A"/>
    <w:rsid w:val="74E662BE"/>
    <w:rsid w:val="7528E075"/>
    <w:rsid w:val="762C2C9F"/>
    <w:rsid w:val="762C9E26"/>
    <w:rsid w:val="76CE804D"/>
    <w:rsid w:val="76DDE279"/>
    <w:rsid w:val="772AAA27"/>
    <w:rsid w:val="778929FC"/>
    <w:rsid w:val="77E6BC78"/>
    <w:rsid w:val="781BF185"/>
    <w:rsid w:val="78259818"/>
    <w:rsid w:val="782C9C91"/>
    <w:rsid w:val="7903ED2C"/>
    <w:rsid w:val="790D3A87"/>
    <w:rsid w:val="7958150B"/>
    <w:rsid w:val="799784DF"/>
    <w:rsid w:val="79CF7EF1"/>
    <w:rsid w:val="7A927B93"/>
    <w:rsid w:val="7AB503D3"/>
    <w:rsid w:val="7AD8E6E1"/>
    <w:rsid w:val="7B9A657F"/>
    <w:rsid w:val="7BF24515"/>
    <w:rsid w:val="7D02707B"/>
    <w:rsid w:val="7D122439"/>
    <w:rsid w:val="7D35BBAE"/>
    <w:rsid w:val="7D46FE47"/>
    <w:rsid w:val="7D5E33F6"/>
    <w:rsid w:val="7D965297"/>
    <w:rsid w:val="7DA75053"/>
    <w:rsid w:val="7DC6B421"/>
    <w:rsid w:val="7E669111"/>
    <w:rsid w:val="7EFF53E7"/>
    <w:rsid w:val="7F25A20A"/>
    <w:rsid w:val="7F274366"/>
    <w:rsid w:val="7F2E786D"/>
    <w:rsid w:val="7F94BAB4"/>
    <w:rsid w:val="7FD2C522"/>
    <w:rsid w:val="7FE9B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4927D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fr-BE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/>
      <w:ind w:left="482" w:hanging="482"/>
      <w:outlineLvl w:val="0"/>
    </w:pPr>
    <w:rPr>
      <w:b/>
      <w:smallCaps/>
    </w:rPr>
  </w:style>
  <w:style w:type="paragraph" w:styleId="Heading2">
    <w:name w:val="heading 2"/>
    <w:basedOn w:val="Normal"/>
    <w:next w:val="Normal"/>
    <w:pPr>
      <w:keepNext/>
      <w:ind w:left="1202" w:hanging="7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ind w:left="2211" w:hanging="1009"/>
      <w:outlineLvl w:val="2"/>
    </w:pPr>
    <w:rPr>
      <w:i/>
    </w:rPr>
  </w:style>
  <w:style w:type="paragraph" w:styleId="Heading4">
    <w:name w:val="heading 4"/>
    <w:basedOn w:val="Normal"/>
    <w:next w:val="Normal"/>
    <w:pPr>
      <w:keepNext/>
      <w:ind w:left="2211" w:hanging="1009"/>
      <w:outlineLvl w:val="3"/>
    </w:pPr>
  </w:style>
  <w:style w:type="paragraph" w:styleId="Heading5">
    <w:name w:val="heading 5"/>
    <w:basedOn w:val="Normal"/>
    <w:next w:val="Normal"/>
    <w:pPr>
      <w:keepNext/>
      <w:ind w:left="3838" w:hanging="958"/>
      <w:outlineLvl w:val="4"/>
    </w:pPr>
  </w:style>
  <w:style w:type="paragraph" w:styleId="Heading6">
    <w:name w:val="heading 6"/>
    <w:basedOn w:val="Normal"/>
    <w:next w:val="Normal"/>
    <w:pPr>
      <w:keepNext/>
      <w:ind w:left="3838" w:hanging="958"/>
      <w:outlineLvl w:val="5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480"/>
      <w:jc w:val="center"/>
    </w:pPr>
    <w:rPr>
      <w:b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5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5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57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5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0A69"/>
    <w:pPr>
      <w:spacing w:after="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06C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6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06CA"/>
    <w:rPr>
      <w:vertAlign w:val="superscript"/>
    </w:rPr>
  </w:style>
  <w:style w:type="paragraph" w:customStyle="1" w:styleId="Text2">
    <w:name w:val="Text 2"/>
    <w:basedOn w:val="Normal"/>
    <w:uiPriority w:val="1"/>
    <w:qFormat/>
    <w:rsid w:val="00F60D0A"/>
    <w:pPr>
      <w:ind w:left="1202"/>
    </w:pPr>
    <w:rPr>
      <w:szCs w:val="20"/>
      <w:lang w:eastAsia="en-IE"/>
    </w:rPr>
  </w:style>
  <w:style w:type="character" w:styleId="Hyperlink">
    <w:name w:val="Hyperlink"/>
    <w:basedOn w:val="DefaultParagraphFont"/>
    <w:uiPriority w:val="99"/>
    <w:unhideWhenUsed/>
    <w:rsid w:val="007F725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25E"/>
    <w:rPr>
      <w:color w:val="605E5C"/>
      <w:shd w:val="clear" w:color="auto" w:fill="E1DFDD"/>
    </w:rPr>
  </w:style>
  <w:style w:type="paragraph" w:customStyle="1" w:styleId="LegalNumPar">
    <w:name w:val="LegalNumPar"/>
    <w:basedOn w:val="Normal"/>
    <w:rsid w:val="006B2ED4"/>
    <w:pPr>
      <w:numPr>
        <w:numId w:val="7"/>
      </w:numPr>
      <w:spacing w:line="360" w:lineRule="auto"/>
    </w:pPr>
  </w:style>
  <w:style w:type="paragraph" w:customStyle="1" w:styleId="LegalNumPar2">
    <w:name w:val="LegalNumPar2"/>
    <w:basedOn w:val="Normal"/>
    <w:rsid w:val="006B2ED4"/>
    <w:pPr>
      <w:numPr>
        <w:ilvl w:val="1"/>
        <w:numId w:val="7"/>
      </w:numPr>
      <w:spacing w:line="360" w:lineRule="auto"/>
    </w:pPr>
  </w:style>
  <w:style w:type="paragraph" w:customStyle="1" w:styleId="LegalNumPar3">
    <w:name w:val="LegalNumPar3"/>
    <w:basedOn w:val="Normal"/>
    <w:rsid w:val="006B2ED4"/>
    <w:pPr>
      <w:numPr>
        <w:ilvl w:val="2"/>
        <w:numId w:val="7"/>
      </w:numPr>
      <w:spacing w:line="360" w:lineRule="auto"/>
    </w:pPr>
  </w:style>
  <w:style w:type="character" w:customStyle="1" w:styleId="Marker">
    <w:name w:val="Marker"/>
    <w:basedOn w:val="DefaultParagraphFont"/>
    <w:rsid w:val="005C7E87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5C7E8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7E87"/>
  </w:style>
  <w:style w:type="paragraph" w:styleId="Footer">
    <w:name w:val="footer"/>
    <w:basedOn w:val="Normal"/>
    <w:link w:val="FooterChar"/>
    <w:uiPriority w:val="99"/>
    <w:unhideWhenUsed/>
    <w:rsid w:val="005C7E8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7E87"/>
  </w:style>
  <w:style w:type="paragraph" w:customStyle="1" w:styleId="Pagedecouverture">
    <w:name w:val="Page de couverture"/>
    <w:basedOn w:val="Normal"/>
    <w:next w:val="Normal"/>
    <w:link w:val="PagedecouvertureChar"/>
    <w:rsid w:val="005C7E87"/>
    <w:pPr>
      <w:spacing w:after="0"/>
    </w:pPr>
    <w:rPr>
      <w:rFonts w:eastAsiaTheme="minorHAnsi"/>
      <w:szCs w:val="22"/>
      <w:lang w:eastAsia="en-US"/>
    </w:rPr>
  </w:style>
  <w:style w:type="paragraph" w:customStyle="1" w:styleId="FooterCoverPage">
    <w:name w:val="Footer Cover Page"/>
    <w:basedOn w:val="Normal"/>
    <w:link w:val="FooterCoverPageChar"/>
    <w:rsid w:val="005C7E87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agedecouvertureChar">
    <w:name w:val="Page de couverture Char"/>
    <w:basedOn w:val="DefaultParagraphFont"/>
    <w:link w:val="Pagedecouverture"/>
    <w:rsid w:val="005C7E87"/>
    <w:rPr>
      <w:rFonts w:eastAsiaTheme="minorHAnsi"/>
      <w:szCs w:val="22"/>
      <w:lang w:eastAsia="en-US"/>
    </w:rPr>
  </w:style>
  <w:style w:type="character" w:customStyle="1" w:styleId="FooterCoverPageChar">
    <w:name w:val="Footer Cover Page Char"/>
    <w:basedOn w:val="PagedecouvertureChar"/>
    <w:link w:val="FooterCoverPage"/>
    <w:rsid w:val="005C7E87"/>
    <w:rPr>
      <w:rFonts w:eastAsiaTheme="minorHAnsi"/>
      <w:szCs w:val="22"/>
      <w:lang w:eastAsia="en-US"/>
    </w:rPr>
  </w:style>
  <w:style w:type="paragraph" w:customStyle="1" w:styleId="FooterSensitivity">
    <w:name w:val="Footer Sensitivity"/>
    <w:basedOn w:val="Normal"/>
    <w:link w:val="FooterSensitivityChar"/>
    <w:rsid w:val="005C7E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PagedecouvertureChar"/>
    <w:link w:val="FooterSensitivity"/>
    <w:rsid w:val="005C7E87"/>
    <w:rPr>
      <w:rFonts w:eastAsiaTheme="minorHAnsi"/>
      <w:b/>
      <w:sz w:val="32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rsid w:val="005C7E87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PagedecouvertureChar"/>
    <w:link w:val="HeaderCoverPage"/>
    <w:rsid w:val="005C7E87"/>
    <w:rPr>
      <w:rFonts w:eastAsiaTheme="minorHAnsi"/>
      <w:szCs w:val="22"/>
      <w:lang w:eastAsia="en-US"/>
    </w:rPr>
  </w:style>
  <w:style w:type="paragraph" w:customStyle="1" w:styleId="HeaderSensitivity">
    <w:name w:val="Header Sensitivity"/>
    <w:basedOn w:val="Normal"/>
    <w:link w:val="HeaderSensitivityChar"/>
    <w:rsid w:val="005C7E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PagedecouvertureChar"/>
    <w:link w:val="HeaderSensitivity"/>
    <w:rsid w:val="005C7E87"/>
    <w:rPr>
      <w:rFonts w:eastAsiaTheme="minorHAnsi"/>
      <w:b/>
      <w:sz w:val="32"/>
      <w:szCs w:val="22"/>
      <w:lang w:eastAsia="en-US"/>
    </w:rPr>
  </w:style>
  <w:style w:type="paragraph" w:customStyle="1" w:styleId="HeaderSensitivityRight">
    <w:name w:val="Header Sensitivity Right"/>
    <w:basedOn w:val="Normal"/>
    <w:link w:val="HeaderSensitivityRightChar"/>
    <w:rsid w:val="005C7E87"/>
    <w:pPr>
      <w:spacing w:after="120"/>
      <w:jc w:val="right"/>
    </w:pPr>
    <w:rPr>
      <w:sz w:val="28"/>
    </w:rPr>
  </w:style>
  <w:style w:type="character" w:customStyle="1" w:styleId="HeaderSensitivityRightChar">
    <w:name w:val="Header Sensitivity Right Char"/>
    <w:basedOn w:val="PagedecouvertureChar"/>
    <w:link w:val="HeaderSensitivityRight"/>
    <w:rsid w:val="005C7E87"/>
    <w:rPr>
      <w:rFonts w:eastAsiaTheme="minorHAnsi"/>
      <w:sz w:val="28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C7E87"/>
    <w:pPr>
      <w:keepLines/>
      <w:spacing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smallCaps w:val="0"/>
      <w:color w:val="365F91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E7C4F"/>
    <w:pPr>
      <w:tabs>
        <w:tab w:val="right" w:leader="dot" w:pos="9062"/>
      </w:tabs>
      <w:spacing w:after="100"/>
      <w:ind w:left="240" w:hanging="240"/>
    </w:pPr>
  </w:style>
  <w:style w:type="paragraph" w:styleId="TOC2">
    <w:name w:val="toc 2"/>
    <w:basedOn w:val="Normal"/>
    <w:next w:val="Normal"/>
    <w:autoRedefine/>
    <w:uiPriority w:val="39"/>
    <w:unhideWhenUsed/>
    <w:rsid w:val="005C7E87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DA3497"/>
    <w:pPr>
      <w:ind w:left="720"/>
      <w:contextualSpacing/>
    </w:pPr>
  </w:style>
  <w:style w:type="character" w:customStyle="1" w:styleId="normaltextrun">
    <w:name w:val="normaltextrun"/>
    <w:basedOn w:val="DefaultParagraphFont"/>
    <w:rsid w:val="00431223"/>
  </w:style>
  <w:style w:type="character" w:styleId="FollowedHyperlink">
    <w:name w:val="FollowedHyperlink"/>
    <w:basedOn w:val="DefaultParagraphFont"/>
    <w:uiPriority w:val="99"/>
    <w:semiHidden/>
    <w:unhideWhenUsed/>
    <w:rsid w:val="003E7D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agriculture.ec.europa.eu/common-agricultural-policy/cap-overview/main-initiatives-strategic-dialogue-future-eu-agriculture_pl" TargetMode="External"/><Relationship Id="rId13" Type="http://schemas.openxmlformats.org/officeDocument/2006/relationships/hyperlink" Target="https://agridata.ec.europa.eu/Qlik_Downloads/Jobs-Growth-sources.htm" TargetMode="External"/><Relationship Id="rId18" Type="http://schemas.openxmlformats.org/officeDocument/2006/relationships/hyperlink" Target="https://commission.europa.eu/topics/eu-competitiveness/draghi-report_pl" TargetMode="External"/><Relationship Id="rId26" Type="http://schemas.openxmlformats.org/officeDocument/2006/relationships/hyperlink" Target="https://ruralpact.rural-vision.europa.eu/index_en" TargetMode="External"/><Relationship Id="rId3" Type="http://schemas.openxmlformats.org/officeDocument/2006/relationships/hyperlink" Target="https://agriculture.ec.europa.eu/document/download/b2e5ee02-4a25-4a6b-9663-92dbee9eb211_en?filename=monitoring-agri-food-trade_dec2023_en.pdf" TargetMode="External"/><Relationship Id="rId21" Type="http://schemas.openxmlformats.org/officeDocument/2006/relationships/hyperlink" Target="https://agriculture.ec.europa.eu/document/download/96cc3458-64d8-4ad0-adb3-40ab63358685_en?filename=protein-supply-demand_en.pdf" TargetMode="External"/><Relationship Id="rId7" Type="http://schemas.openxmlformats.org/officeDocument/2006/relationships/hyperlink" Target="https://agridata.ec.europa.eu/extensions/FarmEconomicsOverviewReport/FarmEconomicsOverviewReport.html" TargetMode="External"/><Relationship Id="rId12" Type="http://schemas.openxmlformats.org/officeDocument/2006/relationships/hyperlink" Target="https://publications.jrc.ec.europa.eu/repository/handle/JRC122308" TargetMode="External"/><Relationship Id="rId17" Type="http://schemas.openxmlformats.org/officeDocument/2006/relationships/hyperlink" Target="https://agriculture.ec.europa.eu/document/download/b2e5ee02-4a25-4a6b-9663-92dbee9eb211_en?filename=monitoring-agri-food-trade_dec2023_en.pdf" TargetMode="External"/><Relationship Id="rId25" Type="http://schemas.openxmlformats.org/officeDocument/2006/relationships/hyperlink" Target="https://www.teagasc.ie/publications/2024/sowing-seeds-of-support-positive-mental-health-guidance-for-the-farming-community.php" TargetMode="External"/><Relationship Id="rId2" Type="http://schemas.openxmlformats.org/officeDocument/2006/relationships/hyperlink" Target="https://ec.europa.eu/eurostat/documents/15216629/18054337/KS-FK-23-001-EN-N.pdf/048e130f-79fa-e870-6c46-d80c9408620b?version=7.0&amp;t=1707290893751" TargetMode="External"/><Relationship Id="rId16" Type="http://schemas.openxmlformats.org/officeDocument/2006/relationships/hyperlink" Target="https://agriculture.ec.europa.eu/document/download/b2e5ee02-4a25-4a6b-9663-92dbee9eb211_en?filename=monitoring-agri-food-trade_dec2023_en.pdf" TargetMode="External"/><Relationship Id="rId20" Type="http://schemas.openxmlformats.org/officeDocument/2006/relationships/hyperlink" Target="https://futuros.gob.es/sites/default/files/2023-09/RESILIENTEU2030.pdf" TargetMode="External"/><Relationship Id="rId29" Type="http://schemas.openxmlformats.org/officeDocument/2006/relationships/hyperlink" Target="https://publications.jrc.ec.europa.eu/repository/handle/JRC134571" TargetMode="External"/><Relationship Id="rId1" Type="http://schemas.openxmlformats.org/officeDocument/2006/relationships/hyperlink" Target="https://europa.eu/eurobarometer/surveys/detail/3226" TargetMode="External"/><Relationship Id="rId6" Type="http://schemas.openxmlformats.org/officeDocument/2006/relationships/hyperlink" Target="https://ec.europa.eu/eurostat/statistics-explained/index.php?title=Farmers_and_the_agricultural_labour_force_-_statistics" TargetMode="External"/><Relationship Id="rId11" Type="http://schemas.openxmlformats.org/officeDocument/2006/relationships/hyperlink" Target="https://agriculture.ec.europa.eu/common-agricultural-policy/cap-overview/committees-and-expert-groups/ebaf_pl" TargetMode="External"/><Relationship Id="rId24" Type="http://schemas.openxmlformats.org/officeDocument/2006/relationships/hyperlink" Target="https://www.teagasc.ie/publications/2024/sowing-seeds-of-support-positive-mental-health-guidance-for-the-farming-community.php" TargetMode="External"/><Relationship Id="rId5" Type="http://schemas.openxmlformats.org/officeDocument/2006/relationships/hyperlink" Target="https://ec.europa.eu/eurostat/statistics-explained/index.php?title=Urban-rural_Europe_-_introduction" TargetMode="External"/><Relationship Id="rId15" Type="http://schemas.openxmlformats.org/officeDocument/2006/relationships/hyperlink" Target="https://agridata.ec.europa.eu/Qlik_Downloads/Jobs-Growth-sources.htm" TargetMode="External"/><Relationship Id="rId23" Type="http://schemas.openxmlformats.org/officeDocument/2006/relationships/hyperlink" Target="https://agriculture.ec.europa.eu/document/download/f9ee9420-2b95-4788-8dc2-faa3cfb8171a_en?filename=policy-recommendations-wine-sector-hlg_en.pdf" TargetMode="External"/><Relationship Id="rId28" Type="http://schemas.openxmlformats.org/officeDocument/2006/relationships/hyperlink" Target="https://eur-lex.europa.eu/legal-content/PL/TXT/?uri=CELEX%3A52021DC0345" TargetMode="External"/><Relationship Id="rId10" Type="http://schemas.openxmlformats.org/officeDocument/2006/relationships/hyperlink" Target="https://commission.europa.eu/topics/eu-competitiveness/draghi-report_pl" TargetMode="External"/><Relationship Id="rId19" Type="http://schemas.openxmlformats.org/officeDocument/2006/relationships/hyperlink" Target="https://futuros.gob.es/sites/default/files/2023-09/RESILIENTEU2030.pdf" TargetMode="External"/><Relationship Id="rId4" Type="http://schemas.openxmlformats.org/officeDocument/2006/relationships/hyperlink" Target="https://agriculture.ec.europa.eu/document/download/b2e5ee02-4a25-4a6b-9663-92dbee9eb211_en?filename=monitoring-agri-food-trade_dec2023_en.pdf" TargetMode="External"/><Relationship Id="rId9" Type="http://schemas.openxmlformats.org/officeDocument/2006/relationships/hyperlink" Target="https://agriculture.ec.europa.eu/common-agricultural-policy/cap-overview/main-initiatives-strategic-dialogue-future-eu-agriculture_pl" TargetMode="External"/><Relationship Id="rId14" Type="http://schemas.openxmlformats.org/officeDocument/2006/relationships/hyperlink" Target="https://agridata.ec.europa.eu/Qlik_Downloads/Jobs-Growth-sources.htm" TargetMode="External"/><Relationship Id="rId22" Type="http://schemas.openxmlformats.org/officeDocument/2006/relationships/hyperlink" Target="https://agriculture.ec.europa.eu/data-and-analysis/markets/overviews/market-observatories/fertilisers_pl" TargetMode="External"/><Relationship Id="rId27" Type="http://schemas.openxmlformats.org/officeDocument/2006/relationships/hyperlink" Target="https://ruralpact.rural-vision.europa.eu/index_en" TargetMode="External"/><Relationship Id="rId30" Type="http://schemas.openxmlformats.org/officeDocument/2006/relationships/hyperlink" Target="https://publications.jrc.ec.europa.eu/repository/handle/JRC134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80326-b6af-41fd-a3d3-55d71fbbb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D7730BFF16C740A8CB169650446D2C" ma:contentTypeVersion="12" ma:contentTypeDescription="Create a new document." ma:contentTypeScope="" ma:versionID="40a584786a4ae957d3e6e9c35682a211">
  <xsd:schema xmlns:xsd="http://www.w3.org/2001/XMLSchema" xmlns:xs="http://www.w3.org/2001/XMLSchema" xmlns:p="http://schemas.microsoft.com/office/2006/metadata/properties" xmlns:ns1="http://schemas.microsoft.com/sharepoint/v3" xmlns:ns2="3b780326-b6af-41fd-a3d3-55d71fbbb340" targetNamespace="http://schemas.microsoft.com/office/2006/metadata/properties" ma:root="true" ma:fieldsID="4ef1d79bd7f148d7f4a30d3ddc7bc780" ns1:_="" ns2:_="">
    <xsd:import namespace="http://schemas.microsoft.com/sharepoint/v3"/>
    <xsd:import namespace="3b780326-b6af-41fd-a3d3-55d71fbbb340"/>
    <xsd:element name="properties">
      <xsd:complexType>
        <xsd:sequence>
          <xsd:element name="documentManagement">
            <xsd:complexType>
              <xsd:all>
                <xsd:element ref="ns1:_vti_ItemDeclaredRecord" minOccurs="0"/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8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80326-b6af-41fd-a3d3-55d71fbbb34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A6849-C451-4249-894C-8E35E5946A05}">
  <ds:schemaRefs>
    <ds:schemaRef ds:uri="http://www.w3.org/XML/1998/namespace"/>
    <ds:schemaRef ds:uri="http://purl.org/dc/terms/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b780326-b6af-41fd-a3d3-55d71fbbb3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410EAE-1CF9-4596-8950-1E38C63A3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044C2F-8DC2-4AD5-8BE9-9BC7C72AD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b780326-b6af-41fd-a3d3-55d71fbbb3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C0768-AADD-4142-95DE-4E0182E1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13712</Words>
  <Characters>78163</Characters>
  <Application>Microsoft Office Word</Application>
  <DocSecurity>0</DocSecurity>
  <Lines>651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91692</CharactersWithSpaces>
  <SharedDoc>false</SharedDoc>
  <HLinks>
    <vt:vector size="186" baseType="variant"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_Toc190097963</vt:lpwstr>
      </vt:variant>
      <vt:variant>
        <vt:i4>2031665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_Toc190097962</vt:lpwstr>
      </vt:variant>
      <vt:variant>
        <vt:i4>2031665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_Toc190097961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_Toc190097960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_Toc190097959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_Toc190097958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_Toc190097957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_Toc190097956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_Toc190097955</vt:lpwstr>
      </vt:variant>
      <vt:variant>
        <vt:i4>71</vt:i4>
      </vt:variant>
      <vt:variant>
        <vt:i4>63</vt:i4>
      </vt:variant>
      <vt:variant>
        <vt:i4>0</vt:i4>
      </vt:variant>
      <vt:variant>
        <vt:i4>5</vt:i4>
      </vt:variant>
      <vt:variant>
        <vt:lpwstr>https://publications.jrc.ec.europa.eu/repository/handle/JRC134571</vt:lpwstr>
      </vt:variant>
      <vt:variant>
        <vt:lpwstr/>
      </vt:variant>
      <vt:variant>
        <vt:i4>7995429</vt:i4>
      </vt:variant>
      <vt:variant>
        <vt:i4>60</vt:i4>
      </vt:variant>
      <vt:variant>
        <vt:i4>0</vt:i4>
      </vt:variant>
      <vt:variant>
        <vt:i4>5</vt:i4>
      </vt:variant>
      <vt:variant>
        <vt:lpwstr>https://eur-lex.europa.eu/legal-content/EN/TXT/?uri=CELEX%3A52021DC0345</vt:lpwstr>
      </vt:variant>
      <vt:variant>
        <vt:lpwstr/>
      </vt:variant>
      <vt:variant>
        <vt:i4>4391028</vt:i4>
      </vt:variant>
      <vt:variant>
        <vt:i4>57</vt:i4>
      </vt:variant>
      <vt:variant>
        <vt:i4>0</vt:i4>
      </vt:variant>
      <vt:variant>
        <vt:i4>5</vt:i4>
      </vt:variant>
      <vt:variant>
        <vt:lpwstr>https://ruralpact.rural-vision.europa.eu/index_en</vt:lpwstr>
      </vt:variant>
      <vt:variant>
        <vt:lpwstr/>
      </vt:variant>
      <vt:variant>
        <vt:i4>3670078</vt:i4>
      </vt:variant>
      <vt:variant>
        <vt:i4>54</vt:i4>
      </vt:variant>
      <vt:variant>
        <vt:i4>0</vt:i4>
      </vt:variant>
      <vt:variant>
        <vt:i4>5</vt:i4>
      </vt:variant>
      <vt:variant>
        <vt:lpwstr>https://www.teagasc.ie/publications/2024/sowing-seeds-of-support-positive-mental-health-guidance-for-the-farming-community.php</vt:lpwstr>
      </vt:variant>
      <vt:variant>
        <vt:lpwstr>:~:text=This%20leaflet%20aims%20to%20raise,seeking%20professional%20help%20when%20needed.</vt:lpwstr>
      </vt:variant>
      <vt:variant>
        <vt:i4>2556000</vt:i4>
      </vt:variant>
      <vt:variant>
        <vt:i4>51</vt:i4>
      </vt:variant>
      <vt:variant>
        <vt:i4>0</vt:i4>
      </vt:variant>
      <vt:variant>
        <vt:i4>5</vt:i4>
      </vt:variant>
      <vt:variant>
        <vt:lpwstr>https://agriculture.ec.europa.eu/document/download/f9ee9420-2b95-4788-8dc2-faa3cfb8171a_en?filename=policy-recommendations-wine-sector-hlg_en.pdf</vt:lpwstr>
      </vt:variant>
      <vt:variant>
        <vt:lpwstr/>
      </vt:variant>
      <vt:variant>
        <vt:i4>6881380</vt:i4>
      </vt:variant>
      <vt:variant>
        <vt:i4>48</vt:i4>
      </vt:variant>
      <vt:variant>
        <vt:i4>0</vt:i4>
      </vt:variant>
      <vt:variant>
        <vt:i4>5</vt:i4>
      </vt:variant>
      <vt:variant>
        <vt:lpwstr>C:\Users\badalvi\AppData\Local\Microsoft\Windows\INetCache\Content.Outlook\N70489BU\Fertiliser trade</vt:lpwstr>
      </vt:variant>
      <vt:variant>
        <vt:lpwstr/>
      </vt:variant>
      <vt:variant>
        <vt:i4>4194377</vt:i4>
      </vt:variant>
      <vt:variant>
        <vt:i4>45</vt:i4>
      </vt:variant>
      <vt:variant>
        <vt:i4>0</vt:i4>
      </vt:variant>
      <vt:variant>
        <vt:i4>5</vt:i4>
      </vt:variant>
      <vt:variant>
        <vt:lpwstr>https://agriculture.ec.europa.eu/document/download/96cc3458-64d8-4ad0-adb3-40ab63358685_en?filename=protein-supply-demand_en.pdf</vt:lpwstr>
      </vt:variant>
      <vt:variant>
        <vt:lpwstr/>
      </vt:variant>
      <vt:variant>
        <vt:i4>6750306</vt:i4>
      </vt:variant>
      <vt:variant>
        <vt:i4>42</vt:i4>
      </vt:variant>
      <vt:variant>
        <vt:i4>0</vt:i4>
      </vt:variant>
      <vt:variant>
        <vt:i4>5</vt:i4>
      </vt:variant>
      <vt:variant>
        <vt:lpwstr>https://futuros.gob.es/sites/default/files/2023-09/RESILIENTEU2030.pdf</vt:lpwstr>
      </vt:variant>
      <vt:variant>
        <vt:lpwstr/>
      </vt:variant>
      <vt:variant>
        <vt:i4>2424849</vt:i4>
      </vt:variant>
      <vt:variant>
        <vt:i4>39</vt:i4>
      </vt:variant>
      <vt:variant>
        <vt:i4>0</vt:i4>
      </vt:variant>
      <vt:variant>
        <vt:i4>5</vt:i4>
      </vt:variant>
      <vt:variant>
        <vt:lpwstr>https://commission.europa.eu/topics/eu-competitiveness/draghi-report_en</vt:lpwstr>
      </vt:variant>
      <vt:variant>
        <vt:lpwstr/>
      </vt:variant>
      <vt:variant>
        <vt:i4>6488150</vt:i4>
      </vt:variant>
      <vt:variant>
        <vt:i4>36</vt:i4>
      </vt:variant>
      <vt:variant>
        <vt:i4>0</vt:i4>
      </vt:variant>
      <vt:variant>
        <vt:i4>5</vt:i4>
      </vt:variant>
      <vt:variant>
        <vt:lpwstr>https://agriculture.ec.europa.eu/document/download/b2e5ee02-4a25-4a6b-9663-92dbee9eb211_en?filename=monitoring-agri-food-trade_dec2023_en.pdf</vt:lpwstr>
      </vt:variant>
      <vt:variant>
        <vt:lpwstr/>
      </vt:variant>
      <vt:variant>
        <vt:i4>5505087</vt:i4>
      </vt:variant>
      <vt:variant>
        <vt:i4>33</vt:i4>
      </vt:variant>
      <vt:variant>
        <vt:i4>0</vt:i4>
      </vt:variant>
      <vt:variant>
        <vt:i4>5</vt:i4>
      </vt:variant>
      <vt:variant>
        <vt:lpwstr>https://agridata.ec.europa.eu/Qlik_Downloads/Jobs-Growth-sources.htm</vt:lpwstr>
      </vt:variant>
      <vt:variant>
        <vt:lpwstr/>
      </vt:variant>
      <vt:variant>
        <vt:i4>65600</vt:i4>
      </vt:variant>
      <vt:variant>
        <vt:i4>30</vt:i4>
      </vt:variant>
      <vt:variant>
        <vt:i4>0</vt:i4>
      </vt:variant>
      <vt:variant>
        <vt:i4>5</vt:i4>
      </vt:variant>
      <vt:variant>
        <vt:lpwstr>https://publications.jrc.ec.europa.eu/repository/handle/JRC122308</vt:lpwstr>
      </vt:variant>
      <vt:variant>
        <vt:lpwstr/>
      </vt:variant>
      <vt:variant>
        <vt:i4>65573</vt:i4>
      </vt:variant>
      <vt:variant>
        <vt:i4>27</vt:i4>
      </vt:variant>
      <vt:variant>
        <vt:i4>0</vt:i4>
      </vt:variant>
      <vt:variant>
        <vt:i4>5</vt:i4>
      </vt:variant>
      <vt:variant>
        <vt:lpwstr>https://agriculture.ec.europa.eu/common-agricultural-policy/cap-overview/committees-and-expert-groups/ebaf_en</vt:lpwstr>
      </vt:variant>
      <vt:variant>
        <vt:lpwstr/>
      </vt:variant>
      <vt:variant>
        <vt:i4>2424849</vt:i4>
      </vt:variant>
      <vt:variant>
        <vt:i4>24</vt:i4>
      </vt:variant>
      <vt:variant>
        <vt:i4>0</vt:i4>
      </vt:variant>
      <vt:variant>
        <vt:i4>5</vt:i4>
      </vt:variant>
      <vt:variant>
        <vt:lpwstr>https://commission.europa.eu/topics/eu-competitiveness/draghi-report_en</vt:lpwstr>
      </vt:variant>
      <vt:variant>
        <vt:lpwstr/>
      </vt:variant>
      <vt:variant>
        <vt:i4>5701758</vt:i4>
      </vt:variant>
      <vt:variant>
        <vt:i4>21</vt:i4>
      </vt:variant>
      <vt:variant>
        <vt:i4>0</vt:i4>
      </vt:variant>
      <vt:variant>
        <vt:i4>5</vt:i4>
      </vt:variant>
      <vt:variant>
        <vt:lpwstr>https://agriculture.ec.europa.eu/common-agricultural-policy/cap-overview/main-initiatives-strategic-dialogue-future-eu-agriculture_en</vt:lpwstr>
      </vt:variant>
      <vt:variant>
        <vt:lpwstr/>
      </vt:variant>
      <vt:variant>
        <vt:i4>1179664</vt:i4>
      </vt:variant>
      <vt:variant>
        <vt:i4>18</vt:i4>
      </vt:variant>
      <vt:variant>
        <vt:i4>0</vt:i4>
      </vt:variant>
      <vt:variant>
        <vt:i4>5</vt:i4>
      </vt:variant>
      <vt:variant>
        <vt:lpwstr>https://agridata.ec.europa.eu/extensions/FarmEconomicsOverviewReport/FarmEconomicsOverviewReport.html</vt:lpwstr>
      </vt:variant>
      <vt:variant>
        <vt:lpwstr/>
      </vt:variant>
      <vt:variant>
        <vt:i4>7208984</vt:i4>
      </vt:variant>
      <vt:variant>
        <vt:i4>15</vt:i4>
      </vt:variant>
      <vt:variant>
        <vt:i4>0</vt:i4>
      </vt:variant>
      <vt:variant>
        <vt:i4>5</vt:i4>
      </vt:variant>
      <vt:variant>
        <vt:lpwstr>https://ec.europa.eu/eurostat/statistics-explained/index.php?title=Farmers_and_the_agricultural_labour_force_-_statistics</vt:lpwstr>
      </vt:variant>
      <vt:variant>
        <vt:lpwstr/>
      </vt:variant>
      <vt:variant>
        <vt:i4>852007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https://ec.europa.eu/eurostat/statistics-explained/index.php?title=Urban-rural_Europe_-_introduction</vt:lpwstr>
      </vt:variant>
      <vt:variant>
        <vt:lpwstr/>
      </vt:variant>
      <vt:variant>
        <vt:i4>6488150</vt:i4>
      </vt:variant>
      <vt:variant>
        <vt:i4>9</vt:i4>
      </vt:variant>
      <vt:variant>
        <vt:i4>0</vt:i4>
      </vt:variant>
      <vt:variant>
        <vt:i4>5</vt:i4>
      </vt:variant>
      <vt:variant>
        <vt:lpwstr>https://agriculture.ec.europa.eu/document/download/b2e5ee02-4a25-4a6b-9663-92dbee9eb211_en?filename=monitoring-agri-food-trade_dec2023_en.pdf</vt:lpwstr>
      </vt:variant>
      <vt:variant>
        <vt:lpwstr/>
      </vt:variant>
      <vt:variant>
        <vt:i4>5308427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https://ec.europa.eu/eurostat/documents/15216629/18054337/KS-FK-23-001-EN-N.pdf/048e130f-79fa-e870-6c46-d80c9408620b?version=7.0&amp;t=1707290893751</vt:lpwstr>
      </vt:variant>
      <vt:variant>
        <vt:lpwstr/>
      </vt:variant>
      <vt:variant>
        <vt:i4>2556003</vt:i4>
      </vt:variant>
      <vt:variant>
        <vt:i4>0</vt:i4>
      </vt:variant>
      <vt:variant>
        <vt:i4>0</vt:i4>
      </vt:variant>
      <vt:variant>
        <vt:i4>5</vt:i4>
      </vt:variant>
      <vt:variant>
        <vt:lpwstr>https://europa.eu/eurobarometer/surveys/detail/3226</vt:lpwstr>
      </vt:variant>
      <vt:variant>
        <vt:lpwstr/>
      </vt:variant>
      <vt:variant>
        <vt:i4>6619223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https://ec.europa.eu/eurostat/statistics-explained/index.php?title=Glossary:At-risk-of-poverty_rate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2025-02-19T10:59:00Z</dcterms:created>
  <dcterms:modified xsi:type="dcterms:W3CDTF">2025-03-03T08:15:00Z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2025-02-09T19:02:40Z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db7b9f04-c6cd-4370-be7f-fbaae39f5c60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0x01010034D7730BFF16C740A8CB169650446D2C</vt:lpwstr>
  </property>
  <property fmtid="{D5CDD505-2E9C-101B-9397-08002B2CF9AE}" pid="10" name="Level of sensitivity">
    <vt:lpwstr>Standard treatment</vt:lpwstr>
  </property>
  <property fmtid="{D5CDD505-2E9C-101B-9397-08002B2CF9AE}" pid="11" name="Part">
    <vt:lpwstr>1</vt:lpwstr>
  </property>
  <property fmtid="{D5CDD505-2E9C-101B-9397-08002B2CF9AE}" pid="12" name="Total parts">
    <vt:lpwstr>1</vt:lpwstr>
  </property>
  <property fmtid="{D5CDD505-2E9C-101B-9397-08002B2CF9AE}" pid="13" name="DocStatus">
    <vt:lpwstr>Green</vt:lpwstr>
  </property>
  <property fmtid="{D5CDD505-2E9C-101B-9397-08002B2CF9AE}" pid="14" name="CPTemplateID">
    <vt:lpwstr>CP-014</vt:lpwstr>
  </property>
  <property fmtid="{D5CDD505-2E9C-101B-9397-08002B2CF9AE}" pid="15" name="Last edited using">
    <vt:lpwstr>LW 9.1, Build 20240808</vt:lpwstr>
  </property>
  <property fmtid="{D5CDD505-2E9C-101B-9397-08002B2CF9AE}" pid="16" name="Created using">
    <vt:lpwstr>LW 9.1, Build 20240808</vt:lpwstr>
  </property>
  <property fmtid="{D5CDD505-2E9C-101B-9397-08002B2CF9AE}" pid="17" name="EC_TX_Corporate_x0020_Body">
    <vt:lpwstr/>
  </property>
  <property fmtid="{D5CDD505-2E9C-101B-9397-08002B2CF9AE}" pid="18" name="EC_TX_All_World_Countries">
    <vt:lpwstr/>
  </property>
  <property fmtid="{D5CDD505-2E9C-101B-9397-08002B2CF9AE}" pid="19" name="MediaServiceImageTags">
    <vt:lpwstr/>
  </property>
  <property fmtid="{D5CDD505-2E9C-101B-9397-08002B2CF9AE}" pid="20" name="i8c8ab8b63424c5d9f8c4a8434abf670">
    <vt:lpwstr/>
  </property>
  <property fmtid="{D5CDD505-2E9C-101B-9397-08002B2CF9AE}" pid="21" name="p26229aee9004b9f888149fd0449ec68">
    <vt:lpwstr/>
  </property>
  <property fmtid="{D5CDD505-2E9C-101B-9397-08002B2CF9AE}" pid="22" name="eff2cf69f10b4279bbb27215ca009b37">
    <vt:lpwstr/>
  </property>
  <property fmtid="{D5CDD505-2E9C-101B-9397-08002B2CF9AE}" pid="23" name="EC_TX_Resource_Type">
    <vt:lpwstr/>
  </property>
  <property fmtid="{D5CDD505-2E9C-101B-9397-08002B2CF9AE}" pid="24" name="EC_TX_EU_Member_State">
    <vt:lpwstr/>
  </property>
  <property fmtid="{D5CDD505-2E9C-101B-9397-08002B2CF9AE}" pid="25" name="j8309f8bc3e645d1a2f07391f8e5795a">
    <vt:lpwstr/>
  </property>
  <property fmtid="{D5CDD505-2E9C-101B-9397-08002B2CF9AE}" pid="26" name="g81cb4d17be94922847ce418ea81f55a">
    <vt:lpwstr/>
  </property>
  <property fmtid="{D5CDD505-2E9C-101B-9397-08002B2CF9AE}" pid="27" name="TaxCatchAll">
    <vt:lpwstr/>
  </property>
  <property fmtid="{D5CDD505-2E9C-101B-9397-08002B2CF9AE}" pid="28" name="k2c54712f93b47eb83e1835ba301b6c6">
    <vt:lpwstr/>
  </property>
  <property fmtid="{D5CDD505-2E9C-101B-9397-08002B2CF9AE}" pid="29" name="EC_TX_Strategic_Priority">
    <vt:lpwstr/>
  </property>
  <property fmtid="{D5CDD505-2E9C-101B-9397-08002B2CF9AE}" pid="30" name="EC_TX_EU_Political_Leader">
    <vt:lpwstr/>
  </property>
  <property fmtid="{D5CDD505-2E9C-101B-9397-08002B2CF9AE}" pid="31" name="EC_TX_Corporate Body">
    <vt:lpwstr/>
  </property>
</Properties>
</file>