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5B" w:rsidRPr="00D86EDD" w:rsidRDefault="00D86EDD" w:rsidP="00D86EDD">
      <w:pPr>
        <w:pStyle w:val="Pagedecouverture"/>
        <w:rPr>
          <w:noProof/>
          <w:szCs w:val="24"/>
        </w:rPr>
      </w:pPr>
      <w:bookmarkStart w:id="0" w:name="LW_BM_COVERPAGE"/>
      <w:r w:rsidRPr="00D86EDD">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98198F8-8DBF-425D-B369-9B08DAA3C4ED" style="width:451pt;height:389pt">
            <v:imagedata r:id="rId8" o:title=""/>
          </v:shape>
        </w:pict>
      </w:r>
    </w:p>
    <w:bookmarkEnd w:id="0"/>
    <w:p w:rsidR="00B1535B" w:rsidRPr="00D86EDD" w:rsidRDefault="00B1535B" w:rsidP="00D86EDD">
      <w:pPr>
        <w:spacing w:after="120" w:line="240" w:lineRule="auto"/>
        <w:rPr>
          <w:rFonts w:ascii="Times New Roman" w:hAnsi="Times New Roman" w:cs="Times New Roman"/>
          <w:noProof/>
          <w:sz w:val="24"/>
          <w:szCs w:val="24"/>
        </w:rPr>
        <w:sectPr w:rsidR="00B1535B" w:rsidRPr="00D86ED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B1535B" w:rsidRPr="00D86EDD" w:rsidRDefault="00D86EDD" w:rsidP="00D86EDD">
      <w:pPr>
        <w:pStyle w:val="Body"/>
        <w:spacing w:after="120" w:line="240" w:lineRule="auto"/>
        <w:jc w:val="center"/>
        <w:rPr>
          <w:rFonts w:ascii="Times New Roman" w:eastAsia="Times New Roman" w:hAnsi="Times New Roman" w:cs="Times New Roman"/>
          <w:b/>
          <w:bCs/>
          <w:noProof/>
          <w:sz w:val="24"/>
          <w:szCs w:val="24"/>
        </w:rPr>
      </w:pPr>
      <w:r w:rsidRPr="00D86EDD">
        <w:rPr>
          <w:rFonts w:ascii="Times New Roman" w:hAnsi="Times New Roman" w:cs="Times New Roman"/>
          <w:b/>
          <w:bCs/>
          <w:noProof/>
          <w:sz w:val="24"/>
          <w:szCs w:val="24"/>
        </w:rPr>
        <w:lastRenderedPageBreak/>
        <w:t xml:space="preserve">Comunicação da Comissão: </w:t>
      </w:r>
    </w:p>
    <w:p w:rsidR="00B1535B" w:rsidRPr="00D86EDD" w:rsidRDefault="00D86EDD" w:rsidP="00D86EDD">
      <w:pPr>
        <w:pStyle w:val="Body"/>
        <w:spacing w:line="240" w:lineRule="auto"/>
        <w:jc w:val="center"/>
        <w:rPr>
          <w:rFonts w:ascii="Times New Roman" w:eastAsia="Times New Roman" w:hAnsi="Times New Roman" w:cs="Times New Roman"/>
          <w:b/>
          <w:bCs/>
          <w:noProof/>
          <w:sz w:val="24"/>
          <w:szCs w:val="24"/>
        </w:rPr>
      </w:pPr>
      <w:r w:rsidRPr="00D86EDD">
        <w:rPr>
          <w:rFonts w:ascii="Times New Roman" w:hAnsi="Times New Roman" w:cs="Times New Roman"/>
          <w:b/>
          <w:bCs/>
          <w:noProof/>
          <w:sz w:val="24"/>
          <w:szCs w:val="24"/>
        </w:rPr>
        <w:t xml:space="preserve">Apoio aos Balcãs Ocidentais na luta contra a COVID-19 e na recuperação após a pandemia </w:t>
      </w:r>
    </w:p>
    <w:p w:rsidR="00B1535B" w:rsidRPr="00D86EDD" w:rsidRDefault="00B1535B" w:rsidP="00D86EDD">
      <w:pPr>
        <w:pStyle w:val="Body"/>
        <w:spacing w:after="120" w:line="240" w:lineRule="auto"/>
        <w:rPr>
          <w:rFonts w:ascii="Times New Roman" w:eastAsia="Times New Roman" w:hAnsi="Times New Roman" w:cs="Times New Roman"/>
          <w:noProof/>
          <w:sz w:val="24"/>
          <w:szCs w:val="24"/>
        </w:rPr>
      </w:pPr>
    </w:p>
    <w:p w:rsidR="00B1535B" w:rsidRPr="00D86EDD" w:rsidRDefault="00D86EDD" w:rsidP="00D86EDD">
      <w:pPr>
        <w:pStyle w:val="ListParagraph"/>
        <w:numPr>
          <w:ilvl w:val="0"/>
          <w:numId w:val="20"/>
        </w:numPr>
        <w:pBdr>
          <w:top w:val="nil"/>
          <w:left w:val="nil"/>
          <w:bottom w:val="nil"/>
          <w:right w:val="nil"/>
          <w:between w:val="nil"/>
          <w:bar w:val="nil"/>
        </w:pBdr>
        <w:spacing w:after="120"/>
        <w:jc w:val="both"/>
        <w:rPr>
          <w:rFonts w:ascii="Times New Roman" w:hAnsi="Times New Roman"/>
          <w:b/>
          <w:bCs/>
          <w:noProof/>
          <w:sz w:val="24"/>
          <w:szCs w:val="24"/>
        </w:rPr>
      </w:pPr>
      <w:r w:rsidRPr="00D86EDD">
        <w:rPr>
          <w:rFonts w:ascii="Times New Roman" w:hAnsi="Times New Roman"/>
          <w:b/>
          <w:bCs/>
          <w:noProof/>
          <w:sz w:val="24"/>
          <w:szCs w:val="24"/>
        </w:rPr>
        <w:t xml:space="preserve">Introdução </w:t>
      </w:r>
    </w:p>
    <w:p w:rsidR="00B1535B" w:rsidRPr="00D86EDD" w:rsidRDefault="00B1535B" w:rsidP="00D86EDD">
      <w:pPr>
        <w:pStyle w:val="Body"/>
        <w:spacing w:after="120" w:line="240" w:lineRule="auto"/>
        <w:jc w:val="both"/>
        <w:rPr>
          <w:rFonts w:ascii="Times New Roman" w:eastAsia="Times New Roman" w:hAnsi="Times New Roman" w:cs="Times New Roman"/>
          <w:noProof/>
          <w:sz w:val="24"/>
          <w:szCs w:val="24"/>
        </w:rPr>
      </w:pP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Os </w:t>
      </w:r>
      <w:r w:rsidRPr="00D86EDD">
        <w:rPr>
          <w:rFonts w:ascii="Times New Roman" w:hAnsi="Times New Roman" w:cs="Times New Roman"/>
          <w:b/>
          <w:bCs/>
          <w:noProof/>
          <w:sz w:val="24"/>
          <w:szCs w:val="24"/>
        </w:rPr>
        <w:t>Balcãs Ocidentais</w:t>
      </w:r>
      <w:r w:rsidRPr="00D86EDD">
        <w:rPr>
          <w:rFonts w:ascii="Times New Roman" w:hAnsi="Times New Roman" w:cs="Times New Roman"/>
          <w:b/>
          <w:bCs/>
          <w:noProof/>
          <w:sz w:val="24"/>
          <w:szCs w:val="24"/>
        </w:rPr>
        <w:t xml:space="preserve"> são parte integrante da Europa</w:t>
      </w:r>
      <w:r w:rsidRPr="00D86EDD">
        <w:rPr>
          <w:rFonts w:ascii="Times New Roman" w:hAnsi="Times New Roman" w:cs="Times New Roman"/>
          <w:noProof/>
          <w:sz w:val="24"/>
          <w:szCs w:val="24"/>
        </w:rPr>
        <w:t xml:space="preserve"> e constituem uma prioridade geoestratégica para a União Europeia. A perspetiva europeia para toda a região foi uma vez mais reiterada em março de 2020, quando os Estados-Membros aprovaram a proposta da Comissão relativa a um</w:t>
      </w:r>
      <w:r w:rsidRPr="00D86EDD">
        <w:rPr>
          <w:rFonts w:ascii="Times New Roman" w:hAnsi="Times New Roman" w:cs="Times New Roman"/>
          <w:noProof/>
          <w:sz w:val="24"/>
          <w:szCs w:val="24"/>
        </w:rPr>
        <w:t xml:space="preserve">a </w:t>
      </w:r>
      <w:r w:rsidRPr="00D86EDD">
        <w:rPr>
          <w:rFonts w:ascii="Times New Roman" w:hAnsi="Times New Roman" w:cs="Times New Roman"/>
          <w:b/>
          <w:bCs/>
          <w:noProof/>
          <w:sz w:val="24"/>
          <w:szCs w:val="24"/>
        </w:rPr>
        <w:t>metodologia reforçada</w:t>
      </w:r>
      <w:r w:rsidRPr="00D86EDD">
        <w:rPr>
          <w:rFonts w:ascii="Times New Roman" w:eastAsia="Times New Roman" w:hAnsi="Times New Roman" w:cs="Times New Roman"/>
          <w:b/>
          <w:bCs/>
          <w:noProof/>
          <w:sz w:val="24"/>
          <w:szCs w:val="24"/>
          <w:vertAlign w:val="superscript"/>
        </w:rPr>
        <w:footnoteReference w:id="2"/>
      </w:r>
      <w:r w:rsidRPr="00D86EDD">
        <w:rPr>
          <w:rFonts w:ascii="Times New Roman" w:hAnsi="Times New Roman" w:cs="Times New Roman"/>
          <w:noProof/>
          <w:sz w:val="24"/>
          <w:szCs w:val="24"/>
        </w:rPr>
        <w:t xml:space="preserve"> para o processo de adesão e decidiram iniciar negociações com a </w:t>
      </w:r>
      <w:r w:rsidRPr="00D86EDD">
        <w:rPr>
          <w:rFonts w:ascii="Times New Roman" w:hAnsi="Times New Roman" w:cs="Times New Roman"/>
          <w:b/>
          <w:bCs/>
          <w:noProof/>
          <w:sz w:val="24"/>
          <w:szCs w:val="24"/>
        </w:rPr>
        <w:t>República da Albânia e com a República da Macedónia do Norte</w:t>
      </w:r>
      <w:r w:rsidRPr="00D86EDD">
        <w:rPr>
          <w:rFonts w:ascii="Times New Roman" w:hAnsi="Times New Roman" w:cs="Times New Roman"/>
          <w:noProof/>
          <w:sz w:val="24"/>
          <w:szCs w:val="24"/>
        </w:rPr>
        <w:t>. É de fundamental importância para a União Europeia continuar a promover a estabilidade e a prosperidade d</w:t>
      </w:r>
      <w:r w:rsidRPr="00D86EDD">
        <w:rPr>
          <w:rFonts w:ascii="Times New Roman" w:hAnsi="Times New Roman" w:cs="Times New Roman"/>
          <w:noProof/>
          <w:sz w:val="24"/>
          <w:szCs w:val="24"/>
        </w:rPr>
        <w:t xml:space="preserve">esta região com base nos nossos interesses estratégicos comuns. </w:t>
      </w:r>
    </w:p>
    <w:p w:rsidR="00B1535B" w:rsidRPr="00D86EDD" w:rsidRDefault="00D86EDD" w:rsidP="00D86EDD">
      <w:pPr>
        <w:pStyle w:val="FootnoteText"/>
        <w:spacing w:after="120"/>
        <w:jc w:val="both"/>
        <w:rPr>
          <w:rFonts w:ascii="Times New Roman" w:eastAsia="Times New Roman" w:hAnsi="Times New Roman"/>
          <w:noProof/>
          <w:sz w:val="24"/>
          <w:szCs w:val="24"/>
        </w:rPr>
      </w:pPr>
      <w:r w:rsidRPr="00D86EDD">
        <w:rPr>
          <w:rFonts w:ascii="Times New Roman" w:hAnsi="Times New Roman"/>
          <w:noProof/>
          <w:spacing w:val="4"/>
          <w:sz w:val="24"/>
          <w:szCs w:val="24"/>
        </w:rPr>
        <w:t>Não obstante as medidas determinadas adotadas pelos parceiros dos Balcãs Ocidentais, a pandemia da COVID-</w:t>
      </w:r>
      <w:r w:rsidRPr="00D86EDD">
        <w:rPr>
          <w:rFonts w:ascii="Times New Roman" w:hAnsi="Times New Roman"/>
          <w:noProof/>
          <w:sz w:val="24"/>
          <w:szCs w:val="24"/>
        </w:rPr>
        <w:t xml:space="preserve">19, para além do seu impacto humano imediato, </w:t>
      </w:r>
      <w:r w:rsidRPr="00D86EDD">
        <w:rPr>
          <w:rFonts w:ascii="Times New Roman" w:hAnsi="Times New Roman"/>
          <w:b/>
          <w:bCs/>
          <w:noProof/>
          <w:sz w:val="24"/>
          <w:szCs w:val="24"/>
        </w:rPr>
        <w:t xml:space="preserve">tem um efeito desestabilizador sobre as </w:t>
      </w:r>
      <w:r w:rsidRPr="00D86EDD">
        <w:rPr>
          <w:rFonts w:ascii="Times New Roman" w:hAnsi="Times New Roman"/>
          <w:b/>
          <w:bCs/>
          <w:noProof/>
          <w:sz w:val="24"/>
          <w:szCs w:val="24"/>
        </w:rPr>
        <w:t>economias da região e a vida das pessoas</w:t>
      </w:r>
      <w:r w:rsidRPr="00D86EDD">
        <w:rPr>
          <w:rFonts w:ascii="Times New Roman" w:hAnsi="Times New Roman"/>
          <w:noProof/>
          <w:sz w:val="24"/>
          <w:szCs w:val="24"/>
        </w:rPr>
        <w:t>, representando uma carga sem precedentes para os seus sistemas de saúde e de proteção social. Milhares de cidadãos estão em risco de perder o seu emprego e as medidas temporárias de apoio tomadas pelo governo (prest</w:t>
      </w:r>
      <w:r w:rsidRPr="00D86EDD">
        <w:rPr>
          <w:rFonts w:ascii="Times New Roman" w:hAnsi="Times New Roman"/>
          <w:noProof/>
          <w:sz w:val="24"/>
          <w:szCs w:val="24"/>
        </w:rPr>
        <w:t>ações de desemprego, diferimento/isenção de impostos e de contribuições para a segurança social, etc.) têm um impacto orçamental considerável. Os governos têm também de alargar rapidamente a cobertura dos sistemas de proteção social. A pandemia afetou tamb</w:t>
      </w:r>
      <w:r w:rsidRPr="00D86EDD">
        <w:rPr>
          <w:rFonts w:ascii="Times New Roman" w:hAnsi="Times New Roman"/>
          <w:noProof/>
          <w:sz w:val="24"/>
          <w:szCs w:val="24"/>
        </w:rPr>
        <w:t xml:space="preserve">ém os esforços comuns no domínio da migração.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A UE, apesar de fortemente afetada pela pandemia, tem uma </w:t>
      </w:r>
      <w:r w:rsidRPr="00D86EDD">
        <w:rPr>
          <w:rFonts w:ascii="Times New Roman" w:hAnsi="Times New Roman" w:cs="Times New Roman"/>
          <w:b/>
          <w:bCs/>
          <w:noProof/>
          <w:sz w:val="24"/>
          <w:szCs w:val="24"/>
        </w:rPr>
        <w:t>responsabilidade e um interesse especial em liderar a resposta global</w:t>
      </w:r>
      <w:r w:rsidRPr="00D86EDD">
        <w:rPr>
          <w:rFonts w:ascii="Times New Roman" w:hAnsi="Times New Roman" w:cs="Times New Roman"/>
          <w:noProof/>
          <w:sz w:val="24"/>
          <w:szCs w:val="24"/>
        </w:rPr>
        <w:t xml:space="preserve"> e prestar assistência aos parceiros em situação de necessidade, tanto mais na sua</w:t>
      </w:r>
      <w:r w:rsidRPr="00D86EDD">
        <w:rPr>
          <w:rFonts w:ascii="Times New Roman" w:hAnsi="Times New Roman" w:cs="Times New Roman"/>
          <w:noProof/>
          <w:sz w:val="24"/>
          <w:szCs w:val="24"/>
        </w:rPr>
        <w:t xml:space="preserve"> vizinhança imediata. No âmbito dos seus esforços internacionais, a UE </w:t>
      </w:r>
      <w:r w:rsidRPr="00D86EDD">
        <w:rPr>
          <w:rFonts w:ascii="Times New Roman" w:hAnsi="Times New Roman" w:cs="Times New Roman"/>
          <w:b/>
          <w:bCs/>
          <w:noProof/>
          <w:sz w:val="24"/>
          <w:szCs w:val="24"/>
        </w:rPr>
        <w:t>presta um apoio essencial e sem paralelo aos Balcãs Ocidentais</w:t>
      </w:r>
      <w:r w:rsidRPr="00D86EDD">
        <w:rPr>
          <w:rFonts w:ascii="Times New Roman" w:hAnsi="Times New Roman" w:cs="Times New Roman"/>
          <w:noProof/>
          <w:sz w:val="24"/>
          <w:szCs w:val="24"/>
        </w:rPr>
        <w:t>. Assegura um apoio financeiro de mais de 3 300 milhões de EUR para ajudar os países da região a fazer face à crise sanitár</w:t>
      </w:r>
      <w:r w:rsidRPr="00D86EDD">
        <w:rPr>
          <w:rFonts w:ascii="Times New Roman" w:hAnsi="Times New Roman" w:cs="Times New Roman"/>
          <w:noProof/>
          <w:sz w:val="24"/>
          <w:szCs w:val="24"/>
        </w:rPr>
        <w:t>ia imediata e às necessidades humanitárias daí resultantes, bem como ao impacto estrutural e a mais longo prazo sobre as suas sociedades e economias. Dada a perspetiva europeia dos Balcãs Ocidentais, a UE trata também os países da região como parceiros pri</w:t>
      </w:r>
      <w:r w:rsidRPr="00D86EDD">
        <w:rPr>
          <w:rFonts w:ascii="Times New Roman" w:hAnsi="Times New Roman" w:cs="Times New Roman"/>
          <w:noProof/>
          <w:sz w:val="24"/>
          <w:szCs w:val="24"/>
        </w:rPr>
        <w:t xml:space="preserve">vilegiados, concedendo-lhes acesso a muitas iniciativas e instrumentos reservados aos Estados-Membros da UE.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Os dirigentes da UE e da região reunir-se-ão em 6 de maio de 2020 para refletir sobre os desafios que enfrentam em conjunto. No intuito de contrib</w:t>
      </w:r>
      <w:r w:rsidRPr="00D86EDD">
        <w:rPr>
          <w:rFonts w:ascii="Times New Roman" w:hAnsi="Times New Roman" w:cs="Times New Roman"/>
          <w:noProof/>
          <w:sz w:val="24"/>
          <w:szCs w:val="24"/>
        </w:rPr>
        <w:t xml:space="preserve">uir para estes debates, a presente comunicação expressa a </w:t>
      </w:r>
      <w:r w:rsidRPr="00D86EDD">
        <w:rPr>
          <w:rFonts w:ascii="Times New Roman" w:hAnsi="Times New Roman" w:cs="Times New Roman"/>
          <w:b/>
          <w:bCs/>
          <w:noProof/>
          <w:sz w:val="24"/>
          <w:szCs w:val="24"/>
        </w:rPr>
        <w:t>solidariedade da União Europeia para com os Balcãs Ocidentais</w:t>
      </w:r>
      <w:r w:rsidRPr="00D86EDD">
        <w:rPr>
          <w:rFonts w:ascii="Times New Roman" w:hAnsi="Times New Roman" w:cs="Times New Roman"/>
          <w:noProof/>
          <w:sz w:val="24"/>
          <w:szCs w:val="24"/>
        </w:rPr>
        <w:t>, que têm de enfrentar o impacto imediato da COVID-19, e estabelece os domínios da cooperação mútua. Prevê um apoio a mais longo prazo da</w:t>
      </w:r>
      <w:r w:rsidRPr="00D86EDD">
        <w:rPr>
          <w:rFonts w:ascii="Times New Roman" w:hAnsi="Times New Roman" w:cs="Times New Roman"/>
          <w:noProof/>
          <w:sz w:val="24"/>
          <w:szCs w:val="24"/>
        </w:rPr>
        <w:t xml:space="preserve"> UE à recuperação económica, </w:t>
      </w:r>
      <w:r w:rsidRPr="00D86EDD">
        <w:rPr>
          <w:rFonts w:ascii="Times New Roman" w:hAnsi="Times New Roman" w:cs="Times New Roman"/>
          <w:b/>
          <w:bCs/>
          <w:noProof/>
          <w:sz w:val="24"/>
          <w:szCs w:val="24"/>
        </w:rPr>
        <w:t>definindo o enquadramento para um plano económico e de investimento mais pormenorizado para a região, a apresentar pela Comissão</w:t>
      </w:r>
      <w:r w:rsidRPr="00D86EDD">
        <w:rPr>
          <w:rFonts w:ascii="Times New Roman" w:hAnsi="Times New Roman" w:cs="Times New Roman"/>
          <w:noProof/>
          <w:sz w:val="24"/>
          <w:szCs w:val="24"/>
        </w:rPr>
        <w:t xml:space="preserve"> ainda este ano. Prevê também uma intensificação do empenhamento e do apoio da UE para concretizar </w:t>
      </w:r>
      <w:r w:rsidRPr="00D86EDD">
        <w:rPr>
          <w:rFonts w:ascii="Times New Roman" w:hAnsi="Times New Roman" w:cs="Times New Roman"/>
          <w:noProof/>
          <w:sz w:val="24"/>
          <w:szCs w:val="24"/>
        </w:rPr>
        <w:t xml:space="preserve">a perspetiva europeia da região, ajudando todos os parceiros a realizar, com determinação, </w:t>
      </w:r>
      <w:r w:rsidRPr="00D86EDD">
        <w:rPr>
          <w:rFonts w:ascii="Times New Roman" w:hAnsi="Times New Roman" w:cs="Times New Roman"/>
          <w:bCs/>
          <w:noProof/>
          <w:sz w:val="24"/>
          <w:szCs w:val="24"/>
        </w:rPr>
        <w:t>as reformas fundamentais necessárias no que se refere à democracia, ao Estado de direito e à economia</w:t>
      </w:r>
      <w:r w:rsidRPr="00D86EDD">
        <w:rPr>
          <w:rFonts w:ascii="Times New Roman" w:hAnsi="Times New Roman" w:cs="Times New Roman"/>
          <w:noProof/>
          <w:sz w:val="24"/>
          <w:szCs w:val="24"/>
        </w:rPr>
        <w:t xml:space="preserve">, tal como previsto na metodologia reforçada. </w:t>
      </w:r>
    </w:p>
    <w:p w:rsidR="00B1535B" w:rsidRPr="00D86EDD" w:rsidRDefault="00B1535B" w:rsidP="00D86EDD">
      <w:pPr>
        <w:pStyle w:val="Body"/>
        <w:spacing w:after="120" w:line="240" w:lineRule="auto"/>
        <w:jc w:val="both"/>
        <w:rPr>
          <w:rFonts w:ascii="Times New Roman" w:eastAsia="Times New Roman" w:hAnsi="Times New Roman" w:cs="Times New Roman"/>
          <w:noProof/>
          <w:sz w:val="24"/>
          <w:szCs w:val="24"/>
        </w:rPr>
      </w:pPr>
    </w:p>
    <w:p w:rsidR="00B1535B" w:rsidRPr="00D86EDD" w:rsidRDefault="00B1535B" w:rsidP="00D86EDD">
      <w:pPr>
        <w:pStyle w:val="Body"/>
        <w:spacing w:after="120" w:line="240" w:lineRule="auto"/>
        <w:jc w:val="both"/>
        <w:rPr>
          <w:rFonts w:ascii="Times New Roman" w:eastAsia="Times New Roman" w:hAnsi="Times New Roman" w:cs="Times New Roman"/>
          <w:noProof/>
          <w:sz w:val="24"/>
          <w:szCs w:val="24"/>
        </w:rPr>
      </w:pPr>
    </w:p>
    <w:p w:rsidR="00B1535B" w:rsidRPr="00D86EDD" w:rsidRDefault="00D86EDD" w:rsidP="00D86EDD">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D86EDD">
        <w:rPr>
          <w:rFonts w:ascii="Times New Roman" w:hAnsi="Times New Roman"/>
          <w:b/>
          <w:bCs/>
          <w:noProof/>
          <w:sz w:val="24"/>
          <w:szCs w:val="24"/>
        </w:rPr>
        <w:t>Apoio da UE aos</w:t>
      </w:r>
      <w:r w:rsidRPr="00D86EDD">
        <w:rPr>
          <w:rFonts w:ascii="Times New Roman" w:hAnsi="Times New Roman"/>
          <w:b/>
          <w:bCs/>
          <w:noProof/>
          <w:sz w:val="24"/>
          <w:szCs w:val="24"/>
        </w:rPr>
        <w:t xml:space="preserve"> Balcãs Ocidentais na luta contra a COVID-19 </w:t>
      </w:r>
    </w:p>
    <w:p w:rsidR="00B1535B" w:rsidRPr="00D86EDD" w:rsidRDefault="00D86EDD" w:rsidP="00D86EDD">
      <w:pPr>
        <w:pStyle w:val="FootnoteText"/>
        <w:spacing w:after="120"/>
        <w:jc w:val="both"/>
        <w:rPr>
          <w:rFonts w:ascii="Times New Roman" w:eastAsia="Times New Roman" w:hAnsi="Times New Roman"/>
          <w:noProof/>
          <w:sz w:val="24"/>
          <w:szCs w:val="24"/>
        </w:rPr>
      </w:pPr>
      <w:r w:rsidRPr="00D86EDD">
        <w:rPr>
          <w:rFonts w:ascii="Times New Roman" w:hAnsi="Times New Roman"/>
          <w:noProof/>
          <w:sz w:val="24"/>
          <w:szCs w:val="24"/>
        </w:rPr>
        <w:t>Em resposta à crise, a UE decidiu não só conceder um apoio financeiro substancial aos Balcãs Ocidentais, mas também incluir essa região, tanto quanto possível, na sua própria resposta. Muito embora a região ten</w:t>
      </w:r>
      <w:r w:rsidRPr="00D86EDD">
        <w:rPr>
          <w:rFonts w:ascii="Times New Roman" w:hAnsi="Times New Roman"/>
          <w:noProof/>
          <w:sz w:val="24"/>
          <w:szCs w:val="24"/>
        </w:rPr>
        <w:t xml:space="preserve">ha </w:t>
      </w:r>
      <w:r w:rsidRPr="00D86EDD">
        <w:rPr>
          <w:rFonts w:ascii="Times New Roman" w:hAnsi="Times New Roman"/>
          <w:noProof/>
          <w:sz w:val="24"/>
          <w:szCs w:val="24"/>
        </w:rPr>
        <w:lastRenderedPageBreak/>
        <w:t>beneficiado igualmente do apoio de outros parceiros, os procedimentos flexíveis e as decisões tomadas em tempo útil fizeram com que a UE fosse, uma vez mais, o seu parceiro mais eficaz e fiável.</w:t>
      </w:r>
    </w:p>
    <w:p w:rsidR="00B1535B" w:rsidRPr="00D86EDD" w:rsidRDefault="00D86EDD" w:rsidP="00D86EDD">
      <w:pPr>
        <w:pStyle w:val="FootnoteText"/>
        <w:spacing w:after="120"/>
        <w:jc w:val="both"/>
        <w:rPr>
          <w:rFonts w:ascii="Times New Roman" w:eastAsia="Times New Roman" w:hAnsi="Times New Roman"/>
          <w:noProof/>
          <w:sz w:val="24"/>
          <w:szCs w:val="24"/>
        </w:rPr>
      </w:pPr>
      <w:r w:rsidRPr="00D86EDD">
        <w:rPr>
          <w:rFonts w:ascii="Times New Roman" w:hAnsi="Times New Roman"/>
          <w:noProof/>
          <w:sz w:val="24"/>
          <w:szCs w:val="24"/>
        </w:rPr>
        <w:t xml:space="preserve">A UE mobilizou um </w:t>
      </w:r>
      <w:r w:rsidRPr="00D86EDD">
        <w:rPr>
          <w:rFonts w:ascii="Times New Roman" w:hAnsi="Times New Roman"/>
          <w:b/>
          <w:noProof/>
          <w:sz w:val="24"/>
          <w:szCs w:val="24"/>
        </w:rPr>
        <w:t>pacote de mais de 3 300 milhões de EUR</w:t>
      </w:r>
      <w:r w:rsidRPr="00D86EDD">
        <w:rPr>
          <w:rFonts w:ascii="Times New Roman" w:hAnsi="Times New Roman"/>
          <w:noProof/>
          <w:sz w:val="24"/>
          <w:szCs w:val="24"/>
        </w:rPr>
        <w:t xml:space="preserve"> e</w:t>
      </w:r>
      <w:r w:rsidRPr="00D86EDD">
        <w:rPr>
          <w:rFonts w:ascii="Times New Roman" w:hAnsi="Times New Roman"/>
          <w:noProof/>
          <w:sz w:val="24"/>
          <w:szCs w:val="24"/>
        </w:rPr>
        <w:t xml:space="preserve">m benefício dos </w:t>
      </w:r>
      <w:r w:rsidRPr="00D86EDD">
        <w:rPr>
          <w:rFonts w:ascii="Times New Roman" w:hAnsi="Times New Roman"/>
          <w:b/>
          <w:noProof/>
          <w:sz w:val="24"/>
          <w:szCs w:val="24"/>
        </w:rPr>
        <w:t>cidadãos</w:t>
      </w:r>
      <w:r w:rsidRPr="00D86EDD">
        <w:rPr>
          <w:rFonts w:ascii="Times New Roman" w:eastAsia="Times New Roman" w:hAnsi="Times New Roman"/>
          <w:b/>
          <w:bCs/>
          <w:noProof/>
          <w:sz w:val="24"/>
          <w:szCs w:val="24"/>
          <w:vertAlign w:val="superscript"/>
        </w:rPr>
        <w:footnoteReference w:id="3"/>
      </w:r>
      <w:r w:rsidRPr="00D86EDD">
        <w:rPr>
          <w:rFonts w:ascii="Times New Roman" w:hAnsi="Times New Roman"/>
          <w:noProof/>
          <w:sz w:val="24"/>
          <w:szCs w:val="24"/>
        </w:rPr>
        <w:t xml:space="preserve"> dos Balcãs Ocidentais. Este montante é constituído por reafetações do</w:t>
      </w:r>
      <w:r w:rsidRPr="00D86EDD">
        <w:rPr>
          <w:rFonts w:ascii="Times New Roman" w:hAnsi="Times New Roman"/>
          <w:b/>
          <w:noProof/>
          <w:sz w:val="24"/>
          <w:szCs w:val="24"/>
        </w:rPr>
        <w:t xml:space="preserve"> Instrumento de Assistência de Pré-Adesão</w:t>
      </w:r>
      <w:r w:rsidRPr="00D86EDD">
        <w:rPr>
          <w:rFonts w:ascii="Times New Roman" w:eastAsia="Times New Roman" w:hAnsi="Times New Roman"/>
          <w:b/>
          <w:bCs/>
          <w:noProof/>
          <w:sz w:val="24"/>
          <w:szCs w:val="24"/>
          <w:vertAlign w:val="superscript"/>
        </w:rPr>
        <w:footnoteReference w:id="4"/>
      </w:r>
      <w:r w:rsidRPr="00D86EDD">
        <w:rPr>
          <w:rFonts w:ascii="Times New Roman" w:hAnsi="Times New Roman"/>
          <w:noProof/>
          <w:sz w:val="24"/>
          <w:szCs w:val="24"/>
        </w:rPr>
        <w:t xml:space="preserve">, no montante de </w:t>
      </w:r>
      <w:r w:rsidRPr="00D86EDD">
        <w:rPr>
          <w:rFonts w:ascii="Times New Roman" w:hAnsi="Times New Roman"/>
          <w:b/>
          <w:noProof/>
          <w:sz w:val="24"/>
          <w:szCs w:val="24"/>
        </w:rPr>
        <w:t>38 milhões de EUR</w:t>
      </w:r>
      <w:r w:rsidRPr="00D86EDD">
        <w:rPr>
          <w:rFonts w:ascii="Times New Roman" w:hAnsi="Times New Roman"/>
          <w:noProof/>
          <w:sz w:val="24"/>
          <w:szCs w:val="24"/>
        </w:rPr>
        <w:t xml:space="preserve"> para apoio imediato ao setor da saúde, designadamente mediante o fornecimento de ben</w:t>
      </w:r>
      <w:r w:rsidRPr="00D86EDD">
        <w:rPr>
          <w:rFonts w:ascii="Times New Roman" w:hAnsi="Times New Roman"/>
          <w:noProof/>
          <w:sz w:val="24"/>
          <w:szCs w:val="24"/>
        </w:rPr>
        <w:t>s essenciais para salvar vidas, como equipamento de proteção individual, testes e ventiladores</w:t>
      </w:r>
      <w:r w:rsidRPr="00D86EDD">
        <w:rPr>
          <w:rFonts w:ascii="Times New Roman" w:eastAsia="Times New Roman" w:hAnsi="Times New Roman"/>
          <w:noProof/>
          <w:sz w:val="24"/>
          <w:szCs w:val="24"/>
          <w:vertAlign w:val="superscript"/>
        </w:rPr>
        <w:footnoteReference w:id="5"/>
      </w:r>
      <w:r w:rsidRPr="00D86EDD">
        <w:rPr>
          <w:rFonts w:ascii="Times New Roman" w:hAnsi="Times New Roman"/>
          <w:noProof/>
          <w:sz w:val="24"/>
          <w:szCs w:val="24"/>
        </w:rPr>
        <w:t xml:space="preserve">, </w:t>
      </w:r>
      <w:r w:rsidRPr="00D86EDD">
        <w:rPr>
          <w:rFonts w:ascii="Times New Roman" w:hAnsi="Times New Roman"/>
          <w:b/>
          <w:bCs/>
          <w:noProof/>
          <w:sz w:val="24"/>
          <w:szCs w:val="24"/>
        </w:rPr>
        <w:t>389 milhões de EUR</w:t>
      </w:r>
      <w:r w:rsidRPr="00D86EDD">
        <w:rPr>
          <w:rFonts w:ascii="Times New Roman" w:hAnsi="Times New Roman"/>
          <w:noProof/>
          <w:sz w:val="24"/>
          <w:szCs w:val="24"/>
        </w:rPr>
        <w:t xml:space="preserve"> para fazer face às </w:t>
      </w:r>
      <w:r w:rsidRPr="00D86EDD">
        <w:rPr>
          <w:rFonts w:ascii="Times New Roman" w:hAnsi="Times New Roman"/>
          <w:b/>
          <w:bCs/>
          <w:noProof/>
          <w:sz w:val="24"/>
          <w:szCs w:val="24"/>
        </w:rPr>
        <w:t>necessidades de recuperação económica e social</w:t>
      </w:r>
      <w:r w:rsidRPr="00D86EDD">
        <w:rPr>
          <w:rFonts w:ascii="Times New Roman" w:hAnsi="Times New Roman"/>
          <w:noProof/>
          <w:sz w:val="24"/>
          <w:szCs w:val="24"/>
        </w:rPr>
        <w:t xml:space="preserve">, </w:t>
      </w:r>
      <w:r w:rsidRPr="00D86EDD">
        <w:rPr>
          <w:rFonts w:ascii="Times New Roman" w:hAnsi="Times New Roman"/>
          <w:b/>
          <w:bCs/>
          <w:noProof/>
          <w:sz w:val="24"/>
          <w:szCs w:val="24"/>
        </w:rPr>
        <w:t>455 milhões de EUR</w:t>
      </w:r>
      <w:r w:rsidRPr="00D86EDD">
        <w:rPr>
          <w:rFonts w:ascii="Times New Roman" w:hAnsi="Times New Roman"/>
          <w:noProof/>
          <w:sz w:val="24"/>
          <w:szCs w:val="24"/>
        </w:rPr>
        <w:t xml:space="preserve"> para um </w:t>
      </w:r>
      <w:r w:rsidRPr="00D86EDD">
        <w:rPr>
          <w:rFonts w:ascii="Times New Roman" w:hAnsi="Times New Roman"/>
          <w:b/>
          <w:bCs/>
          <w:noProof/>
          <w:sz w:val="24"/>
          <w:szCs w:val="24"/>
        </w:rPr>
        <w:t>pacote de reativação económica</w:t>
      </w:r>
      <w:r w:rsidRPr="00D86EDD">
        <w:rPr>
          <w:rFonts w:ascii="Times New Roman" w:hAnsi="Times New Roman"/>
          <w:noProof/>
          <w:sz w:val="24"/>
          <w:szCs w:val="24"/>
        </w:rPr>
        <w:t xml:space="preserve"> da região, em e</w:t>
      </w:r>
      <w:r w:rsidRPr="00D86EDD">
        <w:rPr>
          <w:rFonts w:ascii="Times New Roman" w:hAnsi="Times New Roman"/>
          <w:noProof/>
          <w:sz w:val="24"/>
          <w:szCs w:val="24"/>
        </w:rPr>
        <w:t>streita colaboração com as instituições financeiras internacionais, bem como uma proposta</w:t>
      </w:r>
      <w:r w:rsidRPr="00D86EDD">
        <w:rPr>
          <w:rFonts w:ascii="Times New Roman" w:eastAsia="Times New Roman" w:hAnsi="Times New Roman"/>
          <w:noProof/>
          <w:sz w:val="24"/>
          <w:szCs w:val="24"/>
          <w:vertAlign w:val="superscript"/>
        </w:rPr>
        <w:footnoteReference w:id="6"/>
      </w:r>
      <w:r w:rsidRPr="00D86EDD">
        <w:rPr>
          <w:rFonts w:ascii="Times New Roman" w:hAnsi="Times New Roman"/>
          <w:noProof/>
          <w:sz w:val="24"/>
          <w:szCs w:val="24"/>
        </w:rPr>
        <w:t xml:space="preserve"> de </w:t>
      </w:r>
      <w:r w:rsidRPr="00D86EDD">
        <w:rPr>
          <w:rFonts w:ascii="Times New Roman" w:hAnsi="Times New Roman"/>
          <w:b/>
          <w:bCs/>
          <w:noProof/>
          <w:sz w:val="24"/>
          <w:szCs w:val="24"/>
        </w:rPr>
        <w:t>assistência macrofinanceira</w:t>
      </w:r>
      <w:r w:rsidRPr="00D86EDD">
        <w:rPr>
          <w:rFonts w:ascii="Times New Roman" w:hAnsi="Times New Roman"/>
          <w:noProof/>
          <w:sz w:val="24"/>
          <w:szCs w:val="24"/>
        </w:rPr>
        <w:t xml:space="preserve"> no valor de </w:t>
      </w:r>
      <w:r w:rsidRPr="00D86EDD">
        <w:rPr>
          <w:rFonts w:ascii="Times New Roman" w:hAnsi="Times New Roman"/>
          <w:b/>
          <w:bCs/>
          <w:noProof/>
          <w:sz w:val="24"/>
          <w:szCs w:val="24"/>
        </w:rPr>
        <w:t>750 milhões de EUR</w:t>
      </w:r>
      <w:r w:rsidRPr="00D86EDD">
        <w:rPr>
          <w:rFonts w:ascii="Times New Roman" w:hAnsi="Times New Roman"/>
          <w:noProof/>
          <w:sz w:val="24"/>
          <w:szCs w:val="24"/>
        </w:rPr>
        <w:t xml:space="preserve"> e um </w:t>
      </w:r>
      <w:r w:rsidRPr="00D86EDD">
        <w:rPr>
          <w:rFonts w:ascii="Times New Roman" w:hAnsi="Times New Roman"/>
          <w:b/>
          <w:bCs/>
          <w:noProof/>
          <w:sz w:val="24"/>
          <w:szCs w:val="24"/>
        </w:rPr>
        <w:t>pacote de assistência no valor de 1 700 milhões de EUR</w:t>
      </w:r>
      <w:r w:rsidRPr="00D86EDD">
        <w:rPr>
          <w:rFonts w:ascii="Times New Roman" w:hAnsi="Times New Roman"/>
          <w:noProof/>
          <w:sz w:val="24"/>
          <w:szCs w:val="24"/>
        </w:rPr>
        <w:t xml:space="preserve"> do</w:t>
      </w:r>
      <w:r w:rsidRPr="00D86EDD">
        <w:rPr>
          <w:rFonts w:ascii="Times New Roman" w:hAnsi="Times New Roman"/>
          <w:b/>
          <w:bCs/>
          <w:noProof/>
          <w:sz w:val="24"/>
          <w:szCs w:val="24"/>
        </w:rPr>
        <w:t xml:space="preserve"> Banco Europeu de Investimento</w:t>
      </w:r>
      <w:r w:rsidRPr="00D86EDD">
        <w:rPr>
          <w:rFonts w:ascii="Times New Roman" w:hAnsi="Times New Roman"/>
          <w:noProof/>
          <w:sz w:val="24"/>
          <w:szCs w:val="24"/>
        </w:rPr>
        <w:t xml:space="preserve">. A UE está também a prestar </w:t>
      </w:r>
      <w:r w:rsidRPr="00D86EDD">
        <w:rPr>
          <w:rFonts w:ascii="Times New Roman" w:hAnsi="Times New Roman"/>
          <w:b/>
          <w:bCs/>
          <w:noProof/>
          <w:sz w:val="24"/>
          <w:szCs w:val="24"/>
        </w:rPr>
        <w:t>assistência humanitária imediata aos refugiados e migrantes vulneráveis, no montante de 4,5 milhões de EUR</w:t>
      </w:r>
      <w:r w:rsidRPr="00D86EDD">
        <w:rPr>
          <w:rFonts w:ascii="Times New Roman" w:hAnsi="Times New Roman"/>
          <w:noProof/>
          <w:sz w:val="24"/>
          <w:szCs w:val="24"/>
        </w:rPr>
        <w:t xml:space="preserve"> para proteção, apoio a menores não acompanhados e cuidados de saúde, incluindo preparação para a COVID-19 e </w:t>
      </w:r>
      <w:r w:rsidRPr="00D86EDD">
        <w:rPr>
          <w:rFonts w:ascii="Times New Roman" w:hAnsi="Times New Roman"/>
          <w:b/>
          <w:bCs/>
          <w:noProof/>
          <w:sz w:val="24"/>
          <w:szCs w:val="24"/>
        </w:rPr>
        <w:t>8 milhões de</w:t>
      </w:r>
      <w:r w:rsidRPr="00D86EDD">
        <w:rPr>
          <w:rFonts w:ascii="Times New Roman" w:hAnsi="Times New Roman"/>
          <w:b/>
          <w:bCs/>
          <w:noProof/>
          <w:sz w:val="24"/>
          <w:szCs w:val="24"/>
        </w:rPr>
        <w:t xml:space="preserve"> EUR</w:t>
      </w:r>
      <w:r w:rsidRPr="00D86EDD">
        <w:rPr>
          <w:rFonts w:ascii="Times New Roman" w:hAnsi="Times New Roman"/>
          <w:noProof/>
          <w:sz w:val="24"/>
          <w:szCs w:val="24"/>
        </w:rPr>
        <w:t xml:space="preserve"> de ajuda de emergência a migrantes e refugiados bloqueados nos Balcãs Ocidentais, a partir do </w:t>
      </w:r>
      <w:r w:rsidRPr="00D86EDD">
        <w:rPr>
          <w:rFonts w:ascii="Times New Roman" w:hAnsi="Times New Roman"/>
          <w:b/>
          <w:bCs/>
          <w:noProof/>
          <w:sz w:val="24"/>
          <w:szCs w:val="24"/>
        </w:rPr>
        <w:t>Instrumento para a Estabilidade e a Paz</w:t>
      </w:r>
      <w:r w:rsidRPr="00D86EDD">
        <w:rPr>
          <w:rFonts w:ascii="Times New Roman" w:hAnsi="Times New Roman"/>
          <w:noProof/>
          <w:sz w:val="24"/>
          <w:szCs w:val="24"/>
        </w:rPr>
        <w:t xml:space="preserve">. Além disso, o </w:t>
      </w:r>
      <w:r w:rsidRPr="00D86EDD">
        <w:rPr>
          <w:rFonts w:ascii="Times New Roman" w:hAnsi="Times New Roman"/>
          <w:b/>
          <w:bCs/>
          <w:noProof/>
          <w:sz w:val="24"/>
          <w:szCs w:val="24"/>
        </w:rPr>
        <w:t>Fundo de Solidariedade</w:t>
      </w:r>
      <w:r w:rsidRPr="00D86EDD">
        <w:rPr>
          <w:rFonts w:ascii="Times New Roman" w:hAnsi="Times New Roman"/>
          <w:noProof/>
          <w:sz w:val="24"/>
          <w:szCs w:val="24"/>
        </w:rPr>
        <w:t xml:space="preserve"> da UE, aberto aos países dos Balcãs Ocidentais que iniciaram negociações de ade</w:t>
      </w:r>
      <w:r w:rsidRPr="00D86EDD">
        <w:rPr>
          <w:rFonts w:ascii="Times New Roman" w:hAnsi="Times New Roman"/>
          <w:noProof/>
          <w:sz w:val="24"/>
          <w:szCs w:val="24"/>
        </w:rPr>
        <w:t>são, abrange atualmente também as crises de saúde pública.</w:t>
      </w:r>
    </w:p>
    <w:p w:rsidR="00B1535B" w:rsidRPr="00D86EDD" w:rsidRDefault="00D86EDD" w:rsidP="00D86EDD">
      <w:pPr>
        <w:pStyle w:val="FootnoteText"/>
        <w:spacing w:after="120"/>
        <w:jc w:val="both"/>
        <w:rPr>
          <w:rFonts w:ascii="Times New Roman" w:eastAsia="Times New Roman" w:hAnsi="Times New Roman"/>
          <w:noProof/>
          <w:sz w:val="24"/>
          <w:szCs w:val="24"/>
        </w:rPr>
      </w:pPr>
      <w:r w:rsidRPr="00D86EDD">
        <w:rPr>
          <w:rFonts w:ascii="Times New Roman" w:hAnsi="Times New Roman"/>
          <w:noProof/>
          <w:sz w:val="24"/>
          <w:szCs w:val="24"/>
        </w:rPr>
        <w:t xml:space="preserve">Uma parte significativa do apoio económico da UE </w:t>
      </w:r>
      <w:r w:rsidRPr="00D86EDD">
        <w:rPr>
          <w:rFonts w:ascii="Times New Roman" w:hAnsi="Times New Roman"/>
          <w:b/>
          <w:bCs/>
          <w:noProof/>
          <w:sz w:val="24"/>
          <w:szCs w:val="24"/>
        </w:rPr>
        <w:t xml:space="preserve">ajudará o setor privado a enfrentar os problemas de liquidez e as dificuldades financeiras </w:t>
      </w:r>
      <w:r w:rsidRPr="00D86EDD">
        <w:rPr>
          <w:rFonts w:ascii="Times New Roman" w:hAnsi="Times New Roman"/>
          <w:noProof/>
          <w:sz w:val="24"/>
          <w:szCs w:val="24"/>
        </w:rPr>
        <w:t>mediante a mobilização de sistemas de garantia financiado</w:t>
      </w:r>
      <w:r w:rsidRPr="00D86EDD">
        <w:rPr>
          <w:rFonts w:ascii="Times New Roman" w:hAnsi="Times New Roman"/>
          <w:noProof/>
          <w:sz w:val="24"/>
          <w:szCs w:val="24"/>
        </w:rPr>
        <w:t xml:space="preserve">s pela UE, em cooperação com as instituições financeiras internacionais. </w:t>
      </w:r>
    </w:p>
    <w:p w:rsidR="00B1535B" w:rsidRPr="00D86EDD" w:rsidRDefault="00D86EDD" w:rsidP="00D86EDD">
      <w:pPr>
        <w:pStyle w:val="FootnoteText"/>
        <w:spacing w:after="120"/>
        <w:jc w:val="both"/>
        <w:rPr>
          <w:rFonts w:ascii="Times New Roman" w:eastAsia="Times New Roman" w:hAnsi="Times New Roman"/>
          <w:noProof/>
          <w:sz w:val="24"/>
          <w:szCs w:val="24"/>
        </w:rPr>
      </w:pPr>
      <w:r w:rsidRPr="00D86EDD">
        <w:rPr>
          <w:rFonts w:ascii="Times New Roman" w:hAnsi="Times New Roman"/>
          <w:noProof/>
          <w:sz w:val="24"/>
          <w:szCs w:val="24"/>
        </w:rPr>
        <w:t xml:space="preserve">A resposta da UE segue uma </w:t>
      </w:r>
      <w:r w:rsidRPr="00D86EDD">
        <w:rPr>
          <w:rFonts w:ascii="Times New Roman" w:hAnsi="Times New Roman"/>
          <w:b/>
          <w:bCs/>
          <w:noProof/>
          <w:sz w:val="24"/>
          <w:szCs w:val="24"/>
        </w:rPr>
        <w:t>abordagem de Equipa Europa («Team Europe»</w:t>
      </w:r>
      <w:r w:rsidRPr="00D86EDD">
        <w:rPr>
          <w:rFonts w:ascii="Times New Roman" w:hAnsi="Times New Roman"/>
          <w:noProof/>
          <w:sz w:val="24"/>
          <w:szCs w:val="24"/>
        </w:rPr>
        <w:t>)</w:t>
      </w:r>
      <w:r w:rsidRPr="00D86EDD">
        <w:rPr>
          <w:rFonts w:ascii="Times New Roman" w:eastAsia="Times New Roman" w:hAnsi="Times New Roman"/>
          <w:b/>
          <w:bCs/>
          <w:noProof/>
          <w:sz w:val="24"/>
          <w:szCs w:val="24"/>
          <w:vertAlign w:val="superscript"/>
        </w:rPr>
        <w:footnoteReference w:id="7"/>
      </w:r>
      <w:r w:rsidRPr="00D86EDD">
        <w:rPr>
          <w:rFonts w:ascii="Times New Roman" w:hAnsi="Times New Roman"/>
          <w:noProof/>
          <w:sz w:val="24"/>
          <w:szCs w:val="24"/>
        </w:rPr>
        <w:t xml:space="preserve">: o nosso apoio rápido e orientado combina recursos das instituições, dos Estados-Membros e das instituições </w:t>
      </w:r>
      <w:r w:rsidRPr="00D86EDD">
        <w:rPr>
          <w:rFonts w:ascii="Times New Roman" w:hAnsi="Times New Roman"/>
          <w:noProof/>
          <w:sz w:val="24"/>
          <w:szCs w:val="24"/>
        </w:rPr>
        <w:t xml:space="preserve">financeiras da UE, em especial o Banco Europeu de Investimento e o Banco Europeu de Reconstrução e Desenvolvimento. Juntamente com os nossos parceiros, pretendemos garantir que o financiamento substancial que a UE já lhes atribuiu se destina a ajudá-los a </w:t>
      </w:r>
      <w:r w:rsidRPr="00D86EDD">
        <w:rPr>
          <w:rFonts w:ascii="Times New Roman" w:hAnsi="Times New Roman"/>
          <w:noProof/>
          <w:sz w:val="24"/>
          <w:szCs w:val="24"/>
        </w:rPr>
        <w:t>combater os efeitos da pandemia. Paralelamente, alguns Estados-Membros da UE concedem igualmente apoio bilateral, sob a forma de ajuda financeira ou da doação de material.</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Em resultado do surto de COVI-19, os Balcãs Ocidentais também </w:t>
      </w:r>
      <w:r w:rsidRPr="00D86EDD">
        <w:rPr>
          <w:rFonts w:ascii="Times New Roman" w:hAnsi="Times New Roman" w:cs="Times New Roman"/>
          <w:b/>
          <w:bCs/>
          <w:noProof/>
          <w:sz w:val="24"/>
          <w:szCs w:val="24"/>
        </w:rPr>
        <w:t>ativaram o Mecanismo d</w:t>
      </w:r>
      <w:r w:rsidRPr="00D86EDD">
        <w:rPr>
          <w:rFonts w:ascii="Times New Roman" w:hAnsi="Times New Roman" w:cs="Times New Roman"/>
          <w:b/>
          <w:bCs/>
          <w:noProof/>
          <w:sz w:val="24"/>
          <w:szCs w:val="24"/>
        </w:rPr>
        <w:t>e Proteção Civil da União (MPCU)</w:t>
      </w:r>
      <w:r w:rsidRPr="00D86EDD">
        <w:rPr>
          <w:rFonts w:ascii="Times New Roman" w:hAnsi="Times New Roman" w:cs="Times New Roman"/>
          <w:noProof/>
          <w:sz w:val="24"/>
          <w:szCs w:val="24"/>
        </w:rPr>
        <w:t xml:space="preserve"> e já começaram a receber assistência dos Estados-Membros e dos Estados participantes do MPCU. </w:t>
      </w:r>
      <w:r w:rsidRPr="00D86EDD">
        <w:rPr>
          <w:rFonts w:ascii="Times New Roman" w:hAnsi="Times New Roman" w:cs="Times New Roman"/>
          <w:b/>
          <w:bCs/>
          <w:noProof/>
          <w:sz w:val="24"/>
          <w:szCs w:val="24"/>
        </w:rPr>
        <w:t>A Sérvia, a Macedónia do Norte e o Montenegro</w:t>
      </w:r>
      <w:r w:rsidRPr="00D86EDD">
        <w:rPr>
          <w:rFonts w:ascii="Times New Roman" w:hAnsi="Times New Roman" w:cs="Times New Roman"/>
          <w:noProof/>
          <w:sz w:val="24"/>
          <w:szCs w:val="24"/>
        </w:rPr>
        <w:t xml:space="preserve">, enquanto Estados participantes no Mecanismo, podem contribuir e solicitar o apoio </w:t>
      </w:r>
      <w:r w:rsidRPr="00D86EDD">
        <w:rPr>
          <w:rFonts w:ascii="Times New Roman" w:hAnsi="Times New Roman" w:cs="Times New Roman"/>
          <w:noProof/>
          <w:sz w:val="24"/>
          <w:szCs w:val="24"/>
        </w:rPr>
        <w:t>da rescEU, incluindo a constituição de reservas de contramedidas e equipamentos médicos. Os cidadãos dos Balcãs Ocidentais bloqueados no estrangeiro têm estado entre as pessoas repatriadas para a Europa graças aos voos organizados e cofinanciados pelo MPCU</w:t>
      </w:r>
      <w:r w:rsidRPr="00D86EDD">
        <w:rPr>
          <w:rFonts w:ascii="Times New Roman" w:hAnsi="Times New Roman" w:cs="Times New Roman"/>
          <w:noProof/>
          <w:sz w:val="24"/>
          <w:szCs w:val="24"/>
        </w:rPr>
        <w:t>. As autoridades de proteção civil dos Balcãs Ocidentais continuarão a participar nas ações de formação, nos exercícios e no intercâmbio de peritos no âmbito do MPCU. A UE agradece igualmente o valioso apoio que os Balcãs Ocidentais prestaram à União e aos</w:t>
      </w:r>
      <w:r w:rsidRPr="00D86EDD">
        <w:rPr>
          <w:rFonts w:ascii="Times New Roman" w:hAnsi="Times New Roman" w:cs="Times New Roman"/>
          <w:noProof/>
          <w:sz w:val="24"/>
          <w:szCs w:val="24"/>
        </w:rPr>
        <w:t xml:space="preserve"> seus vizinhos imediatos em termos de pessoal médico e de equipamento, o que reflete a solidariedade e os valores fundamentais em que a UE assenta.</w:t>
      </w:r>
      <w:r w:rsidRPr="00D86EDD">
        <w:rPr>
          <w:rFonts w:ascii="Times New Roman" w:hAnsi="Times New Roman" w:cs="Times New Roman"/>
          <w:noProof/>
          <w:sz w:val="24"/>
          <w:szCs w:val="24"/>
        </w:rPr>
        <w:t xml:space="preserve"> </w:t>
      </w:r>
    </w:p>
    <w:p w:rsidR="00B1535B" w:rsidRPr="00D86EDD" w:rsidRDefault="00D86EDD" w:rsidP="00D86EDD">
      <w:pPr>
        <w:pStyle w:val="FootnoteText"/>
        <w:spacing w:after="120"/>
        <w:jc w:val="both"/>
        <w:rPr>
          <w:rFonts w:ascii="Times New Roman" w:hAnsi="Times New Roman"/>
          <w:b/>
          <w:bCs/>
          <w:noProof/>
          <w:sz w:val="24"/>
          <w:szCs w:val="24"/>
        </w:rPr>
      </w:pPr>
      <w:r w:rsidRPr="00D86EDD">
        <w:rPr>
          <w:rFonts w:ascii="Times New Roman" w:hAnsi="Times New Roman"/>
          <w:noProof/>
          <w:sz w:val="24"/>
          <w:szCs w:val="24"/>
        </w:rPr>
        <w:t xml:space="preserve">A atual pandemia ilustra assim claramente de que forma a UE e os Balcãs Ocidentais estão a </w:t>
      </w:r>
      <w:r w:rsidRPr="00D86EDD">
        <w:rPr>
          <w:rFonts w:ascii="Times New Roman" w:hAnsi="Times New Roman"/>
          <w:b/>
          <w:bCs/>
          <w:noProof/>
          <w:sz w:val="24"/>
          <w:szCs w:val="24"/>
        </w:rPr>
        <w:t>enfrentar em con</w:t>
      </w:r>
      <w:r w:rsidRPr="00D86EDD">
        <w:rPr>
          <w:rFonts w:ascii="Times New Roman" w:hAnsi="Times New Roman"/>
          <w:b/>
          <w:bCs/>
          <w:noProof/>
          <w:sz w:val="24"/>
          <w:szCs w:val="24"/>
        </w:rPr>
        <w:t>junto os desafios comuns</w:t>
      </w:r>
      <w:r w:rsidRPr="00D86EDD">
        <w:rPr>
          <w:rFonts w:ascii="Times New Roman" w:hAnsi="Times New Roman"/>
          <w:noProof/>
          <w:sz w:val="24"/>
          <w:szCs w:val="24"/>
        </w:rPr>
        <w:t xml:space="preserve">. Tal inclui </w:t>
      </w:r>
      <w:r w:rsidRPr="00D86EDD">
        <w:rPr>
          <w:rFonts w:ascii="Times New Roman" w:hAnsi="Times New Roman"/>
          <w:b/>
          <w:bCs/>
          <w:noProof/>
          <w:sz w:val="24"/>
          <w:szCs w:val="24"/>
        </w:rPr>
        <w:t>a aquisição conjunta de equipamento médico</w:t>
      </w:r>
      <w:r w:rsidRPr="00D86EDD">
        <w:rPr>
          <w:rFonts w:ascii="Times New Roman" w:hAnsi="Times New Roman"/>
          <w:noProof/>
          <w:sz w:val="24"/>
          <w:szCs w:val="24"/>
        </w:rPr>
        <w:t xml:space="preserve">, isentando a região do </w:t>
      </w:r>
      <w:r w:rsidRPr="00D86EDD">
        <w:rPr>
          <w:rFonts w:ascii="Times New Roman" w:hAnsi="Times New Roman"/>
          <w:b/>
          <w:bCs/>
          <w:noProof/>
          <w:sz w:val="24"/>
          <w:szCs w:val="24"/>
        </w:rPr>
        <w:t>regime de autorização de exportações</w:t>
      </w:r>
      <w:r w:rsidRPr="00D86EDD">
        <w:rPr>
          <w:rFonts w:ascii="Times New Roman" w:hAnsi="Times New Roman"/>
          <w:noProof/>
          <w:sz w:val="24"/>
          <w:szCs w:val="24"/>
        </w:rPr>
        <w:t xml:space="preserve"> da UE no que se refere ao equipamento de proteção pessoal</w:t>
      </w:r>
      <w:r w:rsidRPr="00D86EDD">
        <w:rPr>
          <w:rFonts w:ascii="Times New Roman" w:eastAsia="Times New Roman" w:hAnsi="Times New Roman"/>
          <w:noProof/>
          <w:sz w:val="24"/>
          <w:szCs w:val="24"/>
          <w:vertAlign w:val="superscript"/>
        </w:rPr>
        <w:footnoteReference w:id="8"/>
      </w:r>
      <w:r w:rsidRPr="00D86EDD">
        <w:rPr>
          <w:rFonts w:ascii="Times New Roman" w:hAnsi="Times New Roman"/>
          <w:noProof/>
          <w:sz w:val="24"/>
          <w:szCs w:val="24"/>
        </w:rPr>
        <w:t xml:space="preserve">, e o </w:t>
      </w:r>
      <w:r w:rsidRPr="00D86EDD">
        <w:rPr>
          <w:rFonts w:ascii="Times New Roman" w:hAnsi="Times New Roman"/>
          <w:b/>
          <w:bCs/>
          <w:noProof/>
          <w:sz w:val="24"/>
          <w:szCs w:val="24"/>
        </w:rPr>
        <w:t>fornecimento pela UE de material de testagem</w:t>
      </w:r>
      <w:r w:rsidRPr="00D86EDD">
        <w:rPr>
          <w:rFonts w:ascii="Times New Roman" w:hAnsi="Times New Roman"/>
          <w:noProof/>
          <w:sz w:val="24"/>
          <w:szCs w:val="24"/>
        </w:rPr>
        <w:t xml:space="preserve"> desenvo</w:t>
      </w:r>
      <w:r w:rsidRPr="00D86EDD">
        <w:rPr>
          <w:rFonts w:ascii="Times New Roman" w:hAnsi="Times New Roman"/>
          <w:noProof/>
          <w:sz w:val="24"/>
          <w:szCs w:val="24"/>
        </w:rPr>
        <w:t xml:space="preserve">lvido pelo Centro Comum de Investigação da Comissão Europeia para assegurar o correto funcionamento dos testes ao coronavírus nos Balcãs Ocidentais. As partes interessadas de toda a região participam plenamente nos esforços europeus no domínio da </w:t>
      </w:r>
      <w:r w:rsidRPr="00D86EDD">
        <w:rPr>
          <w:rFonts w:ascii="Times New Roman" w:hAnsi="Times New Roman"/>
          <w:b/>
          <w:noProof/>
          <w:sz w:val="24"/>
          <w:szCs w:val="24"/>
        </w:rPr>
        <w:t>investiga</w:t>
      </w:r>
      <w:r w:rsidRPr="00D86EDD">
        <w:rPr>
          <w:rFonts w:ascii="Times New Roman" w:hAnsi="Times New Roman"/>
          <w:b/>
          <w:noProof/>
          <w:sz w:val="24"/>
          <w:szCs w:val="24"/>
        </w:rPr>
        <w:t>ção e da inovação</w:t>
      </w:r>
      <w:r w:rsidRPr="00D86EDD">
        <w:rPr>
          <w:rFonts w:ascii="Times New Roman" w:hAnsi="Times New Roman"/>
          <w:noProof/>
          <w:sz w:val="24"/>
          <w:szCs w:val="24"/>
        </w:rPr>
        <w:t xml:space="preserve"> em matéria de COVID-19. Toda a região beneficia igualmente da assistência técnica e do intercâmbio de informações facilitado pelo </w:t>
      </w:r>
      <w:r w:rsidRPr="00D86EDD">
        <w:rPr>
          <w:rFonts w:ascii="Times New Roman" w:hAnsi="Times New Roman"/>
          <w:b/>
          <w:bCs/>
          <w:noProof/>
          <w:sz w:val="24"/>
          <w:szCs w:val="24"/>
        </w:rPr>
        <w:t>Centro Europeu de Prevenção e Controlo das Doenças</w:t>
      </w:r>
      <w:r w:rsidRPr="00D86EDD">
        <w:rPr>
          <w:rFonts w:ascii="Times New Roman" w:hAnsi="Times New Roman"/>
          <w:noProof/>
          <w:sz w:val="24"/>
          <w:szCs w:val="24"/>
        </w:rPr>
        <w:t>, enquanto os países candidatos dos Balcãs Ocidentais fora</w:t>
      </w:r>
      <w:r w:rsidRPr="00D86EDD">
        <w:rPr>
          <w:rFonts w:ascii="Times New Roman" w:hAnsi="Times New Roman"/>
          <w:noProof/>
          <w:sz w:val="24"/>
          <w:szCs w:val="24"/>
        </w:rPr>
        <w:t xml:space="preserve">m convidados, na qualidade de observadores, para o </w:t>
      </w:r>
      <w:r w:rsidRPr="00D86EDD">
        <w:rPr>
          <w:rFonts w:ascii="Times New Roman" w:hAnsi="Times New Roman"/>
          <w:b/>
          <w:bCs/>
          <w:noProof/>
          <w:sz w:val="24"/>
          <w:szCs w:val="24"/>
        </w:rPr>
        <w:t>Comité de Segurança da Saúde da UE</w:t>
      </w:r>
      <w:r w:rsidRPr="00D86EDD">
        <w:rPr>
          <w:rFonts w:ascii="Times New Roman" w:hAnsi="Times New Roman"/>
          <w:noProof/>
          <w:sz w:val="24"/>
          <w:szCs w:val="24"/>
        </w:rPr>
        <w:t xml:space="preserve"> e podem aceder ao respetivo </w:t>
      </w:r>
      <w:r w:rsidRPr="00D86EDD">
        <w:rPr>
          <w:rFonts w:ascii="Times New Roman" w:hAnsi="Times New Roman"/>
          <w:b/>
          <w:bCs/>
          <w:noProof/>
          <w:sz w:val="24"/>
          <w:szCs w:val="24"/>
        </w:rPr>
        <w:t>Sistema de Alerta Rápido e de Resposta</w:t>
      </w:r>
      <w:r w:rsidRPr="00D86EDD">
        <w:rPr>
          <w:rFonts w:ascii="Times New Roman" w:hAnsi="Times New Roman"/>
          <w:noProof/>
          <w:sz w:val="24"/>
          <w:szCs w:val="24"/>
        </w:rPr>
        <w:t>.</w:t>
      </w:r>
    </w:p>
    <w:p w:rsidR="00B1535B" w:rsidRPr="00D86EDD" w:rsidRDefault="00D86EDD" w:rsidP="00D86EDD">
      <w:pPr>
        <w:spacing w:line="240" w:lineRule="auto"/>
        <w:jc w:val="both"/>
        <w:rPr>
          <w:rFonts w:ascii="Times New Roman" w:hAnsi="Times New Roman" w:cs="Times New Roman"/>
          <w:noProof/>
          <w:sz w:val="24"/>
          <w:szCs w:val="24"/>
        </w:rPr>
      </w:pPr>
      <w:bookmarkStart w:id="1" w:name="_GoBack"/>
      <w:bookmarkEnd w:id="1"/>
      <w:r w:rsidRPr="00D86EDD">
        <w:rPr>
          <w:rFonts w:ascii="Times New Roman" w:hAnsi="Times New Roman" w:cs="Times New Roman"/>
          <w:noProof/>
          <w:sz w:val="24"/>
          <w:szCs w:val="24"/>
        </w:rPr>
        <w:t>A proposta conjunta do Secretariado Permanente da Comunidade dos Transportes e do CEFTA, garantiu a e</w:t>
      </w:r>
      <w:r w:rsidRPr="00D86EDD">
        <w:rPr>
          <w:rFonts w:ascii="Times New Roman" w:hAnsi="Times New Roman" w:cs="Times New Roman"/>
          <w:noProof/>
          <w:sz w:val="24"/>
          <w:szCs w:val="24"/>
        </w:rPr>
        <w:t>xtensão aos Balcãs Ocidentais do conceito de «corredores verdes», assegurando a rápida circulação de bens essenciais na região. A Comissão está disposta a associar estreitamente a região à implementação do seu «</w:t>
      </w:r>
      <w:r w:rsidRPr="00D86EDD">
        <w:rPr>
          <w:rFonts w:ascii="Times New Roman" w:hAnsi="Times New Roman" w:cs="Times New Roman"/>
          <w:b/>
          <w:noProof/>
          <w:sz w:val="24"/>
          <w:szCs w:val="24"/>
        </w:rPr>
        <w:t>Roteiro europeu comum</w:t>
      </w:r>
      <w:r w:rsidRPr="00D86EDD">
        <w:rPr>
          <w:rFonts w:ascii="Times New Roman" w:hAnsi="Times New Roman" w:cs="Times New Roman"/>
          <w:noProof/>
          <w:sz w:val="24"/>
          <w:szCs w:val="24"/>
        </w:rPr>
        <w:t xml:space="preserve"> para o levantamento das medidas de contenção ligadas à COVID-19». Para além desta emergência sanitária e das restrições conexas à circulação de mercadorias e passageiros, a Comissão está igualmente empenhada em contribuir, a longo prazo, para a melhoria d</w:t>
      </w:r>
      <w:r w:rsidRPr="00D86EDD">
        <w:rPr>
          <w:rFonts w:ascii="Times New Roman" w:hAnsi="Times New Roman" w:cs="Times New Roman"/>
          <w:noProof/>
          <w:sz w:val="24"/>
          <w:szCs w:val="24"/>
        </w:rPr>
        <w:t>a conectividade com os Balcãs Ocidentais, encontrando solução para os estrangulamentos estruturais nas fronteiras entre a UE e os Balcãs Ocidentais. A Comissão publicou também orientações</w:t>
      </w:r>
      <w:r w:rsidRPr="00D86EDD">
        <w:rPr>
          <w:rStyle w:val="FootnoteReference"/>
          <w:rFonts w:ascii="Times New Roman" w:hAnsi="Times New Roman" w:cs="Times New Roman"/>
          <w:noProof/>
          <w:sz w:val="24"/>
          <w:szCs w:val="24"/>
        </w:rPr>
        <w:footnoteReference w:id="9"/>
      </w:r>
      <w:r w:rsidRPr="00D86EDD">
        <w:rPr>
          <w:rFonts w:ascii="Times New Roman" w:hAnsi="Times New Roman" w:cs="Times New Roman"/>
          <w:noProof/>
          <w:sz w:val="24"/>
          <w:szCs w:val="24"/>
        </w:rPr>
        <w:t xml:space="preserve"> sobre a forma de aplicar as restrições temporárias de viagem aplicá</w:t>
      </w:r>
      <w:r w:rsidRPr="00D86EDD">
        <w:rPr>
          <w:rFonts w:ascii="Times New Roman" w:hAnsi="Times New Roman" w:cs="Times New Roman"/>
          <w:noProof/>
          <w:sz w:val="24"/>
          <w:szCs w:val="24"/>
        </w:rPr>
        <w:t>veis a todas as viagens não indispensáveis de países terceiros para a UE, incluindo o tratamento das pessoas obrigadas a permanecer na UE por um período mais longo do que o autorizado.</w:t>
      </w:r>
    </w:p>
    <w:p w:rsidR="00B1535B" w:rsidRPr="00D86EDD" w:rsidRDefault="00B1535B" w:rsidP="00D86EDD">
      <w:pPr>
        <w:pStyle w:val="Body"/>
        <w:spacing w:after="120" w:line="240" w:lineRule="auto"/>
        <w:jc w:val="both"/>
        <w:rPr>
          <w:rFonts w:ascii="Times New Roman" w:hAnsi="Times New Roman" w:cs="Times New Roman"/>
          <w:noProof/>
          <w:sz w:val="24"/>
          <w:szCs w:val="24"/>
        </w:rPr>
      </w:pP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Esta cooperação UE-Balcãs Ocidentais e o apoio concedido pela UE </w:t>
      </w:r>
      <w:r w:rsidRPr="00D86EDD">
        <w:rPr>
          <w:rFonts w:ascii="Times New Roman" w:hAnsi="Times New Roman" w:cs="Times New Roman"/>
          <w:b/>
          <w:bCs/>
          <w:noProof/>
          <w:sz w:val="24"/>
          <w:szCs w:val="24"/>
        </w:rPr>
        <w:t>vão m</w:t>
      </w:r>
      <w:r w:rsidRPr="00D86EDD">
        <w:rPr>
          <w:rFonts w:ascii="Times New Roman" w:hAnsi="Times New Roman" w:cs="Times New Roman"/>
          <w:b/>
          <w:bCs/>
          <w:noProof/>
          <w:sz w:val="24"/>
          <w:szCs w:val="24"/>
        </w:rPr>
        <w:t>uito além do que qualquer outro parceiro proporcionou à região</w:t>
      </w:r>
      <w:r w:rsidRPr="00D86EDD">
        <w:rPr>
          <w:rFonts w:ascii="Times New Roman" w:hAnsi="Times New Roman" w:cs="Times New Roman"/>
          <w:noProof/>
          <w:sz w:val="24"/>
          <w:szCs w:val="24"/>
        </w:rPr>
        <w:t xml:space="preserve"> e refletem a sua ancoragem estratégica. As instituições da UE empenharam-se em intensas campanhas de comunicação, divulgando a assistência prestada pela UE, publicando artigos de opinião conjun</w:t>
      </w:r>
      <w:r w:rsidRPr="00D86EDD">
        <w:rPr>
          <w:rFonts w:ascii="Times New Roman" w:hAnsi="Times New Roman" w:cs="Times New Roman"/>
          <w:noProof/>
          <w:sz w:val="24"/>
          <w:szCs w:val="24"/>
        </w:rPr>
        <w:t>tos com os Estados-Membros da UE no terreno, apoiando as campanhas «fique em casa» e contribuindo para a divulgação de informações factuais sobre o COVID-19.</w:t>
      </w:r>
      <w:r w:rsidRPr="00D86EDD">
        <w:rPr>
          <w:rFonts w:ascii="Times New Roman" w:hAnsi="Times New Roman" w:cs="Times New Roman"/>
          <w:b/>
          <w:bCs/>
          <w:noProof/>
          <w:sz w:val="24"/>
          <w:szCs w:val="24"/>
        </w:rPr>
        <w:t xml:space="preserve"> </w:t>
      </w:r>
      <w:r w:rsidRPr="00D86EDD">
        <w:rPr>
          <w:rFonts w:ascii="Times New Roman" w:hAnsi="Times New Roman" w:cs="Times New Roman"/>
          <w:noProof/>
          <w:sz w:val="24"/>
          <w:szCs w:val="24"/>
        </w:rPr>
        <w:t xml:space="preserve">A este respeito, é necessário combater pública e firmemente as tentativas de difundir informações </w:t>
      </w:r>
      <w:r w:rsidRPr="00D86EDD">
        <w:rPr>
          <w:rFonts w:ascii="Times New Roman" w:hAnsi="Times New Roman" w:cs="Times New Roman"/>
          <w:noProof/>
          <w:sz w:val="24"/>
          <w:szCs w:val="24"/>
        </w:rPr>
        <w:t>erradas sobre as origens da crise e sobre os esforços envidados para a enfrentar, intensificando simultaneamente a cooperação para defender a liberdade de expressão e a liberdade dos meios de comunicação social.</w:t>
      </w:r>
    </w:p>
    <w:p w:rsidR="00B1535B" w:rsidRPr="00D86EDD" w:rsidRDefault="00B1535B" w:rsidP="00D86EDD">
      <w:pPr>
        <w:pStyle w:val="Body"/>
        <w:spacing w:after="120" w:line="240" w:lineRule="auto"/>
        <w:jc w:val="both"/>
        <w:rPr>
          <w:rFonts w:ascii="Times New Roman" w:eastAsia="Times New Roman" w:hAnsi="Times New Roman" w:cs="Times New Roman"/>
          <w:noProof/>
          <w:sz w:val="24"/>
          <w:szCs w:val="24"/>
        </w:rPr>
      </w:pPr>
    </w:p>
    <w:p w:rsidR="00B1535B" w:rsidRPr="00D86EDD" w:rsidRDefault="00D86EDD" w:rsidP="00D86EDD">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D86EDD">
        <w:rPr>
          <w:rFonts w:ascii="Times New Roman" w:hAnsi="Times New Roman"/>
          <w:b/>
          <w:bCs/>
          <w:noProof/>
          <w:sz w:val="24"/>
          <w:szCs w:val="24"/>
        </w:rPr>
        <w:t>Para além da COVI-19 — um plano económico e</w:t>
      </w:r>
      <w:r w:rsidRPr="00D86EDD">
        <w:rPr>
          <w:rFonts w:ascii="Times New Roman" w:hAnsi="Times New Roman"/>
          <w:b/>
          <w:bCs/>
          <w:noProof/>
          <w:sz w:val="24"/>
          <w:szCs w:val="24"/>
        </w:rPr>
        <w:t xml:space="preserve"> de investimento para assegurar a recuperação </w:t>
      </w:r>
    </w:p>
    <w:p w:rsidR="00B1535B" w:rsidRPr="00D86EDD" w:rsidRDefault="00D86EDD" w:rsidP="00D86EDD">
      <w:pPr>
        <w:pStyle w:val="FootnoteText"/>
        <w:spacing w:after="120"/>
        <w:jc w:val="both"/>
        <w:rPr>
          <w:rFonts w:ascii="Times New Roman" w:eastAsia="Times New Roman" w:hAnsi="Times New Roman"/>
          <w:noProof/>
          <w:sz w:val="24"/>
          <w:szCs w:val="24"/>
        </w:rPr>
      </w:pPr>
      <w:r w:rsidRPr="00D86EDD">
        <w:rPr>
          <w:rFonts w:ascii="Times New Roman" w:hAnsi="Times New Roman"/>
          <w:noProof/>
          <w:sz w:val="24"/>
          <w:szCs w:val="24"/>
        </w:rPr>
        <w:t>Os Balcãs Ocidentais necessitarão de um apoio contínuo para fazer face ao impacto da crise da COVID-19.</w:t>
      </w:r>
      <w:r w:rsidRPr="00D86EDD">
        <w:rPr>
          <w:rFonts w:ascii="Times New Roman" w:hAnsi="Times New Roman"/>
          <w:b/>
          <w:bCs/>
          <w:noProof/>
          <w:sz w:val="24"/>
          <w:szCs w:val="24"/>
        </w:rPr>
        <w:t xml:space="preserve"> </w:t>
      </w:r>
      <w:r w:rsidRPr="00D86EDD">
        <w:rPr>
          <w:rFonts w:ascii="Times New Roman" w:hAnsi="Times New Roman"/>
          <w:noProof/>
          <w:sz w:val="24"/>
          <w:szCs w:val="24"/>
        </w:rPr>
        <w:t>Quando for possível atenuar as medidas imediatas para conter a pandemia de COVID-19, terá início uma nova</w:t>
      </w:r>
      <w:r w:rsidRPr="00D86EDD">
        <w:rPr>
          <w:rFonts w:ascii="Times New Roman" w:hAnsi="Times New Roman"/>
          <w:noProof/>
          <w:sz w:val="24"/>
          <w:szCs w:val="24"/>
        </w:rPr>
        <w:t xml:space="preserve"> fase de estreita cooperação, a fim de combater as pesadas repercussões socioeconómicas da crise. A Comissão Europeia apresentará ainda este ano um </w:t>
      </w:r>
      <w:r w:rsidRPr="00D86EDD">
        <w:rPr>
          <w:rFonts w:ascii="Times New Roman" w:hAnsi="Times New Roman"/>
          <w:b/>
          <w:bCs/>
          <w:noProof/>
          <w:sz w:val="24"/>
          <w:szCs w:val="24"/>
        </w:rPr>
        <w:t>Plano Económico e de Investimento para a região</w:t>
      </w:r>
      <w:r w:rsidRPr="00D86EDD">
        <w:rPr>
          <w:rFonts w:ascii="Times New Roman" w:hAnsi="Times New Roman"/>
          <w:noProof/>
          <w:sz w:val="24"/>
          <w:szCs w:val="24"/>
        </w:rPr>
        <w:t xml:space="preserve">.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O plano incluirá um </w:t>
      </w:r>
      <w:r w:rsidRPr="00D86EDD">
        <w:rPr>
          <w:rFonts w:ascii="Times New Roman" w:hAnsi="Times New Roman" w:cs="Times New Roman"/>
          <w:b/>
          <w:bCs/>
          <w:noProof/>
          <w:sz w:val="24"/>
          <w:szCs w:val="24"/>
        </w:rPr>
        <w:t>pacote de investimento significativo e</w:t>
      </w:r>
      <w:r w:rsidRPr="00D86EDD">
        <w:rPr>
          <w:rFonts w:ascii="Times New Roman" w:hAnsi="Times New Roman" w:cs="Times New Roman"/>
          <w:b/>
          <w:bCs/>
          <w:noProof/>
          <w:sz w:val="24"/>
          <w:szCs w:val="24"/>
        </w:rPr>
        <w:t>m favor destes países</w:t>
      </w:r>
      <w:r w:rsidRPr="00D86EDD">
        <w:rPr>
          <w:rFonts w:ascii="Times New Roman" w:hAnsi="Times New Roman" w:cs="Times New Roman"/>
          <w:noProof/>
          <w:sz w:val="24"/>
          <w:szCs w:val="24"/>
        </w:rPr>
        <w:t xml:space="preserve">. Para o </w:t>
      </w:r>
      <w:r w:rsidRPr="00D86EDD">
        <w:rPr>
          <w:rFonts w:ascii="Times New Roman" w:hAnsi="Times New Roman" w:cs="Times New Roman"/>
          <w:b/>
          <w:bCs/>
          <w:noProof/>
          <w:sz w:val="24"/>
          <w:szCs w:val="24"/>
        </w:rPr>
        <w:t>período 2021-2027</w:t>
      </w:r>
      <w:r w:rsidRPr="00D86EDD">
        <w:rPr>
          <w:rFonts w:ascii="Times New Roman" w:hAnsi="Times New Roman" w:cs="Times New Roman"/>
          <w:noProof/>
          <w:sz w:val="24"/>
          <w:szCs w:val="24"/>
        </w:rPr>
        <w:t xml:space="preserve">, a Comissão propôs, em 2 de maio de 2018, uma dotação total para o Instrumento de Pré-Adesão III de 14 500 milhões de EUR, destinada na sua maior parte aos Balcãs Ocidentais. A Comissão prevê </w:t>
      </w:r>
      <w:r w:rsidRPr="00D86EDD">
        <w:rPr>
          <w:rFonts w:ascii="Times New Roman" w:hAnsi="Times New Roman" w:cs="Times New Roman"/>
          <w:b/>
          <w:bCs/>
          <w:noProof/>
          <w:sz w:val="24"/>
          <w:szCs w:val="24"/>
        </w:rPr>
        <w:t>duplicar a conce</w:t>
      </w:r>
      <w:r w:rsidRPr="00D86EDD">
        <w:rPr>
          <w:rFonts w:ascii="Times New Roman" w:hAnsi="Times New Roman" w:cs="Times New Roman"/>
          <w:b/>
          <w:bCs/>
          <w:noProof/>
          <w:sz w:val="24"/>
          <w:szCs w:val="24"/>
        </w:rPr>
        <w:t>ssão de subvenções</w:t>
      </w:r>
      <w:r w:rsidRPr="00D86EDD">
        <w:rPr>
          <w:rFonts w:ascii="Times New Roman" w:hAnsi="Times New Roman" w:cs="Times New Roman"/>
          <w:noProof/>
          <w:sz w:val="24"/>
          <w:szCs w:val="24"/>
        </w:rPr>
        <w:t xml:space="preserve"> através do Quadro de Investimento para os Balcãs Ocidentais, a fim de apoiar o desenvolvimento do setor privado, a conectividade, a digitalização, a agenda ecológica e os investimentos sociais. Prevê igualmente um aumento substancial das</w:t>
      </w:r>
      <w:r w:rsidRPr="00D86EDD">
        <w:rPr>
          <w:rFonts w:ascii="Times New Roman" w:hAnsi="Times New Roman" w:cs="Times New Roman"/>
          <w:noProof/>
          <w:sz w:val="24"/>
          <w:szCs w:val="24"/>
        </w:rPr>
        <w:t xml:space="preserve"> </w:t>
      </w:r>
      <w:r w:rsidRPr="00D86EDD">
        <w:rPr>
          <w:rFonts w:ascii="Times New Roman" w:hAnsi="Times New Roman" w:cs="Times New Roman"/>
          <w:b/>
          <w:bCs/>
          <w:noProof/>
          <w:sz w:val="24"/>
          <w:szCs w:val="24"/>
        </w:rPr>
        <w:t>garantias financeiras para apoiar o investimento público e privado</w:t>
      </w:r>
      <w:r w:rsidRPr="00D86EDD">
        <w:rPr>
          <w:rFonts w:ascii="Times New Roman" w:hAnsi="Times New Roman" w:cs="Times New Roman"/>
          <w:noProof/>
          <w:sz w:val="24"/>
          <w:szCs w:val="24"/>
        </w:rPr>
        <w:t xml:space="preserve"> na região através do </w:t>
      </w:r>
      <w:r w:rsidRPr="00D86EDD">
        <w:rPr>
          <w:rFonts w:ascii="Times New Roman" w:hAnsi="Times New Roman" w:cs="Times New Roman"/>
          <w:b/>
          <w:bCs/>
          <w:noProof/>
          <w:sz w:val="24"/>
          <w:szCs w:val="24"/>
        </w:rPr>
        <w:t>instrumento de garantia específico no âmbito do Quadro de Investimento para os Balcãs Ocidentais</w:t>
      </w:r>
      <w:r w:rsidRPr="00D86EDD">
        <w:rPr>
          <w:rFonts w:ascii="Times New Roman" w:hAnsi="Times New Roman" w:cs="Times New Roman"/>
          <w:noProof/>
          <w:sz w:val="24"/>
          <w:szCs w:val="24"/>
        </w:rPr>
        <w:t xml:space="preserve">.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A </w:t>
      </w:r>
      <w:r w:rsidRPr="00D86EDD">
        <w:rPr>
          <w:rFonts w:ascii="Times New Roman" w:hAnsi="Times New Roman" w:cs="Times New Roman"/>
          <w:b/>
          <w:bCs/>
          <w:noProof/>
          <w:sz w:val="24"/>
          <w:szCs w:val="24"/>
        </w:rPr>
        <w:t>transição ecológica e a transformação digital</w:t>
      </w:r>
      <w:r w:rsidRPr="00D86EDD">
        <w:rPr>
          <w:rFonts w:ascii="Times New Roman" w:hAnsi="Times New Roman" w:cs="Times New Roman"/>
          <w:noProof/>
          <w:sz w:val="24"/>
          <w:szCs w:val="24"/>
        </w:rPr>
        <w:t xml:space="preserve"> desempenharão um pap</w:t>
      </w:r>
      <w:r w:rsidRPr="00D86EDD">
        <w:rPr>
          <w:rFonts w:ascii="Times New Roman" w:hAnsi="Times New Roman" w:cs="Times New Roman"/>
          <w:noProof/>
          <w:sz w:val="24"/>
          <w:szCs w:val="24"/>
        </w:rPr>
        <w:t>el central no relançamento e na modernização das economias dos Balcãs Ocidentais. O investimento em tecnologias e capacidades limpas e digitais, juntamente com uma economia circular, contribuirá para a criação de emprego e o crescimento. Será igualmente pr</w:t>
      </w:r>
      <w:r w:rsidRPr="00D86EDD">
        <w:rPr>
          <w:rFonts w:ascii="Times New Roman" w:hAnsi="Times New Roman" w:cs="Times New Roman"/>
          <w:noProof/>
          <w:sz w:val="24"/>
          <w:szCs w:val="24"/>
        </w:rPr>
        <w:t xml:space="preserve">estado apoio com vista a melhorar a </w:t>
      </w:r>
      <w:r w:rsidRPr="00D86EDD">
        <w:rPr>
          <w:rFonts w:ascii="Times New Roman" w:hAnsi="Times New Roman" w:cs="Times New Roman"/>
          <w:b/>
          <w:bCs/>
          <w:noProof/>
          <w:sz w:val="24"/>
          <w:szCs w:val="24"/>
        </w:rPr>
        <w:t>competitividade</w:t>
      </w:r>
      <w:r w:rsidRPr="00D86EDD">
        <w:rPr>
          <w:rFonts w:ascii="Times New Roman" w:hAnsi="Times New Roman" w:cs="Times New Roman"/>
          <w:noProof/>
          <w:sz w:val="24"/>
          <w:szCs w:val="24"/>
        </w:rPr>
        <w:t xml:space="preserve"> das economias dos Balcãs Ocidentais, estabelecer uma melhor interligação na região e com a UE, bem como contribuir para preparar os Balcãs Ocidentais para a era digital. Será prestado apoio para que a eco</w:t>
      </w:r>
      <w:r w:rsidRPr="00D86EDD">
        <w:rPr>
          <w:rFonts w:ascii="Times New Roman" w:hAnsi="Times New Roman" w:cs="Times New Roman"/>
          <w:noProof/>
          <w:sz w:val="24"/>
          <w:szCs w:val="24"/>
        </w:rPr>
        <w:t xml:space="preserve">nomia esteja ao serviço das pessoas, designadamente mediante cooperação nos domínios da </w:t>
      </w:r>
      <w:r w:rsidRPr="00D86EDD">
        <w:rPr>
          <w:rFonts w:ascii="Times New Roman" w:hAnsi="Times New Roman" w:cs="Times New Roman"/>
          <w:b/>
          <w:bCs/>
          <w:noProof/>
          <w:sz w:val="24"/>
          <w:szCs w:val="24"/>
        </w:rPr>
        <w:t>educação</w:t>
      </w:r>
      <w:r w:rsidRPr="00D86EDD">
        <w:rPr>
          <w:rFonts w:ascii="Times New Roman" w:hAnsi="Times New Roman" w:cs="Times New Roman"/>
          <w:noProof/>
          <w:sz w:val="24"/>
          <w:szCs w:val="24"/>
        </w:rPr>
        <w:t xml:space="preserve"> e da </w:t>
      </w:r>
      <w:r w:rsidRPr="00D86EDD">
        <w:rPr>
          <w:rFonts w:ascii="Times New Roman" w:hAnsi="Times New Roman" w:cs="Times New Roman"/>
          <w:b/>
          <w:noProof/>
          <w:sz w:val="24"/>
          <w:szCs w:val="24"/>
        </w:rPr>
        <w:t>saúde</w:t>
      </w:r>
      <w:r w:rsidRPr="00D86EDD">
        <w:rPr>
          <w:rFonts w:ascii="Times New Roman" w:hAnsi="Times New Roman" w:cs="Times New Roman"/>
          <w:noProof/>
          <w:sz w:val="24"/>
          <w:szCs w:val="24"/>
        </w:rPr>
        <w:t xml:space="preserve">, em especial para reforçar a resiliência dos sistemas de saúde, da </w:t>
      </w:r>
      <w:r w:rsidRPr="00D86EDD">
        <w:rPr>
          <w:rFonts w:ascii="Times New Roman" w:hAnsi="Times New Roman" w:cs="Times New Roman"/>
          <w:b/>
          <w:noProof/>
          <w:sz w:val="24"/>
          <w:szCs w:val="24"/>
        </w:rPr>
        <w:t>proteção e da inclusão social,</w:t>
      </w:r>
      <w:r w:rsidRPr="00D86EDD">
        <w:rPr>
          <w:rFonts w:ascii="Times New Roman" w:hAnsi="Times New Roman" w:cs="Times New Roman"/>
          <w:noProof/>
          <w:sz w:val="24"/>
          <w:szCs w:val="24"/>
        </w:rPr>
        <w:t xml:space="preserve"> igualdade de oportunidades, acesso ao mercado de t</w:t>
      </w:r>
      <w:r w:rsidRPr="00D86EDD">
        <w:rPr>
          <w:rFonts w:ascii="Times New Roman" w:hAnsi="Times New Roman" w:cs="Times New Roman"/>
          <w:noProof/>
          <w:sz w:val="24"/>
          <w:szCs w:val="24"/>
        </w:rPr>
        <w:t>rabalho, especialmente mediante a aplicação de políticas ativas do mercado do trabalho, condições de trabalho equitativas, nomeadamente mediante apoio à intensificação do diálogo social, à cultura, e à investigação e inovação.</w:t>
      </w:r>
    </w:p>
    <w:p w:rsidR="00B1535B" w:rsidRPr="00D86EDD" w:rsidRDefault="00D86EDD" w:rsidP="00D86EDD">
      <w:pPr>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As </w:t>
      </w:r>
      <w:r w:rsidRPr="00D86EDD">
        <w:rPr>
          <w:rFonts w:ascii="Times New Roman" w:hAnsi="Times New Roman" w:cs="Times New Roman"/>
          <w:b/>
          <w:bCs/>
          <w:noProof/>
          <w:sz w:val="24"/>
          <w:szCs w:val="24"/>
        </w:rPr>
        <w:t>ligações de transporte e e</w:t>
      </w:r>
      <w:r w:rsidRPr="00D86EDD">
        <w:rPr>
          <w:rFonts w:ascii="Times New Roman" w:hAnsi="Times New Roman" w:cs="Times New Roman"/>
          <w:b/>
          <w:bCs/>
          <w:noProof/>
          <w:sz w:val="24"/>
          <w:szCs w:val="24"/>
        </w:rPr>
        <w:t>nergia</w:t>
      </w:r>
      <w:r w:rsidRPr="00D86EDD">
        <w:rPr>
          <w:rFonts w:ascii="Times New Roman" w:hAnsi="Times New Roman" w:cs="Times New Roman"/>
          <w:noProof/>
          <w:sz w:val="24"/>
          <w:szCs w:val="24"/>
        </w:rPr>
        <w:t>, que são cruciais para o desenvolvimento económico da região e da UE, beneficiarão de especial atenção. Este ano, a UE tenciona propor um pacote de 135 milhões de EUR</w:t>
      </w:r>
      <w:r w:rsidRPr="00D86EDD">
        <w:rPr>
          <w:rFonts w:ascii="Times New Roman" w:hAnsi="Times New Roman" w:cs="Times New Roman"/>
          <w:noProof/>
          <w:sz w:val="24"/>
          <w:szCs w:val="24"/>
          <w:vertAlign w:val="superscript"/>
        </w:rPr>
        <w:footnoteReference w:id="10"/>
      </w:r>
      <w:r w:rsidRPr="00D86EDD">
        <w:rPr>
          <w:rFonts w:ascii="Times New Roman" w:hAnsi="Times New Roman" w:cs="Times New Roman"/>
          <w:noProof/>
          <w:sz w:val="24"/>
          <w:szCs w:val="24"/>
        </w:rPr>
        <w:t xml:space="preserve"> para financiar seis projetos de investimento em infraestruturas adicionais no âmbito da Agenda «Conectividade» para os Balcãs Ocidentais. Com este financiamento, </w:t>
      </w:r>
      <w:r w:rsidRPr="00D86EDD">
        <w:rPr>
          <w:rFonts w:ascii="Times New Roman" w:hAnsi="Times New Roman" w:cs="Times New Roman"/>
          <w:b/>
          <w:bCs/>
          <w:noProof/>
          <w:sz w:val="24"/>
          <w:szCs w:val="24"/>
        </w:rPr>
        <w:t xml:space="preserve">a UE excederá o compromisso que assumiu em 2015 de conceder até 2020 1 000 milhões de EUR de </w:t>
      </w:r>
      <w:r w:rsidRPr="00D86EDD">
        <w:rPr>
          <w:rFonts w:ascii="Times New Roman" w:hAnsi="Times New Roman" w:cs="Times New Roman"/>
          <w:b/>
          <w:bCs/>
          <w:noProof/>
          <w:sz w:val="24"/>
          <w:szCs w:val="24"/>
        </w:rPr>
        <w:t>subvenções para a agenda de conectividade</w:t>
      </w:r>
      <w:r w:rsidRPr="00D86EDD">
        <w:rPr>
          <w:rFonts w:ascii="Times New Roman" w:hAnsi="Times New Roman" w:cs="Times New Roman"/>
          <w:noProof/>
          <w:sz w:val="24"/>
          <w:szCs w:val="24"/>
        </w:rPr>
        <w:t>, o que, por sua vez, permitirá mobilizar quase 4 000 milhões de EUR destinados a 45 investimentos em infraestruturas para ligar a região aos eixos prioritários das redes transeuropeias (RTE-T) e aos projetos da Com</w:t>
      </w:r>
      <w:r w:rsidRPr="00D86EDD">
        <w:rPr>
          <w:rFonts w:ascii="Times New Roman" w:hAnsi="Times New Roman" w:cs="Times New Roman"/>
          <w:noProof/>
          <w:sz w:val="24"/>
          <w:szCs w:val="24"/>
        </w:rPr>
        <w:t>unidade da Energia de interesse mútuo. A cooperação regional ativa no contexto da Comunidade da Energia e da iniciativa para a conectividade energética da Europa Central e do Sudeste constitui uma boa base para acelerar o investimento nestas ligações energ</w:t>
      </w:r>
      <w:r w:rsidRPr="00D86EDD">
        <w:rPr>
          <w:rFonts w:ascii="Times New Roman" w:hAnsi="Times New Roman" w:cs="Times New Roman"/>
          <w:noProof/>
          <w:sz w:val="24"/>
          <w:szCs w:val="24"/>
        </w:rPr>
        <w:t>éticas, bem como em projetos de energias renováveis e de eficiência energética.</w:t>
      </w:r>
    </w:p>
    <w:p w:rsidR="00B1535B" w:rsidRPr="00D86EDD" w:rsidRDefault="00D86EDD" w:rsidP="00D86EDD">
      <w:pPr>
        <w:pStyle w:val="Body"/>
        <w:spacing w:after="120" w:line="240" w:lineRule="auto"/>
        <w:jc w:val="both"/>
        <w:rPr>
          <w:rFonts w:ascii="Times New Roman" w:hAnsi="Times New Roman" w:cs="Times New Roman"/>
          <w:noProof/>
          <w:sz w:val="24"/>
          <w:szCs w:val="24"/>
        </w:rPr>
      </w:pPr>
      <w:r w:rsidRPr="00D86EDD">
        <w:rPr>
          <w:rFonts w:ascii="Times New Roman" w:hAnsi="Times New Roman" w:cs="Times New Roman"/>
          <w:noProof/>
          <w:sz w:val="24"/>
          <w:szCs w:val="24"/>
        </w:rPr>
        <w:t>A UE continuará a prestar especial atenção às dificuldades com que se deparam os jovens, especialmente no que diz respeito às perspetivas de emprego, às desigualdades e às medi</w:t>
      </w:r>
      <w:r w:rsidRPr="00D86EDD">
        <w:rPr>
          <w:rFonts w:ascii="Times New Roman" w:hAnsi="Times New Roman" w:cs="Times New Roman"/>
          <w:noProof/>
          <w:sz w:val="24"/>
          <w:szCs w:val="24"/>
        </w:rPr>
        <w:t xml:space="preserve">das para reter os jovens talentos na região, a fim de </w:t>
      </w:r>
      <w:r w:rsidRPr="00D86EDD">
        <w:rPr>
          <w:rFonts w:ascii="Times New Roman" w:hAnsi="Times New Roman" w:cs="Times New Roman"/>
          <w:b/>
          <w:bCs/>
          <w:noProof/>
          <w:sz w:val="24"/>
          <w:szCs w:val="24"/>
        </w:rPr>
        <w:t>fazer face à fuga de cérebros</w:t>
      </w:r>
      <w:r w:rsidRPr="00D86EDD">
        <w:rPr>
          <w:rFonts w:ascii="Times New Roman" w:hAnsi="Times New Roman" w:cs="Times New Roman"/>
          <w:b/>
          <w:noProof/>
          <w:sz w:val="24"/>
          <w:szCs w:val="24"/>
        </w:rPr>
        <w:t xml:space="preserve"> e a outros desafios demográficos</w:t>
      </w:r>
      <w:r w:rsidRPr="00D86EDD">
        <w:rPr>
          <w:rFonts w:ascii="Times New Roman" w:hAnsi="Times New Roman" w:cs="Times New Roman"/>
          <w:noProof/>
          <w:sz w:val="24"/>
          <w:szCs w:val="24"/>
        </w:rPr>
        <w:t xml:space="preserve"> que afetam estes países. O financiamento </w:t>
      </w:r>
      <w:r w:rsidRPr="00D86EDD">
        <w:rPr>
          <w:rFonts w:ascii="Times New Roman" w:hAnsi="Times New Roman" w:cs="Times New Roman"/>
          <w:b/>
          <w:bCs/>
          <w:noProof/>
          <w:sz w:val="24"/>
          <w:szCs w:val="24"/>
        </w:rPr>
        <w:t>Erasmus + para a região duplicou desde 2018</w:t>
      </w:r>
      <w:r w:rsidRPr="00D86EDD">
        <w:rPr>
          <w:rFonts w:ascii="Times New Roman" w:hAnsi="Times New Roman" w:cs="Times New Roman"/>
          <w:noProof/>
          <w:sz w:val="24"/>
          <w:szCs w:val="24"/>
        </w:rPr>
        <w:t xml:space="preserve"> (ultrapassando 65 milhões de EUR), sendo também coloca</w:t>
      </w:r>
      <w:r w:rsidRPr="00D86EDD">
        <w:rPr>
          <w:rFonts w:ascii="Times New Roman" w:hAnsi="Times New Roman" w:cs="Times New Roman"/>
          <w:noProof/>
          <w:sz w:val="24"/>
          <w:szCs w:val="24"/>
        </w:rPr>
        <w:t>da maior ênfase no ensino profissional. No futuro, a tónica continuará a ser colocada nas competências digitais, assim como nas competências empresariais e no domínio da investigação, a fim de permitir aos jovens alcançar o sucesso económico e prosperar na</w:t>
      </w:r>
      <w:r w:rsidRPr="00D86EDD">
        <w:rPr>
          <w:rFonts w:ascii="Times New Roman" w:hAnsi="Times New Roman" w:cs="Times New Roman"/>
          <w:noProof/>
          <w:sz w:val="24"/>
          <w:szCs w:val="24"/>
        </w:rPr>
        <w:t xml:space="preserve"> era digital. </w:t>
      </w:r>
    </w:p>
    <w:p w:rsidR="00B1535B" w:rsidRPr="00D86EDD" w:rsidRDefault="00D86EDD" w:rsidP="00D86EDD">
      <w:pPr>
        <w:pStyle w:val="Body"/>
        <w:spacing w:after="120" w:line="240" w:lineRule="auto"/>
        <w:jc w:val="both"/>
        <w:rPr>
          <w:rFonts w:ascii="Times New Roman" w:eastAsia="Times New Roman" w:hAnsi="Times New Roman" w:cs="Times New Roman"/>
          <w:b/>
          <w:bCs/>
          <w:noProof/>
          <w:sz w:val="24"/>
          <w:szCs w:val="24"/>
        </w:rPr>
      </w:pPr>
      <w:r w:rsidRPr="00D86EDD">
        <w:rPr>
          <w:rFonts w:ascii="Times New Roman" w:hAnsi="Times New Roman" w:cs="Times New Roman"/>
          <w:noProof/>
          <w:sz w:val="24"/>
          <w:szCs w:val="24"/>
        </w:rPr>
        <w:t xml:space="preserve">A pandemia de COVID-19 pôs em evidência a importância do bom funcionamento do </w:t>
      </w:r>
      <w:r w:rsidRPr="00D86EDD">
        <w:rPr>
          <w:rFonts w:ascii="Times New Roman" w:hAnsi="Times New Roman" w:cs="Times New Roman"/>
          <w:b/>
          <w:bCs/>
          <w:noProof/>
          <w:sz w:val="24"/>
          <w:szCs w:val="24"/>
        </w:rPr>
        <w:t>mercado único</w:t>
      </w:r>
      <w:r w:rsidRPr="00D86EDD">
        <w:rPr>
          <w:rFonts w:ascii="Times New Roman" w:hAnsi="Times New Roman" w:cs="Times New Roman"/>
          <w:noProof/>
          <w:sz w:val="24"/>
          <w:szCs w:val="24"/>
        </w:rPr>
        <w:t xml:space="preserve"> da UE enquanto componente essencial da nossa </w:t>
      </w:r>
      <w:r w:rsidRPr="00D86EDD">
        <w:rPr>
          <w:rFonts w:ascii="Times New Roman" w:hAnsi="Times New Roman" w:cs="Times New Roman"/>
          <w:b/>
          <w:bCs/>
          <w:noProof/>
          <w:sz w:val="24"/>
          <w:szCs w:val="24"/>
        </w:rPr>
        <w:t>prosperidade e resiliência</w:t>
      </w:r>
      <w:r w:rsidRPr="00D86EDD">
        <w:rPr>
          <w:rFonts w:ascii="Times New Roman" w:hAnsi="Times New Roman" w:cs="Times New Roman"/>
          <w:noProof/>
          <w:sz w:val="24"/>
          <w:szCs w:val="24"/>
        </w:rPr>
        <w:t>.</w:t>
      </w:r>
      <w:r w:rsidRPr="00D86EDD">
        <w:rPr>
          <w:rFonts w:ascii="Times New Roman" w:hAnsi="Times New Roman" w:cs="Times New Roman"/>
          <w:b/>
          <w:bCs/>
          <w:noProof/>
          <w:sz w:val="24"/>
          <w:szCs w:val="24"/>
        </w:rPr>
        <w:t xml:space="preserve"> </w:t>
      </w:r>
      <w:r w:rsidRPr="00D86EDD">
        <w:rPr>
          <w:rFonts w:ascii="Times New Roman" w:hAnsi="Times New Roman" w:cs="Times New Roman"/>
          <w:noProof/>
          <w:sz w:val="24"/>
          <w:szCs w:val="24"/>
        </w:rPr>
        <w:t>Sublinhou igualmente o elevado nível de interdependência socioeconómica exis</w:t>
      </w:r>
      <w:r w:rsidRPr="00D86EDD">
        <w:rPr>
          <w:rFonts w:ascii="Times New Roman" w:hAnsi="Times New Roman" w:cs="Times New Roman"/>
          <w:noProof/>
          <w:sz w:val="24"/>
          <w:szCs w:val="24"/>
        </w:rPr>
        <w:t xml:space="preserve">tente entre a UE e as economias dos Balcãs Ocidentais e no interior da própria região. Será, pois, crucial </w:t>
      </w:r>
      <w:r w:rsidRPr="00D86EDD">
        <w:rPr>
          <w:rFonts w:ascii="Times New Roman" w:hAnsi="Times New Roman" w:cs="Times New Roman"/>
          <w:b/>
          <w:bCs/>
          <w:noProof/>
          <w:sz w:val="24"/>
          <w:szCs w:val="24"/>
        </w:rPr>
        <w:t>interligar de forma mais eficaz as economias dos Balcãs Ocidentais no interior da região e com a UE</w:t>
      </w:r>
      <w:r w:rsidRPr="00D86EDD">
        <w:rPr>
          <w:rFonts w:ascii="Times New Roman" w:hAnsi="Times New Roman" w:cs="Times New Roman"/>
          <w:noProof/>
          <w:sz w:val="24"/>
          <w:szCs w:val="24"/>
        </w:rPr>
        <w:t>. Para tal, é necessário um empenhamento acrescido</w:t>
      </w:r>
      <w:r w:rsidRPr="00D86EDD">
        <w:rPr>
          <w:rFonts w:ascii="Times New Roman" w:hAnsi="Times New Roman" w:cs="Times New Roman"/>
          <w:noProof/>
          <w:sz w:val="24"/>
          <w:szCs w:val="24"/>
        </w:rPr>
        <w:t xml:space="preserve"> por parte de todos os parceiros dos Balcãs Ocidentais no sentido de aprofundar a integração económica regional inclusiva e </w:t>
      </w:r>
      <w:r w:rsidRPr="00D86EDD">
        <w:rPr>
          <w:rFonts w:ascii="Times New Roman" w:hAnsi="Times New Roman" w:cs="Times New Roman"/>
          <w:b/>
          <w:bCs/>
          <w:noProof/>
          <w:sz w:val="24"/>
          <w:szCs w:val="24"/>
        </w:rPr>
        <w:t>desenvolver um mercado comum regional</w:t>
      </w:r>
      <w:r w:rsidRPr="00D86EDD">
        <w:rPr>
          <w:rFonts w:ascii="Times New Roman" w:hAnsi="Times New Roman" w:cs="Times New Roman"/>
          <w:noProof/>
          <w:sz w:val="24"/>
          <w:szCs w:val="24"/>
        </w:rPr>
        <w:t>, tal como acordado, com base no acervo da UE, e respeitando os compromissos da UE, o que torna</w:t>
      </w:r>
      <w:r w:rsidRPr="00D86EDD">
        <w:rPr>
          <w:rFonts w:ascii="Times New Roman" w:hAnsi="Times New Roman" w:cs="Times New Roman"/>
          <w:noProof/>
          <w:sz w:val="24"/>
          <w:szCs w:val="24"/>
        </w:rPr>
        <w:t>rá também a região um espaço de investimento mais atrativo.</w:t>
      </w:r>
      <w:r w:rsidRPr="00D86EDD">
        <w:rPr>
          <w:rFonts w:ascii="Times New Roman" w:hAnsi="Times New Roman" w:cs="Times New Roman"/>
          <w:b/>
          <w:bCs/>
          <w:noProof/>
          <w:sz w:val="24"/>
          <w:szCs w:val="24"/>
        </w:rPr>
        <w:t xml:space="preserve">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As </w:t>
      </w:r>
      <w:r w:rsidRPr="00D86EDD">
        <w:rPr>
          <w:rFonts w:ascii="Times New Roman" w:hAnsi="Times New Roman" w:cs="Times New Roman"/>
          <w:b/>
          <w:bCs/>
          <w:noProof/>
          <w:sz w:val="24"/>
          <w:szCs w:val="24"/>
        </w:rPr>
        <w:t>organizações regionais</w:t>
      </w:r>
      <w:r w:rsidRPr="00D86EDD">
        <w:rPr>
          <w:rFonts w:ascii="Times New Roman" w:hAnsi="Times New Roman" w:cs="Times New Roman"/>
          <w:noProof/>
          <w:sz w:val="24"/>
          <w:szCs w:val="24"/>
        </w:rPr>
        <w:t xml:space="preserve"> — o Conselho de Cooperação Regional, a Comunidade dos Transportes, a Comunidade da Energia e a Zona de Comércio Livre da Europa Central — são fundamentais neste contexto</w:t>
      </w:r>
      <w:r w:rsidRPr="00D86EDD">
        <w:rPr>
          <w:rFonts w:ascii="Times New Roman" w:hAnsi="Times New Roman" w:cs="Times New Roman"/>
          <w:noProof/>
          <w:sz w:val="24"/>
          <w:szCs w:val="24"/>
        </w:rPr>
        <w:t>. Os projetos financiados pela UE desempenharam igualmente um papel fundamental na redução dos entraves ao comércio</w:t>
      </w:r>
      <w:r w:rsidRPr="00D86EDD">
        <w:rPr>
          <w:rFonts w:ascii="Times New Roman" w:eastAsia="Times New Roman" w:hAnsi="Times New Roman" w:cs="Times New Roman"/>
          <w:noProof/>
          <w:sz w:val="24"/>
          <w:szCs w:val="24"/>
          <w:vertAlign w:val="superscript"/>
        </w:rPr>
        <w:footnoteReference w:id="11"/>
      </w:r>
      <w:r w:rsidRPr="00D86EDD">
        <w:rPr>
          <w:rFonts w:ascii="Times New Roman" w:hAnsi="Times New Roman" w:cs="Times New Roman"/>
          <w:noProof/>
          <w:sz w:val="24"/>
          <w:szCs w:val="24"/>
        </w:rPr>
        <w:t>.</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Todas estas medidas de apoio têm os mesmos objetivos: transformar os Balcãs Ocidentais em </w:t>
      </w:r>
      <w:r w:rsidRPr="00D86EDD">
        <w:rPr>
          <w:rFonts w:ascii="Times New Roman" w:hAnsi="Times New Roman" w:cs="Times New Roman"/>
          <w:b/>
          <w:bCs/>
          <w:noProof/>
          <w:sz w:val="24"/>
          <w:szCs w:val="24"/>
        </w:rPr>
        <w:t>economias de mercado viáveis, capazes de se inte</w:t>
      </w:r>
      <w:r w:rsidRPr="00D86EDD">
        <w:rPr>
          <w:rFonts w:ascii="Times New Roman" w:hAnsi="Times New Roman" w:cs="Times New Roman"/>
          <w:b/>
          <w:bCs/>
          <w:noProof/>
          <w:sz w:val="24"/>
          <w:szCs w:val="24"/>
        </w:rPr>
        <w:t>grarem plenamente no mercado único da UE</w:t>
      </w:r>
      <w:r w:rsidRPr="00D86EDD">
        <w:rPr>
          <w:rFonts w:ascii="Times New Roman" w:hAnsi="Times New Roman" w:cs="Times New Roman"/>
          <w:noProof/>
          <w:sz w:val="24"/>
          <w:szCs w:val="24"/>
        </w:rPr>
        <w:t>, melhorar o clima empresarial e de investimento, contribuindo assim para o aumento dos fluxos comerciais na região e com a UE,</w:t>
      </w:r>
      <w:r w:rsidRPr="00D86EDD">
        <w:rPr>
          <w:rFonts w:ascii="Times New Roman" w:eastAsia="Times New Roman" w:hAnsi="Times New Roman" w:cs="Times New Roman"/>
          <w:noProof/>
          <w:sz w:val="24"/>
          <w:szCs w:val="24"/>
          <w:vertAlign w:val="superscript"/>
        </w:rPr>
        <w:footnoteReference w:id="12"/>
      </w:r>
      <w:r w:rsidRPr="00D86EDD">
        <w:rPr>
          <w:rFonts w:ascii="Times New Roman" w:hAnsi="Times New Roman" w:cs="Times New Roman"/>
          <w:noProof/>
          <w:sz w:val="24"/>
          <w:szCs w:val="24"/>
        </w:rPr>
        <w:t xml:space="preserve"> para criar postos de trabalho e oportunidades, reduzindo assim a fuga de cérebros da re</w:t>
      </w:r>
      <w:r w:rsidRPr="00D86EDD">
        <w:rPr>
          <w:rFonts w:ascii="Times New Roman" w:hAnsi="Times New Roman" w:cs="Times New Roman"/>
          <w:noProof/>
          <w:sz w:val="24"/>
          <w:szCs w:val="24"/>
        </w:rPr>
        <w:t>gião. A atual crise não deve desviar a atenção das principais deficiências estruturais, tais como a elevada taxa de desemprego (em especial entre os jovens), a baixa participação no mercado de trabalho (em especial no caso das mulheres), um desfasamento en</w:t>
      </w:r>
      <w:r w:rsidRPr="00D86EDD">
        <w:rPr>
          <w:rFonts w:ascii="Times New Roman" w:hAnsi="Times New Roman" w:cs="Times New Roman"/>
          <w:noProof/>
          <w:sz w:val="24"/>
          <w:szCs w:val="24"/>
        </w:rPr>
        <w:t>tre as competências e as necessidades do mercado de trabalho, uma proteção social insuficiente, a reduzida produtividade e competitividade do setor agrícola e a falta de diversificação do aprovisionamento energético e a baixa eficiência energética. O sólid</w:t>
      </w:r>
      <w:r w:rsidRPr="00D86EDD">
        <w:rPr>
          <w:rFonts w:ascii="Times New Roman" w:hAnsi="Times New Roman" w:cs="Times New Roman"/>
          <w:noProof/>
          <w:sz w:val="24"/>
          <w:szCs w:val="24"/>
        </w:rPr>
        <w:t xml:space="preserve">o diálogo económico e financeiro, baseado nos </w:t>
      </w:r>
      <w:r w:rsidRPr="00D86EDD">
        <w:rPr>
          <w:rFonts w:ascii="Times New Roman" w:hAnsi="Times New Roman" w:cs="Times New Roman"/>
          <w:b/>
          <w:bCs/>
          <w:noProof/>
          <w:sz w:val="24"/>
          <w:szCs w:val="24"/>
        </w:rPr>
        <w:t>programas de reforma económica</w:t>
      </w:r>
      <w:r w:rsidRPr="00D86EDD">
        <w:rPr>
          <w:rFonts w:ascii="Times New Roman" w:hAnsi="Times New Roman" w:cs="Times New Roman"/>
          <w:noProof/>
          <w:sz w:val="24"/>
          <w:szCs w:val="24"/>
        </w:rPr>
        <w:t xml:space="preserve"> dos parceiros, continua a ser um quadro importante para orientar e apoiar as reformas macroeconómicas e estruturais.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O objetivo do Plano Económico e de Investimento consistirá </w:t>
      </w:r>
      <w:r w:rsidRPr="00D86EDD">
        <w:rPr>
          <w:rFonts w:ascii="Times New Roman" w:hAnsi="Times New Roman" w:cs="Times New Roman"/>
          <w:noProof/>
          <w:sz w:val="24"/>
          <w:szCs w:val="24"/>
        </w:rPr>
        <w:t xml:space="preserve">em </w:t>
      </w:r>
      <w:r w:rsidRPr="00D86EDD">
        <w:rPr>
          <w:rFonts w:ascii="Times New Roman" w:hAnsi="Times New Roman" w:cs="Times New Roman"/>
          <w:b/>
          <w:bCs/>
          <w:noProof/>
          <w:sz w:val="24"/>
          <w:szCs w:val="24"/>
        </w:rPr>
        <w:t>incentivar a recuperação a longo prazo</w:t>
      </w:r>
      <w:r w:rsidRPr="00D86EDD">
        <w:rPr>
          <w:rFonts w:ascii="Times New Roman" w:hAnsi="Times New Roman" w:cs="Times New Roman"/>
          <w:noProof/>
          <w:sz w:val="24"/>
          <w:szCs w:val="24"/>
        </w:rPr>
        <w:t>, impulsionar o crescimento económico e apoiar as reformas necessárias para avançar em direção à UE. O Plano Económico e de Investimento será inspirado e alinhado pelas prioridades definidas pela Comissão Europeia p</w:t>
      </w:r>
      <w:r w:rsidRPr="00D86EDD">
        <w:rPr>
          <w:rFonts w:ascii="Times New Roman" w:hAnsi="Times New Roman" w:cs="Times New Roman"/>
          <w:noProof/>
          <w:sz w:val="24"/>
          <w:szCs w:val="24"/>
        </w:rPr>
        <w:t xml:space="preserve">ara o seu próprio trabalho no período 2019-2024. </w:t>
      </w:r>
    </w:p>
    <w:p w:rsidR="00B1535B" w:rsidRPr="00D86EDD" w:rsidRDefault="00B1535B" w:rsidP="00D86EDD">
      <w:pPr>
        <w:pStyle w:val="Body"/>
        <w:spacing w:after="120" w:line="240" w:lineRule="auto"/>
        <w:jc w:val="both"/>
        <w:rPr>
          <w:rFonts w:ascii="Times New Roman" w:eastAsia="Times New Roman" w:hAnsi="Times New Roman" w:cs="Times New Roman"/>
          <w:noProof/>
          <w:sz w:val="24"/>
          <w:szCs w:val="24"/>
        </w:rPr>
      </w:pPr>
    </w:p>
    <w:p w:rsidR="00B1535B" w:rsidRPr="00D86EDD" w:rsidRDefault="00D86EDD" w:rsidP="00D86EDD">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D86EDD">
        <w:rPr>
          <w:rFonts w:ascii="Times New Roman" w:hAnsi="Times New Roman"/>
          <w:b/>
          <w:bCs/>
          <w:noProof/>
          <w:sz w:val="24"/>
          <w:szCs w:val="24"/>
        </w:rPr>
        <w:t xml:space="preserve">Empreender as reformas fundamentais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A recuperação da crise atual só será efetiva eficazmente se </w:t>
      </w:r>
      <w:r w:rsidRPr="00D86EDD">
        <w:rPr>
          <w:rFonts w:ascii="Times New Roman" w:hAnsi="Times New Roman" w:cs="Times New Roman"/>
          <w:b/>
          <w:bCs/>
          <w:noProof/>
          <w:sz w:val="24"/>
          <w:szCs w:val="24"/>
        </w:rPr>
        <w:t>os países continuarem a cumprir os compromissos que assumiram em matéria de reforma</w:t>
      </w:r>
      <w:r w:rsidRPr="00D86EDD">
        <w:rPr>
          <w:rFonts w:ascii="Times New Roman" w:hAnsi="Times New Roman" w:cs="Times New Roman"/>
          <w:noProof/>
          <w:sz w:val="24"/>
          <w:szCs w:val="24"/>
        </w:rPr>
        <w:t xml:space="preserve"> e obtiverem resultados tangíveis na sua execução. Este aspeto é fundamental para concretizarem a sua perspetiva europeia. Para além da prossecução das reformas económicas, é necessário atribuir </w:t>
      </w:r>
      <w:r w:rsidRPr="00D86EDD">
        <w:rPr>
          <w:rFonts w:ascii="Times New Roman" w:hAnsi="Times New Roman" w:cs="Times New Roman"/>
          <w:b/>
          <w:bCs/>
          <w:noProof/>
          <w:sz w:val="24"/>
          <w:szCs w:val="24"/>
        </w:rPr>
        <w:t>maior ênfase ao Estado de direito, ao funcionamento das insti</w:t>
      </w:r>
      <w:r w:rsidRPr="00D86EDD">
        <w:rPr>
          <w:rFonts w:ascii="Times New Roman" w:hAnsi="Times New Roman" w:cs="Times New Roman"/>
          <w:b/>
          <w:bCs/>
          <w:noProof/>
          <w:sz w:val="24"/>
          <w:szCs w:val="24"/>
        </w:rPr>
        <w:t>tuições democráticas e da administração pública</w:t>
      </w:r>
      <w:r w:rsidRPr="00D86EDD">
        <w:rPr>
          <w:rFonts w:ascii="Times New Roman" w:hAnsi="Times New Roman" w:cs="Times New Roman"/>
          <w:noProof/>
          <w:sz w:val="24"/>
          <w:szCs w:val="24"/>
        </w:rPr>
        <w:t xml:space="preserve">.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É essencial reforçar o </w:t>
      </w:r>
      <w:r w:rsidRPr="00D86EDD">
        <w:rPr>
          <w:rFonts w:ascii="Times New Roman" w:hAnsi="Times New Roman" w:cs="Times New Roman"/>
          <w:b/>
          <w:bCs/>
          <w:noProof/>
          <w:sz w:val="24"/>
          <w:szCs w:val="24"/>
        </w:rPr>
        <w:t>Estado de direito em todos os seus aspetos</w:t>
      </w:r>
      <w:r w:rsidRPr="00D86EDD">
        <w:rPr>
          <w:rFonts w:ascii="Times New Roman" w:hAnsi="Times New Roman" w:cs="Times New Roman"/>
          <w:noProof/>
          <w:sz w:val="24"/>
          <w:szCs w:val="24"/>
        </w:rPr>
        <w:t>. Isto pressupõe um sistema judiciário independente e eficiente, resultados sólidos na luta contra a corrupção, a criminalidade organizada e o terrorismo, bem como uma proteção eficaz dos direitos fundamentais, incluindo a liberdade de expressão e dos meio</w:t>
      </w:r>
      <w:r w:rsidRPr="00D86EDD">
        <w:rPr>
          <w:rFonts w:ascii="Times New Roman" w:hAnsi="Times New Roman" w:cs="Times New Roman"/>
          <w:noProof/>
          <w:sz w:val="24"/>
          <w:szCs w:val="24"/>
        </w:rPr>
        <w:t>s de comunicação social. Mais especificamente, é da maior importância que as medidas de emergência adotadas durante a crise não sejam em detrimento dos princípios e valores fundamentais e que essas medidas continuem a ser proporcionadas, limitadas no tempo</w:t>
      </w:r>
      <w:r w:rsidRPr="00D86EDD">
        <w:rPr>
          <w:rFonts w:ascii="Times New Roman" w:hAnsi="Times New Roman" w:cs="Times New Roman"/>
          <w:noProof/>
          <w:sz w:val="24"/>
          <w:szCs w:val="24"/>
        </w:rPr>
        <w:t xml:space="preserve"> e objeto de controlo democrático. </w:t>
      </w:r>
    </w:p>
    <w:p w:rsidR="00B1535B" w:rsidRPr="00D86EDD" w:rsidRDefault="00D86EDD" w:rsidP="00D86EDD">
      <w:pPr>
        <w:pStyle w:val="Body"/>
        <w:spacing w:after="120" w:line="240" w:lineRule="auto"/>
        <w:jc w:val="both"/>
        <w:rPr>
          <w:rFonts w:ascii="Times New Roman" w:eastAsia="Times New Roman" w:hAnsi="Times New Roman" w:cs="Times New Roman"/>
          <w:b/>
          <w:bCs/>
          <w:noProof/>
          <w:sz w:val="24"/>
          <w:szCs w:val="24"/>
        </w:rPr>
      </w:pPr>
      <w:r w:rsidRPr="00D86EDD">
        <w:rPr>
          <w:rFonts w:ascii="Times New Roman" w:hAnsi="Times New Roman" w:cs="Times New Roman"/>
          <w:noProof/>
          <w:sz w:val="24"/>
          <w:szCs w:val="24"/>
        </w:rPr>
        <w:t xml:space="preserve">Com base na ampla cooperação já existente, é essencial assegurar um empenhamento ativo e constante através de ações conjuntas e acordadas em matéria de </w:t>
      </w:r>
      <w:r w:rsidRPr="00D86EDD">
        <w:rPr>
          <w:rFonts w:ascii="Times New Roman" w:hAnsi="Times New Roman" w:cs="Times New Roman"/>
          <w:b/>
          <w:bCs/>
          <w:noProof/>
          <w:sz w:val="24"/>
          <w:szCs w:val="24"/>
        </w:rPr>
        <w:t>segurança</w:t>
      </w:r>
      <w:r w:rsidRPr="00D86EDD">
        <w:rPr>
          <w:rFonts w:ascii="Times New Roman" w:hAnsi="Times New Roman" w:cs="Times New Roman"/>
          <w:noProof/>
          <w:sz w:val="24"/>
          <w:szCs w:val="24"/>
        </w:rPr>
        <w:t>, nomeadamente contra os riscos de branqueamento de capitai</w:t>
      </w:r>
      <w:r w:rsidRPr="00D86EDD">
        <w:rPr>
          <w:rFonts w:ascii="Times New Roman" w:hAnsi="Times New Roman" w:cs="Times New Roman"/>
          <w:noProof/>
          <w:sz w:val="24"/>
          <w:szCs w:val="24"/>
        </w:rPr>
        <w:t xml:space="preserve">s e de financiamento do terrorismo e de </w:t>
      </w:r>
      <w:r w:rsidRPr="00D86EDD">
        <w:rPr>
          <w:rFonts w:ascii="Times New Roman" w:hAnsi="Times New Roman" w:cs="Times New Roman"/>
          <w:b/>
          <w:bCs/>
          <w:noProof/>
          <w:sz w:val="24"/>
          <w:szCs w:val="24"/>
        </w:rPr>
        <w:t>migração e a gestão das fronteiras. O reforço das instituições democráticas e a maior inclusividade dos processos democráticos</w:t>
      </w:r>
      <w:r w:rsidRPr="00D86EDD">
        <w:rPr>
          <w:rFonts w:ascii="Times New Roman" w:hAnsi="Times New Roman" w:cs="Times New Roman"/>
          <w:noProof/>
          <w:sz w:val="24"/>
          <w:szCs w:val="24"/>
        </w:rPr>
        <w:t xml:space="preserve"> continuam a ser prioridades absolutas. </w:t>
      </w:r>
      <w:r w:rsidRPr="00D86EDD">
        <w:rPr>
          <w:rFonts w:ascii="Times New Roman" w:hAnsi="Times New Roman" w:cs="Times New Roman"/>
          <w:b/>
          <w:bCs/>
          <w:noProof/>
          <w:sz w:val="24"/>
          <w:szCs w:val="24"/>
        </w:rPr>
        <w:t>A reforma da administração pública</w:t>
      </w:r>
      <w:r w:rsidRPr="00D86EDD">
        <w:rPr>
          <w:rFonts w:ascii="Times New Roman" w:hAnsi="Times New Roman" w:cs="Times New Roman"/>
          <w:noProof/>
          <w:sz w:val="24"/>
          <w:szCs w:val="24"/>
        </w:rPr>
        <w:t xml:space="preserve"> é crucial para </w:t>
      </w:r>
      <w:r w:rsidRPr="00D86EDD">
        <w:rPr>
          <w:rFonts w:ascii="Times New Roman" w:hAnsi="Times New Roman" w:cs="Times New Roman"/>
          <w:noProof/>
          <w:sz w:val="24"/>
          <w:szCs w:val="24"/>
        </w:rPr>
        <w:t>melhorar a governação a todos os níveis e</w:t>
      </w:r>
      <w:r w:rsidRPr="00D86EDD">
        <w:rPr>
          <w:rFonts w:ascii="Times New Roman" w:hAnsi="Times New Roman" w:cs="Times New Roman"/>
          <w:b/>
          <w:bCs/>
          <w:noProof/>
          <w:sz w:val="24"/>
          <w:szCs w:val="24"/>
        </w:rPr>
        <w:t xml:space="preserve"> </w:t>
      </w:r>
      <w:r w:rsidRPr="00D86EDD">
        <w:rPr>
          <w:rFonts w:ascii="Times New Roman" w:hAnsi="Times New Roman" w:cs="Times New Roman"/>
          <w:noProof/>
          <w:sz w:val="24"/>
          <w:szCs w:val="24"/>
        </w:rPr>
        <w:t xml:space="preserve">implica uma maior transparência e responsabilização, uma boa gestão das finanças públicas e administrações mais profissionais. Todos estes aspetos, em conjunto, constituem os alicerces de uma recuperação económica </w:t>
      </w:r>
      <w:r w:rsidRPr="00D86EDD">
        <w:rPr>
          <w:rFonts w:ascii="Times New Roman" w:hAnsi="Times New Roman" w:cs="Times New Roman"/>
          <w:noProof/>
          <w:sz w:val="24"/>
          <w:szCs w:val="24"/>
        </w:rPr>
        <w:t>sustentada.</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 xml:space="preserve">A Comissão continua firmemente empenhada em apoiar a região na realização destas reformas. Nos próximos meses, a Comissão apresentará uma comunicação sobre novas medidas.  </w:t>
      </w:r>
    </w:p>
    <w:p w:rsidR="00B1535B" w:rsidRPr="00D86EDD" w:rsidRDefault="00D86EDD" w:rsidP="00D86EDD">
      <w:pPr>
        <w:pStyle w:val="Body"/>
        <w:spacing w:after="120" w:line="240" w:lineRule="auto"/>
        <w:jc w:val="both"/>
        <w:rPr>
          <w:rFonts w:ascii="Times New Roman" w:eastAsia="Times New Roman" w:hAnsi="Times New Roman" w:cs="Times New Roman"/>
          <w:noProof/>
          <w:sz w:val="24"/>
          <w:szCs w:val="24"/>
        </w:rPr>
      </w:pPr>
      <w:r w:rsidRPr="00D86EDD">
        <w:rPr>
          <w:rFonts w:ascii="Times New Roman" w:hAnsi="Times New Roman" w:cs="Times New Roman"/>
          <w:noProof/>
          <w:sz w:val="24"/>
          <w:szCs w:val="24"/>
        </w:rPr>
        <w:t>A crise do COVI-19 é um teste para a nossa solidariedade e determinação</w:t>
      </w:r>
      <w:r w:rsidRPr="00D86EDD">
        <w:rPr>
          <w:rFonts w:ascii="Times New Roman" w:hAnsi="Times New Roman" w:cs="Times New Roman"/>
          <w:noProof/>
          <w:sz w:val="24"/>
          <w:szCs w:val="24"/>
        </w:rPr>
        <w:t>, mas também uma forte demonstração da nossa estreita colaboração enquanto europeus com um destino comum. Nesta perspetiva, reconhecemos que os parceiros dos Balcãs Ocidentais terão de encontrar o seu lugar na nossa próxima reflexão sobre o futuro da Europ</w:t>
      </w:r>
      <w:r w:rsidRPr="00D86EDD">
        <w:rPr>
          <w:rFonts w:ascii="Times New Roman" w:hAnsi="Times New Roman" w:cs="Times New Roman"/>
          <w:noProof/>
          <w:sz w:val="24"/>
          <w:szCs w:val="24"/>
        </w:rPr>
        <w:t>a. Juntos conseguiremos superar esta crise e recuperar. E juntos intensificaremos a nossa cooperação para ajudar os nossos parceiros a cumprir os requisitos de adesão à UE.</w:t>
      </w:r>
    </w:p>
    <w:p w:rsidR="00B1535B" w:rsidRPr="00D86EDD" w:rsidRDefault="00B1535B" w:rsidP="00D86EDD">
      <w:pPr>
        <w:pStyle w:val="Body"/>
        <w:spacing w:after="120" w:line="240" w:lineRule="auto"/>
        <w:jc w:val="both"/>
        <w:rPr>
          <w:rFonts w:ascii="Times New Roman" w:eastAsia="Times New Roman" w:hAnsi="Times New Roman" w:cs="Times New Roman"/>
          <w:noProof/>
          <w:sz w:val="24"/>
          <w:szCs w:val="24"/>
        </w:rPr>
      </w:pPr>
    </w:p>
    <w:p w:rsidR="00B1535B" w:rsidRPr="00D86EDD" w:rsidRDefault="00D86EDD" w:rsidP="00D86EDD">
      <w:pPr>
        <w:pStyle w:val="Body"/>
        <w:spacing w:after="120" w:line="240" w:lineRule="auto"/>
        <w:jc w:val="center"/>
        <w:rPr>
          <w:rFonts w:ascii="Times New Roman" w:hAnsi="Times New Roman" w:cs="Times New Roman"/>
          <w:noProof/>
          <w:sz w:val="24"/>
          <w:szCs w:val="24"/>
        </w:rPr>
      </w:pPr>
      <w:r w:rsidRPr="00D86EDD">
        <w:rPr>
          <w:rFonts w:ascii="Times New Roman" w:hAnsi="Times New Roman" w:cs="Times New Roman"/>
          <w:b/>
          <w:bCs/>
          <w:noProof/>
          <w:sz w:val="24"/>
          <w:szCs w:val="24"/>
        </w:rPr>
        <w:t>**</w:t>
      </w:r>
    </w:p>
    <w:p w:rsidR="00B1535B" w:rsidRPr="00D86EDD" w:rsidRDefault="00B1535B" w:rsidP="00D86EDD">
      <w:pPr>
        <w:spacing w:after="120" w:line="240" w:lineRule="auto"/>
        <w:rPr>
          <w:rFonts w:ascii="Times New Roman" w:hAnsi="Times New Roman" w:cs="Times New Roman"/>
          <w:b/>
          <w:noProof/>
          <w:sz w:val="24"/>
          <w:szCs w:val="24"/>
        </w:rPr>
      </w:pPr>
    </w:p>
    <w:sectPr w:rsidR="00B1535B" w:rsidRPr="00D86EDD">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35B" w:rsidRDefault="00D86EDD">
      <w:pPr>
        <w:spacing w:after="0" w:line="240" w:lineRule="auto"/>
      </w:pPr>
      <w:r>
        <w:separator/>
      </w:r>
    </w:p>
  </w:endnote>
  <w:endnote w:type="continuationSeparator" w:id="0">
    <w:p w:rsidR="00B1535B" w:rsidRDefault="00D86EDD">
      <w:pPr>
        <w:spacing w:after="0" w:line="240" w:lineRule="auto"/>
      </w:pPr>
      <w:r>
        <w:continuationSeparator/>
      </w:r>
    </w:p>
  </w:endnote>
  <w:endnote w:type="continuationNotice" w:id="1">
    <w:p w:rsidR="00B1535B" w:rsidRDefault="00B15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D86EDD">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D86EDD">
    <w:pPr>
      <w:pStyle w:val="Footer"/>
      <w:tabs>
        <w:tab w:val="clear" w:pos="9360"/>
        <w:tab w:val="right" w:pos="9046"/>
      </w:tabs>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35B" w:rsidRDefault="00D86EDD">
      <w:pPr>
        <w:spacing w:after="0" w:line="240" w:lineRule="auto"/>
      </w:pPr>
      <w:r>
        <w:separator/>
      </w:r>
    </w:p>
  </w:footnote>
  <w:footnote w:type="continuationSeparator" w:id="0">
    <w:p w:rsidR="00B1535B" w:rsidRDefault="00D86EDD">
      <w:pPr>
        <w:spacing w:after="0" w:line="240" w:lineRule="auto"/>
      </w:pPr>
      <w:r>
        <w:continuationSeparator/>
      </w:r>
    </w:p>
  </w:footnote>
  <w:footnote w:type="continuationNotice" w:id="1">
    <w:p w:rsidR="00B1535B" w:rsidRDefault="00B1535B">
      <w:pPr>
        <w:spacing w:after="0" w:line="240" w:lineRule="auto"/>
      </w:pPr>
    </w:p>
  </w:footnote>
  <w:footnote w:id="2">
    <w:p w:rsidR="00B1535B" w:rsidRDefault="00D86EDD">
      <w:pPr>
        <w:pStyle w:val="FootnoteText"/>
        <w:jc w:val="both"/>
      </w:pPr>
      <w:r>
        <w:rPr>
          <w:rFonts w:ascii="Times New Roman" w:eastAsia="Times New Roman" w:hAnsi="Times New Roman"/>
          <w:b/>
          <w:bCs/>
          <w:vertAlign w:val="superscript"/>
        </w:rPr>
        <w:footnoteRef/>
      </w:r>
      <w:r>
        <w:rPr>
          <w:rFonts w:ascii="Times New Roman" w:hAnsi="Times New Roman"/>
        </w:rPr>
        <w:t xml:space="preserve"> Comunicação da Comissão «</w:t>
      </w:r>
      <w:r>
        <w:rPr>
          <w:rFonts w:ascii="Times New Roman" w:hAnsi="Times New Roman"/>
          <w:i/>
          <w:iCs/>
        </w:rPr>
        <w:t>Reforçar o processo de adesão</w:t>
      </w:r>
      <w:r>
        <w:rPr>
          <w:rFonts w:ascii="Times New Roman" w:hAnsi="Times New Roman"/>
          <w:i/>
          <w:iCs/>
        </w:rPr>
        <w:t xml:space="preserve"> — Uma perspetiva credível de adesão à UE para os Balcãs Ocidentais</w:t>
      </w:r>
      <w:r>
        <w:t xml:space="preserve">» </w:t>
      </w:r>
      <w:hyperlink r:id="rId1" w:history="1">
        <w:r>
          <w:rPr>
            <w:rStyle w:val="Hyperlink0"/>
            <w:rFonts w:eastAsia="Calibri"/>
          </w:rPr>
          <w:t>COM (2020) 57 final</w:t>
        </w:r>
      </w:hyperlink>
    </w:p>
  </w:footnote>
  <w:footnote w:id="3">
    <w:p w:rsidR="00B1535B" w:rsidRDefault="00D86EDD">
      <w:pPr>
        <w:pStyle w:val="FootnoteText"/>
      </w:pPr>
      <w:r>
        <w:rPr>
          <w:rFonts w:ascii="Times New Roman" w:eastAsia="Times New Roman" w:hAnsi="Times New Roman"/>
          <w:b/>
          <w:bCs/>
          <w:vertAlign w:val="superscript"/>
        </w:rPr>
        <w:footnoteRef/>
      </w:r>
      <w:r>
        <w:rPr>
          <w:rFonts w:ascii="Times New Roman" w:hAnsi="Times New Roman"/>
        </w:rPr>
        <w:t xml:space="preserve">Financiamento atribuído no âmbito do atual Programa </w:t>
      </w:r>
      <w:r>
        <w:rPr>
          <w:rFonts w:ascii="Times New Roman" w:hAnsi="Times New Roman"/>
        </w:rPr>
        <w:t>Indicativo Plurianual 2014-2020</w:t>
      </w:r>
    </w:p>
  </w:footnote>
  <w:footnote w:id="4">
    <w:p w:rsidR="00B1535B" w:rsidRDefault="00D86EDD">
      <w:pPr>
        <w:pStyle w:val="FootnoteText"/>
      </w:pPr>
      <w:r>
        <w:rPr>
          <w:rFonts w:ascii="Times New Roman" w:eastAsia="Times New Roman" w:hAnsi="Times New Roman"/>
          <w:b/>
          <w:bCs/>
          <w:vertAlign w:val="superscript"/>
        </w:rPr>
        <w:footnoteRef/>
      </w:r>
      <w:r>
        <w:rPr>
          <w:rFonts w:ascii="Times New Roman" w:hAnsi="Times New Roman"/>
        </w:rPr>
        <w:t>Procede-se atualmente a uma adaptação e aceleração dos atuais programas de apoio do IPA, nomeadamente no domínio da assistência de pré-adesão para o desenvolvimento rural (IPARD) e para cooperação transfronteiriça entre a U</w:t>
      </w:r>
      <w:r>
        <w:rPr>
          <w:rFonts w:ascii="Times New Roman" w:hAnsi="Times New Roman"/>
        </w:rPr>
        <w:t>E e os Balcãs Ocidentais.</w:t>
      </w:r>
    </w:p>
  </w:footnote>
  <w:footnote w:id="5">
    <w:p w:rsidR="00B1535B" w:rsidRDefault="00D86EDD">
      <w:pPr>
        <w:pStyle w:val="FootnoteText"/>
        <w:jc w:val="both"/>
      </w:pPr>
      <w:r>
        <w:rPr>
          <w:rFonts w:ascii="Times New Roman" w:eastAsia="Times New Roman" w:hAnsi="Times New Roman"/>
          <w:vertAlign w:val="superscript"/>
        </w:rPr>
        <w:footnoteRef/>
      </w:r>
      <w:r>
        <w:rPr>
          <w:rFonts w:ascii="Times New Roman" w:hAnsi="Times New Roman"/>
        </w:rPr>
        <w:t>A UE financia o fornecimento de cerca de 95 000 testes da COVID, 500 camas de hospital, 450 ventiladores, 100 monitores de cuidados intensivos, 100 contentores para triagem, 10 ambulâncias, bem como mais de 4,5 milhões de artigos</w:t>
      </w:r>
      <w:r>
        <w:rPr>
          <w:rFonts w:ascii="Times New Roman" w:hAnsi="Times New Roman"/>
        </w:rPr>
        <w:t xml:space="preserve"> de equipamento de proteção e centenas de dispositivos médicos (como aparelhos de raios X, de eletrocardiograma, scanners de tomografia computorizada, desfibrilhadores, bombas de infusão) e milhares de produtos (como termómetros, cateteres, tubos, seringas</w:t>
      </w:r>
      <w:r>
        <w:rPr>
          <w:rFonts w:ascii="Times New Roman" w:hAnsi="Times New Roman"/>
        </w:rPr>
        <w:t xml:space="preserve">, máscaras). A UE cobriu igualmente o custo de 16 voos de longo curso para transporte de 750 toneladas de material médico adquirido a outras fontes. </w:t>
      </w:r>
    </w:p>
  </w:footnote>
  <w:footnote w:id="6">
    <w:p w:rsidR="00B1535B" w:rsidRDefault="00D86EDD">
      <w:pPr>
        <w:pStyle w:val="FootnoteText"/>
        <w:jc w:val="both"/>
      </w:pPr>
      <w:r>
        <w:rPr>
          <w:rFonts w:ascii="Times New Roman" w:eastAsia="Times New Roman" w:hAnsi="Times New Roman"/>
          <w:vertAlign w:val="superscript"/>
        </w:rPr>
        <w:footnoteRef/>
      </w:r>
      <w:r>
        <w:rPr>
          <w:rFonts w:ascii="Times New Roman" w:hAnsi="Times New Roman"/>
        </w:rPr>
        <w:t>2020/0065 (COD) Proposta de decisão do Parlamento Europeu e do Conselho relativa à concessão de assistênc</w:t>
      </w:r>
      <w:r>
        <w:rPr>
          <w:rFonts w:ascii="Times New Roman" w:hAnsi="Times New Roman"/>
        </w:rPr>
        <w:t>ia macrofinanceira aos países do alargamento e da vizinhança no contexto da crise desencadeada pela pandemia de COVID-19. 22 de abril de 2020.</w:t>
      </w:r>
    </w:p>
  </w:footnote>
  <w:footnote w:id="7">
    <w:p w:rsidR="00B1535B" w:rsidRDefault="00D86EDD">
      <w:pPr>
        <w:pStyle w:val="FootnoteText"/>
        <w:jc w:val="both"/>
      </w:pPr>
      <w:r>
        <w:rPr>
          <w:rFonts w:ascii="Times New Roman" w:eastAsia="Times New Roman" w:hAnsi="Times New Roman"/>
          <w:b/>
          <w:bCs/>
          <w:vertAlign w:val="superscript"/>
        </w:rPr>
        <w:footnoteRef/>
      </w:r>
      <w:r>
        <w:rPr>
          <w:rFonts w:ascii="Times New Roman" w:hAnsi="Times New Roman"/>
        </w:rPr>
        <w:t>Comunicação sobre a resposta global da UE ao surto de COVID-19 (JOIN (2020) 11 final) de 8.4.2020</w:t>
      </w:r>
    </w:p>
  </w:footnote>
  <w:footnote w:id="8">
    <w:p w:rsidR="00B1535B" w:rsidRDefault="00D86EDD">
      <w:pPr>
        <w:pStyle w:val="NormalWeb"/>
        <w:jc w:val="both"/>
      </w:pPr>
      <w:r>
        <w:rPr>
          <w:sz w:val="20"/>
          <w:szCs w:val="20"/>
          <w:vertAlign w:val="superscript"/>
        </w:rPr>
        <w:footnoteRef/>
      </w:r>
      <w:r>
        <w:rPr>
          <w:sz w:val="20"/>
          <w:szCs w:val="20"/>
        </w:rPr>
        <w:t>Regulamento d</w:t>
      </w:r>
      <w:r>
        <w:rPr>
          <w:sz w:val="20"/>
          <w:szCs w:val="20"/>
        </w:rPr>
        <w:t>e Execução (UE) 2020/568 da Comissão, de 23 de abril de 2020, que sujeita a exportação de determinados produtos à apresentação de uma autorização de exportação (JO L 129 de 24.4.2020)</w:t>
      </w:r>
    </w:p>
  </w:footnote>
  <w:footnote w:id="9">
    <w:p w:rsidR="00B1535B" w:rsidRDefault="00D86EDD">
      <w:pPr>
        <w:pStyle w:val="FootnoteText"/>
        <w:rPr>
          <w:rFonts w:ascii="Times New Roman" w:hAnsi="Times New Roman"/>
        </w:rPr>
      </w:pPr>
      <w:r>
        <w:rPr>
          <w:rStyle w:val="FootnoteReference"/>
          <w:rFonts w:ascii="Times New Roman" w:hAnsi="Times New Roman"/>
        </w:rPr>
        <w:footnoteRef/>
      </w:r>
      <w:r>
        <w:rPr>
          <w:rFonts w:ascii="Times New Roman" w:hAnsi="Times New Roman"/>
        </w:rPr>
        <w:t>C(2020) 2050 final.</w:t>
      </w:r>
    </w:p>
  </w:footnote>
  <w:footnote w:id="10">
    <w:p w:rsidR="00B1535B" w:rsidRDefault="00D86EDD">
      <w:pPr>
        <w:pStyle w:val="FootnoteText"/>
        <w:jc w:val="both"/>
      </w:pPr>
      <w:r>
        <w:rPr>
          <w:rFonts w:ascii="Times New Roman" w:eastAsia="Times New Roman" w:hAnsi="Times New Roman"/>
          <w:vertAlign w:val="superscript"/>
        </w:rPr>
        <w:footnoteRef/>
      </w:r>
      <w:r>
        <w:rPr>
          <w:rFonts w:ascii="Times New Roman" w:hAnsi="Times New Roman"/>
        </w:rPr>
        <w:t>Além disso, serão disponibilizados 65 milhões de E</w:t>
      </w:r>
      <w:r>
        <w:rPr>
          <w:rFonts w:ascii="Times New Roman" w:hAnsi="Times New Roman"/>
        </w:rPr>
        <w:t>UR para apoiar a preparação e a execução de projetos no âmbito do Quadro de Investimento para os Balcãs Ocidentais (WBIF), o que elevará o pacote «Conectividade 2020» financiado pela UE para 200 milhões de EUR.</w:t>
      </w:r>
    </w:p>
  </w:footnote>
  <w:footnote w:id="11">
    <w:p w:rsidR="00B1535B" w:rsidRDefault="00D86EDD">
      <w:pPr>
        <w:pStyle w:val="FootnoteText"/>
        <w:jc w:val="both"/>
      </w:pPr>
      <w:r>
        <w:rPr>
          <w:rFonts w:ascii="Times New Roman" w:eastAsia="Times New Roman" w:hAnsi="Times New Roman"/>
          <w:vertAlign w:val="superscript"/>
        </w:rPr>
        <w:footnoteRef/>
      </w:r>
      <w:r>
        <w:rPr>
          <w:rFonts w:ascii="Times New Roman" w:hAnsi="Times New Roman"/>
        </w:rPr>
        <w:t xml:space="preserve">O Sistema de intercâmbio de dados relativos </w:t>
      </w:r>
      <w:r>
        <w:rPr>
          <w:rFonts w:ascii="Times New Roman" w:hAnsi="Times New Roman"/>
        </w:rPr>
        <w:t>a impostos especiais de consumo, por exemplo, foi objeto de melhoramentos a fim de assegurar uma identificação eletrónica precoce dos camiões que transportam mercadorias essenciais e a comunicação aos pontos de passagem de fronteira para permitir que os ca</w:t>
      </w:r>
      <w:r>
        <w:rPr>
          <w:rFonts w:ascii="Times New Roman" w:hAnsi="Times New Roman"/>
        </w:rPr>
        <w:t>miões atravessem a fronteira através dos corredores verdes).</w:t>
      </w:r>
    </w:p>
  </w:footnote>
  <w:footnote w:id="12">
    <w:p w:rsidR="00B1535B" w:rsidRDefault="00D86EDD">
      <w:pPr>
        <w:pStyle w:val="FootnoteText"/>
        <w:jc w:val="both"/>
        <w:rPr>
          <w:rFonts w:ascii="Times New Roman" w:eastAsia="Times New Roman" w:hAnsi="Times New Roman"/>
        </w:rPr>
      </w:pPr>
      <w:r>
        <w:rPr>
          <w:rFonts w:ascii="Times New Roman" w:eastAsia="Times New Roman" w:hAnsi="Times New Roman"/>
          <w:vertAlign w:val="superscript"/>
        </w:rPr>
        <w:footnoteRef/>
      </w:r>
      <w:r>
        <w:rPr>
          <w:rFonts w:ascii="Times New Roman" w:hAnsi="Times New Roman"/>
        </w:rPr>
        <w:t>Neste contexto, a Comissão propôs, em 3 de abril, prorrogar as medidas comerciais autónomas concedidas pela UE aos países dos Balcãs Ocidentais por um período adicional de 5 anos, até ao final d</w:t>
      </w:r>
      <w:r>
        <w:rPr>
          <w:rFonts w:ascii="Times New Roman" w:hAnsi="Times New Roman"/>
        </w:rPr>
        <w:t xml:space="preserve">e 2025 (COM (2020) 135 final). </w:t>
      </w:r>
    </w:p>
    <w:p w:rsidR="00B1535B" w:rsidRDefault="00D86EDD">
      <w:pPr>
        <w:pStyle w:val="FootnoteText"/>
      </w:pPr>
      <w:r>
        <w:rPr>
          <w:rFonts w:ascii="Times New Roman" w:hAnsi="Times New Roman"/>
        </w:rPr>
        <w:t xml:space="preserve">2020/0051 (COD)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Header"/>
      <w:tabs>
        <w:tab w:val="clear" w:pos="9360"/>
        <w:tab w:val="right" w:pos="904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5B" w:rsidRDefault="00B1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03D"/>
    <w:multiLevelType w:val="hybridMultilevel"/>
    <w:tmpl w:val="50DA3C46"/>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98C6320"/>
    <w:multiLevelType w:val="hybridMultilevel"/>
    <w:tmpl w:val="34CCDB36"/>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B51692"/>
    <w:multiLevelType w:val="hybridMultilevel"/>
    <w:tmpl w:val="6628A694"/>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1B156DC"/>
    <w:multiLevelType w:val="hybridMultilevel"/>
    <w:tmpl w:val="1A942A5A"/>
    <w:lvl w:ilvl="0" w:tplc="080C0001">
      <w:start w:val="1"/>
      <w:numFmt w:val="bullet"/>
      <w:lvlText w:val=""/>
      <w:lvlJc w:val="left"/>
      <w:pPr>
        <w:ind w:left="1035" w:hanging="675"/>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F641F9"/>
    <w:multiLevelType w:val="hybridMultilevel"/>
    <w:tmpl w:val="80584BB8"/>
    <w:lvl w:ilvl="0" w:tplc="FDEE4844">
      <w:start w:val="1"/>
      <w:numFmt w:val="bullet"/>
      <w:lvlText w:val="-"/>
      <w:lvlJc w:val="left"/>
      <w:pPr>
        <w:ind w:left="675" w:hanging="675"/>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5B3A38"/>
    <w:multiLevelType w:val="hybridMultilevel"/>
    <w:tmpl w:val="E430A882"/>
    <w:lvl w:ilvl="0" w:tplc="C77EC6F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057F"/>
    <w:multiLevelType w:val="hybridMultilevel"/>
    <w:tmpl w:val="328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3502D"/>
    <w:multiLevelType w:val="hybridMultilevel"/>
    <w:tmpl w:val="A41C6E94"/>
    <w:numStyleLink w:val="ImportedStyle1"/>
  </w:abstractNum>
  <w:abstractNum w:abstractNumId="8" w15:restartNumberingAfterBreak="0">
    <w:nsid w:val="2F000009"/>
    <w:multiLevelType w:val="hybridMultilevel"/>
    <w:tmpl w:val="34B116FA"/>
    <w:lvl w:ilvl="0" w:tplc="D922A03E">
      <w:start w:val="1"/>
      <w:numFmt w:val="bullet"/>
      <w:lvlText w:val="Ø"/>
      <w:lvlJc w:val="left"/>
      <w:pPr>
        <w:ind w:left="720" w:hanging="360"/>
        <w:jc w:val="both"/>
      </w:pPr>
      <w:rPr>
        <w:rFonts w:ascii="Wingdings" w:eastAsia="Wingdings" w:hAnsi="Wingdings"/>
        <w:w w:val="100"/>
        <w:sz w:val="20"/>
        <w:szCs w:val="20"/>
        <w:shd w:val="clear" w:color="auto" w:fill="auto"/>
      </w:rPr>
    </w:lvl>
    <w:lvl w:ilvl="1" w:tplc="F696803E">
      <w:start w:val="1"/>
      <w:numFmt w:val="bullet"/>
      <w:lvlText w:val="Ø"/>
      <w:lvlJc w:val="left"/>
      <w:pPr>
        <w:ind w:left="1440" w:hanging="360"/>
        <w:jc w:val="both"/>
      </w:pPr>
      <w:rPr>
        <w:rFonts w:ascii="Wingdings" w:eastAsia="Wingdings" w:hAnsi="Wingdings"/>
        <w:w w:val="100"/>
        <w:sz w:val="20"/>
        <w:szCs w:val="20"/>
        <w:shd w:val="clear" w:color="auto" w:fill="auto"/>
      </w:rPr>
    </w:lvl>
    <w:lvl w:ilvl="2" w:tplc="47F4BE3C">
      <w:start w:val="1"/>
      <w:numFmt w:val="bullet"/>
      <w:lvlText w:val="§"/>
      <w:lvlJc w:val="left"/>
      <w:pPr>
        <w:ind w:left="2160" w:hanging="360"/>
        <w:jc w:val="both"/>
      </w:pPr>
      <w:rPr>
        <w:rFonts w:ascii="Wingdings" w:eastAsia="Wingdings" w:hAnsi="Wingdings"/>
        <w:w w:val="100"/>
        <w:sz w:val="20"/>
        <w:szCs w:val="20"/>
        <w:shd w:val="clear" w:color="auto" w:fill="auto"/>
      </w:rPr>
    </w:lvl>
    <w:lvl w:ilvl="3" w:tplc="75548F68">
      <w:start w:val="1"/>
      <w:numFmt w:val="bullet"/>
      <w:lvlText w:val="·"/>
      <w:lvlJc w:val="left"/>
      <w:pPr>
        <w:ind w:left="2880" w:hanging="360"/>
        <w:jc w:val="both"/>
      </w:pPr>
      <w:rPr>
        <w:rFonts w:ascii="Symbol" w:eastAsia="Symbol" w:hAnsi="Symbol"/>
        <w:w w:val="100"/>
        <w:sz w:val="20"/>
        <w:szCs w:val="20"/>
        <w:shd w:val="clear" w:color="auto" w:fill="auto"/>
      </w:rPr>
    </w:lvl>
    <w:lvl w:ilvl="4" w:tplc="F760CF8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A2AF56E">
      <w:start w:val="1"/>
      <w:numFmt w:val="bullet"/>
      <w:lvlText w:val="§"/>
      <w:lvlJc w:val="left"/>
      <w:pPr>
        <w:ind w:left="4320" w:hanging="360"/>
        <w:jc w:val="both"/>
      </w:pPr>
      <w:rPr>
        <w:rFonts w:ascii="Wingdings" w:eastAsia="Wingdings" w:hAnsi="Wingdings"/>
        <w:w w:val="100"/>
        <w:sz w:val="20"/>
        <w:szCs w:val="20"/>
        <w:shd w:val="clear" w:color="auto" w:fill="auto"/>
      </w:rPr>
    </w:lvl>
    <w:lvl w:ilvl="6" w:tplc="2B0CC496">
      <w:start w:val="1"/>
      <w:numFmt w:val="bullet"/>
      <w:lvlText w:val="·"/>
      <w:lvlJc w:val="left"/>
      <w:pPr>
        <w:ind w:left="5040" w:hanging="360"/>
        <w:jc w:val="both"/>
      </w:pPr>
      <w:rPr>
        <w:rFonts w:ascii="Symbol" w:eastAsia="Symbol" w:hAnsi="Symbol"/>
        <w:w w:val="100"/>
        <w:sz w:val="20"/>
        <w:szCs w:val="20"/>
        <w:shd w:val="clear" w:color="auto" w:fill="auto"/>
      </w:rPr>
    </w:lvl>
    <w:lvl w:ilvl="7" w:tplc="437A2DE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F8A2E6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9" w15:restartNumberingAfterBreak="0">
    <w:nsid w:val="2F000026"/>
    <w:multiLevelType w:val="hybridMultilevel"/>
    <w:tmpl w:val="43EE3B82"/>
    <w:lvl w:ilvl="0" w:tplc="FEE2DBB8">
      <w:start w:val="15"/>
      <w:numFmt w:val="bullet"/>
      <w:lvlText w:val="-"/>
      <w:lvlJc w:val="left"/>
      <w:pPr>
        <w:ind w:left="720" w:hanging="360"/>
        <w:jc w:val="both"/>
      </w:pPr>
      <w:rPr>
        <w:rFonts w:ascii="Times New Roman" w:eastAsia="Times New Roman" w:hAnsi="Times New Roman"/>
        <w:w w:val="100"/>
        <w:sz w:val="20"/>
        <w:szCs w:val="20"/>
        <w:shd w:val="clear" w:color="auto" w:fill="auto"/>
      </w:rPr>
    </w:lvl>
    <w:lvl w:ilvl="1" w:tplc="B55C1D7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B2C698C">
      <w:start w:val="1"/>
      <w:numFmt w:val="bullet"/>
      <w:lvlText w:val="§"/>
      <w:lvlJc w:val="left"/>
      <w:pPr>
        <w:ind w:left="2160" w:hanging="360"/>
        <w:jc w:val="both"/>
      </w:pPr>
      <w:rPr>
        <w:rFonts w:ascii="Wingdings" w:eastAsia="Wingdings" w:hAnsi="Wingdings"/>
        <w:w w:val="100"/>
        <w:sz w:val="20"/>
        <w:szCs w:val="20"/>
        <w:shd w:val="clear" w:color="auto" w:fill="auto"/>
      </w:rPr>
    </w:lvl>
    <w:lvl w:ilvl="3" w:tplc="A1FCB008">
      <w:start w:val="1"/>
      <w:numFmt w:val="bullet"/>
      <w:lvlText w:val="·"/>
      <w:lvlJc w:val="left"/>
      <w:pPr>
        <w:ind w:left="2880" w:hanging="360"/>
        <w:jc w:val="both"/>
      </w:pPr>
      <w:rPr>
        <w:rFonts w:ascii="Symbol" w:eastAsia="Symbol" w:hAnsi="Symbol"/>
        <w:w w:val="100"/>
        <w:sz w:val="20"/>
        <w:szCs w:val="20"/>
        <w:shd w:val="clear" w:color="auto" w:fill="auto"/>
      </w:rPr>
    </w:lvl>
    <w:lvl w:ilvl="4" w:tplc="BBB254B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FB045024">
      <w:start w:val="1"/>
      <w:numFmt w:val="bullet"/>
      <w:lvlText w:val="§"/>
      <w:lvlJc w:val="left"/>
      <w:pPr>
        <w:ind w:left="4320" w:hanging="360"/>
        <w:jc w:val="both"/>
      </w:pPr>
      <w:rPr>
        <w:rFonts w:ascii="Wingdings" w:eastAsia="Wingdings" w:hAnsi="Wingdings"/>
        <w:w w:val="100"/>
        <w:sz w:val="20"/>
        <w:szCs w:val="20"/>
        <w:shd w:val="clear" w:color="auto" w:fill="auto"/>
      </w:rPr>
    </w:lvl>
    <w:lvl w:ilvl="6" w:tplc="F7F4F9F2">
      <w:start w:val="1"/>
      <w:numFmt w:val="bullet"/>
      <w:lvlText w:val="·"/>
      <w:lvlJc w:val="left"/>
      <w:pPr>
        <w:ind w:left="5040" w:hanging="360"/>
        <w:jc w:val="both"/>
      </w:pPr>
      <w:rPr>
        <w:rFonts w:ascii="Symbol" w:eastAsia="Symbol" w:hAnsi="Symbol"/>
        <w:w w:val="100"/>
        <w:sz w:val="20"/>
        <w:szCs w:val="20"/>
        <w:shd w:val="clear" w:color="auto" w:fill="auto"/>
      </w:rPr>
    </w:lvl>
    <w:lvl w:ilvl="7" w:tplc="52F609A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8A4740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0" w15:restartNumberingAfterBreak="0">
    <w:nsid w:val="2F000030"/>
    <w:multiLevelType w:val="hybridMultilevel"/>
    <w:tmpl w:val="1F34BE0E"/>
    <w:lvl w:ilvl="0" w:tplc="246A393C">
      <w:start w:val="1"/>
      <w:numFmt w:val="bullet"/>
      <w:lvlText w:val="Ø"/>
      <w:lvlJc w:val="left"/>
      <w:pPr>
        <w:ind w:left="592" w:hanging="400"/>
        <w:jc w:val="both"/>
      </w:pPr>
      <w:rPr>
        <w:rFonts w:ascii="Wingdings" w:eastAsia="Wingdings" w:hAnsi="Wingdings"/>
        <w:b w:val="0"/>
        <w:w w:val="100"/>
        <w:sz w:val="24"/>
        <w:szCs w:val="24"/>
        <w:u w:val="none"/>
        <w:shd w:val="clear" w:color="auto" w:fill="auto"/>
      </w:rPr>
    </w:lvl>
    <w:lvl w:ilvl="1" w:tplc="118EBD14">
      <w:start w:val="1"/>
      <w:numFmt w:val="bullet"/>
      <w:lvlText w:val="n"/>
      <w:lvlJc w:val="left"/>
      <w:pPr>
        <w:ind w:left="992" w:hanging="400"/>
        <w:jc w:val="both"/>
      </w:pPr>
      <w:rPr>
        <w:rFonts w:ascii="Wingdings" w:eastAsia="Wingdings" w:hAnsi="Wingdings"/>
        <w:w w:val="100"/>
        <w:sz w:val="20"/>
        <w:szCs w:val="20"/>
        <w:shd w:val="clear" w:color="auto" w:fill="auto"/>
      </w:rPr>
    </w:lvl>
    <w:lvl w:ilvl="2" w:tplc="5104660A">
      <w:start w:val="1"/>
      <w:numFmt w:val="bullet"/>
      <w:lvlText w:val="u"/>
      <w:lvlJc w:val="left"/>
      <w:pPr>
        <w:ind w:left="1392" w:hanging="400"/>
        <w:jc w:val="both"/>
      </w:pPr>
      <w:rPr>
        <w:rFonts w:ascii="Wingdings" w:eastAsia="Wingdings" w:hAnsi="Wingdings"/>
        <w:w w:val="100"/>
        <w:sz w:val="20"/>
        <w:szCs w:val="20"/>
        <w:shd w:val="clear" w:color="auto" w:fill="auto"/>
      </w:rPr>
    </w:lvl>
    <w:lvl w:ilvl="3" w:tplc="02E686DC">
      <w:start w:val="1"/>
      <w:numFmt w:val="bullet"/>
      <w:lvlText w:val="Ø"/>
      <w:lvlJc w:val="left"/>
      <w:pPr>
        <w:ind w:left="1792" w:hanging="400"/>
        <w:jc w:val="both"/>
      </w:pPr>
      <w:rPr>
        <w:rFonts w:ascii="Wingdings" w:eastAsia="Wingdings" w:hAnsi="Wingdings"/>
        <w:w w:val="100"/>
        <w:sz w:val="20"/>
        <w:szCs w:val="20"/>
        <w:shd w:val="clear" w:color="auto" w:fill="auto"/>
      </w:rPr>
    </w:lvl>
    <w:lvl w:ilvl="4" w:tplc="317603B6">
      <w:start w:val="1"/>
      <w:numFmt w:val="bullet"/>
      <w:lvlText w:val="n"/>
      <w:lvlJc w:val="left"/>
      <w:pPr>
        <w:ind w:left="2192" w:hanging="400"/>
        <w:jc w:val="both"/>
      </w:pPr>
      <w:rPr>
        <w:rFonts w:ascii="Wingdings" w:eastAsia="Wingdings" w:hAnsi="Wingdings"/>
        <w:w w:val="100"/>
        <w:sz w:val="20"/>
        <w:szCs w:val="20"/>
        <w:shd w:val="clear" w:color="auto" w:fill="auto"/>
      </w:rPr>
    </w:lvl>
    <w:lvl w:ilvl="5" w:tplc="DCC88D5E">
      <w:start w:val="1"/>
      <w:numFmt w:val="bullet"/>
      <w:lvlText w:val="u"/>
      <w:lvlJc w:val="left"/>
      <w:pPr>
        <w:ind w:left="2592" w:hanging="400"/>
        <w:jc w:val="both"/>
      </w:pPr>
      <w:rPr>
        <w:rFonts w:ascii="Wingdings" w:eastAsia="Wingdings" w:hAnsi="Wingdings"/>
        <w:w w:val="100"/>
        <w:sz w:val="20"/>
        <w:szCs w:val="20"/>
        <w:shd w:val="clear" w:color="auto" w:fill="auto"/>
      </w:rPr>
    </w:lvl>
    <w:lvl w:ilvl="6" w:tplc="C39839E8">
      <w:start w:val="1"/>
      <w:numFmt w:val="bullet"/>
      <w:lvlText w:val="Ø"/>
      <w:lvlJc w:val="left"/>
      <w:pPr>
        <w:ind w:left="2992" w:hanging="400"/>
        <w:jc w:val="both"/>
      </w:pPr>
      <w:rPr>
        <w:rFonts w:ascii="Wingdings" w:eastAsia="Wingdings" w:hAnsi="Wingdings"/>
        <w:w w:val="100"/>
        <w:sz w:val="20"/>
        <w:szCs w:val="20"/>
        <w:shd w:val="clear" w:color="auto" w:fill="auto"/>
      </w:rPr>
    </w:lvl>
    <w:lvl w:ilvl="7" w:tplc="F3442810">
      <w:start w:val="1"/>
      <w:numFmt w:val="bullet"/>
      <w:lvlText w:val="n"/>
      <w:lvlJc w:val="left"/>
      <w:pPr>
        <w:ind w:left="3392" w:hanging="400"/>
        <w:jc w:val="both"/>
      </w:pPr>
      <w:rPr>
        <w:rFonts w:ascii="Wingdings" w:eastAsia="Wingdings" w:hAnsi="Wingdings"/>
        <w:w w:val="100"/>
        <w:sz w:val="20"/>
        <w:szCs w:val="20"/>
        <w:shd w:val="clear" w:color="auto" w:fill="auto"/>
      </w:rPr>
    </w:lvl>
    <w:lvl w:ilvl="8" w:tplc="459CFE62">
      <w:start w:val="1"/>
      <w:numFmt w:val="bullet"/>
      <w:lvlText w:val="u"/>
      <w:lvlJc w:val="left"/>
      <w:pPr>
        <w:ind w:left="3792" w:hanging="400"/>
        <w:jc w:val="both"/>
      </w:pPr>
      <w:rPr>
        <w:rFonts w:ascii="Wingdings" w:eastAsia="Wingdings" w:hAnsi="Wingdings"/>
        <w:w w:val="100"/>
        <w:sz w:val="20"/>
        <w:szCs w:val="20"/>
        <w:shd w:val="clear" w:color="auto" w:fill="auto"/>
      </w:rPr>
    </w:lvl>
  </w:abstractNum>
  <w:abstractNum w:abstractNumId="11" w15:restartNumberingAfterBreak="0">
    <w:nsid w:val="3162379A"/>
    <w:multiLevelType w:val="hybridMultilevel"/>
    <w:tmpl w:val="839A3770"/>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720EBD"/>
    <w:multiLevelType w:val="hybridMultilevel"/>
    <w:tmpl w:val="215C1B9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C751E2"/>
    <w:multiLevelType w:val="hybridMultilevel"/>
    <w:tmpl w:val="29B8FF8C"/>
    <w:lvl w:ilvl="0" w:tplc="FDEE4844">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ECF7D93"/>
    <w:multiLevelType w:val="hybridMultilevel"/>
    <w:tmpl w:val="C7CEC9F4"/>
    <w:lvl w:ilvl="0" w:tplc="FDEE4844">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902D2"/>
    <w:multiLevelType w:val="hybridMultilevel"/>
    <w:tmpl w:val="C0061EF4"/>
    <w:lvl w:ilvl="0" w:tplc="C680B46C">
      <w:start w:val="15"/>
      <w:numFmt w:val="bullet"/>
      <w:lvlText w:val="-"/>
      <w:lvlJc w:val="left"/>
      <w:pPr>
        <w:ind w:left="360" w:hanging="360"/>
      </w:pPr>
      <w:rPr>
        <w:rFonts w:ascii="Times New Roman" w:eastAsia="Calibri"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07C0670"/>
    <w:multiLevelType w:val="hybridMultilevel"/>
    <w:tmpl w:val="5B6A7AE0"/>
    <w:lvl w:ilvl="0" w:tplc="FDEE4844">
      <w:start w:val="1"/>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3D50132"/>
    <w:multiLevelType w:val="hybridMultilevel"/>
    <w:tmpl w:val="2DC07B7E"/>
    <w:lvl w:ilvl="0" w:tplc="FDEE4844">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6962244"/>
    <w:multiLevelType w:val="hybridMultilevel"/>
    <w:tmpl w:val="A41C6E94"/>
    <w:styleLink w:val="ImportedStyle1"/>
    <w:lvl w:ilvl="0" w:tplc="826AB56E">
      <w:start w:val="1"/>
      <w:numFmt w:val="upperRoman"/>
      <w:lvlText w:val="%1."/>
      <w:lvlJc w:val="left"/>
      <w:pPr>
        <w:ind w:left="7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D0F62A8C">
      <w:start w:val="1"/>
      <w:numFmt w:val="lowerLetter"/>
      <w:lvlText w:val="%2."/>
      <w:lvlJc w:val="left"/>
      <w:pPr>
        <w:ind w:left="15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C6F396">
      <w:start w:val="1"/>
      <w:numFmt w:val="lowerRoman"/>
      <w:lvlText w:val="%3."/>
      <w:lvlJc w:val="left"/>
      <w:pPr>
        <w:ind w:left="22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1F852DE">
      <w:start w:val="1"/>
      <w:numFmt w:val="decimal"/>
      <w:lvlText w:val="%4."/>
      <w:lvlJc w:val="left"/>
      <w:pPr>
        <w:ind w:left="2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9C4E04">
      <w:start w:val="1"/>
      <w:numFmt w:val="lowerLetter"/>
      <w:lvlText w:val="%5."/>
      <w:lvlJc w:val="left"/>
      <w:pPr>
        <w:ind w:left="36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3CF178">
      <w:start w:val="1"/>
      <w:numFmt w:val="lowerRoman"/>
      <w:lvlText w:val="%6."/>
      <w:lvlJc w:val="left"/>
      <w:pPr>
        <w:ind w:left="43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7501B84">
      <w:start w:val="1"/>
      <w:numFmt w:val="decimal"/>
      <w:lvlText w:val="%7."/>
      <w:lvlJc w:val="left"/>
      <w:pPr>
        <w:ind w:left="5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4A7C1E">
      <w:start w:val="1"/>
      <w:numFmt w:val="lowerLetter"/>
      <w:lvlText w:val="%8."/>
      <w:lvlJc w:val="left"/>
      <w:pPr>
        <w:ind w:left="5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3C45F8">
      <w:start w:val="1"/>
      <w:numFmt w:val="lowerRoman"/>
      <w:lvlText w:val="%9."/>
      <w:lvlJc w:val="left"/>
      <w:pPr>
        <w:ind w:left="65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A8105DE"/>
    <w:multiLevelType w:val="hybridMultilevel"/>
    <w:tmpl w:val="85989ECE"/>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0"/>
  </w:num>
  <w:num w:numId="6">
    <w:abstractNumId w:val="6"/>
  </w:num>
  <w:num w:numId="7">
    <w:abstractNumId w:val="14"/>
  </w:num>
  <w:num w:numId="8">
    <w:abstractNumId w:val="12"/>
  </w:num>
  <w:num w:numId="9">
    <w:abstractNumId w:val="2"/>
  </w:num>
  <w:num w:numId="10">
    <w:abstractNumId w:val="17"/>
  </w:num>
  <w:num w:numId="11">
    <w:abstractNumId w:val="16"/>
  </w:num>
  <w:num w:numId="12">
    <w:abstractNumId w:val="3"/>
  </w:num>
  <w:num w:numId="13">
    <w:abstractNumId w:val="4"/>
  </w:num>
  <w:num w:numId="14">
    <w:abstractNumId w:val="1"/>
  </w:num>
  <w:num w:numId="15">
    <w:abstractNumId w:val="13"/>
  </w:num>
  <w:num w:numId="16">
    <w:abstractNumId w:val="11"/>
  </w:num>
  <w:num w:numId="17">
    <w:abstractNumId w:val="19"/>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defaultTabStop w:val="708"/>
  <w:hyphenationZone w:val="425"/>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98198F8-8DBF-425D-B369-9B08DAA3C4ED"/>
    <w:docVar w:name="LW_COVERPAGE_TYPE" w:val="1"/>
    <w:docVar w:name="LW_CROSSREFERENCE" w:val="&lt;UNUSED&gt;"/>
    <w:docVar w:name="LW_DocType" w:val="NORMAL"/>
    <w:docVar w:name="LW_EMISSION" w:val="29.4.2020"/>
    <w:docVar w:name="LW_EMISSION_ISODATE" w:val="2020-04-29"/>
    <w:docVar w:name="LW_EMISSION_LOCATION" w:val="BRX"/>
    <w:docVar w:name="LW_EMISSION_PREFIX" w:val="Bruxelas, "/>
    <w:docVar w:name="LW_EMISSION_SUFFIX" w:val=" "/>
    <w:docVar w:name="LW_ID_DOCTYPE_NONLW" w:val="CP-014"/>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0) 3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poio aos Balcãs Ocidentais na luta contra a COVID-19 e na recuperação após a pandemia&lt;/FMT&gt;_x000d__x000d__x000d__x000d__x000d__x000b__x000d__x000d__x000d__x000d__x000d__x000b_&lt;FMT:Bold&gt;Contribuição da Comissão para a reunião dos dirigentes da UE e dos Balcãs Ocidentais de 6 de maio de 2020&lt;/FMT&gt;_x000b_"/>
    <w:docVar w:name="LW_TYPE.DOC.CP" w:val="COMUNICAÇÃO DA COMISSÃO AO PARLAMENTO EUROPEU, AO CONSELHO, AO COMITÉ ECONÓMICO E SOCIAL EUROPEU E AO COMITÉ DAS REGIÕES"/>
    <w:docVar w:name="LW_TYPE.DOC.CP.USERTEXT" w:val="&lt;EMPTY&gt;"/>
  </w:docVars>
  <w:rsids>
    <w:rsidRoot w:val="00B1535B"/>
    <w:rsid w:val="00B1535B"/>
    <w:rsid w:val="00D86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FCF93E09-6A9A-4B1F-9A75-2EA6B9D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Ha"/>
    <w:basedOn w:val="Normal"/>
    <w:link w:val="ListParagraphChar"/>
    <w:qFormat/>
    <w:pPr>
      <w:spacing w:after="0" w:line="240" w:lineRule="auto"/>
      <w:ind w:left="720"/>
    </w:pPr>
    <w:rPr>
      <w:rFonts w:ascii="Calibri" w:eastAsia="Calibri" w:hAnsi="Calibri" w:cs="Times New Roman"/>
      <w:lang w:eastAsia="fr-BE"/>
    </w:rPr>
  </w:style>
  <w:style w:type="paragraph" w:styleId="FootnoteText">
    <w:name w:val="footnote text"/>
    <w:basedOn w:val="Normal"/>
    <w:link w:val="FootnoteTextChar"/>
    <w:uiPriority w:val="99"/>
    <w:unhideWhenUsed/>
    <w:qFormat/>
    <w:pPr>
      <w:spacing w:after="0" w:line="240" w:lineRule="auto"/>
    </w:pPr>
    <w:rPr>
      <w:rFonts w:ascii="Calibri" w:eastAsia="Calibri" w:hAnsi="Calibri" w:cs="Times New Roman"/>
      <w:sz w:val="20"/>
      <w:szCs w:val="20"/>
      <w:lang w:eastAsia="fr-BE"/>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lang w:val="pt-PT" w:eastAsia="fr-B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n,Nota"/>
    <w:basedOn w:val="DefaultParagraphFont"/>
    <w:link w:val="FootnotesymbolCarZchn"/>
    <w:uiPriority w:val="99"/>
    <w:unhideWhenUsed/>
    <w:qFormat/>
    <w:rPr>
      <w:w w:val="100"/>
      <w:sz w:val="20"/>
      <w:szCs w:val="20"/>
      <w:shd w:val="clear" w:color="auto" w:fill="auto"/>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semiHidden/>
    <w:unhideWhenUsed/>
    <w:pPr>
      <w:spacing w:after="0" w:line="240" w:lineRule="auto"/>
    </w:pPr>
    <w:rPr>
      <w:rFonts w:ascii="Calibri" w:eastAsia="Calibri" w:hAnsi="Calibri" w:cs="Times New Roman"/>
      <w:sz w:val="20"/>
      <w:szCs w:val="20"/>
      <w:lang w:eastAsia="fr-BE"/>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pt-PT" w:eastAsia="fr-BE"/>
    </w:rPr>
  </w:style>
  <w:style w:type="paragraph" w:styleId="NormalWeb">
    <w:name w:val="Normal (Web)"/>
    <w:basedOn w:val="Normal"/>
    <w:unhideWhenUsed/>
    <w:pPr>
      <w:spacing w:after="0" w:line="240" w:lineRule="auto"/>
    </w:pPr>
    <w:rPr>
      <w:rFonts w:ascii="Times New Roman" w:eastAsia="Times New Roman" w:hAnsi="Times New Roman" w:cs="Times New Roman"/>
      <w:sz w:val="24"/>
      <w:szCs w:val="24"/>
      <w:lang w:eastAsia="fr-BE"/>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basedOn w:val="DefaultParagraphFont"/>
    <w:link w:val="ListParagraph"/>
    <w:uiPriority w:val="34"/>
    <w:qFormat/>
    <w:rPr>
      <w:rFonts w:ascii="Calibri" w:eastAsia="Calibri" w:hAnsi="Calibri" w:cs="Times New Roman"/>
      <w:lang w:val="pt-PT"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pt-PT" w:eastAsia="fr-BE"/>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sz w:val="20"/>
      <w:szCs w:val="20"/>
      <w:vertAlign w:val="superscript"/>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numbering" w:customStyle="1" w:styleId="ImportedStyle1">
    <w:name w:val="Imported Style 1"/>
    <w:pPr>
      <w:numPr>
        <w:numId w:val="19"/>
      </w:numPr>
    </w:pPr>
  </w:style>
  <w:style w:type="character" w:customStyle="1" w:styleId="Hyperlink0">
    <w:name w:val="Hyperlink.0"/>
    <w:basedOn w:val="DefaultParagraphFont"/>
    <w:rPr>
      <w:rFonts w:ascii="Times New Roman" w:eastAsia="Times New Roman" w:hAnsi="Times New Roman" w:cs="Times New Roman"/>
      <w:color w:val="0000FF"/>
      <w:u w:val="single" w:color="0000FF"/>
      <w:lang w:val="pt-PT"/>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462">
      <w:bodyDiv w:val="1"/>
      <w:marLeft w:val="0"/>
      <w:marRight w:val="0"/>
      <w:marTop w:val="0"/>
      <w:marBottom w:val="0"/>
      <w:divBdr>
        <w:top w:val="none" w:sz="0" w:space="0" w:color="auto"/>
        <w:left w:val="none" w:sz="0" w:space="0" w:color="auto"/>
        <w:bottom w:val="none" w:sz="0" w:space="0" w:color="auto"/>
        <w:right w:val="none" w:sz="0" w:space="0" w:color="auto"/>
      </w:divBdr>
    </w:div>
    <w:div w:id="193353803">
      <w:bodyDiv w:val="1"/>
      <w:marLeft w:val="0"/>
      <w:marRight w:val="0"/>
      <w:marTop w:val="0"/>
      <w:marBottom w:val="0"/>
      <w:divBdr>
        <w:top w:val="none" w:sz="0" w:space="0" w:color="auto"/>
        <w:left w:val="none" w:sz="0" w:space="0" w:color="auto"/>
        <w:bottom w:val="none" w:sz="0" w:space="0" w:color="auto"/>
        <w:right w:val="none" w:sz="0" w:space="0" w:color="auto"/>
      </w:divBdr>
    </w:div>
    <w:div w:id="452789347">
      <w:bodyDiv w:val="1"/>
      <w:marLeft w:val="0"/>
      <w:marRight w:val="0"/>
      <w:marTop w:val="0"/>
      <w:marBottom w:val="0"/>
      <w:divBdr>
        <w:top w:val="none" w:sz="0" w:space="0" w:color="auto"/>
        <w:left w:val="none" w:sz="0" w:space="0" w:color="auto"/>
        <w:bottom w:val="none" w:sz="0" w:space="0" w:color="auto"/>
        <w:right w:val="none" w:sz="0" w:space="0" w:color="auto"/>
      </w:divBdr>
    </w:div>
    <w:div w:id="676232197">
      <w:bodyDiv w:val="1"/>
      <w:marLeft w:val="0"/>
      <w:marRight w:val="0"/>
      <w:marTop w:val="0"/>
      <w:marBottom w:val="0"/>
      <w:divBdr>
        <w:top w:val="none" w:sz="0" w:space="0" w:color="auto"/>
        <w:left w:val="none" w:sz="0" w:space="0" w:color="auto"/>
        <w:bottom w:val="none" w:sz="0" w:space="0" w:color="auto"/>
        <w:right w:val="none" w:sz="0" w:space="0" w:color="auto"/>
      </w:divBdr>
    </w:div>
    <w:div w:id="700055688">
      <w:bodyDiv w:val="1"/>
      <w:marLeft w:val="0"/>
      <w:marRight w:val="0"/>
      <w:marTop w:val="0"/>
      <w:marBottom w:val="0"/>
      <w:divBdr>
        <w:top w:val="none" w:sz="0" w:space="0" w:color="auto"/>
        <w:left w:val="none" w:sz="0" w:space="0" w:color="auto"/>
        <w:bottom w:val="none" w:sz="0" w:space="0" w:color="auto"/>
        <w:right w:val="none" w:sz="0" w:space="0" w:color="auto"/>
      </w:divBdr>
    </w:div>
    <w:div w:id="736166459">
      <w:bodyDiv w:val="1"/>
      <w:marLeft w:val="0"/>
      <w:marRight w:val="0"/>
      <w:marTop w:val="0"/>
      <w:marBottom w:val="0"/>
      <w:divBdr>
        <w:top w:val="none" w:sz="0" w:space="0" w:color="auto"/>
        <w:left w:val="none" w:sz="0" w:space="0" w:color="auto"/>
        <w:bottom w:val="none" w:sz="0" w:space="0" w:color="auto"/>
        <w:right w:val="none" w:sz="0" w:space="0" w:color="auto"/>
      </w:divBdr>
    </w:div>
    <w:div w:id="756904911">
      <w:bodyDiv w:val="1"/>
      <w:marLeft w:val="0"/>
      <w:marRight w:val="0"/>
      <w:marTop w:val="0"/>
      <w:marBottom w:val="0"/>
      <w:divBdr>
        <w:top w:val="none" w:sz="0" w:space="0" w:color="auto"/>
        <w:left w:val="none" w:sz="0" w:space="0" w:color="auto"/>
        <w:bottom w:val="none" w:sz="0" w:space="0" w:color="auto"/>
        <w:right w:val="none" w:sz="0" w:space="0" w:color="auto"/>
      </w:divBdr>
    </w:div>
    <w:div w:id="911962017">
      <w:bodyDiv w:val="1"/>
      <w:marLeft w:val="0"/>
      <w:marRight w:val="0"/>
      <w:marTop w:val="0"/>
      <w:marBottom w:val="0"/>
      <w:divBdr>
        <w:top w:val="none" w:sz="0" w:space="0" w:color="auto"/>
        <w:left w:val="none" w:sz="0" w:space="0" w:color="auto"/>
        <w:bottom w:val="none" w:sz="0" w:space="0" w:color="auto"/>
        <w:right w:val="none" w:sz="0" w:space="0" w:color="auto"/>
      </w:divBdr>
    </w:div>
    <w:div w:id="938295663">
      <w:bodyDiv w:val="1"/>
      <w:marLeft w:val="0"/>
      <w:marRight w:val="0"/>
      <w:marTop w:val="0"/>
      <w:marBottom w:val="0"/>
      <w:divBdr>
        <w:top w:val="none" w:sz="0" w:space="0" w:color="auto"/>
        <w:left w:val="none" w:sz="0" w:space="0" w:color="auto"/>
        <w:bottom w:val="none" w:sz="0" w:space="0" w:color="auto"/>
        <w:right w:val="none" w:sz="0" w:space="0" w:color="auto"/>
      </w:divBdr>
    </w:div>
    <w:div w:id="1168449821">
      <w:bodyDiv w:val="1"/>
      <w:marLeft w:val="0"/>
      <w:marRight w:val="0"/>
      <w:marTop w:val="0"/>
      <w:marBottom w:val="0"/>
      <w:divBdr>
        <w:top w:val="none" w:sz="0" w:space="0" w:color="auto"/>
        <w:left w:val="none" w:sz="0" w:space="0" w:color="auto"/>
        <w:bottom w:val="none" w:sz="0" w:space="0" w:color="auto"/>
        <w:right w:val="none" w:sz="0" w:space="0" w:color="auto"/>
      </w:divBdr>
    </w:div>
    <w:div w:id="1331561304">
      <w:bodyDiv w:val="1"/>
      <w:marLeft w:val="0"/>
      <w:marRight w:val="0"/>
      <w:marTop w:val="0"/>
      <w:marBottom w:val="0"/>
      <w:divBdr>
        <w:top w:val="none" w:sz="0" w:space="0" w:color="auto"/>
        <w:left w:val="none" w:sz="0" w:space="0" w:color="auto"/>
        <w:bottom w:val="none" w:sz="0" w:space="0" w:color="auto"/>
        <w:right w:val="none" w:sz="0" w:space="0" w:color="auto"/>
      </w:divBdr>
    </w:div>
    <w:div w:id="1403748287">
      <w:bodyDiv w:val="1"/>
      <w:marLeft w:val="0"/>
      <w:marRight w:val="0"/>
      <w:marTop w:val="0"/>
      <w:marBottom w:val="0"/>
      <w:divBdr>
        <w:top w:val="none" w:sz="0" w:space="0" w:color="auto"/>
        <w:left w:val="none" w:sz="0" w:space="0" w:color="auto"/>
        <w:bottom w:val="none" w:sz="0" w:space="0" w:color="auto"/>
        <w:right w:val="none" w:sz="0" w:space="0" w:color="auto"/>
      </w:divBdr>
    </w:div>
    <w:div w:id="1974796326">
      <w:bodyDiv w:val="1"/>
      <w:marLeft w:val="0"/>
      <w:marRight w:val="0"/>
      <w:marTop w:val="0"/>
      <w:marBottom w:val="0"/>
      <w:divBdr>
        <w:top w:val="none" w:sz="0" w:space="0" w:color="auto"/>
        <w:left w:val="none" w:sz="0" w:space="0" w:color="auto"/>
        <w:bottom w:val="none" w:sz="0" w:space="0" w:color="auto"/>
        <w:right w:val="none" w:sz="0" w:space="0" w:color="auto"/>
      </w:divBdr>
    </w:div>
    <w:div w:id="2141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ighbourhood-enlargement/sites/near/files/enlargement-methodolog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1E27-3DF2-4FE2-A02C-697EFF00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2271</Words>
  <Characters>16715</Characters>
  <Application>Microsoft Office Word</Application>
  <DocSecurity>0</DocSecurity>
  <Lines>238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cp:lastPrinted>2020-04-28T19:27:00Z</cp:lastPrinted>
  <dcterms:created xsi:type="dcterms:W3CDTF">2020-04-28T19:14:00Z</dcterms:created>
  <dcterms:modified xsi:type="dcterms:W3CDTF">2020-05-04T12:19:00Z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name="OP_sanitized" fmtid="{D5CDD505-2E9C-101B-9397-08002B2CF9AE}" pid="9">
    <vt:lpwstr>True</vt:lpwstr>
  </property>
</Properties>
</file>