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046B" w:rsidRPr="00AD25B2" w:rsidRDefault="00AD25B2" w:rsidP="00AD25B2">
      <w:pPr>
        <w:pStyle w:val="Pagedecouverture"/>
        <w:rPr>
          <w:noProof/>
          <w:szCs w:val="24"/>
        </w:rPr>
      </w:pPr>
      <w:bookmarkStart w:id="0" w:name="LW_BM_COVERPAGE"/>
      <w:bookmarkStart w:id="1" w:name="_GoBack"/>
      <w:bookmarkEnd w:id="1"/>
      <w:r w:rsidRPr="00AD25B2">
        <w:rPr>
          <w:noProof/>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28584569-1B83-4547-8123-F9898AEF06D9" style="width:450.85pt;height:375.45pt">
            <v:imagedata r:id="rId8" o:title=""/>
          </v:shape>
        </w:pict>
      </w:r>
    </w:p>
    <w:bookmarkEnd w:id="0"/>
    <w:p w:rsidR="005E046B" w:rsidRPr="00AD25B2" w:rsidRDefault="005E046B" w:rsidP="00AD25B2">
      <w:pPr>
        <w:spacing w:after="120" w:line="240" w:lineRule="auto"/>
        <w:rPr>
          <w:rFonts w:ascii="Times New Roman" w:hAnsi="Times New Roman"/>
          <w:noProof/>
          <w:sz w:val="24"/>
          <w:szCs w:val="24"/>
          <w:lang w:val="en-GB"/>
        </w:rPr>
        <w:sectPr w:rsidR="005E046B" w:rsidRPr="00AD25B2">
          <w:headerReference w:type="even" r:id="rId9"/>
          <w:headerReference w:type="default" r:id="rId10"/>
          <w:footerReference w:type="even" r:id="rId11"/>
          <w:footerReference w:type="default" r:id="rId12"/>
          <w:headerReference w:type="first" r:id="rId13"/>
          <w:footerReference w:type="first" r:id="rId14"/>
          <w:pgSz w:w="11906" w:h="16838"/>
          <w:pgMar w:top="1134" w:right="1417" w:bottom="1134" w:left="1417" w:header="709" w:footer="709" w:gutter="0"/>
          <w:pgNumType w:start="0"/>
          <w:cols w:space="720"/>
          <w:docGrid w:linePitch="360"/>
        </w:sectPr>
      </w:pPr>
    </w:p>
    <w:p w:rsidR="005E046B" w:rsidRPr="00AD25B2" w:rsidRDefault="00AD25B2" w:rsidP="00AD25B2">
      <w:pPr>
        <w:pStyle w:val="Body"/>
        <w:spacing w:after="120" w:line="240" w:lineRule="auto"/>
        <w:jc w:val="center"/>
        <w:rPr>
          <w:rFonts w:ascii="Times New Roman" w:eastAsia="Times New Roman" w:hAnsi="Times New Roman" w:cs="Times New Roman"/>
          <w:b/>
          <w:bCs/>
          <w:noProof/>
          <w:sz w:val="24"/>
          <w:szCs w:val="24"/>
        </w:rPr>
      </w:pPr>
      <w:r w:rsidRPr="00AD25B2">
        <w:rPr>
          <w:rFonts w:ascii="Times New Roman" w:hAnsi="Times New Roman"/>
          <w:b/>
          <w:bCs/>
          <w:noProof/>
          <w:sz w:val="24"/>
          <w:szCs w:val="24"/>
        </w:rPr>
        <w:lastRenderedPageBreak/>
        <w:t xml:space="preserve">Comunicare a Comisiei privind </w:t>
      </w:r>
    </w:p>
    <w:p w:rsidR="005E046B" w:rsidRPr="00AD25B2" w:rsidRDefault="00AD25B2" w:rsidP="00AD25B2">
      <w:pPr>
        <w:pStyle w:val="Body"/>
        <w:spacing w:line="240" w:lineRule="auto"/>
        <w:jc w:val="center"/>
        <w:rPr>
          <w:rFonts w:ascii="Times New Roman" w:eastAsia="Times New Roman" w:hAnsi="Times New Roman" w:cs="Times New Roman"/>
          <w:b/>
          <w:bCs/>
          <w:noProof/>
          <w:sz w:val="24"/>
          <w:szCs w:val="24"/>
        </w:rPr>
      </w:pPr>
      <w:r w:rsidRPr="00AD25B2">
        <w:rPr>
          <w:rFonts w:ascii="Times New Roman" w:hAnsi="Times New Roman"/>
          <w:b/>
          <w:bCs/>
          <w:noProof/>
          <w:sz w:val="24"/>
          <w:szCs w:val="24"/>
        </w:rPr>
        <w:t>sprijinirea Balcanilor de Vest pentru combaterea COVID-19 și redresarea post</w:t>
      </w:r>
      <w:r w:rsidRPr="00AD25B2">
        <w:rPr>
          <w:rFonts w:ascii="Times New Roman" w:hAnsi="Times New Roman" w:cs="Times New Roman"/>
          <w:b/>
          <w:bCs/>
          <w:noProof/>
          <w:sz w:val="24"/>
          <w:szCs w:val="24"/>
        </w:rPr>
        <w:t>­</w:t>
      </w:r>
      <w:r w:rsidRPr="00AD25B2">
        <w:rPr>
          <w:rFonts w:ascii="Times New Roman" w:hAnsi="Times New Roman"/>
          <w:b/>
          <w:bCs/>
          <w:noProof/>
          <w:sz w:val="24"/>
          <w:szCs w:val="24"/>
        </w:rPr>
        <w:t xml:space="preserve">pandemică </w:t>
      </w:r>
    </w:p>
    <w:p w:rsidR="005E046B" w:rsidRPr="00AD25B2" w:rsidRDefault="005E046B" w:rsidP="00AD25B2">
      <w:pPr>
        <w:pStyle w:val="Body"/>
        <w:spacing w:after="120" w:line="240" w:lineRule="auto"/>
        <w:rPr>
          <w:rFonts w:ascii="Times New Roman" w:eastAsia="Times New Roman" w:hAnsi="Times New Roman" w:cs="Times New Roman"/>
          <w:noProof/>
          <w:sz w:val="24"/>
          <w:szCs w:val="24"/>
          <w:lang w:val="en-US"/>
        </w:rPr>
      </w:pPr>
    </w:p>
    <w:p w:rsidR="005E046B" w:rsidRPr="00AD25B2" w:rsidRDefault="00AD25B2" w:rsidP="00AD25B2">
      <w:pPr>
        <w:pStyle w:val="ListParagraph"/>
        <w:numPr>
          <w:ilvl w:val="0"/>
          <w:numId w:val="20"/>
        </w:numPr>
        <w:pBdr>
          <w:top w:val="nil"/>
          <w:left w:val="nil"/>
          <w:bottom w:val="nil"/>
          <w:right w:val="nil"/>
          <w:between w:val="nil"/>
          <w:bar w:val="nil"/>
        </w:pBdr>
        <w:spacing w:after="120"/>
        <w:jc w:val="both"/>
        <w:rPr>
          <w:rFonts w:ascii="Times New Roman" w:hAnsi="Times New Roman"/>
          <w:b/>
          <w:bCs/>
          <w:noProof/>
          <w:sz w:val="24"/>
          <w:szCs w:val="24"/>
        </w:rPr>
      </w:pPr>
      <w:r w:rsidRPr="00AD25B2">
        <w:rPr>
          <w:rFonts w:ascii="Times New Roman" w:hAnsi="Times New Roman"/>
          <w:b/>
          <w:bCs/>
          <w:noProof/>
          <w:sz w:val="24"/>
          <w:szCs w:val="24"/>
        </w:rPr>
        <w:t xml:space="preserve">Introducere </w:t>
      </w:r>
    </w:p>
    <w:p w:rsidR="005E046B" w:rsidRPr="00AD25B2" w:rsidRDefault="005E046B" w:rsidP="00AD25B2">
      <w:pPr>
        <w:pStyle w:val="Body"/>
        <w:spacing w:after="120" w:line="240" w:lineRule="auto"/>
        <w:jc w:val="both"/>
        <w:rPr>
          <w:rFonts w:ascii="Times New Roman" w:eastAsia="Times New Roman" w:hAnsi="Times New Roman" w:cs="Times New Roman"/>
          <w:noProof/>
          <w:sz w:val="24"/>
          <w:szCs w:val="24"/>
          <w:lang w:val="en-US"/>
        </w:rPr>
      </w:pPr>
    </w:p>
    <w:p w:rsidR="005E046B" w:rsidRPr="00AD25B2" w:rsidRDefault="00AD25B2" w:rsidP="00AD25B2">
      <w:pPr>
        <w:pStyle w:val="Body"/>
        <w:spacing w:after="120" w:line="240" w:lineRule="auto"/>
        <w:jc w:val="both"/>
        <w:rPr>
          <w:rFonts w:ascii="Times New Roman" w:eastAsia="Times New Roman" w:hAnsi="Times New Roman" w:cs="Times New Roman"/>
          <w:noProof/>
          <w:sz w:val="24"/>
          <w:szCs w:val="24"/>
        </w:rPr>
      </w:pPr>
      <w:r w:rsidRPr="00AD25B2">
        <w:rPr>
          <w:rFonts w:ascii="Times New Roman" w:hAnsi="Times New Roman"/>
          <w:b/>
          <w:bCs/>
          <w:noProof/>
          <w:sz w:val="24"/>
          <w:szCs w:val="24"/>
        </w:rPr>
        <w:t xml:space="preserve">Balcanii de </w:t>
      </w:r>
      <w:r w:rsidRPr="00AD25B2">
        <w:rPr>
          <w:rFonts w:ascii="Times New Roman" w:hAnsi="Times New Roman"/>
          <w:b/>
          <w:bCs/>
          <w:noProof/>
          <w:sz w:val="24"/>
          <w:szCs w:val="24"/>
        </w:rPr>
        <w:t>Vest fac parte integrantă din Europa</w:t>
      </w:r>
      <w:r w:rsidRPr="00AD25B2">
        <w:rPr>
          <w:rFonts w:ascii="Times New Roman" w:hAnsi="Times New Roman"/>
          <w:noProof/>
          <w:sz w:val="24"/>
          <w:szCs w:val="24"/>
        </w:rPr>
        <w:t xml:space="preserve"> și reprezintă o prioritate geostrategică pentru Uniunea Europeană. Perspectiva europeană a întregii regiuni a fost confirmată din nou în martie 2020, când statele membre au aprobat propunerile Comisiei privind o </w:t>
      </w:r>
      <w:r w:rsidRPr="00AD25B2">
        <w:rPr>
          <w:rFonts w:ascii="Times New Roman" w:hAnsi="Times New Roman"/>
          <w:b/>
          <w:bCs/>
          <w:noProof/>
          <w:sz w:val="24"/>
          <w:szCs w:val="24"/>
        </w:rPr>
        <w:t>metodologie consolidată</w:t>
      </w:r>
      <w:r w:rsidRPr="00AD25B2">
        <w:rPr>
          <w:rFonts w:ascii="Times New Roman" w:eastAsia="Times New Roman" w:hAnsi="Times New Roman" w:cs="Times New Roman"/>
          <w:b/>
          <w:bCs/>
          <w:noProof/>
          <w:sz w:val="24"/>
          <w:szCs w:val="24"/>
          <w:vertAlign w:val="superscript"/>
          <w:lang w:val="en-US"/>
        </w:rPr>
        <w:footnoteReference w:id="2"/>
      </w:r>
      <w:r w:rsidRPr="00AD25B2">
        <w:rPr>
          <w:rFonts w:ascii="Times New Roman" w:hAnsi="Times New Roman"/>
          <w:noProof/>
          <w:sz w:val="24"/>
          <w:szCs w:val="24"/>
        </w:rPr>
        <w:t xml:space="preserve"> pentru procesul de aderare și au decis să deschidă negocierile de aderare cu </w:t>
      </w:r>
      <w:r w:rsidRPr="00AD25B2">
        <w:rPr>
          <w:rFonts w:ascii="Times New Roman" w:hAnsi="Times New Roman"/>
          <w:b/>
          <w:bCs/>
          <w:noProof/>
          <w:sz w:val="24"/>
          <w:szCs w:val="24"/>
        </w:rPr>
        <w:t>Republica Albania și Republica Macedonia de Nord</w:t>
      </w:r>
      <w:r w:rsidRPr="00AD25B2">
        <w:rPr>
          <w:rFonts w:ascii="Times New Roman" w:hAnsi="Times New Roman"/>
          <w:noProof/>
          <w:sz w:val="24"/>
          <w:szCs w:val="24"/>
        </w:rPr>
        <w:t xml:space="preserve">. Pentru Uniunea Europeană este foarte important să promoveze în continuare stabilitatea și prosperitatea </w:t>
      </w:r>
      <w:r w:rsidRPr="00AD25B2">
        <w:rPr>
          <w:rFonts w:ascii="Times New Roman" w:hAnsi="Times New Roman"/>
          <w:noProof/>
          <w:sz w:val="24"/>
          <w:szCs w:val="24"/>
        </w:rPr>
        <w:t xml:space="preserve">Balcanilor de Vest și să valorifice interesele strategice pe care le are în comun cu această regiune. </w:t>
      </w:r>
    </w:p>
    <w:p w:rsidR="005E046B" w:rsidRPr="00AD25B2" w:rsidRDefault="00AD25B2" w:rsidP="00AD25B2">
      <w:pPr>
        <w:pStyle w:val="FootnoteText"/>
        <w:spacing w:after="120"/>
        <w:jc w:val="both"/>
        <w:rPr>
          <w:rFonts w:ascii="Times New Roman" w:eastAsia="Times New Roman" w:hAnsi="Times New Roman"/>
          <w:noProof/>
          <w:sz w:val="24"/>
          <w:szCs w:val="24"/>
        </w:rPr>
      </w:pPr>
      <w:r w:rsidRPr="00AD25B2">
        <w:rPr>
          <w:rFonts w:ascii="Times New Roman" w:hAnsi="Times New Roman"/>
          <w:noProof/>
          <w:sz w:val="24"/>
          <w:szCs w:val="24"/>
        </w:rPr>
        <w:t xml:space="preserve">În pofida măsurilor hotărâte pe care le-au luat partenerii din Balcanii de Vest, </w:t>
      </w:r>
      <w:r w:rsidRPr="00AD25B2">
        <w:rPr>
          <w:rFonts w:ascii="Times New Roman" w:hAnsi="Times New Roman"/>
          <w:b/>
          <w:bCs/>
          <w:noProof/>
          <w:sz w:val="24"/>
          <w:szCs w:val="24"/>
        </w:rPr>
        <w:t>pandemia de COVID-19</w:t>
      </w:r>
      <w:r w:rsidRPr="00AD25B2">
        <w:rPr>
          <w:rFonts w:ascii="Times New Roman" w:hAnsi="Times New Roman"/>
          <w:noProof/>
          <w:sz w:val="24"/>
          <w:szCs w:val="24"/>
        </w:rPr>
        <w:t xml:space="preserve">, în afara impactului său uman imediat, </w:t>
      </w:r>
      <w:r w:rsidRPr="00AD25B2">
        <w:rPr>
          <w:rFonts w:ascii="Times New Roman" w:hAnsi="Times New Roman"/>
          <w:b/>
          <w:bCs/>
          <w:noProof/>
          <w:sz w:val="24"/>
          <w:szCs w:val="24"/>
        </w:rPr>
        <w:t>are un efect</w:t>
      </w:r>
      <w:r w:rsidRPr="00AD25B2">
        <w:rPr>
          <w:rFonts w:ascii="Times New Roman" w:hAnsi="Times New Roman"/>
          <w:b/>
          <w:bCs/>
          <w:noProof/>
          <w:sz w:val="24"/>
          <w:szCs w:val="24"/>
        </w:rPr>
        <w:t xml:space="preserve"> perturbator asupra economiilor regiunii și a vieții locuitorilor acesteia</w:t>
      </w:r>
      <w:r w:rsidRPr="00AD25B2">
        <w:rPr>
          <w:rFonts w:ascii="Times New Roman" w:hAnsi="Times New Roman"/>
          <w:noProof/>
          <w:sz w:val="24"/>
          <w:szCs w:val="24"/>
        </w:rPr>
        <w:t xml:space="preserve">, impunând o povară fără precedent asupra sistemelor de sănătate și de protecție socială. Mii de cetățeni sunt expuși riscului de a­și pierde locul de muncă, iar măsurile de sprijin </w:t>
      </w:r>
      <w:r w:rsidRPr="00AD25B2">
        <w:rPr>
          <w:rFonts w:ascii="Times New Roman" w:hAnsi="Times New Roman"/>
          <w:noProof/>
          <w:sz w:val="24"/>
          <w:szCs w:val="24"/>
        </w:rPr>
        <w:t>temporar acordate de guverne (indemnizații de șomaj, amânări/scutiri de la plata impozitelor și a contribuțiilor la asigurările sociale etc.) au un impact bugetar important. De asemenea, guvernele trebuie să extindă rapid gradul de acoperire a sistemelor d</w:t>
      </w:r>
      <w:r w:rsidRPr="00AD25B2">
        <w:rPr>
          <w:rFonts w:ascii="Times New Roman" w:hAnsi="Times New Roman"/>
          <w:noProof/>
          <w:sz w:val="24"/>
          <w:szCs w:val="24"/>
        </w:rPr>
        <w:t xml:space="preserve">e protecție socială. Pandemia a avut consecințe negative și asupra eforturilor comune în materie de migrație. </w:t>
      </w:r>
    </w:p>
    <w:p w:rsidR="005E046B" w:rsidRPr="00AD25B2" w:rsidRDefault="00AD25B2" w:rsidP="00AD25B2">
      <w:pPr>
        <w:pStyle w:val="Body"/>
        <w:spacing w:after="120" w:line="240" w:lineRule="auto"/>
        <w:jc w:val="both"/>
        <w:rPr>
          <w:rFonts w:ascii="Times New Roman" w:eastAsia="Times New Roman" w:hAnsi="Times New Roman" w:cs="Times New Roman"/>
          <w:noProof/>
          <w:sz w:val="24"/>
          <w:szCs w:val="24"/>
        </w:rPr>
      </w:pPr>
      <w:r w:rsidRPr="00AD25B2">
        <w:rPr>
          <w:rFonts w:ascii="Times New Roman" w:hAnsi="Times New Roman"/>
          <w:noProof/>
          <w:sz w:val="24"/>
          <w:szCs w:val="24"/>
        </w:rPr>
        <w:t xml:space="preserve">Cu toate că este la rândul său puternic afectată de pandemie, UE are </w:t>
      </w:r>
      <w:r w:rsidRPr="00AD25B2">
        <w:rPr>
          <w:rFonts w:ascii="Times New Roman" w:hAnsi="Times New Roman"/>
          <w:b/>
          <w:bCs/>
          <w:noProof/>
          <w:sz w:val="24"/>
          <w:szCs w:val="24"/>
        </w:rPr>
        <w:t xml:space="preserve">responsabilitatea </w:t>
      </w:r>
      <w:r w:rsidRPr="00AD25B2">
        <w:rPr>
          <w:rFonts w:ascii="Times New Roman" w:hAnsi="Times New Roman"/>
          <w:bCs/>
          <w:noProof/>
          <w:sz w:val="24"/>
          <w:szCs w:val="24"/>
        </w:rPr>
        <w:t xml:space="preserve">deosebită </w:t>
      </w:r>
      <w:r w:rsidRPr="00AD25B2">
        <w:rPr>
          <w:rFonts w:ascii="Times New Roman" w:hAnsi="Times New Roman"/>
          <w:b/>
          <w:bCs/>
          <w:noProof/>
          <w:sz w:val="24"/>
          <w:szCs w:val="24"/>
        </w:rPr>
        <w:t>ș</w:t>
      </w:r>
      <w:r w:rsidRPr="00AD25B2">
        <w:rPr>
          <w:rFonts w:ascii="Times New Roman" w:hAnsi="Times New Roman"/>
          <w:b/>
          <w:bCs/>
          <w:noProof/>
          <w:sz w:val="24"/>
          <w:szCs w:val="24"/>
        </w:rPr>
        <w:t xml:space="preserve">i interesul </w:t>
      </w:r>
      <w:r w:rsidRPr="00AD25B2">
        <w:rPr>
          <w:rFonts w:ascii="Times New Roman" w:hAnsi="Times New Roman"/>
          <w:bCs/>
          <w:noProof/>
          <w:sz w:val="24"/>
          <w:szCs w:val="24"/>
        </w:rPr>
        <w:t xml:space="preserve">special </w:t>
      </w:r>
      <w:r w:rsidRPr="00AD25B2">
        <w:rPr>
          <w:rFonts w:ascii="Times New Roman" w:hAnsi="Times New Roman"/>
          <w:b/>
          <w:bCs/>
          <w:noProof/>
          <w:sz w:val="24"/>
          <w:szCs w:val="24"/>
        </w:rPr>
        <w:t>de a juca un rol de prim pl</w:t>
      </w:r>
      <w:r w:rsidRPr="00AD25B2">
        <w:rPr>
          <w:rFonts w:ascii="Times New Roman" w:hAnsi="Times New Roman"/>
          <w:b/>
          <w:bCs/>
          <w:noProof/>
          <w:sz w:val="24"/>
          <w:szCs w:val="24"/>
        </w:rPr>
        <w:t>an în cadrul răspunsului la nivel mondial</w:t>
      </w:r>
      <w:r w:rsidRPr="00AD25B2">
        <w:rPr>
          <w:rFonts w:ascii="Times New Roman" w:hAnsi="Times New Roman"/>
          <w:noProof/>
          <w:sz w:val="24"/>
          <w:szCs w:val="24"/>
        </w:rPr>
        <w:t xml:space="preserve"> și de a oferi asistență partenerilor aflați în dificultate, cu atât mai mult celor din vecinătatea sa imediată. În cadrul eforturilor sale internaționale, UE acordă un </w:t>
      </w:r>
      <w:r w:rsidRPr="00AD25B2">
        <w:rPr>
          <w:rFonts w:ascii="Times New Roman" w:hAnsi="Times New Roman"/>
          <w:b/>
          <w:bCs/>
          <w:noProof/>
          <w:sz w:val="24"/>
          <w:szCs w:val="24"/>
        </w:rPr>
        <w:t xml:space="preserve">sprijin esențial și fără precedent Balcanilor </w:t>
      </w:r>
      <w:r w:rsidRPr="00AD25B2">
        <w:rPr>
          <w:rFonts w:ascii="Times New Roman" w:hAnsi="Times New Roman"/>
          <w:b/>
          <w:bCs/>
          <w:noProof/>
          <w:sz w:val="24"/>
          <w:szCs w:val="24"/>
        </w:rPr>
        <w:t>de Vest</w:t>
      </w:r>
      <w:r w:rsidRPr="00AD25B2">
        <w:rPr>
          <w:rFonts w:ascii="Times New Roman" w:hAnsi="Times New Roman"/>
          <w:noProof/>
          <w:sz w:val="24"/>
          <w:szCs w:val="24"/>
        </w:rPr>
        <w:t>. UE asigură țărilor din regiune un sprijin financiar în valoare de peste 3,3 miliarde EUR pentru a le ajuta să facă față crizei sanitare imediate și nevoilor umanitare care decurg din aceasta, precum și impactului structural și pe termen mai lung a</w:t>
      </w:r>
      <w:r w:rsidRPr="00AD25B2">
        <w:rPr>
          <w:rFonts w:ascii="Times New Roman" w:hAnsi="Times New Roman"/>
          <w:noProof/>
          <w:sz w:val="24"/>
          <w:szCs w:val="24"/>
        </w:rPr>
        <w:t xml:space="preserve">supra societăților și economiilor lor. Având în vedere perspectiva europeană a Balcanilor de Vest, UE îi tratează, de asemenea, ca parteneri privilegiați, acordându-le acces la numeroase inițiative și instrumente rezervate statelor membre ale UE. </w:t>
      </w:r>
    </w:p>
    <w:p w:rsidR="005E046B" w:rsidRPr="00AD25B2" w:rsidRDefault="00AD25B2" w:rsidP="00AD25B2">
      <w:pPr>
        <w:pStyle w:val="Body"/>
        <w:spacing w:after="120" w:line="240" w:lineRule="auto"/>
        <w:jc w:val="both"/>
        <w:rPr>
          <w:rFonts w:ascii="Times New Roman" w:eastAsia="Times New Roman" w:hAnsi="Times New Roman" w:cs="Times New Roman"/>
          <w:noProof/>
          <w:sz w:val="24"/>
          <w:szCs w:val="24"/>
        </w:rPr>
      </w:pPr>
      <w:r w:rsidRPr="00AD25B2">
        <w:rPr>
          <w:rFonts w:ascii="Times New Roman" w:hAnsi="Times New Roman"/>
          <w:noProof/>
          <w:sz w:val="24"/>
          <w:szCs w:val="24"/>
        </w:rPr>
        <w:t xml:space="preserve">Liderii </w:t>
      </w:r>
      <w:r w:rsidRPr="00AD25B2">
        <w:rPr>
          <w:rFonts w:ascii="Times New Roman" w:hAnsi="Times New Roman"/>
          <w:noProof/>
          <w:sz w:val="24"/>
          <w:szCs w:val="24"/>
        </w:rPr>
        <w:t xml:space="preserve">UE și cei ai regiunii se vor întâlni la 6 mai 2020 pentru a reflecta asupra provocărilor cu care se confruntă. Pentru a contribui la aceste discuții, prezenta comunicare evidențiază </w:t>
      </w:r>
      <w:r w:rsidRPr="00AD25B2">
        <w:rPr>
          <w:rFonts w:ascii="Times New Roman" w:hAnsi="Times New Roman"/>
          <w:b/>
          <w:bCs/>
          <w:noProof/>
          <w:sz w:val="24"/>
          <w:szCs w:val="24"/>
        </w:rPr>
        <w:t>solidaritatea Uniunii Europene cu Balcanii de Vest</w:t>
      </w:r>
      <w:r w:rsidRPr="00AD25B2">
        <w:rPr>
          <w:rFonts w:ascii="Times New Roman" w:hAnsi="Times New Roman"/>
          <w:noProof/>
          <w:sz w:val="24"/>
          <w:szCs w:val="24"/>
        </w:rPr>
        <w:t xml:space="preserve"> în ceea ce privește com</w:t>
      </w:r>
      <w:r w:rsidRPr="00AD25B2">
        <w:rPr>
          <w:rFonts w:ascii="Times New Roman" w:hAnsi="Times New Roman"/>
          <w:noProof/>
          <w:sz w:val="24"/>
          <w:szCs w:val="24"/>
        </w:rPr>
        <w:t xml:space="preserve">baterea impactului imediat al COVID-19 și definește domeniile de cooperare reciprocă. Prezenta comunicare are în vedere un sprijin pe termen mai lung din partea UE pentru redresarea economică, </w:t>
      </w:r>
      <w:r w:rsidRPr="00AD25B2">
        <w:rPr>
          <w:rFonts w:ascii="Times New Roman" w:hAnsi="Times New Roman"/>
          <w:b/>
          <w:bCs/>
          <w:noProof/>
          <w:sz w:val="24"/>
          <w:szCs w:val="24"/>
        </w:rPr>
        <w:t xml:space="preserve">pregătind terenul pentru un plan economic și de investiții mai </w:t>
      </w:r>
      <w:r w:rsidRPr="00AD25B2">
        <w:rPr>
          <w:rFonts w:ascii="Times New Roman" w:hAnsi="Times New Roman"/>
          <w:b/>
          <w:bCs/>
          <w:noProof/>
          <w:sz w:val="24"/>
          <w:szCs w:val="24"/>
        </w:rPr>
        <w:t>detaliat pentru regiune, pe care Comisia îl va prezenta</w:t>
      </w:r>
      <w:r w:rsidRPr="00AD25B2">
        <w:rPr>
          <w:rFonts w:ascii="Times New Roman" w:hAnsi="Times New Roman"/>
          <w:noProof/>
          <w:sz w:val="24"/>
          <w:szCs w:val="24"/>
        </w:rPr>
        <w:t xml:space="preserve"> în cursul acestui an. </w:t>
      </w:r>
      <w:r w:rsidRPr="00AD25B2">
        <w:rPr>
          <w:rFonts w:ascii="Times New Roman" w:hAnsi="Times New Roman"/>
          <w:noProof/>
          <w:sz w:val="24"/>
          <w:szCs w:val="24"/>
        </w:rPr>
        <w:t>De asemenea, prezenta comunicare anticipează o nouă intensificare a angajamentului și a sprijinului din partea UE pentru concretizarea perspectivei europene a regiunii, prin spri</w:t>
      </w:r>
      <w:r w:rsidRPr="00AD25B2">
        <w:rPr>
          <w:rFonts w:ascii="Times New Roman" w:hAnsi="Times New Roman"/>
          <w:noProof/>
          <w:sz w:val="24"/>
          <w:szCs w:val="24"/>
        </w:rPr>
        <w:t xml:space="preserve">jinirea tuturor partenerilor în </w:t>
      </w:r>
      <w:r w:rsidRPr="00AD25B2">
        <w:rPr>
          <w:rFonts w:ascii="Times New Roman" w:hAnsi="Times New Roman"/>
          <w:b/>
          <w:bCs/>
          <w:noProof/>
          <w:sz w:val="24"/>
          <w:szCs w:val="24"/>
        </w:rPr>
        <w:t xml:space="preserve">abordarea reformelor fundamentale necesare din domeniile democrației, statului de </w:t>
      </w:r>
      <w:r w:rsidRPr="00AD25B2">
        <w:rPr>
          <w:rFonts w:ascii="Times New Roman" w:hAnsi="Times New Roman"/>
          <w:b/>
          <w:bCs/>
          <w:noProof/>
          <w:sz w:val="24"/>
          <w:szCs w:val="24"/>
        </w:rPr>
        <w:lastRenderedPageBreak/>
        <w:t>drept și economiei</w:t>
      </w:r>
      <w:r w:rsidRPr="00AD25B2">
        <w:rPr>
          <w:rFonts w:ascii="Times New Roman" w:hAnsi="Times New Roman"/>
          <w:noProof/>
          <w:sz w:val="24"/>
          <w:szCs w:val="24"/>
        </w:rPr>
        <w:t>, cu o și mai mare fermitate, astfel cum se prevede în metodologia consolidată.</w:t>
      </w:r>
      <w:r w:rsidRPr="00AD25B2">
        <w:rPr>
          <w:rFonts w:ascii="Times New Roman" w:hAnsi="Times New Roman"/>
          <w:noProof/>
          <w:sz w:val="24"/>
          <w:szCs w:val="24"/>
        </w:rPr>
        <w:t xml:space="preserve"> </w:t>
      </w:r>
    </w:p>
    <w:p w:rsidR="005E046B" w:rsidRPr="00AD25B2" w:rsidRDefault="005E046B" w:rsidP="00AD25B2">
      <w:pPr>
        <w:pStyle w:val="Body"/>
        <w:spacing w:after="120" w:line="240" w:lineRule="auto"/>
        <w:jc w:val="both"/>
        <w:rPr>
          <w:rFonts w:ascii="Times New Roman" w:eastAsia="Times New Roman" w:hAnsi="Times New Roman" w:cs="Times New Roman"/>
          <w:noProof/>
          <w:sz w:val="24"/>
          <w:szCs w:val="24"/>
          <w:lang w:val="es-ES_tradnl"/>
        </w:rPr>
      </w:pPr>
    </w:p>
    <w:p w:rsidR="005E046B" w:rsidRPr="00AD25B2" w:rsidRDefault="005E046B" w:rsidP="00AD25B2">
      <w:pPr>
        <w:pStyle w:val="Body"/>
        <w:spacing w:after="120" w:line="240" w:lineRule="auto"/>
        <w:jc w:val="both"/>
        <w:rPr>
          <w:rFonts w:ascii="Times New Roman" w:eastAsia="Times New Roman" w:hAnsi="Times New Roman" w:cs="Times New Roman"/>
          <w:noProof/>
          <w:sz w:val="24"/>
          <w:szCs w:val="24"/>
          <w:lang w:val="es-ES_tradnl"/>
        </w:rPr>
      </w:pPr>
    </w:p>
    <w:p w:rsidR="005E046B" w:rsidRPr="00AD25B2" w:rsidRDefault="00AD25B2" w:rsidP="00AD25B2">
      <w:pPr>
        <w:pStyle w:val="ListParagraph"/>
        <w:keepNext/>
        <w:numPr>
          <w:ilvl w:val="0"/>
          <w:numId w:val="20"/>
        </w:numPr>
        <w:pBdr>
          <w:top w:val="nil"/>
          <w:left w:val="nil"/>
          <w:bottom w:val="nil"/>
          <w:right w:val="nil"/>
          <w:between w:val="nil"/>
          <w:bar w:val="nil"/>
        </w:pBdr>
        <w:spacing w:after="120"/>
        <w:ind w:left="783" w:hanging="482"/>
        <w:jc w:val="both"/>
        <w:rPr>
          <w:rFonts w:ascii="Times New Roman" w:hAnsi="Times New Roman"/>
          <w:b/>
          <w:bCs/>
          <w:noProof/>
          <w:sz w:val="24"/>
          <w:szCs w:val="24"/>
        </w:rPr>
      </w:pPr>
      <w:r w:rsidRPr="00AD25B2">
        <w:rPr>
          <w:rFonts w:ascii="Times New Roman" w:hAnsi="Times New Roman"/>
          <w:b/>
          <w:bCs/>
          <w:noProof/>
          <w:sz w:val="24"/>
          <w:szCs w:val="24"/>
        </w:rPr>
        <w:t>Sprijinul acordat de UE Balcanilor de Ves</w:t>
      </w:r>
      <w:r w:rsidRPr="00AD25B2">
        <w:rPr>
          <w:rFonts w:ascii="Times New Roman" w:hAnsi="Times New Roman"/>
          <w:b/>
          <w:bCs/>
          <w:noProof/>
          <w:sz w:val="24"/>
          <w:szCs w:val="24"/>
        </w:rPr>
        <w:t xml:space="preserve">t în combaterea COVID-19 </w:t>
      </w:r>
    </w:p>
    <w:p w:rsidR="005E046B" w:rsidRPr="00AD25B2" w:rsidRDefault="00AD25B2" w:rsidP="00AD25B2">
      <w:pPr>
        <w:pStyle w:val="FootnoteText"/>
        <w:spacing w:after="120"/>
        <w:jc w:val="both"/>
        <w:rPr>
          <w:rFonts w:ascii="Times New Roman" w:eastAsia="Times New Roman" w:hAnsi="Times New Roman"/>
          <w:noProof/>
          <w:sz w:val="24"/>
          <w:szCs w:val="24"/>
        </w:rPr>
      </w:pPr>
      <w:r w:rsidRPr="00AD25B2">
        <w:rPr>
          <w:rFonts w:ascii="Times New Roman" w:hAnsi="Times New Roman"/>
          <w:noProof/>
          <w:sz w:val="24"/>
          <w:szCs w:val="24"/>
        </w:rPr>
        <w:t>În cadrul răspunsului său la criză, UE a decis să ofere un sprijin financiar substanțial regiunii Balcanilor de Vest, dar și să o includă, în cea mai mare măsură posibilă, în propriul său răspuns. Cu toate că și alți parteneri și-</w:t>
      </w:r>
      <w:r w:rsidRPr="00AD25B2">
        <w:rPr>
          <w:rFonts w:ascii="Times New Roman" w:hAnsi="Times New Roman"/>
          <w:noProof/>
          <w:sz w:val="24"/>
          <w:szCs w:val="24"/>
        </w:rPr>
        <w:t>au lărgit sprijinul pe care îl acordă regiunii, procedurile flexibile și deciziile rapide i-au permis UE să fie și de această dată cel mai eficace și mai fiabil partener al regiunii.</w:t>
      </w:r>
    </w:p>
    <w:p w:rsidR="005E046B" w:rsidRPr="00AD25B2" w:rsidRDefault="00AD25B2" w:rsidP="00AD25B2">
      <w:pPr>
        <w:pStyle w:val="FootnoteText"/>
        <w:spacing w:after="120"/>
        <w:jc w:val="both"/>
        <w:rPr>
          <w:rFonts w:ascii="Times New Roman" w:eastAsia="Times New Roman" w:hAnsi="Times New Roman"/>
          <w:noProof/>
          <w:sz w:val="24"/>
          <w:szCs w:val="24"/>
        </w:rPr>
      </w:pPr>
      <w:r w:rsidRPr="00AD25B2">
        <w:rPr>
          <w:rFonts w:ascii="Times New Roman" w:hAnsi="Times New Roman"/>
          <w:bCs/>
          <w:noProof/>
          <w:sz w:val="24"/>
          <w:szCs w:val="24"/>
        </w:rPr>
        <w:t xml:space="preserve">UE a mobilizat în beneficiul </w:t>
      </w:r>
      <w:r w:rsidRPr="00AD25B2">
        <w:rPr>
          <w:rFonts w:ascii="Times New Roman" w:hAnsi="Times New Roman"/>
          <w:b/>
          <w:bCs/>
          <w:noProof/>
          <w:sz w:val="24"/>
          <w:szCs w:val="24"/>
        </w:rPr>
        <w:t>cetățenilor</w:t>
      </w:r>
      <w:r w:rsidRPr="00AD25B2">
        <w:rPr>
          <w:rFonts w:ascii="Times New Roman" w:hAnsi="Times New Roman"/>
          <w:bCs/>
          <w:noProof/>
          <w:sz w:val="24"/>
          <w:szCs w:val="24"/>
        </w:rPr>
        <w:t xml:space="preserve"> din Balcanii de Vest </w:t>
      </w:r>
      <w:r w:rsidRPr="00AD25B2">
        <w:rPr>
          <w:rFonts w:ascii="Times New Roman" w:hAnsi="Times New Roman"/>
          <w:b/>
          <w:bCs/>
          <w:noProof/>
          <w:sz w:val="24"/>
          <w:szCs w:val="24"/>
        </w:rPr>
        <w:t xml:space="preserve">un pachet </w:t>
      </w:r>
      <w:r w:rsidRPr="00AD25B2">
        <w:rPr>
          <w:rFonts w:ascii="Times New Roman" w:hAnsi="Times New Roman"/>
          <w:b/>
          <w:bCs/>
          <w:noProof/>
          <w:sz w:val="24"/>
          <w:szCs w:val="24"/>
        </w:rPr>
        <w:t>în valoare de peste 3,3 miliarde EUR</w:t>
      </w:r>
      <w:r w:rsidRPr="00AD25B2">
        <w:rPr>
          <w:rFonts w:ascii="Times New Roman" w:eastAsia="Times New Roman" w:hAnsi="Times New Roman"/>
          <w:b/>
          <w:bCs/>
          <w:noProof/>
          <w:sz w:val="24"/>
          <w:szCs w:val="24"/>
          <w:vertAlign w:val="superscript"/>
          <w:lang w:val="en-US"/>
        </w:rPr>
        <w:footnoteReference w:id="3"/>
      </w:r>
      <w:r w:rsidRPr="00AD25B2">
        <w:rPr>
          <w:rFonts w:ascii="Times New Roman" w:hAnsi="Times New Roman"/>
          <w:noProof/>
          <w:sz w:val="24"/>
          <w:szCs w:val="24"/>
        </w:rPr>
        <w:t xml:space="preserve">. Acest pachet include realocări din </w:t>
      </w:r>
      <w:r w:rsidRPr="00AD25B2">
        <w:rPr>
          <w:rFonts w:ascii="Times New Roman" w:hAnsi="Times New Roman"/>
          <w:b/>
          <w:bCs/>
          <w:noProof/>
          <w:sz w:val="24"/>
          <w:szCs w:val="24"/>
        </w:rPr>
        <w:t>Instrumentul de asistență pentru preaderare</w:t>
      </w:r>
      <w:r w:rsidRPr="00AD25B2">
        <w:rPr>
          <w:rFonts w:ascii="Times New Roman" w:eastAsia="Times New Roman" w:hAnsi="Times New Roman"/>
          <w:b/>
          <w:bCs/>
          <w:noProof/>
          <w:sz w:val="24"/>
          <w:szCs w:val="24"/>
          <w:vertAlign w:val="superscript"/>
          <w:lang w:val="en-US"/>
        </w:rPr>
        <w:footnoteReference w:id="4"/>
      </w:r>
      <w:r w:rsidRPr="00AD25B2">
        <w:rPr>
          <w:rFonts w:ascii="Times New Roman" w:hAnsi="Times New Roman"/>
          <w:b/>
          <w:bCs/>
          <w:noProof/>
          <w:sz w:val="24"/>
          <w:szCs w:val="24"/>
        </w:rPr>
        <w:t xml:space="preserve"> în valoare de 38 de milioane EUR</w:t>
      </w:r>
      <w:r w:rsidRPr="00AD25B2">
        <w:rPr>
          <w:rFonts w:ascii="Times New Roman" w:hAnsi="Times New Roman"/>
          <w:noProof/>
          <w:sz w:val="24"/>
          <w:szCs w:val="24"/>
        </w:rPr>
        <w:t xml:space="preserve"> destinate sprijinului imediat pentru sectorul sănătății, în special prin furnizarea de consumabile și ec</w:t>
      </w:r>
      <w:r w:rsidRPr="00AD25B2">
        <w:rPr>
          <w:rFonts w:ascii="Times New Roman" w:hAnsi="Times New Roman"/>
          <w:noProof/>
          <w:sz w:val="24"/>
          <w:szCs w:val="24"/>
        </w:rPr>
        <w:t>hipamente medicale esențiale pentru salvarea de vieți, cum ar fi echipamentele individuale de protecție, testele și aparatele pentru respirație artificială</w:t>
      </w:r>
      <w:r w:rsidRPr="00AD25B2">
        <w:rPr>
          <w:rFonts w:ascii="Times New Roman" w:eastAsia="Times New Roman" w:hAnsi="Times New Roman"/>
          <w:noProof/>
          <w:sz w:val="24"/>
          <w:szCs w:val="24"/>
          <w:vertAlign w:val="superscript"/>
          <w:lang w:val="en-US"/>
        </w:rPr>
        <w:footnoteReference w:id="5"/>
      </w:r>
      <w:r w:rsidRPr="00AD25B2">
        <w:rPr>
          <w:rFonts w:ascii="Times New Roman" w:hAnsi="Times New Roman"/>
          <w:noProof/>
          <w:sz w:val="24"/>
          <w:szCs w:val="24"/>
        </w:rPr>
        <w:t xml:space="preserve">, </w:t>
      </w:r>
      <w:r w:rsidRPr="00AD25B2">
        <w:rPr>
          <w:rFonts w:ascii="Times New Roman" w:hAnsi="Times New Roman"/>
          <w:b/>
          <w:bCs/>
          <w:noProof/>
          <w:sz w:val="24"/>
          <w:szCs w:val="24"/>
        </w:rPr>
        <w:t>389 de milioane EUR</w:t>
      </w:r>
      <w:r w:rsidRPr="00AD25B2">
        <w:rPr>
          <w:rFonts w:ascii="Times New Roman" w:hAnsi="Times New Roman"/>
          <w:noProof/>
          <w:sz w:val="24"/>
          <w:szCs w:val="24"/>
        </w:rPr>
        <w:t xml:space="preserve"> pentru a răspunde </w:t>
      </w:r>
      <w:r w:rsidRPr="00AD25B2">
        <w:rPr>
          <w:rFonts w:ascii="Times New Roman" w:hAnsi="Times New Roman"/>
          <w:b/>
          <w:bCs/>
          <w:noProof/>
          <w:sz w:val="24"/>
          <w:szCs w:val="24"/>
        </w:rPr>
        <w:t>nevoilor sociale și în materie de redresare economică</w:t>
      </w:r>
      <w:r w:rsidRPr="00AD25B2">
        <w:rPr>
          <w:rFonts w:ascii="Times New Roman" w:hAnsi="Times New Roman"/>
          <w:noProof/>
          <w:sz w:val="24"/>
          <w:szCs w:val="24"/>
        </w:rPr>
        <w:t xml:space="preserve"> și alt</w:t>
      </w:r>
      <w:r w:rsidRPr="00AD25B2">
        <w:rPr>
          <w:rFonts w:ascii="Times New Roman" w:hAnsi="Times New Roman"/>
          <w:noProof/>
          <w:sz w:val="24"/>
          <w:szCs w:val="24"/>
        </w:rPr>
        <w:t xml:space="preserve">e </w:t>
      </w:r>
      <w:r w:rsidRPr="00AD25B2">
        <w:rPr>
          <w:rFonts w:ascii="Times New Roman" w:hAnsi="Times New Roman"/>
          <w:b/>
          <w:bCs/>
          <w:noProof/>
          <w:sz w:val="24"/>
          <w:szCs w:val="24"/>
        </w:rPr>
        <w:t>455 de milioane EUR aferente pachetului de relansare economică</w:t>
      </w:r>
      <w:r w:rsidRPr="00AD25B2">
        <w:rPr>
          <w:rFonts w:ascii="Times New Roman" w:hAnsi="Times New Roman"/>
          <w:noProof/>
          <w:sz w:val="24"/>
          <w:szCs w:val="24"/>
        </w:rPr>
        <w:t xml:space="preserve"> a regiunii, în strânsă cooperare cu instituțiile financiare internaționale, precum și o propunere</w:t>
      </w:r>
      <w:r w:rsidRPr="00AD25B2">
        <w:rPr>
          <w:rFonts w:ascii="Times New Roman" w:eastAsia="Times New Roman" w:hAnsi="Times New Roman"/>
          <w:noProof/>
          <w:sz w:val="24"/>
          <w:szCs w:val="24"/>
          <w:vertAlign w:val="superscript"/>
          <w:lang w:val="en-US"/>
        </w:rPr>
        <w:footnoteReference w:id="6"/>
      </w:r>
      <w:r w:rsidRPr="00AD25B2">
        <w:rPr>
          <w:rFonts w:ascii="Times New Roman" w:hAnsi="Times New Roman"/>
          <w:noProof/>
          <w:sz w:val="24"/>
          <w:szCs w:val="24"/>
        </w:rPr>
        <w:t xml:space="preserve"> de </w:t>
      </w:r>
      <w:r w:rsidRPr="00AD25B2">
        <w:rPr>
          <w:rFonts w:ascii="Times New Roman" w:hAnsi="Times New Roman"/>
          <w:b/>
          <w:bCs/>
          <w:noProof/>
          <w:sz w:val="24"/>
          <w:szCs w:val="24"/>
        </w:rPr>
        <w:t>asistență macrofinanciară în valoare de 750 de milioane EUR</w:t>
      </w:r>
      <w:r w:rsidRPr="00AD25B2">
        <w:rPr>
          <w:rFonts w:ascii="Times New Roman" w:hAnsi="Times New Roman"/>
          <w:noProof/>
          <w:sz w:val="24"/>
          <w:szCs w:val="24"/>
        </w:rPr>
        <w:t xml:space="preserve"> și un </w:t>
      </w:r>
      <w:r w:rsidRPr="00AD25B2">
        <w:rPr>
          <w:rFonts w:ascii="Times New Roman" w:hAnsi="Times New Roman"/>
          <w:b/>
          <w:bCs/>
          <w:noProof/>
          <w:sz w:val="24"/>
          <w:szCs w:val="24"/>
        </w:rPr>
        <w:t>pachet în valoare de 1,</w:t>
      </w:r>
      <w:r w:rsidRPr="00AD25B2">
        <w:rPr>
          <w:rFonts w:ascii="Times New Roman" w:hAnsi="Times New Roman"/>
          <w:b/>
          <w:bCs/>
          <w:noProof/>
          <w:sz w:val="24"/>
          <w:szCs w:val="24"/>
        </w:rPr>
        <w:t>7 miliarde EUR</w:t>
      </w:r>
      <w:r w:rsidRPr="00AD25B2">
        <w:rPr>
          <w:rFonts w:ascii="Times New Roman" w:hAnsi="Times New Roman"/>
          <w:noProof/>
          <w:sz w:val="24"/>
          <w:szCs w:val="24"/>
        </w:rPr>
        <w:t xml:space="preserve">, reprezentând asistență din partea </w:t>
      </w:r>
      <w:r w:rsidRPr="00AD25B2">
        <w:rPr>
          <w:rFonts w:ascii="Times New Roman" w:hAnsi="Times New Roman"/>
          <w:b/>
          <w:bCs/>
          <w:noProof/>
          <w:sz w:val="24"/>
          <w:szCs w:val="24"/>
        </w:rPr>
        <w:t>Băncii Europene de Investiții</w:t>
      </w:r>
      <w:r w:rsidRPr="00AD25B2">
        <w:rPr>
          <w:rFonts w:ascii="Times New Roman" w:hAnsi="Times New Roman"/>
          <w:noProof/>
          <w:sz w:val="24"/>
          <w:szCs w:val="24"/>
        </w:rPr>
        <w:t>.</w:t>
      </w:r>
      <w:r w:rsidRPr="00AD25B2">
        <w:rPr>
          <w:rFonts w:ascii="Times New Roman" w:hAnsi="Times New Roman"/>
          <w:noProof/>
          <w:sz w:val="24"/>
          <w:szCs w:val="24"/>
        </w:rPr>
        <w:t xml:space="preserve"> De asemenea, UE acordă </w:t>
      </w:r>
      <w:r w:rsidRPr="00AD25B2">
        <w:rPr>
          <w:rFonts w:ascii="Times New Roman" w:hAnsi="Times New Roman"/>
          <w:b/>
          <w:bCs/>
          <w:noProof/>
          <w:sz w:val="24"/>
          <w:szCs w:val="24"/>
        </w:rPr>
        <w:t>refugiaților și migranților vulnerabili asistență umanitară imediată în valoare de 4,5 milioane EUR</w:t>
      </w:r>
      <w:r w:rsidRPr="00AD25B2">
        <w:rPr>
          <w:rFonts w:ascii="Times New Roman" w:hAnsi="Times New Roman"/>
          <w:noProof/>
          <w:sz w:val="24"/>
          <w:szCs w:val="24"/>
        </w:rPr>
        <w:t>, destinate protecției, sprijinului pentru minorii ne</w:t>
      </w:r>
      <w:r w:rsidRPr="00AD25B2">
        <w:rPr>
          <w:rFonts w:ascii="Times New Roman" w:hAnsi="Times New Roman"/>
          <w:noProof/>
          <w:sz w:val="24"/>
          <w:szCs w:val="24"/>
        </w:rPr>
        <w:t xml:space="preserve">însoțiți și asistenței medicale, inclusiv în vederea pregătirii pentru COVID-19, și sprijin de urgență, în valoare de </w:t>
      </w:r>
      <w:r w:rsidRPr="00AD25B2">
        <w:rPr>
          <w:rFonts w:ascii="Times New Roman" w:hAnsi="Times New Roman"/>
          <w:b/>
          <w:bCs/>
          <w:noProof/>
          <w:sz w:val="24"/>
          <w:szCs w:val="24"/>
        </w:rPr>
        <w:t>8 milioane EUR</w:t>
      </w:r>
      <w:r w:rsidRPr="00AD25B2">
        <w:rPr>
          <w:rFonts w:ascii="Times New Roman" w:hAnsi="Times New Roman"/>
          <w:noProof/>
          <w:sz w:val="24"/>
          <w:szCs w:val="24"/>
        </w:rPr>
        <w:t xml:space="preserve"> din </w:t>
      </w:r>
      <w:r w:rsidRPr="00AD25B2">
        <w:rPr>
          <w:rFonts w:ascii="Times New Roman" w:hAnsi="Times New Roman"/>
          <w:b/>
          <w:bCs/>
          <w:noProof/>
          <w:sz w:val="24"/>
          <w:szCs w:val="24"/>
        </w:rPr>
        <w:t>Instrumentul care contribuie la stabilitate și pace</w:t>
      </w:r>
      <w:r w:rsidRPr="00AD25B2">
        <w:rPr>
          <w:rFonts w:ascii="Times New Roman" w:hAnsi="Times New Roman"/>
          <w:noProof/>
          <w:sz w:val="24"/>
          <w:szCs w:val="24"/>
        </w:rPr>
        <w:t>, pentru migranții și refugiații blocați în Balcanii de Vest. În plu</w:t>
      </w:r>
      <w:r w:rsidRPr="00AD25B2">
        <w:rPr>
          <w:rFonts w:ascii="Times New Roman" w:hAnsi="Times New Roman"/>
          <w:noProof/>
          <w:sz w:val="24"/>
          <w:szCs w:val="24"/>
        </w:rPr>
        <w:t xml:space="preserve">s, </w:t>
      </w:r>
      <w:r w:rsidRPr="00AD25B2">
        <w:rPr>
          <w:rFonts w:ascii="Times New Roman" w:hAnsi="Times New Roman"/>
          <w:b/>
          <w:bCs/>
          <w:noProof/>
          <w:sz w:val="24"/>
          <w:szCs w:val="24"/>
        </w:rPr>
        <w:t xml:space="preserve">Fondul de solidaritate </w:t>
      </w:r>
      <w:r w:rsidRPr="00AD25B2">
        <w:rPr>
          <w:rFonts w:ascii="Times New Roman" w:hAnsi="Times New Roman"/>
          <w:bCs/>
          <w:noProof/>
          <w:sz w:val="24"/>
          <w:szCs w:val="24"/>
        </w:rPr>
        <w:t>al UE</w:t>
      </w:r>
      <w:r w:rsidRPr="00AD25B2">
        <w:rPr>
          <w:rFonts w:ascii="Times New Roman" w:hAnsi="Times New Roman"/>
          <w:noProof/>
          <w:sz w:val="24"/>
          <w:szCs w:val="24"/>
        </w:rPr>
        <w:t>, deschis țărilor din Balcanii de Vest care au început negocierile de aderare, acoperă în prezent și crizele de sănătate publică.</w:t>
      </w:r>
    </w:p>
    <w:p w:rsidR="005E046B" w:rsidRPr="00AD25B2" w:rsidRDefault="00AD25B2" w:rsidP="00AD25B2">
      <w:pPr>
        <w:pStyle w:val="FootnoteText"/>
        <w:spacing w:after="120"/>
        <w:jc w:val="both"/>
        <w:rPr>
          <w:rFonts w:ascii="Times New Roman" w:eastAsia="Times New Roman" w:hAnsi="Times New Roman"/>
          <w:noProof/>
          <w:sz w:val="24"/>
          <w:szCs w:val="24"/>
        </w:rPr>
      </w:pPr>
      <w:r w:rsidRPr="00AD25B2">
        <w:rPr>
          <w:rFonts w:ascii="Times New Roman" w:hAnsi="Times New Roman"/>
          <w:noProof/>
          <w:sz w:val="24"/>
          <w:szCs w:val="24"/>
        </w:rPr>
        <w:t xml:space="preserve">O parte importantă a sprijinului economic acordat de UE va </w:t>
      </w:r>
      <w:r w:rsidRPr="00AD25B2">
        <w:rPr>
          <w:rFonts w:ascii="Times New Roman" w:hAnsi="Times New Roman"/>
          <w:b/>
          <w:bCs/>
          <w:noProof/>
          <w:sz w:val="24"/>
          <w:szCs w:val="24"/>
        </w:rPr>
        <w:t>ajuta sectorul privat să facă față p</w:t>
      </w:r>
      <w:r w:rsidRPr="00AD25B2">
        <w:rPr>
          <w:rFonts w:ascii="Times New Roman" w:hAnsi="Times New Roman"/>
          <w:b/>
          <w:bCs/>
          <w:noProof/>
          <w:sz w:val="24"/>
          <w:szCs w:val="24"/>
        </w:rPr>
        <w:t>rovocărilor financiare și în materie de lichidități</w:t>
      </w:r>
      <w:r w:rsidRPr="00AD25B2">
        <w:rPr>
          <w:rFonts w:ascii="Times New Roman" w:hAnsi="Times New Roman"/>
          <w:noProof/>
          <w:sz w:val="24"/>
          <w:szCs w:val="24"/>
        </w:rPr>
        <w:t xml:space="preserve"> prin mobilizarea sistemelor de garantare finanțate de UE, în cooperare cu instituțiile financiare internaționale. </w:t>
      </w:r>
    </w:p>
    <w:p w:rsidR="005E046B" w:rsidRPr="00AD25B2" w:rsidRDefault="00AD25B2" w:rsidP="00AD25B2">
      <w:pPr>
        <w:pStyle w:val="FootnoteText"/>
        <w:spacing w:after="120"/>
        <w:jc w:val="both"/>
        <w:rPr>
          <w:rFonts w:ascii="Times New Roman" w:eastAsia="Times New Roman" w:hAnsi="Times New Roman"/>
          <w:noProof/>
          <w:sz w:val="24"/>
          <w:szCs w:val="24"/>
        </w:rPr>
      </w:pPr>
      <w:r w:rsidRPr="00AD25B2">
        <w:rPr>
          <w:rFonts w:ascii="Times New Roman" w:hAnsi="Times New Roman"/>
          <w:noProof/>
          <w:sz w:val="24"/>
          <w:szCs w:val="24"/>
        </w:rPr>
        <w:t xml:space="preserve">Răspunsul UE urmează o </w:t>
      </w:r>
      <w:r w:rsidRPr="00AD25B2">
        <w:rPr>
          <w:rFonts w:ascii="Times New Roman" w:hAnsi="Times New Roman"/>
          <w:b/>
          <w:bCs/>
          <w:noProof/>
          <w:sz w:val="24"/>
          <w:szCs w:val="24"/>
        </w:rPr>
        <w:t>abordare de echipă, „Echipa Europa” (</w:t>
      </w:r>
      <w:r w:rsidRPr="00AD25B2">
        <w:rPr>
          <w:rFonts w:ascii="Times New Roman" w:hAnsi="Times New Roman"/>
          <w:b/>
          <w:bCs/>
          <w:i/>
          <w:iCs/>
          <w:noProof/>
          <w:sz w:val="24"/>
          <w:szCs w:val="24"/>
        </w:rPr>
        <w:t>Team Europe</w:t>
      </w:r>
      <w:r w:rsidRPr="00AD25B2">
        <w:rPr>
          <w:rFonts w:ascii="Times New Roman" w:hAnsi="Times New Roman"/>
          <w:b/>
          <w:bCs/>
          <w:noProof/>
          <w:sz w:val="24"/>
          <w:szCs w:val="24"/>
        </w:rPr>
        <w:t>)</w:t>
      </w:r>
      <w:r w:rsidRPr="00AD25B2">
        <w:rPr>
          <w:rFonts w:ascii="Times New Roman" w:eastAsia="Times New Roman" w:hAnsi="Times New Roman"/>
          <w:b/>
          <w:bCs/>
          <w:noProof/>
          <w:sz w:val="24"/>
          <w:szCs w:val="24"/>
          <w:vertAlign w:val="superscript"/>
          <w:lang w:val="en-US"/>
        </w:rPr>
        <w:footnoteReference w:id="7"/>
      </w:r>
      <w:r w:rsidRPr="00AD25B2">
        <w:rPr>
          <w:rFonts w:ascii="Times New Roman" w:hAnsi="Times New Roman"/>
          <w:noProof/>
          <w:sz w:val="24"/>
          <w:szCs w:val="24"/>
        </w:rPr>
        <w:t>:</w:t>
      </w:r>
      <w:r w:rsidRPr="00AD25B2">
        <w:rPr>
          <w:rFonts w:ascii="Times New Roman" w:hAnsi="Times New Roman"/>
          <w:noProof/>
          <w:sz w:val="24"/>
          <w:szCs w:val="24"/>
        </w:rPr>
        <w:t xml:space="preserve"> sprijinul nostru rapid și clar direcționat combină resurse din partea instituțiilor UE, a statelor membre și a instituțiilor financiare, în special Banca Europeană de Investiții și Banca Europeană pentru Reconstrucție și Dezvoltare. Împreună cu partenerii</w:t>
      </w:r>
      <w:r w:rsidRPr="00AD25B2">
        <w:rPr>
          <w:rFonts w:ascii="Times New Roman" w:hAnsi="Times New Roman"/>
          <w:noProof/>
          <w:sz w:val="24"/>
          <w:szCs w:val="24"/>
        </w:rPr>
        <w:t xml:space="preserve"> noștri, ne asigurăm că finanțarea substanțială din partea UE care le-a fost deja alocată este clar direcționată pentru a-i ajuta să facă față impactului pandemiei. În paralel, unele state membre ale UE oferă și sprijin bilateral, sub formă fie de fonduri,</w:t>
      </w:r>
      <w:r w:rsidRPr="00AD25B2">
        <w:rPr>
          <w:rFonts w:ascii="Times New Roman" w:hAnsi="Times New Roman"/>
          <w:noProof/>
          <w:sz w:val="24"/>
          <w:szCs w:val="24"/>
        </w:rPr>
        <w:t xml:space="preserve"> fie de donații de consumabile medicale.</w:t>
      </w:r>
    </w:p>
    <w:p w:rsidR="005E046B" w:rsidRPr="00AD25B2" w:rsidRDefault="00AD25B2" w:rsidP="00AD25B2">
      <w:pPr>
        <w:pStyle w:val="Body"/>
        <w:spacing w:after="120" w:line="240" w:lineRule="auto"/>
        <w:jc w:val="both"/>
        <w:rPr>
          <w:rFonts w:ascii="Times New Roman" w:eastAsia="Times New Roman" w:hAnsi="Times New Roman" w:cs="Times New Roman"/>
          <w:noProof/>
          <w:sz w:val="24"/>
          <w:szCs w:val="24"/>
        </w:rPr>
      </w:pPr>
      <w:r w:rsidRPr="00AD25B2">
        <w:rPr>
          <w:rFonts w:ascii="Times New Roman" w:hAnsi="Times New Roman"/>
          <w:noProof/>
          <w:sz w:val="24"/>
          <w:szCs w:val="24"/>
        </w:rPr>
        <w:t xml:space="preserve">Ca urmare a pandemiei de COVID-19, și Balcanii de Vest </w:t>
      </w:r>
      <w:r w:rsidRPr="00AD25B2">
        <w:rPr>
          <w:rFonts w:ascii="Times New Roman" w:hAnsi="Times New Roman"/>
          <w:b/>
          <w:bCs/>
          <w:noProof/>
          <w:sz w:val="24"/>
          <w:szCs w:val="24"/>
        </w:rPr>
        <w:t>au activat mecanismul de protecție civilă al Uniunii (UCPM)</w:t>
      </w:r>
      <w:r w:rsidRPr="00AD25B2">
        <w:rPr>
          <w:rFonts w:ascii="Times New Roman" w:hAnsi="Times New Roman"/>
          <w:noProof/>
          <w:sz w:val="24"/>
          <w:szCs w:val="24"/>
        </w:rPr>
        <w:t xml:space="preserve"> și au început deja să primească asistență din partea statelor membre și a statelor participante la UCPM. </w:t>
      </w:r>
      <w:r w:rsidRPr="00AD25B2">
        <w:rPr>
          <w:rFonts w:ascii="Times New Roman" w:hAnsi="Times New Roman"/>
          <w:b/>
          <w:bCs/>
          <w:noProof/>
          <w:sz w:val="24"/>
          <w:szCs w:val="24"/>
        </w:rPr>
        <w:t>Serbia, Macedonia de Nord și Muntenegru</w:t>
      </w:r>
      <w:r w:rsidRPr="00AD25B2">
        <w:rPr>
          <w:rFonts w:ascii="Times New Roman" w:hAnsi="Times New Roman"/>
          <w:noProof/>
          <w:sz w:val="24"/>
          <w:szCs w:val="24"/>
        </w:rPr>
        <w:t xml:space="preserve">, în calitate de state participante la mecanism, pot să contribuie la rescEU și să solicite sprijin din partea </w:t>
      </w:r>
      <w:r w:rsidRPr="00AD25B2">
        <w:rPr>
          <w:rFonts w:ascii="Times New Roman" w:hAnsi="Times New Roman"/>
          <w:noProof/>
          <w:sz w:val="24"/>
          <w:szCs w:val="24"/>
        </w:rPr>
        <w:t>acestuia, inclusiv în ceea ce privește rezerva de produse farmaceutice și consumabile și echipamente medicale. Printre persoanele repatriate în Europa datorită zborurilor organizate și cofinanțate de UCPM s-au numărat și cetățeni din Balcanii de Vest bloca</w:t>
      </w:r>
      <w:r w:rsidRPr="00AD25B2">
        <w:rPr>
          <w:rFonts w:ascii="Times New Roman" w:hAnsi="Times New Roman"/>
          <w:noProof/>
          <w:sz w:val="24"/>
          <w:szCs w:val="24"/>
        </w:rPr>
        <w:t>ț</w:t>
      </w:r>
      <w:r w:rsidRPr="00AD25B2">
        <w:rPr>
          <w:rFonts w:ascii="Times New Roman" w:hAnsi="Times New Roman"/>
          <w:noProof/>
          <w:sz w:val="24"/>
          <w:szCs w:val="24"/>
        </w:rPr>
        <w:t xml:space="preserve">i în străinătate. Autoritățile de protecție civilă din Balcanii de Vest vor continua să participe la cursurile de formare, exercițiile și schimburile de experți din cadrul UCPM. De asemenea, UE </w:t>
      </w:r>
      <w:r w:rsidRPr="00AD25B2">
        <w:rPr>
          <w:rFonts w:ascii="Times New Roman" w:hAnsi="Times New Roman"/>
          <w:b/>
          <w:bCs/>
          <w:noProof/>
          <w:sz w:val="24"/>
          <w:szCs w:val="24"/>
        </w:rPr>
        <w:t>apreciază sprijinul valoros</w:t>
      </w:r>
      <w:r w:rsidRPr="00AD25B2">
        <w:rPr>
          <w:rFonts w:ascii="Times New Roman" w:hAnsi="Times New Roman"/>
          <w:noProof/>
          <w:sz w:val="24"/>
          <w:szCs w:val="24"/>
        </w:rPr>
        <w:t xml:space="preserve"> pe care Balcanii de Vest l-au aco</w:t>
      </w:r>
      <w:r w:rsidRPr="00AD25B2">
        <w:rPr>
          <w:rFonts w:ascii="Times New Roman" w:hAnsi="Times New Roman"/>
          <w:noProof/>
          <w:sz w:val="24"/>
          <w:szCs w:val="24"/>
        </w:rPr>
        <w:t>rdat UE și vecinilor lor imediați în ceea ce privește personalul medical și echipamentele medicale. Acest sprijin reflectă solidaritatea și valorile fundamentale care stau la baza UE.</w:t>
      </w:r>
      <w:r w:rsidRPr="00AD25B2">
        <w:rPr>
          <w:noProof/>
          <w:sz w:val="24"/>
          <w:szCs w:val="24"/>
        </w:rPr>
        <w:t xml:space="preserve"> </w:t>
      </w:r>
    </w:p>
    <w:p w:rsidR="005E046B" w:rsidRPr="00AD25B2" w:rsidRDefault="00AD25B2" w:rsidP="00AD25B2">
      <w:pPr>
        <w:pStyle w:val="FootnoteText"/>
        <w:spacing w:after="120"/>
        <w:jc w:val="both"/>
        <w:rPr>
          <w:rFonts w:ascii="Times New Roman" w:hAnsi="Times New Roman"/>
          <w:b/>
          <w:bCs/>
          <w:noProof/>
          <w:sz w:val="24"/>
          <w:szCs w:val="24"/>
        </w:rPr>
      </w:pPr>
      <w:r w:rsidRPr="00AD25B2">
        <w:rPr>
          <w:rFonts w:ascii="Times New Roman" w:hAnsi="Times New Roman"/>
          <w:noProof/>
          <w:sz w:val="24"/>
          <w:szCs w:val="24"/>
        </w:rPr>
        <w:t>Prin urmare, pandemia actuală demonstrează în mod clar că UE și Balcani</w:t>
      </w:r>
      <w:r w:rsidRPr="00AD25B2">
        <w:rPr>
          <w:rFonts w:ascii="Times New Roman" w:hAnsi="Times New Roman"/>
          <w:noProof/>
          <w:sz w:val="24"/>
          <w:szCs w:val="24"/>
        </w:rPr>
        <w:t xml:space="preserve">i de Vest </w:t>
      </w:r>
      <w:r w:rsidRPr="00AD25B2">
        <w:rPr>
          <w:rFonts w:ascii="Times New Roman" w:hAnsi="Times New Roman"/>
          <w:b/>
          <w:bCs/>
          <w:noProof/>
          <w:sz w:val="24"/>
          <w:szCs w:val="24"/>
        </w:rPr>
        <w:t>abordează împreună provocările comune</w:t>
      </w:r>
      <w:r w:rsidRPr="00AD25B2">
        <w:rPr>
          <w:rFonts w:ascii="Times New Roman" w:hAnsi="Times New Roman"/>
          <w:noProof/>
          <w:sz w:val="24"/>
          <w:szCs w:val="24"/>
        </w:rPr>
        <w:t xml:space="preserve">, inclusiv prin </w:t>
      </w:r>
      <w:r w:rsidRPr="00AD25B2">
        <w:rPr>
          <w:rFonts w:ascii="Times New Roman" w:hAnsi="Times New Roman"/>
          <w:b/>
          <w:bCs/>
          <w:noProof/>
          <w:sz w:val="24"/>
          <w:szCs w:val="24"/>
        </w:rPr>
        <w:t>achiziții publice comune de echipamente medicale</w:t>
      </w:r>
      <w:r w:rsidRPr="00AD25B2">
        <w:rPr>
          <w:rFonts w:ascii="Times New Roman" w:hAnsi="Times New Roman"/>
          <w:noProof/>
          <w:sz w:val="24"/>
          <w:szCs w:val="24"/>
        </w:rPr>
        <w:t xml:space="preserve">, scutirea regiunii de la </w:t>
      </w:r>
      <w:r w:rsidRPr="00AD25B2">
        <w:rPr>
          <w:rFonts w:ascii="Times New Roman" w:hAnsi="Times New Roman"/>
          <w:b/>
          <w:bCs/>
          <w:noProof/>
          <w:sz w:val="24"/>
          <w:szCs w:val="24"/>
        </w:rPr>
        <w:t>regimul de autorizare a exporturilor</w:t>
      </w:r>
      <w:r w:rsidRPr="00AD25B2">
        <w:rPr>
          <w:rFonts w:ascii="Times New Roman" w:hAnsi="Times New Roman"/>
          <w:noProof/>
          <w:sz w:val="24"/>
          <w:szCs w:val="24"/>
        </w:rPr>
        <w:t xml:space="preserve"> aplicat de UE pentru echipamentele individuale de protecție</w:t>
      </w:r>
      <w:r w:rsidRPr="00AD25B2">
        <w:rPr>
          <w:rFonts w:ascii="Times New Roman" w:eastAsia="Times New Roman" w:hAnsi="Times New Roman"/>
          <w:noProof/>
          <w:sz w:val="24"/>
          <w:szCs w:val="24"/>
          <w:vertAlign w:val="superscript"/>
          <w:lang w:val="en-US"/>
        </w:rPr>
        <w:footnoteReference w:id="8"/>
      </w:r>
      <w:r w:rsidRPr="00AD25B2">
        <w:rPr>
          <w:rFonts w:ascii="Times New Roman" w:hAnsi="Times New Roman"/>
          <w:noProof/>
          <w:sz w:val="24"/>
          <w:szCs w:val="24"/>
        </w:rPr>
        <w:t xml:space="preserve"> și </w:t>
      </w:r>
      <w:r w:rsidRPr="00AD25B2">
        <w:rPr>
          <w:rFonts w:ascii="Times New Roman" w:hAnsi="Times New Roman"/>
          <w:b/>
          <w:bCs/>
          <w:noProof/>
          <w:sz w:val="24"/>
          <w:szCs w:val="24"/>
        </w:rPr>
        <w:t>furnizarea de cătr</w:t>
      </w:r>
      <w:r w:rsidRPr="00AD25B2">
        <w:rPr>
          <w:rFonts w:ascii="Times New Roman" w:hAnsi="Times New Roman"/>
          <w:b/>
          <w:bCs/>
          <w:noProof/>
          <w:sz w:val="24"/>
          <w:szCs w:val="24"/>
        </w:rPr>
        <w:t>e UE a materialului de testare</w:t>
      </w:r>
      <w:r w:rsidRPr="00AD25B2">
        <w:rPr>
          <w:rFonts w:ascii="Times New Roman" w:hAnsi="Times New Roman"/>
          <w:noProof/>
          <w:sz w:val="24"/>
          <w:szCs w:val="24"/>
        </w:rPr>
        <w:t xml:space="preserve"> dezvoltat de Centrul Comun de Cercetare al Comisiei Europene pentru a asigura funcționarea corectă a testelor de depistare a coronavirusului în Balcanii de Vest. </w:t>
      </w:r>
      <w:r w:rsidRPr="00AD25B2">
        <w:rPr>
          <w:rFonts w:ascii="Times New Roman" w:hAnsi="Times New Roman"/>
          <w:noProof/>
          <w:sz w:val="24"/>
          <w:szCs w:val="24"/>
        </w:rPr>
        <w:t>Părțile interesate din întreaga regiune sunt pe deplin integrat</w:t>
      </w:r>
      <w:r w:rsidRPr="00AD25B2">
        <w:rPr>
          <w:rFonts w:ascii="Times New Roman" w:hAnsi="Times New Roman"/>
          <w:noProof/>
          <w:sz w:val="24"/>
          <w:szCs w:val="24"/>
        </w:rPr>
        <w:t xml:space="preserve">e în eforturile europene în materie de </w:t>
      </w:r>
      <w:r w:rsidRPr="00AD25B2">
        <w:rPr>
          <w:rFonts w:ascii="Times New Roman" w:hAnsi="Times New Roman"/>
          <w:b/>
          <w:noProof/>
          <w:sz w:val="24"/>
          <w:szCs w:val="24"/>
        </w:rPr>
        <w:t>cercetare și inovare</w:t>
      </w:r>
      <w:r w:rsidRPr="00AD25B2">
        <w:rPr>
          <w:rFonts w:ascii="Times New Roman" w:hAnsi="Times New Roman"/>
          <w:noProof/>
          <w:sz w:val="24"/>
          <w:szCs w:val="24"/>
        </w:rPr>
        <w:t xml:space="preserve"> privind COVID-19. </w:t>
      </w:r>
      <w:r w:rsidRPr="00AD25B2">
        <w:rPr>
          <w:rFonts w:ascii="Times New Roman" w:hAnsi="Times New Roman"/>
          <w:noProof/>
          <w:sz w:val="24"/>
          <w:szCs w:val="24"/>
        </w:rPr>
        <w:t xml:space="preserve">Întreaga regiune beneficiază, de asemenea, de asistență tehnică și de schimburi de informații facilitate de </w:t>
      </w:r>
      <w:r w:rsidRPr="00AD25B2">
        <w:rPr>
          <w:rFonts w:ascii="Times New Roman" w:hAnsi="Times New Roman"/>
          <w:b/>
          <w:bCs/>
          <w:noProof/>
          <w:sz w:val="24"/>
          <w:szCs w:val="24"/>
        </w:rPr>
        <w:t>Centrul European de Prevenire și Control al Bolilor</w:t>
      </w:r>
      <w:r w:rsidRPr="00AD25B2">
        <w:rPr>
          <w:rFonts w:ascii="Times New Roman" w:hAnsi="Times New Roman"/>
          <w:noProof/>
          <w:sz w:val="24"/>
          <w:szCs w:val="24"/>
        </w:rPr>
        <w:t>, în timp ce țările</w:t>
      </w:r>
      <w:r w:rsidRPr="00AD25B2">
        <w:rPr>
          <w:rFonts w:ascii="Times New Roman" w:hAnsi="Times New Roman"/>
          <w:noProof/>
          <w:sz w:val="24"/>
          <w:szCs w:val="24"/>
        </w:rPr>
        <w:t xml:space="preserve"> candidate din Balcanii de Vest au fost invitate ca observatori în cadrul </w:t>
      </w:r>
      <w:r w:rsidRPr="00AD25B2">
        <w:rPr>
          <w:rFonts w:ascii="Times New Roman" w:hAnsi="Times New Roman"/>
          <w:b/>
          <w:bCs/>
          <w:noProof/>
          <w:sz w:val="24"/>
          <w:szCs w:val="24"/>
        </w:rPr>
        <w:t>Comitetului pentru securitate sanitară al UE</w:t>
      </w:r>
      <w:r w:rsidRPr="00AD25B2">
        <w:rPr>
          <w:rFonts w:ascii="Times New Roman" w:hAnsi="Times New Roman"/>
          <w:noProof/>
          <w:sz w:val="24"/>
          <w:szCs w:val="24"/>
        </w:rPr>
        <w:t xml:space="preserve"> și au acces la </w:t>
      </w:r>
      <w:r w:rsidRPr="00AD25B2">
        <w:rPr>
          <w:rFonts w:ascii="Times New Roman" w:hAnsi="Times New Roman"/>
          <w:b/>
          <w:bCs/>
          <w:noProof/>
          <w:sz w:val="24"/>
          <w:szCs w:val="24"/>
        </w:rPr>
        <w:t>sistemul</w:t>
      </w:r>
      <w:r w:rsidRPr="00AD25B2">
        <w:rPr>
          <w:rFonts w:ascii="Times New Roman" w:hAnsi="Times New Roman"/>
          <w:noProof/>
          <w:sz w:val="24"/>
          <w:szCs w:val="24"/>
        </w:rPr>
        <w:t xml:space="preserve"> conex </w:t>
      </w:r>
      <w:r w:rsidRPr="00AD25B2">
        <w:rPr>
          <w:rFonts w:ascii="Times New Roman" w:hAnsi="Times New Roman"/>
          <w:b/>
          <w:bCs/>
          <w:noProof/>
          <w:sz w:val="24"/>
          <w:szCs w:val="24"/>
        </w:rPr>
        <w:t>de alertă precoce și răspuns rapid</w:t>
      </w:r>
      <w:r w:rsidRPr="00AD25B2">
        <w:rPr>
          <w:rFonts w:ascii="Times New Roman" w:hAnsi="Times New Roman"/>
          <w:noProof/>
          <w:sz w:val="24"/>
          <w:szCs w:val="24"/>
        </w:rPr>
        <w:t>.</w:t>
      </w:r>
    </w:p>
    <w:p w:rsidR="005E046B" w:rsidRPr="00AD25B2" w:rsidRDefault="00AD25B2" w:rsidP="00AD25B2">
      <w:pPr>
        <w:spacing w:afterLines="600" w:after="1440" w:line="240" w:lineRule="auto"/>
        <w:jc w:val="both"/>
        <w:rPr>
          <w:rFonts w:ascii="Times New Roman" w:hAnsi="Times New Roman" w:cs="Times New Roman"/>
          <w:noProof/>
          <w:sz w:val="24"/>
          <w:szCs w:val="24"/>
        </w:rPr>
      </w:pPr>
      <w:r w:rsidRPr="00AD25B2">
        <w:rPr>
          <w:rFonts w:ascii="Times New Roman" w:hAnsi="Times New Roman" w:cs="Times New Roman"/>
          <w:noProof/>
          <w:sz w:val="24"/>
          <w:szCs w:val="24"/>
        </w:rPr>
        <w:t>Ca urmare a propunerii comune prezentate de Secretariatul permanent al</w:t>
      </w:r>
      <w:r w:rsidRPr="00AD25B2">
        <w:rPr>
          <w:rFonts w:ascii="Times New Roman" w:hAnsi="Times New Roman" w:cs="Times New Roman"/>
          <w:noProof/>
          <w:sz w:val="24"/>
          <w:szCs w:val="24"/>
        </w:rPr>
        <w:t xml:space="preserve"> Comunității Transporturilor și de Acordul central european de comerț liber (CEFTA), conceptul de „culoare verzi” a fost extins la Balcanii de Vest, asigurându-se astfel fluxul rapid al bunurilor esențiale în regiune. Comisia este pregătită să implice înde</w:t>
      </w:r>
      <w:r w:rsidRPr="00AD25B2">
        <w:rPr>
          <w:rFonts w:ascii="Times New Roman" w:hAnsi="Times New Roman" w:cs="Times New Roman"/>
          <w:noProof/>
          <w:sz w:val="24"/>
          <w:szCs w:val="24"/>
        </w:rPr>
        <w:t>aproape regiunea în punerea în aplicare a „</w:t>
      </w:r>
      <w:r w:rsidRPr="00AD25B2">
        <w:rPr>
          <w:rFonts w:ascii="Times New Roman" w:hAnsi="Times New Roman" w:cs="Times New Roman"/>
          <w:b/>
          <w:noProof/>
          <w:sz w:val="24"/>
          <w:szCs w:val="24"/>
        </w:rPr>
        <w:t>Foii de parcurs europene comune</w:t>
      </w:r>
      <w:r w:rsidRPr="00AD25B2">
        <w:rPr>
          <w:rFonts w:ascii="Times New Roman" w:hAnsi="Times New Roman" w:cs="Times New Roman"/>
          <w:noProof/>
          <w:sz w:val="24"/>
          <w:szCs w:val="24"/>
        </w:rPr>
        <w:t xml:space="preserve"> pentru ridicarea măsurilor de limitare a răspândirii COVID-19”. Dincolo de această urgență sanitară și de restricțiile aferente privind circulația mărfurilor și a pasagerilor, Comis</w:t>
      </w:r>
      <w:r w:rsidRPr="00AD25B2">
        <w:rPr>
          <w:rFonts w:ascii="Times New Roman" w:hAnsi="Times New Roman" w:cs="Times New Roman"/>
          <w:noProof/>
          <w:sz w:val="24"/>
          <w:szCs w:val="24"/>
        </w:rPr>
        <w:t>ia s-a angajat, de asemenea, pe termen lung, să contribuie la o mai bună conectivitate cu Balcanii de Vest, abordând blocajele structurale de la frontierele dintre UE și Balcanii de Vest. De asemenea, Comisia a emis linii directoare</w:t>
      </w:r>
      <w:r w:rsidRPr="00AD25B2">
        <w:rPr>
          <w:rStyle w:val="FootnoteReference"/>
          <w:rFonts w:ascii="Times New Roman" w:hAnsi="Times New Roman" w:cs="Times New Roman"/>
          <w:noProof/>
          <w:sz w:val="24"/>
          <w:szCs w:val="24"/>
        </w:rPr>
        <w:footnoteReference w:id="9"/>
      </w:r>
      <w:r w:rsidRPr="00AD25B2">
        <w:rPr>
          <w:rFonts w:ascii="Times New Roman" w:hAnsi="Times New Roman" w:cs="Times New Roman"/>
          <w:noProof/>
          <w:sz w:val="24"/>
          <w:szCs w:val="24"/>
        </w:rPr>
        <w:t xml:space="preserve"> privind punerea în aplicare a introducerii </w:t>
      </w:r>
      <w:r w:rsidRPr="00AD25B2">
        <w:rPr>
          <w:rFonts w:ascii="Times New Roman" w:hAnsi="Times New Roman" w:cs="Times New Roman"/>
          <w:b/>
          <w:noProof/>
          <w:sz w:val="24"/>
          <w:szCs w:val="24"/>
        </w:rPr>
        <w:t>restricțiilor temporare de călătorie</w:t>
      </w:r>
      <w:r w:rsidRPr="00AD25B2">
        <w:rPr>
          <w:rFonts w:ascii="Times New Roman" w:hAnsi="Times New Roman" w:cs="Times New Roman"/>
          <w:noProof/>
          <w:sz w:val="24"/>
          <w:szCs w:val="24"/>
        </w:rPr>
        <w:t xml:space="preserve"> aplicabile tuturor deplasărilor neesențiale din țări terțe către UE, inclusiv privind gestionarea situației persoanelor care sunt nevoite să rămână în UE mai mult timp decât s</w:t>
      </w:r>
      <w:r w:rsidRPr="00AD25B2">
        <w:rPr>
          <w:rFonts w:ascii="Times New Roman" w:hAnsi="Times New Roman" w:cs="Times New Roman"/>
          <w:noProof/>
          <w:sz w:val="24"/>
          <w:szCs w:val="24"/>
        </w:rPr>
        <w:t>unt autorizate.</w:t>
      </w:r>
    </w:p>
    <w:p w:rsidR="005E046B" w:rsidRPr="00AD25B2" w:rsidRDefault="005E046B" w:rsidP="00AD25B2">
      <w:pPr>
        <w:pStyle w:val="Body"/>
        <w:spacing w:after="120" w:line="240" w:lineRule="auto"/>
        <w:jc w:val="both"/>
        <w:rPr>
          <w:rFonts w:ascii="Times New Roman" w:hAnsi="Times New Roman"/>
          <w:noProof/>
          <w:sz w:val="24"/>
          <w:szCs w:val="24"/>
        </w:rPr>
      </w:pPr>
    </w:p>
    <w:p w:rsidR="005E046B" w:rsidRPr="00AD25B2" w:rsidRDefault="00AD25B2" w:rsidP="00AD25B2">
      <w:pPr>
        <w:pStyle w:val="Body"/>
        <w:spacing w:after="120" w:line="240" w:lineRule="auto"/>
        <w:jc w:val="both"/>
        <w:rPr>
          <w:rFonts w:ascii="Times New Roman" w:eastAsia="Times New Roman" w:hAnsi="Times New Roman" w:cs="Times New Roman"/>
          <w:noProof/>
          <w:sz w:val="24"/>
          <w:szCs w:val="24"/>
        </w:rPr>
      </w:pPr>
      <w:r w:rsidRPr="00AD25B2">
        <w:rPr>
          <w:rFonts w:ascii="Times New Roman" w:hAnsi="Times New Roman"/>
          <w:noProof/>
          <w:sz w:val="24"/>
          <w:szCs w:val="24"/>
        </w:rPr>
        <w:t xml:space="preserve">Această cooperare dintre UE și Balcanii de Vest și sprijinul din partea UE </w:t>
      </w:r>
      <w:r w:rsidRPr="00AD25B2">
        <w:rPr>
          <w:rFonts w:ascii="Times New Roman" w:hAnsi="Times New Roman"/>
          <w:b/>
          <w:bCs/>
          <w:noProof/>
          <w:sz w:val="24"/>
          <w:szCs w:val="24"/>
        </w:rPr>
        <w:t>depășesc cu mult ceea ce alți parteneri au oferit regiunii</w:t>
      </w:r>
      <w:r w:rsidRPr="00AD25B2">
        <w:rPr>
          <w:rFonts w:ascii="Times New Roman" w:hAnsi="Times New Roman"/>
          <w:noProof/>
          <w:sz w:val="24"/>
          <w:szCs w:val="24"/>
        </w:rPr>
        <w:t>, reflectând ancorarea sa strategică. Instituțiile UE desfășoară campanii de comunicare intensive, care vi</w:t>
      </w:r>
      <w:r w:rsidRPr="00AD25B2">
        <w:rPr>
          <w:rFonts w:ascii="Times New Roman" w:hAnsi="Times New Roman"/>
          <w:noProof/>
          <w:sz w:val="24"/>
          <w:szCs w:val="24"/>
        </w:rPr>
        <w:t>zează asistența furnizată de UE, publică pe teren articole de opinie comune cu statele membre ale UE, sprijină campaniile „Rămâneți acasă” și contribuie la diseminarea de informații factuale privind COVID-19.</w:t>
      </w:r>
      <w:r w:rsidRPr="00AD25B2">
        <w:rPr>
          <w:rFonts w:ascii="Times New Roman" w:hAnsi="Times New Roman"/>
          <w:b/>
          <w:bCs/>
          <w:noProof/>
          <w:sz w:val="24"/>
          <w:szCs w:val="24"/>
        </w:rPr>
        <w:t xml:space="preserve"> </w:t>
      </w:r>
      <w:r w:rsidRPr="00AD25B2">
        <w:rPr>
          <w:rFonts w:ascii="Times New Roman" w:hAnsi="Times New Roman"/>
          <w:noProof/>
          <w:sz w:val="24"/>
          <w:szCs w:val="24"/>
        </w:rPr>
        <w:t>În acest sens, încercările de a prezenta în mod</w:t>
      </w:r>
      <w:r w:rsidRPr="00AD25B2">
        <w:rPr>
          <w:rFonts w:ascii="Times New Roman" w:hAnsi="Times New Roman"/>
          <w:noProof/>
          <w:sz w:val="24"/>
          <w:szCs w:val="24"/>
        </w:rPr>
        <w:t xml:space="preserve"> eronat originile crizei și eforturile de combatere a acesteia trebuie contracarate în mod public și cu fermitate, consolidând totodată cooperarea în vederea apărării libertății de exprimare și a libertății mass-mediei.</w:t>
      </w:r>
    </w:p>
    <w:p w:rsidR="005E046B" w:rsidRPr="00AD25B2" w:rsidRDefault="005E046B" w:rsidP="00AD25B2">
      <w:pPr>
        <w:pStyle w:val="Body"/>
        <w:spacing w:after="120" w:line="240" w:lineRule="auto"/>
        <w:jc w:val="both"/>
        <w:rPr>
          <w:rFonts w:ascii="Times New Roman" w:eastAsia="Times New Roman" w:hAnsi="Times New Roman" w:cs="Times New Roman"/>
          <w:noProof/>
          <w:sz w:val="24"/>
          <w:szCs w:val="24"/>
        </w:rPr>
      </w:pPr>
    </w:p>
    <w:p w:rsidR="005E046B" w:rsidRPr="00AD25B2" w:rsidRDefault="00AD25B2" w:rsidP="00AD25B2">
      <w:pPr>
        <w:pStyle w:val="ListParagraph"/>
        <w:keepNext/>
        <w:numPr>
          <w:ilvl w:val="0"/>
          <w:numId w:val="20"/>
        </w:numPr>
        <w:pBdr>
          <w:top w:val="nil"/>
          <w:left w:val="nil"/>
          <w:bottom w:val="nil"/>
          <w:right w:val="nil"/>
          <w:between w:val="nil"/>
          <w:bar w:val="nil"/>
        </w:pBdr>
        <w:spacing w:after="120"/>
        <w:ind w:left="783" w:hanging="482"/>
        <w:jc w:val="both"/>
        <w:rPr>
          <w:rFonts w:ascii="Times New Roman" w:hAnsi="Times New Roman"/>
          <w:b/>
          <w:bCs/>
          <w:noProof/>
          <w:sz w:val="24"/>
          <w:szCs w:val="24"/>
        </w:rPr>
      </w:pPr>
      <w:r w:rsidRPr="00AD25B2">
        <w:rPr>
          <w:rFonts w:ascii="Times New Roman" w:hAnsi="Times New Roman"/>
          <w:b/>
          <w:bCs/>
          <w:noProof/>
          <w:sz w:val="24"/>
          <w:szCs w:val="24"/>
        </w:rPr>
        <w:t>Perioada ulterioară COVID-19 – un p</w:t>
      </w:r>
      <w:r w:rsidRPr="00AD25B2">
        <w:rPr>
          <w:rFonts w:ascii="Times New Roman" w:hAnsi="Times New Roman"/>
          <w:b/>
          <w:bCs/>
          <w:noProof/>
          <w:sz w:val="24"/>
          <w:szCs w:val="24"/>
        </w:rPr>
        <w:t xml:space="preserve">lan de redresare economică și de investiții </w:t>
      </w:r>
    </w:p>
    <w:p w:rsidR="005E046B" w:rsidRPr="00AD25B2" w:rsidRDefault="00AD25B2" w:rsidP="00AD25B2">
      <w:pPr>
        <w:pStyle w:val="FootnoteText"/>
        <w:spacing w:after="120"/>
        <w:jc w:val="both"/>
        <w:rPr>
          <w:rFonts w:ascii="Times New Roman" w:eastAsia="Times New Roman" w:hAnsi="Times New Roman"/>
          <w:noProof/>
          <w:sz w:val="24"/>
          <w:szCs w:val="24"/>
        </w:rPr>
      </w:pPr>
      <w:r w:rsidRPr="00AD25B2">
        <w:rPr>
          <w:rFonts w:ascii="Times New Roman" w:hAnsi="Times New Roman"/>
          <w:noProof/>
          <w:sz w:val="24"/>
          <w:szCs w:val="24"/>
        </w:rPr>
        <w:t xml:space="preserve">Balcanii de Vest vor avea nevoie de sprijin continuu pentru </w:t>
      </w:r>
      <w:r w:rsidRPr="00AD25B2">
        <w:rPr>
          <w:rFonts w:ascii="Times New Roman" w:hAnsi="Times New Roman"/>
          <w:b/>
          <w:bCs/>
          <w:noProof/>
          <w:sz w:val="24"/>
          <w:szCs w:val="24"/>
        </w:rPr>
        <w:t>a face față impactului crizei provocate de pandemia de COVID-19</w:t>
      </w:r>
      <w:r w:rsidRPr="00AD25B2">
        <w:rPr>
          <w:rFonts w:ascii="Times New Roman" w:hAnsi="Times New Roman"/>
          <w:noProof/>
          <w:sz w:val="24"/>
          <w:szCs w:val="24"/>
        </w:rPr>
        <w:t>.</w:t>
      </w:r>
      <w:r w:rsidRPr="00AD25B2">
        <w:rPr>
          <w:rFonts w:ascii="Times New Roman" w:hAnsi="Times New Roman"/>
          <w:b/>
          <w:bCs/>
          <w:noProof/>
          <w:sz w:val="24"/>
          <w:szCs w:val="24"/>
        </w:rPr>
        <w:t xml:space="preserve"> </w:t>
      </w:r>
      <w:r w:rsidRPr="00AD25B2">
        <w:rPr>
          <w:rFonts w:ascii="Times New Roman" w:hAnsi="Times New Roman"/>
          <w:noProof/>
          <w:sz w:val="24"/>
          <w:szCs w:val="24"/>
        </w:rPr>
        <w:t>După ce se vor relaxa măsurile imediate de limitare a pandemiei de COVID-19, va începe</w:t>
      </w:r>
      <w:r w:rsidRPr="00AD25B2">
        <w:rPr>
          <w:rFonts w:ascii="Times New Roman" w:hAnsi="Times New Roman"/>
          <w:noProof/>
          <w:sz w:val="24"/>
          <w:szCs w:val="24"/>
        </w:rPr>
        <w:t xml:space="preserve"> o nouă etapă de cooperare strânsă pentru a combate puternicul impact socioeconomic al crizei. În cursul acestui an, Comisia Europeană va prezenta un </w:t>
      </w:r>
      <w:r w:rsidRPr="00AD25B2">
        <w:rPr>
          <w:rFonts w:ascii="Times New Roman" w:hAnsi="Times New Roman"/>
          <w:b/>
          <w:bCs/>
          <w:noProof/>
          <w:sz w:val="24"/>
          <w:szCs w:val="24"/>
        </w:rPr>
        <w:t>plan economic și de investiții pentru regiune</w:t>
      </w:r>
      <w:r w:rsidRPr="00AD25B2">
        <w:rPr>
          <w:rFonts w:ascii="Times New Roman" w:hAnsi="Times New Roman"/>
          <w:noProof/>
          <w:sz w:val="24"/>
          <w:szCs w:val="24"/>
        </w:rPr>
        <w:t xml:space="preserve">. </w:t>
      </w:r>
    </w:p>
    <w:p w:rsidR="005E046B" w:rsidRPr="00AD25B2" w:rsidRDefault="00AD25B2" w:rsidP="00AD25B2">
      <w:pPr>
        <w:pStyle w:val="Body"/>
        <w:spacing w:after="120" w:line="240" w:lineRule="auto"/>
        <w:jc w:val="both"/>
        <w:rPr>
          <w:rFonts w:ascii="Times New Roman" w:eastAsia="Times New Roman" w:hAnsi="Times New Roman" w:cs="Times New Roman"/>
          <w:noProof/>
          <w:sz w:val="24"/>
          <w:szCs w:val="24"/>
        </w:rPr>
      </w:pPr>
      <w:r w:rsidRPr="00AD25B2">
        <w:rPr>
          <w:rFonts w:ascii="Times New Roman" w:hAnsi="Times New Roman"/>
          <w:noProof/>
          <w:sz w:val="24"/>
          <w:szCs w:val="24"/>
        </w:rPr>
        <w:t xml:space="preserve">Planul va include un </w:t>
      </w:r>
      <w:r w:rsidRPr="00AD25B2">
        <w:rPr>
          <w:rFonts w:ascii="Times New Roman" w:hAnsi="Times New Roman"/>
          <w:b/>
          <w:bCs/>
          <w:noProof/>
          <w:sz w:val="24"/>
          <w:szCs w:val="24"/>
        </w:rPr>
        <w:t>pachet substanțial de investiții pent</w:t>
      </w:r>
      <w:r w:rsidRPr="00AD25B2">
        <w:rPr>
          <w:rFonts w:ascii="Times New Roman" w:hAnsi="Times New Roman"/>
          <w:b/>
          <w:bCs/>
          <w:noProof/>
          <w:sz w:val="24"/>
          <w:szCs w:val="24"/>
        </w:rPr>
        <w:t>ru regiune</w:t>
      </w:r>
      <w:r w:rsidRPr="00AD25B2">
        <w:rPr>
          <w:rFonts w:ascii="Times New Roman" w:hAnsi="Times New Roman"/>
          <w:noProof/>
          <w:sz w:val="24"/>
          <w:szCs w:val="24"/>
        </w:rPr>
        <w:t xml:space="preserve">. La 2 mai 2018, Comisia a propus pentru Instrumentul de preaderare III un pachet financiar aferent </w:t>
      </w:r>
      <w:r w:rsidRPr="00AD25B2">
        <w:rPr>
          <w:rFonts w:ascii="Times New Roman" w:hAnsi="Times New Roman"/>
          <w:b/>
          <w:bCs/>
          <w:noProof/>
          <w:sz w:val="24"/>
          <w:szCs w:val="24"/>
        </w:rPr>
        <w:t>perioadei 2021-2027</w:t>
      </w:r>
      <w:r w:rsidRPr="00AD25B2">
        <w:rPr>
          <w:rFonts w:ascii="Times New Roman" w:hAnsi="Times New Roman"/>
          <w:noProof/>
          <w:sz w:val="24"/>
          <w:szCs w:val="24"/>
        </w:rPr>
        <w:t xml:space="preserve"> în valoare totală de 14,5 miliarde EUR, din care cea mai mare parte este destinată Balcanilor de Vest. Comisia preconizează o </w:t>
      </w:r>
      <w:r w:rsidRPr="00AD25B2">
        <w:rPr>
          <w:rFonts w:ascii="Times New Roman" w:hAnsi="Times New Roman"/>
          <w:b/>
          <w:bCs/>
          <w:noProof/>
          <w:sz w:val="24"/>
          <w:szCs w:val="24"/>
        </w:rPr>
        <w:t>dublare a granturilor acordate</w:t>
      </w:r>
      <w:r w:rsidRPr="00AD25B2">
        <w:rPr>
          <w:rFonts w:ascii="Times New Roman" w:hAnsi="Times New Roman"/>
          <w:noProof/>
          <w:sz w:val="24"/>
          <w:szCs w:val="24"/>
        </w:rPr>
        <w:t xml:space="preserve"> prin intermediul Cadrului de investiții pentru Balcanii de Vest, pentru a sprijini dezvoltarea sectorului privat, conectivitatea, digitalizarea, Agenda verde și investițiile sociale. De asemenea, Comisia preconizează majorare</w:t>
      </w:r>
      <w:r w:rsidRPr="00AD25B2">
        <w:rPr>
          <w:rFonts w:ascii="Times New Roman" w:hAnsi="Times New Roman"/>
          <w:noProof/>
          <w:sz w:val="24"/>
          <w:szCs w:val="24"/>
        </w:rPr>
        <w:t xml:space="preserve">a substanțială a </w:t>
      </w:r>
      <w:r w:rsidRPr="00AD25B2">
        <w:rPr>
          <w:rFonts w:ascii="Times New Roman" w:hAnsi="Times New Roman"/>
          <w:b/>
          <w:bCs/>
          <w:noProof/>
          <w:sz w:val="24"/>
          <w:szCs w:val="24"/>
        </w:rPr>
        <w:t>garanțiilor financiare menite să sprijine investițiile publice și private</w:t>
      </w:r>
      <w:r w:rsidRPr="00AD25B2">
        <w:rPr>
          <w:rFonts w:ascii="Times New Roman" w:hAnsi="Times New Roman"/>
          <w:noProof/>
          <w:sz w:val="24"/>
          <w:szCs w:val="24"/>
        </w:rPr>
        <w:t xml:space="preserve"> în regiune prin intermediul </w:t>
      </w:r>
      <w:r w:rsidRPr="00AD25B2">
        <w:rPr>
          <w:rFonts w:ascii="Times New Roman" w:hAnsi="Times New Roman"/>
          <w:b/>
          <w:bCs/>
          <w:noProof/>
          <w:sz w:val="24"/>
          <w:szCs w:val="24"/>
        </w:rPr>
        <w:t>Instrumentului de garantare</w:t>
      </w:r>
      <w:r w:rsidRPr="00AD25B2">
        <w:rPr>
          <w:rFonts w:ascii="Times New Roman" w:hAnsi="Times New Roman"/>
          <w:noProof/>
          <w:sz w:val="24"/>
          <w:szCs w:val="24"/>
        </w:rPr>
        <w:t xml:space="preserve">, special creat în acest scop </w:t>
      </w:r>
      <w:r w:rsidRPr="00AD25B2">
        <w:rPr>
          <w:rFonts w:ascii="Times New Roman" w:hAnsi="Times New Roman"/>
          <w:b/>
          <w:bCs/>
          <w:noProof/>
          <w:sz w:val="24"/>
          <w:szCs w:val="24"/>
        </w:rPr>
        <w:t>în temeiul Cadrului de investiții pentru Balcanii de Vest</w:t>
      </w:r>
      <w:r w:rsidRPr="00AD25B2">
        <w:rPr>
          <w:rFonts w:ascii="Times New Roman" w:hAnsi="Times New Roman"/>
          <w:noProof/>
          <w:sz w:val="24"/>
          <w:szCs w:val="24"/>
        </w:rPr>
        <w:t xml:space="preserve">. </w:t>
      </w:r>
    </w:p>
    <w:p w:rsidR="005E046B" w:rsidRPr="00AD25B2" w:rsidRDefault="00AD25B2" w:rsidP="00AD25B2">
      <w:pPr>
        <w:pStyle w:val="Body"/>
        <w:spacing w:after="120" w:line="240" w:lineRule="auto"/>
        <w:jc w:val="both"/>
        <w:rPr>
          <w:rFonts w:ascii="Times New Roman" w:eastAsia="Times New Roman" w:hAnsi="Times New Roman" w:cs="Times New Roman"/>
          <w:noProof/>
          <w:sz w:val="24"/>
          <w:szCs w:val="24"/>
        </w:rPr>
      </w:pPr>
      <w:r w:rsidRPr="00AD25B2">
        <w:rPr>
          <w:rFonts w:ascii="Times New Roman" w:hAnsi="Times New Roman"/>
          <w:b/>
          <w:bCs/>
          <w:noProof/>
          <w:sz w:val="24"/>
          <w:szCs w:val="24"/>
        </w:rPr>
        <w:t>Tranziția verde și t</w:t>
      </w:r>
      <w:r w:rsidRPr="00AD25B2">
        <w:rPr>
          <w:rFonts w:ascii="Times New Roman" w:hAnsi="Times New Roman"/>
          <w:b/>
          <w:bCs/>
          <w:noProof/>
          <w:sz w:val="24"/>
          <w:szCs w:val="24"/>
        </w:rPr>
        <w:t xml:space="preserve">ransformarea digitală </w:t>
      </w:r>
      <w:r w:rsidRPr="00AD25B2">
        <w:rPr>
          <w:rFonts w:ascii="Times New Roman" w:hAnsi="Times New Roman"/>
          <w:noProof/>
          <w:sz w:val="24"/>
          <w:szCs w:val="24"/>
        </w:rPr>
        <w:t>vor juca un rol central în relansarea și modernizarea economiilor Balcanilor de Vest. Investițiile în tehnologii și capacități curate și digitale, împreună cu o economie circulară, vor contribui la crearea de locuri de muncă și la cre</w:t>
      </w:r>
      <w:r w:rsidRPr="00AD25B2">
        <w:rPr>
          <w:rFonts w:ascii="Times New Roman" w:hAnsi="Times New Roman"/>
          <w:noProof/>
          <w:sz w:val="24"/>
          <w:szCs w:val="24"/>
        </w:rPr>
        <w:t>ș</w:t>
      </w:r>
      <w:r w:rsidRPr="00AD25B2">
        <w:rPr>
          <w:rFonts w:ascii="Times New Roman" w:hAnsi="Times New Roman"/>
          <w:noProof/>
          <w:sz w:val="24"/>
          <w:szCs w:val="24"/>
        </w:rPr>
        <w:t xml:space="preserve">terea economică. De asemenea, se va acorda sprijin pentru a îmbunătăți </w:t>
      </w:r>
      <w:r w:rsidRPr="00AD25B2">
        <w:rPr>
          <w:rFonts w:ascii="Times New Roman" w:hAnsi="Times New Roman"/>
          <w:b/>
          <w:bCs/>
          <w:noProof/>
          <w:sz w:val="24"/>
          <w:szCs w:val="24"/>
        </w:rPr>
        <w:t>competitivitatea</w:t>
      </w:r>
      <w:r w:rsidRPr="00AD25B2">
        <w:rPr>
          <w:rFonts w:ascii="Times New Roman" w:hAnsi="Times New Roman"/>
          <w:noProof/>
          <w:sz w:val="24"/>
          <w:szCs w:val="24"/>
        </w:rPr>
        <w:t xml:space="preserve"> economiilor Balcanilor de Vest, pentru </w:t>
      </w:r>
      <w:r w:rsidRPr="00AD25B2">
        <w:rPr>
          <w:rFonts w:ascii="Times New Roman" w:hAnsi="Times New Roman"/>
          <w:b/>
          <w:bCs/>
          <w:noProof/>
          <w:sz w:val="24"/>
          <w:szCs w:val="24"/>
        </w:rPr>
        <w:t>a le conecta mai bine în cadrul regiunii și cu UE</w:t>
      </w:r>
      <w:r w:rsidRPr="00AD25B2">
        <w:rPr>
          <w:rFonts w:ascii="Times New Roman" w:hAnsi="Times New Roman"/>
          <w:noProof/>
          <w:sz w:val="24"/>
          <w:szCs w:val="24"/>
        </w:rPr>
        <w:t xml:space="preserve"> și pentru a contribui la </w:t>
      </w:r>
      <w:r w:rsidRPr="00AD25B2">
        <w:rPr>
          <w:rFonts w:ascii="Times New Roman" w:hAnsi="Times New Roman"/>
          <w:b/>
          <w:bCs/>
          <w:noProof/>
          <w:sz w:val="24"/>
          <w:szCs w:val="24"/>
        </w:rPr>
        <w:t>pregătirea</w:t>
      </w:r>
      <w:r w:rsidRPr="00AD25B2">
        <w:rPr>
          <w:rFonts w:ascii="Times New Roman" w:hAnsi="Times New Roman"/>
          <w:noProof/>
          <w:sz w:val="24"/>
          <w:szCs w:val="24"/>
        </w:rPr>
        <w:t xml:space="preserve"> Balcanilor de Vest </w:t>
      </w:r>
      <w:r w:rsidRPr="00AD25B2">
        <w:rPr>
          <w:rFonts w:ascii="Times New Roman" w:hAnsi="Times New Roman"/>
          <w:b/>
          <w:bCs/>
          <w:noProof/>
          <w:sz w:val="24"/>
          <w:szCs w:val="24"/>
        </w:rPr>
        <w:t>pentru era digitală</w:t>
      </w:r>
      <w:r w:rsidRPr="00AD25B2">
        <w:rPr>
          <w:rFonts w:ascii="Times New Roman" w:hAnsi="Times New Roman"/>
          <w:noProof/>
          <w:sz w:val="24"/>
          <w:szCs w:val="24"/>
        </w:rPr>
        <w:t xml:space="preserve">. </w:t>
      </w:r>
      <w:r w:rsidRPr="00AD25B2">
        <w:rPr>
          <w:rFonts w:ascii="Times New Roman" w:hAnsi="Times New Roman"/>
          <w:noProof/>
          <w:sz w:val="24"/>
          <w:szCs w:val="24"/>
        </w:rPr>
        <w:t xml:space="preserve">Se va acorda sprijin pentru o economie în serviciul cetățenilor, inclusiv prin intermediul cooperării privind </w:t>
      </w:r>
      <w:r w:rsidRPr="00AD25B2">
        <w:rPr>
          <w:rFonts w:ascii="Times New Roman" w:hAnsi="Times New Roman"/>
          <w:b/>
          <w:bCs/>
          <w:noProof/>
          <w:sz w:val="24"/>
          <w:szCs w:val="24"/>
        </w:rPr>
        <w:t>educația</w:t>
      </w:r>
      <w:r w:rsidRPr="00AD25B2">
        <w:rPr>
          <w:rFonts w:ascii="Times New Roman" w:hAnsi="Times New Roman"/>
          <w:noProof/>
          <w:sz w:val="24"/>
          <w:szCs w:val="24"/>
        </w:rPr>
        <w:t xml:space="preserve"> și </w:t>
      </w:r>
      <w:r w:rsidRPr="00AD25B2">
        <w:rPr>
          <w:rFonts w:ascii="Times New Roman" w:hAnsi="Times New Roman"/>
          <w:b/>
          <w:noProof/>
          <w:sz w:val="24"/>
          <w:szCs w:val="24"/>
        </w:rPr>
        <w:t>sănătatea</w:t>
      </w:r>
      <w:r w:rsidRPr="00AD25B2">
        <w:rPr>
          <w:rFonts w:ascii="Times New Roman" w:hAnsi="Times New Roman"/>
          <w:noProof/>
          <w:sz w:val="24"/>
          <w:szCs w:val="24"/>
        </w:rPr>
        <w:t xml:space="preserve">, nu în ultimul rând pentru a consolida reziliența sistemelor de sănătate, </w:t>
      </w:r>
      <w:r w:rsidRPr="00AD25B2">
        <w:rPr>
          <w:rFonts w:ascii="Times New Roman" w:hAnsi="Times New Roman"/>
          <w:b/>
          <w:noProof/>
          <w:sz w:val="24"/>
          <w:szCs w:val="24"/>
        </w:rPr>
        <w:t>protecția socială și incluziunea socială</w:t>
      </w:r>
      <w:r w:rsidRPr="00AD25B2">
        <w:rPr>
          <w:rFonts w:ascii="Times New Roman" w:hAnsi="Times New Roman"/>
          <w:noProof/>
          <w:sz w:val="24"/>
          <w:szCs w:val="24"/>
        </w:rPr>
        <w:t>, egalitat</w:t>
      </w:r>
      <w:r w:rsidRPr="00AD25B2">
        <w:rPr>
          <w:rFonts w:ascii="Times New Roman" w:hAnsi="Times New Roman"/>
          <w:noProof/>
          <w:sz w:val="24"/>
          <w:szCs w:val="24"/>
        </w:rPr>
        <w:t xml:space="preserve">ea de șanse, accesul pe piața forței de muncă, în special prin punerea în aplicare într-o mai mare măsură a unor politici active în domeniul pieței muncii, </w:t>
      </w:r>
      <w:r w:rsidRPr="00AD25B2">
        <w:rPr>
          <w:rFonts w:ascii="Times New Roman" w:hAnsi="Times New Roman"/>
          <w:b/>
          <w:noProof/>
          <w:sz w:val="24"/>
          <w:szCs w:val="24"/>
        </w:rPr>
        <w:t>condiții de muncă echitabile</w:t>
      </w:r>
      <w:r w:rsidRPr="00AD25B2">
        <w:rPr>
          <w:rFonts w:ascii="Times New Roman" w:hAnsi="Times New Roman"/>
          <w:noProof/>
          <w:sz w:val="24"/>
          <w:szCs w:val="24"/>
        </w:rPr>
        <w:t>, inclusiv acordarea de sprijin pentru consolidarea dialogului social, c</w:t>
      </w:r>
      <w:r w:rsidRPr="00AD25B2">
        <w:rPr>
          <w:rFonts w:ascii="Times New Roman" w:hAnsi="Times New Roman"/>
          <w:noProof/>
          <w:sz w:val="24"/>
          <w:szCs w:val="24"/>
        </w:rPr>
        <w:t>ultură, cercetare și inovare.</w:t>
      </w:r>
    </w:p>
    <w:p w:rsidR="005E046B" w:rsidRPr="00AD25B2" w:rsidRDefault="00AD25B2" w:rsidP="00AD25B2">
      <w:pPr>
        <w:spacing w:after="120" w:line="240" w:lineRule="auto"/>
        <w:jc w:val="both"/>
        <w:rPr>
          <w:rFonts w:ascii="Times New Roman" w:eastAsia="Times New Roman" w:hAnsi="Times New Roman" w:cs="Times New Roman"/>
          <w:noProof/>
          <w:sz w:val="24"/>
          <w:szCs w:val="24"/>
        </w:rPr>
      </w:pPr>
      <w:r w:rsidRPr="00AD25B2">
        <w:rPr>
          <w:rFonts w:ascii="Times New Roman" w:hAnsi="Times New Roman" w:cs="Times New Roman"/>
          <w:noProof/>
          <w:sz w:val="24"/>
          <w:szCs w:val="24"/>
        </w:rPr>
        <w:t xml:space="preserve">Se va acorda o atenție specială </w:t>
      </w:r>
      <w:r w:rsidRPr="00AD25B2">
        <w:rPr>
          <w:rFonts w:ascii="Times New Roman" w:hAnsi="Times New Roman" w:cs="Times New Roman"/>
          <w:b/>
          <w:bCs/>
          <w:noProof/>
          <w:sz w:val="24"/>
          <w:szCs w:val="24"/>
        </w:rPr>
        <w:t>legăturilor de transport și celor energetice</w:t>
      </w:r>
      <w:r w:rsidRPr="00AD25B2">
        <w:rPr>
          <w:rFonts w:ascii="Times New Roman" w:hAnsi="Times New Roman" w:cs="Times New Roman"/>
          <w:noProof/>
          <w:sz w:val="24"/>
          <w:szCs w:val="24"/>
        </w:rPr>
        <w:t>, care sunt esențiale atât pentru dezvoltarea economică a regiunii, cât și pentru UE. În acest an, UE intenționează să propună un pachet în valoare de</w:t>
      </w:r>
      <w:r w:rsidRPr="00AD25B2">
        <w:rPr>
          <w:rFonts w:ascii="Times New Roman" w:hAnsi="Times New Roman" w:cs="Times New Roman"/>
          <w:noProof/>
          <w:sz w:val="24"/>
          <w:szCs w:val="24"/>
        </w:rPr>
        <w:t xml:space="preserve"> 135 de milioane EUR</w:t>
      </w:r>
      <w:r w:rsidRPr="00AD25B2">
        <w:rPr>
          <w:rFonts w:ascii="Times New Roman" w:eastAsia="Times New Roman" w:hAnsi="Times New Roman" w:cs="Times New Roman"/>
          <w:noProof/>
          <w:sz w:val="24"/>
          <w:szCs w:val="24"/>
          <w:vertAlign w:val="superscript"/>
        </w:rPr>
        <w:footnoteReference w:id="10"/>
      </w:r>
      <w:r w:rsidRPr="00AD25B2">
        <w:rPr>
          <w:rFonts w:ascii="Times New Roman" w:hAnsi="Times New Roman" w:cs="Times New Roman"/>
          <w:noProof/>
          <w:sz w:val="24"/>
          <w:szCs w:val="24"/>
        </w:rPr>
        <w:t xml:space="preserve"> pentru a finanța șase noi proiecte de investiții în infrastructură din cadrul Agendei privind conectivitatea pentru Balcanii de Vest. Prin această finanțare, </w:t>
      </w:r>
      <w:r w:rsidRPr="00AD25B2">
        <w:rPr>
          <w:rFonts w:ascii="Times New Roman" w:hAnsi="Times New Roman" w:cs="Times New Roman"/>
          <w:b/>
          <w:bCs/>
          <w:noProof/>
          <w:sz w:val="24"/>
          <w:szCs w:val="24"/>
        </w:rPr>
        <w:t>UE își va depăși angajamentul asumat în 2015 de a furniza, până în 2020, sum</w:t>
      </w:r>
      <w:r w:rsidRPr="00AD25B2">
        <w:rPr>
          <w:rFonts w:ascii="Times New Roman" w:hAnsi="Times New Roman" w:cs="Times New Roman"/>
          <w:b/>
          <w:bCs/>
          <w:noProof/>
          <w:sz w:val="24"/>
          <w:szCs w:val="24"/>
        </w:rPr>
        <w:t>a de 1 miliard EUR sub formă de granturi UE pentru Agenda privind conectivitatea</w:t>
      </w:r>
      <w:r w:rsidRPr="00AD25B2">
        <w:rPr>
          <w:rFonts w:ascii="Times New Roman" w:hAnsi="Times New Roman" w:cs="Times New Roman"/>
          <w:noProof/>
          <w:sz w:val="24"/>
          <w:szCs w:val="24"/>
        </w:rPr>
        <w:t>, care vor mobiliza, la rândul lor, aproape 4 miliarde EUR destinate unui număr de 45 de investiții în infrastructură menite să conecteze regiunea cu axele prioritare ale rețel</w:t>
      </w:r>
      <w:r w:rsidRPr="00AD25B2">
        <w:rPr>
          <w:rFonts w:ascii="Times New Roman" w:hAnsi="Times New Roman" w:cs="Times New Roman"/>
          <w:noProof/>
          <w:sz w:val="24"/>
          <w:szCs w:val="24"/>
        </w:rPr>
        <w:t>elor transeuropene (TEN-T) și unor proiecte de interes reciproc ale Comunității Energiei. Cooperarea regională activă în contextul Comunității Energiei și al inițiativei privind conectivitatea în domeniul energiei în Europa Centrală și de Sud-Est este un b</w:t>
      </w:r>
      <w:r w:rsidRPr="00AD25B2">
        <w:rPr>
          <w:rFonts w:ascii="Times New Roman" w:hAnsi="Times New Roman" w:cs="Times New Roman"/>
          <w:noProof/>
          <w:sz w:val="24"/>
          <w:szCs w:val="24"/>
        </w:rPr>
        <w:t>un punct de pornire pentru accelerarea investițiilor în aceste conexiuni energetice, precum și în proiectele privind energia din surse regenerabile și eficiența energetică.</w:t>
      </w:r>
    </w:p>
    <w:p w:rsidR="005E046B" w:rsidRPr="00AD25B2" w:rsidRDefault="00AD25B2" w:rsidP="00AD25B2">
      <w:pPr>
        <w:pStyle w:val="Body"/>
        <w:spacing w:after="120" w:line="240" w:lineRule="auto"/>
        <w:jc w:val="both"/>
        <w:rPr>
          <w:noProof/>
          <w:sz w:val="24"/>
          <w:szCs w:val="24"/>
        </w:rPr>
      </w:pPr>
      <w:r w:rsidRPr="00AD25B2">
        <w:rPr>
          <w:rFonts w:ascii="Times New Roman" w:hAnsi="Times New Roman"/>
          <w:noProof/>
          <w:sz w:val="24"/>
          <w:szCs w:val="24"/>
        </w:rPr>
        <w:t xml:space="preserve">UE va continua să acorde o atenție specială </w:t>
      </w:r>
      <w:r w:rsidRPr="00AD25B2">
        <w:rPr>
          <w:rFonts w:ascii="Times New Roman" w:hAnsi="Times New Roman"/>
          <w:b/>
          <w:bCs/>
          <w:noProof/>
          <w:sz w:val="24"/>
          <w:szCs w:val="24"/>
        </w:rPr>
        <w:t>provocărilor cu care se confruntă tiner</w:t>
      </w:r>
      <w:r w:rsidRPr="00AD25B2">
        <w:rPr>
          <w:rFonts w:ascii="Times New Roman" w:hAnsi="Times New Roman"/>
          <w:b/>
          <w:bCs/>
          <w:noProof/>
          <w:sz w:val="24"/>
          <w:szCs w:val="24"/>
        </w:rPr>
        <w:t>ii</w:t>
      </w:r>
      <w:r w:rsidRPr="00AD25B2">
        <w:rPr>
          <w:rFonts w:ascii="Times New Roman" w:hAnsi="Times New Roman"/>
          <w:noProof/>
          <w:sz w:val="24"/>
          <w:szCs w:val="24"/>
        </w:rPr>
        <w:t xml:space="preserve">, în special în ceea ce privește perspectivele de angajare, inegalitatea și păstrarea tinerelor talente în regiune </w:t>
      </w:r>
      <w:r w:rsidRPr="00AD25B2">
        <w:rPr>
          <w:rFonts w:ascii="Times New Roman" w:hAnsi="Times New Roman"/>
          <w:b/>
          <w:bCs/>
          <w:noProof/>
          <w:sz w:val="24"/>
          <w:szCs w:val="24"/>
        </w:rPr>
        <w:t>pentru a combate exodul creierelor și alte provocări demografice</w:t>
      </w:r>
      <w:r w:rsidRPr="00AD25B2">
        <w:rPr>
          <w:rFonts w:ascii="Times New Roman" w:hAnsi="Times New Roman"/>
          <w:noProof/>
          <w:sz w:val="24"/>
          <w:szCs w:val="24"/>
        </w:rPr>
        <w:t xml:space="preserve"> ale regiunii.</w:t>
      </w:r>
      <w:r w:rsidRPr="00AD25B2">
        <w:rPr>
          <w:rFonts w:ascii="Times New Roman" w:hAnsi="Times New Roman"/>
          <w:noProof/>
          <w:sz w:val="24"/>
          <w:szCs w:val="24"/>
        </w:rPr>
        <w:t xml:space="preserve"> Fondurile </w:t>
      </w:r>
      <w:r w:rsidRPr="00AD25B2">
        <w:rPr>
          <w:rFonts w:ascii="Times New Roman" w:hAnsi="Times New Roman"/>
          <w:b/>
          <w:bCs/>
          <w:noProof/>
          <w:sz w:val="24"/>
          <w:szCs w:val="24"/>
        </w:rPr>
        <w:t>Erasmus+ destinate regiunii s-au dublat din 2018</w:t>
      </w:r>
      <w:r w:rsidRPr="00AD25B2">
        <w:rPr>
          <w:rFonts w:ascii="Times New Roman" w:hAnsi="Times New Roman"/>
          <w:noProof/>
          <w:sz w:val="24"/>
          <w:szCs w:val="24"/>
        </w:rPr>
        <w:t xml:space="preserve"> (</w:t>
      </w:r>
      <w:r w:rsidRPr="00AD25B2">
        <w:rPr>
          <w:rFonts w:ascii="Times New Roman" w:hAnsi="Times New Roman"/>
          <w:noProof/>
          <w:sz w:val="24"/>
          <w:szCs w:val="24"/>
        </w:rPr>
        <w:t>ajungând la peste 65 de milioane EUR) și, totodată, se pune un accent sporit pe învățământul profesional. În viitor, se va acorda o atenție și mai mare competențelor digitale, precum și celor antreprenoriale și în materie de cercetare, pentru ca tinerii să</w:t>
      </w:r>
      <w:r w:rsidRPr="00AD25B2">
        <w:rPr>
          <w:rFonts w:ascii="Times New Roman" w:hAnsi="Times New Roman"/>
          <w:noProof/>
          <w:sz w:val="24"/>
          <w:szCs w:val="24"/>
        </w:rPr>
        <w:t xml:space="preserve"> aibă pregătirea necesară pentru a reuși pe plan economic și pentru a-și valorifica întregul potențial în era digitală. </w:t>
      </w:r>
    </w:p>
    <w:p w:rsidR="005E046B" w:rsidRPr="00AD25B2" w:rsidRDefault="00AD25B2" w:rsidP="00AD25B2">
      <w:pPr>
        <w:pStyle w:val="Body"/>
        <w:spacing w:after="120" w:line="240" w:lineRule="auto"/>
        <w:jc w:val="both"/>
        <w:rPr>
          <w:rFonts w:ascii="Times New Roman" w:eastAsia="Times New Roman" w:hAnsi="Times New Roman" w:cs="Times New Roman"/>
          <w:b/>
          <w:bCs/>
          <w:noProof/>
          <w:sz w:val="24"/>
          <w:szCs w:val="24"/>
        </w:rPr>
      </w:pPr>
      <w:r w:rsidRPr="00AD25B2">
        <w:rPr>
          <w:rFonts w:ascii="Times New Roman" w:hAnsi="Times New Roman"/>
          <w:noProof/>
          <w:sz w:val="24"/>
          <w:szCs w:val="24"/>
        </w:rPr>
        <w:t xml:space="preserve">Pandemia de COVID-19 a scos în evidență importanța bunei funcționări a </w:t>
      </w:r>
      <w:r w:rsidRPr="00AD25B2">
        <w:rPr>
          <w:rFonts w:ascii="Times New Roman" w:hAnsi="Times New Roman"/>
          <w:b/>
          <w:bCs/>
          <w:noProof/>
          <w:sz w:val="24"/>
          <w:szCs w:val="24"/>
        </w:rPr>
        <w:t>pieței unice</w:t>
      </w:r>
      <w:r w:rsidRPr="00AD25B2">
        <w:rPr>
          <w:rFonts w:ascii="Times New Roman" w:hAnsi="Times New Roman"/>
          <w:noProof/>
          <w:sz w:val="24"/>
          <w:szCs w:val="24"/>
        </w:rPr>
        <w:t xml:space="preserve"> a UE ca element esențial al </w:t>
      </w:r>
      <w:r w:rsidRPr="00AD25B2">
        <w:rPr>
          <w:rFonts w:ascii="Times New Roman" w:hAnsi="Times New Roman"/>
          <w:b/>
          <w:bCs/>
          <w:noProof/>
          <w:sz w:val="24"/>
          <w:szCs w:val="24"/>
        </w:rPr>
        <w:t>prosperității</w:t>
      </w:r>
      <w:r w:rsidRPr="00AD25B2">
        <w:rPr>
          <w:rFonts w:ascii="Times New Roman" w:hAnsi="Times New Roman"/>
          <w:noProof/>
          <w:sz w:val="24"/>
          <w:szCs w:val="24"/>
        </w:rPr>
        <w:t xml:space="preserve"> și </w:t>
      </w:r>
      <w:r w:rsidRPr="00AD25B2">
        <w:rPr>
          <w:rFonts w:ascii="Times New Roman" w:hAnsi="Times New Roman"/>
          <w:b/>
          <w:bCs/>
          <w:noProof/>
          <w:sz w:val="24"/>
          <w:szCs w:val="24"/>
        </w:rPr>
        <w:t>rezili</w:t>
      </w:r>
      <w:r w:rsidRPr="00AD25B2">
        <w:rPr>
          <w:rFonts w:ascii="Times New Roman" w:hAnsi="Times New Roman"/>
          <w:b/>
          <w:bCs/>
          <w:noProof/>
          <w:sz w:val="24"/>
          <w:szCs w:val="24"/>
        </w:rPr>
        <w:t>enței</w:t>
      </w:r>
      <w:r w:rsidRPr="00AD25B2">
        <w:rPr>
          <w:rFonts w:ascii="Times New Roman" w:hAnsi="Times New Roman"/>
          <w:noProof/>
          <w:sz w:val="24"/>
          <w:szCs w:val="24"/>
        </w:rPr>
        <w:t xml:space="preserve"> noastre.</w:t>
      </w:r>
      <w:r w:rsidRPr="00AD25B2">
        <w:rPr>
          <w:rFonts w:ascii="Times New Roman" w:hAnsi="Times New Roman"/>
          <w:b/>
          <w:bCs/>
          <w:noProof/>
          <w:sz w:val="24"/>
          <w:szCs w:val="24"/>
        </w:rPr>
        <w:t xml:space="preserve"> </w:t>
      </w:r>
      <w:r w:rsidRPr="00AD25B2">
        <w:rPr>
          <w:rFonts w:ascii="Times New Roman" w:hAnsi="Times New Roman"/>
          <w:noProof/>
          <w:sz w:val="24"/>
          <w:szCs w:val="24"/>
        </w:rPr>
        <w:t xml:space="preserve">De asemenea, această pandemie a subliniat nivelul ridicat al interdependenței socioeconomice între UE și economiile Balcanilor de Vest, precum și în cadrul regiunii. Prin urmare, va fi esențial </w:t>
      </w:r>
      <w:r w:rsidRPr="00AD25B2">
        <w:rPr>
          <w:rFonts w:ascii="Times New Roman" w:hAnsi="Times New Roman"/>
          <w:b/>
          <w:bCs/>
          <w:noProof/>
          <w:sz w:val="24"/>
          <w:szCs w:val="24"/>
        </w:rPr>
        <w:t>să se conecteze într-un mod mai eficace economi</w:t>
      </w:r>
      <w:r w:rsidRPr="00AD25B2">
        <w:rPr>
          <w:rFonts w:ascii="Times New Roman" w:hAnsi="Times New Roman"/>
          <w:b/>
          <w:bCs/>
          <w:noProof/>
          <w:sz w:val="24"/>
          <w:szCs w:val="24"/>
        </w:rPr>
        <w:t>ile Balcanilor de Vest, atât în cadrul regiunii, cât și cu UE</w:t>
      </w:r>
      <w:r w:rsidRPr="00AD25B2">
        <w:rPr>
          <w:rFonts w:ascii="Times New Roman" w:hAnsi="Times New Roman"/>
          <w:noProof/>
          <w:sz w:val="24"/>
          <w:szCs w:val="24"/>
        </w:rPr>
        <w:t xml:space="preserve">. În acest sens, este necesar un angajament mai puternic din partea tuturor partenerilor din Balcanii de Vest pentru a aprofunda integrarea economică regională favorabilă incluziunii și pentru </w:t>
      </w:r>
      <w:r w:rsidRPr="00AD25B2">
        <w:rPr>
          <w:rFonts w:ascii="Times New Roman" w:hAnsi="Times New Roman"/>
          <w:b/>
          <w:bCs/>
          <w:noProof/>
          <w:sz w:val="24"/>
          <w:szCs w:val="24"/>
        </w:rPr>
        <w:t xml:space="preserve">a </w:t>
      </w:r>
      <w:r w:rsidRPr="00AD25B2">
        <w:rPr>
          <w:rFonts w:ascii="Times New Roman" w:hAnsi="Times New Roman"/>
          <w:b/>
          <w:bCs/>
          <w:noProof/>
          <w:sz w:val="24"/>
          <w:szCs w:val="24"/>
        </w:rPr>
        <w:t>dezvolta o piață regională comună</w:t>
      </w:r>
      <w:r w:rsidRPr="00AD25B2">
        <w:rPr>
          <w:rFonts w:ascii="Times New Roman" w:hAnsi="Times New Roman"/>
          <w:noProof/>
          <w:sz w:val="24"/>
          <w:szCs w:val="24"/>
        </w:rPr>
        <w:t xml:space="preserve">, astfel cum s-a convenit, pe baza acquis-ului UE, precum și pentru a respecta angajamentele UE, ceea ce va avea, de asemenea, ca efect </w:t>
      </w:r>
      <w:r w:rsidRPr="00AD25B2">
        <w:rPr>
          <w:rFonts w:ascii="Times New Roman" w:hAnsi="Times New Roman"/>
          <w:b/>
          <w:bCs/>
          <w:noProof/>
          <w:sz w:val="24"/>
          <w:szCs w:val="24"/>
        </w:rPr>
        <w:t>transformarea regiunii într-o zonă de investiții mai atractivă</w:t>
      </w:r>
      <w:r w:rsidRPr="00AD25B2">
        <w:rPr>
          <w:rFonts w:ascii="Times New Roman" w:hAnsi="Times New Roman"/>
          <w:noProof/>
          <w:sz w:val="24"/>
          <w:szCs w:val="24"/>
        </w:rPr>
        <w:t>.</w:t>
      </w:r>
      <w:r w:rsidRPr="00AD25B2">
        <w:rPr>
          <w:rFonts w:ascii="Times New Roman" w:hAnsi="Times New Roman"/>
          <w:b/>
          <w:bCs/>
          <w:noProof/>
          <w:sz w:val="24"/>
          <w:szCs w:val="24"/>
        </w:rPr>
        <w:t xml:space="preserve"> </w:t>
      </w:r>
    </w:p>
    <w:p w:rsidR="005E046B" w:rsidRPr="00AD25B2" w:rsidRDefault="00AD25B2" w:rsidP="00AD25B2">
      <w:pPr>
        <w:pStyle w:val="Body"/>
        <w:spacing w:after="120" w:line="240" w:lineRule="auto"/>
        <w:jc w:val="both"/>
        <w:rPr>
          <w:rFonts w:ascii="Times New Roman" w:eastAsia="Times New Roman" w:hAnsi="Times New Roman" w:cs="Times New Roman"/>
          <w:noProof/>
          <w:sz w:val="24"/>
          <w:szCs w:val="24"/>
        </w:rPr>
      </w:pPr>
      <w:r w:rsidRPr="00AD25B2">
        <w:rPr>
          <w:rFonts w:ascii="Times New Roman" w:hAnsi="Times New Roman"/>
          <w:b/>
          <w:bCs/>
          <w:noProof/>
          <w:sz w:val="24"/>
          <w:szCs w:val="24"/>
        </w:rPr>
        <w:t xml:space="preserve">Organizațiile </w:t>
      </w:r>
      <w:r w:rsidRPr="00AD25B2">
        <w:rPr>
          <w:rFonts w:ascii="Times New Roman" w:hAnsi="Times New Roman"/>
          <w:b/>
          <w:bCs/>
          <w:noProof/>
          <w:sz w:val="24"/>
          <w:szCs w:val="24"/>
        </w:rPr>
        <w:t>regionale</w:t>
      </w:r>
      <w:r w:rsidRPr="00AD25B2">
        <w:rPr>
          <w:rFonts w:ascii="Times New Roman" w:hAnsi="Times New Roman"/>
          <w:noProof/>
          <w:sz w:val="24"/>
          <w:szCs w:val="24"/>
        </w:rPr>
        <w:t xml:space="preserve"> - Consiliul de Cooperare Regională, Comunitatea Transporturilor, Comunitatea Energiei și Spațiul Central European de Comerț Liber - au o contribuție esențială în această privință. De asemenea, proiectele finanțate de UE au jucat un rol-cheie în r</w:t>
      </w:r>
      <w:r w:rsidRPr="00AD25B2">
        <w:rPr>
          <w:rFonts w:ascii="Times New Roman" w:hAnsi="Times New Roman"/>
          <w:noProof/>
          <w:sz w:val="24"/>
          <w:szCs w:val="24"/>
        </w:rPr>
        <w:t>educerea obstacolelor din calea comerțului.</w:t>
      </w:r>
      <w:r w:rsidRPr="00AD25B2">
        <w:rPr>
          <w:rFonts w:ascii="Times New Roman" w:eastAsia="Times New Roman" w:hAnsi="Times New Roman" w:cs="Times New Roman"/>
          <w:noProof/>
          <w:sz w:val="24"/>
          <w:szCs w:val="24"/>
          <w:vertAlign w:val="superscript"/>
          <w:lang w:val="en-US"/>
        </w:rPr>
        <w:footnoteReference w:id="11"/>
      </w:r>
    </w:p>
    <w:p w:rsidR="005E046B" w:rsidRPr="00AD25B2" w:rsidRDefault="00AD25B2" w:rsidP="00AD25B2">
      <w:pPr>
        <w:pStyle w:val="Body"/>
        <w:spacing w:after="120" w:line="240" w:lineRule="auto"/>
        <w:jc w:val="both"/>
        <w:rPr>
          <w:rFonts w:ascii="Times New Roman" w:eastAsia="Times New Roman" w:hAnsi="Times New Roman" w:cs="Times New Roman"/>
          <w:noProof/>
          <w:sz w:val="24"/>
          <w:szCs w:val="24"/>
        </w:rPr>
      </w:pPr>
      <w:r w:rsidRPr="00AD25B2">
        <w:rPr>
          <w:rFonts w:ascii="Times New Roman" w:hAnsi="Times New Roman"/>
          <w:noProof/>
          <w:sz w:val="24"/>
          <w:szCs w:val="24"/>
        </w:rPr>
        <w:t xml:space="preserve">Toate aceste măsuri de sprijin au aceleași obiective: să transforme Balcanii de Vest în </w:t>
      </w:r>
      <w:r w:rsidRPr="00AD25B2">
        <w:rPr>
          <w:rFonts w:ascii="Times New Roman" w:hAnsi="Times New Roman"/>
          <w:b/>
          <w:bCs/>
          <w:noProof/>
          <w:sz w:val="24"/>
          <w:szCs w:val="24"/>
        </w:rPr>
        <w:t>economii de piață funcționale, capabile să se integreze pe deplin în piața unică a UE</w:t>
      </w:r>
      <w:r w:rsidRPr="00AD25B2">
        <w:rPr>
          <w:rFonts w:ascii="Times New Roman" w:hAnsi="Times New Roman"/>
          <w:noProof/>
          <w:sz w:val="24"/>
          <w:szCs w:val="24"/>
        </w:rPr>
        <w:t>, să îmbunătățească climatul de afacer</w:t>
      </w:r>
      <w:r w:rsidRPr="00AD25B2">
        <w:rPr>
          <w:rFonts w:ascii="Times New Roman" w:hAnsi="Times New Roman"/>
          <w:noProof/>
          <w:sz w:val="24"/>
          <w:szCs w:val="24"/>
        </w:rPr>
        <w:t>i și de investiții, contribuind, prin urmare, la sporirea fluxurilor comerciale în cadrul regiunii și cu UE</w:t>
      </w:r>
      <w:r w:rsidRPr="00AD25B2">
        <w:rPr>
          <w:rFonts w:ascii="Times New Roman" w:eastAsia="Times New Roman" w:hAnsi="Times New Roman" w:cs="Times New Roman"/>
          <w:noProof/>
          <w:sz w:val="24"/>
          <w:szCs w:val="24"/>
          <w:vertAlign w:val="superscript"/>
          <w:lang w:val="en-US"/>
        </w:rPr>
        <w:footnoteReference w:id="12"/>
      </w:r>
      <w:r w:rsidRPr="00AD25B2">
        <w:rPr>
          <w:rFonts w:ascii="Times New Roman" w:hAnsi="Times New Roman"/>
          <w:noProof/>
          <w:sz w:val="24"/>
          <w:szCs w:val="24"/>
        </w:rPr>
        <w:t>, să creeze locuri de muncă și oportunități, reducând astfel exodul creierelor din regiune. Prin urmare, actuala criză nu trebuie să abată atenția d</w:t>
      </w:r>
      <w:r w:rsidRPr="00AD25B2">
        <w:rPr>
          <w:rFonts w:ascii="Times New Roman" w:hAnsi="Times New Roman"/>
          <w:noProof/>
          <w:sz w:val="24"/>
          <w:szCs w:val="24"/>
        </w:rPr>
        <w:t>e la principalele deficiențe structurale, cum ar fi șomajul ridicat (în special în rândul tinerilor), participarea scăzută pe piața forței de muncă (în special în cazul femeilor), neconcordanța dintre competențe și nevoile pieței forței de muncă, protecția</w:t>
      </w:r>
      <w:r w:rsidRPr="00AD25B2">
        <w:rPr>
          <w:rFonts w:ascii="Times New Roman" w:hAnsi="Times New Roman"/>
          <w:noProof/>
          <w:sz w:val="24"/>
          <w:szCs w:val="24"/>
        </w:rPr>
        <w:t xml:space="preserve"> socială insuficientă, nivelul scăzut de productivitate și competitivitate al sectorului agricol, aprovizionarea nediversificată cu energie și eficiența energetică scăzută. Solidul dialog economic și financiar, bazat pe </w:t>
      </w:r>
      <w:r w:rsidRPr="00AD25B2">
        <w:rPr>
          <w:rFonts w:ascii="Times New Roman" w:hAnsi="Times New Roman"/>
          <w:b/>
          <w:bCs/>
          <w:noProof/>
          <w:sz w:val="24"/>
          <w:szCs w:val="24"/>
        </w:rPr>
        <w:t>programele de reformă economică</w:t>
      </w:r>
      <w:r w:rsidRPr="00AD25B2">
        <w:rPr>
          <w:rFonts w:ascii="Times New Roman" w:hAnsi="Times New Roman"/>
          <w:noProof/>
          <w:sz w:val="24"/>
          <w:szCs w:val="24"/>
        </w:rPr>
        <w:t xml:space="preserve"> ale </w:t>
      </w:r>
      <w:r w:rsidRPr="00AD25B2">
        <w:rPr>
          <w:rFonts w:ascii="Times New Roman" w:hAnsi="Times New Roman"/>
          <w:noProof/>
          <w:sz w:val="24"/>
          <w:szCs w:val="24"/>
        </w:rPr>
        <w:t xml:space="preserve">partenerilor, rămâne un cadru important pentru orientarea și sprijinirea reformelor macroeconomice și structurale.   </w:t>
      </w:r>
    </w:p>
    <w:p w:rsidR="005E046B" w:rsidRPr="00AD25B2" w:rsidRDefault="00AD25B2" w:rsidP="00AD25B2">
      <w:pPr>
        <w:pStyle w:val="Body"/>
        <w:spacing w:after="120" w:line="240" w:lineRule="auto"/>
        <w:jc w:val="both"/>
        <w:rPr>
          <w:rFonts w:ascii="Times New Roman" w:eastAsia="Times New Roman" w:hAnsi="Times New Roman" w:cs="Times New Roman"/>
          <w:noProof/>
          <w:sz w:val="24"/>
          <w:szCs w:val="24"/>
        </w:rPr>
      </w:pPr>
      <w:r w:rsidRPr="00AD25B2">
        <w:rPr>
          <w:rFonts w:ascii="Times New Roman" w:hAnsi="Times New Roman"/>
          <w:noProof/>
          <w:sz w:val="24"/>
          <w:szCs w:val="24"/>
        </w:rPr>
        <w:t xml:space="preserve">Obiectivul Planului economic și de investiții va fi </w:t>
      </w:r>
      <w:r w:rsidRPr="00AD25B2">
        <w:rPr>
          <w:rFonts w:ascii="Times New Roman" w:hAnsi="Times New Roman"/>
          <w:b/>
          <w:bCs/>
          <w:noProof/>
          <w:sz w:val="24"/>
          <w:szCs w:val="24"/>
        </w:rPr>
        <w:t>de a impulsiona redresarea pe termen lung</w:t>
      </w:r>
      <w:r w:rsidRPr="00AD25B2">
        <w:rPr>
          <w:rFonts w:ascii="Times New Roman" w:hAnsi="Times New Roman"/>
          <w:noProof/>
          <w:sz w:val="24"/>
          <w:szCs w:val="24"/>
        </w:rPr>
        <w:t>, de a stimula creșterea economică și de a sp</w:t>
      </w:r>
      <w:r w:rsidRPr="00AD25B2">
        <w:rPr>
          <w:rFonts w:ascii="Times New Roman" w:hAnsi="Times New Roman"/>
          <w:noProof/>
          <w:sz w:val="24"/>
          <w:szCs w:val="24"/>
        </w:rPr>
        <w:t xml:space="preserve">rijini reformele necesare pentru a avansa pe calea către UE. Planul economic și de investiții se va inspira din prioritățile stabilite de Comisia Europeană pentru propria sa activitate în perioada 2019-2024 și va fi aliniat cu aceste priorități. </w:t>
      </w:r>
    </w:p>
    <w:p w:rsidR="005E046B" w:rsidRPr="00AD25B2" w:rsidRDefault="005E046B" w:rsidP="00AD25B2">
      <w:pPr>
        <w:pStyle w:val="Body"/>
        <w:spacing w:after="120" w:line="240" w:lineRule="auto"/>
        <w:jc w:val="both"/>
        <w:rPr>
          <w:rFonts w:ascii="Times New Roman" w:eastAsia="Times New Roman" w:hAnsi="Times New Roman" w:cs="Times New Roman"/>
          <w:noProof/>
          <w:sz w:val="24"/>
          <w:szCs w:val="24"/>
        </w:rPr>
      </w:pPr>
    </w:p>
    <w:p w:rsidR="005E046B" w:rsidRPr="00AD25B2" w:rsidRDefault="00AD25B2" w:rsidP="00AD25B2">
      <w:pPr>
        <w:pStyle w:val="ListParagraph"/>
        <w:keepNext/>
        <w:numPr>
          <w:ilvl w:val="0"/>
          <w:numId w:val="20"/>
        </w:numPr>
        <w:pBdr>
          <w:top w:val="nil"/>
          <w:left w:val="nil"/>
          <w:bottom w:val="nil"/>
          <w:right w:val="nil"/>
          <w:between w:val="nil"/>
          <w:bar w:val="nil"/>
        </w:pBdr>
        <w:spacing w:after="120"/>
        <w:ind w:left="783" w:hanging="482"/>
        <w:jc w:val="both"/>
        <w:rPr>
          <w:rFonts w:ascii="Times New Roman" w:hAnsi="Times New Roman"/>
          <w:b/>
          <w:bCs/>
          <w:noProof/>
          <w:sz w:val="24"/>
          <w:szCs w:val="24"/>
        </w:rPr>
      </w:pPr>
      <w:r w:rsidRPr="00AD25B2">
        <w:rPr>
          <w:rFonts w:ascii="Times New Roman" w:hAnsi="Times New Roman"/>
          <w:b/>
          <w:bCs/>
          <w:noProof/>
          <w:sz w:val="24"/>
          <w:szCs w:val="24"/>
        </w:rPr>
        <w:t>Abordare</w:t>
      </w:r>
      <w:r w:rsidRPr="00AD25B2">
        <w:rPr>
          <w:rFonts w:ascii="Times New Roman" w:hAnsi="Times New Roman"/>
          <w:b/>
          <w:bCs/>
          <w:noProof/>
          <w:sz w:val="24"/>
          <w:szCs w:val="24"/>
        </w:rPr>
        <w:t xml:space="preserve">a reformelor fundamentale </w:t>
      </w:r>
    </w:p>
    <w:p w:rsidR="005E046B" w:rsidRPr="00AD25B2" w:rsidRDefault="00AD25B2" w:rsidP="00AD25B2">
      <w:pPr>
        <w:pStyle w:val="Body"/>
        <w:spacing w:after="120" w:line="240" w:lineRule="auto"/>
        <w:jc w:val="both"/>
        <w:rPr>
          <w:rFonts w:ascii="Times New Roman" w:eastAsia="Times New Roman" w:hAnsi="Times New Roman" w:cs="Times New Roman"/>
          <w:noProof/>
          <w:sz w:val="24"/>
          <w:szCs w:val="24"/>
        </w:rPr>
      </w:pPr>
      <w:r w:rsidRPr="00AD25B2">
        <w:rPr>
          <w:rFonts w:ascii="Times New Roman" w:hAnsi="Times New Roman"/>
          <w:noProof/>
          <w:sz w:val="24"/>
          <w:szCs w:val="24"/>
        </w:rPr>
        <w:t xml:space="preserve">Criza actuală va putea fi depășită în mod eficace numai dacă </w:t>
      </w:r>
      <w:r w:rsidRPr="00AD25B2">
        <w:rPr>
          <w:rFonts w:ascii="Times New Roman" w:hAnsi="Times New Roman"/>
          <w:b/>
          <w:bCs/>
          <w:noProof/>
          <w:sz w:val="24"/>
          <w:szCs w:val="24"/>
        </w:rPr>
        <w:t>ț</w:t>
      </w:r>
      <w:r w:rsidRPr="00AD25B2">
        <w:rPr>
          <w:rFonts w:ascii="Times New Roman" w:hAnsi="Times New Roman"/>
          <w:b/>
          <w:bCs/>
          <w:noProof/>
          <w:sz w:val="24"/>
          <w:szCs w:val="24"/>
        </w:rPr>
        <w:t>ările își îndeplinesc în continuare angajamentele în materie de reformă</w:t>
      </w:r>
      <w:r w:rsidRPr="00AD25B2">
        <w:rPr>
          <w:rFonts w:ascii="Times New Roman" w:hAnsi="Times New Roman"/>
          <w:noProof/>
          <w:sz w:val="24"/>
          <w:szCs w:val="24"/>
        </w:rPr>
        <w:t xml:space="preserve"> și obțin rezultate concrete în ceea ce privește punerea lor în aplicare. Aceste elemente sunt e</w:t>
      </w:r>
      <w:r w:rsidRPr="00AD25B2">
        <w:rPr>
          <w:rFonts w:ascii="Times New Roman" w:hAnsi="Times New Roman"/>
          <w:noProof/>
          <w:sz w:val="24"/>
          <w:szCs w:val="24"/>
        </w:rPr>
        <w:t xml:space="preserve">sențiale pentru realizarea perspectivei lor europene. Pe lângă continuarea reformelor economice, este necesar </w:t>
      </w:r>
      <w:r w:rsidRPr="00AD25B2">
        <w:rPr>
          <w:rFonts w:ascii="Times New Roman" w:hAnsi="Times New Roman"/>
          <w:b/>
          <w:bCs/>
          <w:noProof/>
          <w:sz w:val="24"/>
          <w:szCs w:val="24"/>
        </w:rPr>
        <w:t>să se acorde o atenție sporită statului de drept, funcționării instituțiilor democratice și administrației publice</w:t>
      </w:r>
      <w:r w:rsidRPr="00AD25B2">
        <w:rPr>
          <w:rFonts w:ascii="Times New Roman" w:hAnsi="Times New Roman"/>
          <w:noProof/>
          <w:sz w:val="24"/>
          <w:szCs w:val="24"/>
        </w:rPr>
        <w:t xml:space="preserve">. </w:t>
      </w:r>
    </w:p>
    <w:p w:rsidR="005E046B" w:rsidRPr="00AD25B2" w:rsidRDefault="00AD25B2" w:rsidP="00AD25B2">
      <w:pPr>
        <w:pStyle w:val="Body"/>
        <w:spacing w:after="120" w:line="240" w:lineRule="auto"/>
        <w:jc w:val="both"/>
        <w:rPr>
          <w:rFonts w:ascii="Times New Roman" w:eastAsia="Times New Roman" w:hAnsi="Times New Roman" w:cs="Times New Roman"/>
          <w:noProof/>
          <w:sz w:val="24"/>
          <w:szCs w:val="24"/>
        </w:rPr>
      </w:pPr>
      <w:r w:rsidRPr="00AD25B2">
        <w:rPr>
          <w:rFonts w:ascii="Times New Roman" w:hAnsi="Times New Roman"/>
          <w:noProof/>
          <w:sz w:val="24"/>
          <w:szCs w:val="24"/>
        </w:rPr>
        <w:t>Este esențial să se consolide</w:t>
      </w:r>
      <w:r w:rsidRPr="00AD25B2">
        <w:rPr>
          <w:rFonts w:ascii="Times New Roman" w:hAnsi="Times New Roman"/>
          <w:noProof/>
          <w:sz w:val="24"/>
          <w:szCs w:val="24"/>
        </w:rPr>
        <w:t xml:space="preserve">ze </w:t>
      </w:r>
      <w:r w:rsidRPr="00AD25B2">
        <w:rPr>
          <w:rFonts w:ascii="Times New Roman" w:hAnsi="Times New Roman"/>
          <w:b/>
          <w:bCs/>
          <w:noProof/>
          <w:sz w:val="24"/>
          <w:szCs w:val="24"/>
        </w:rPr>
        <w:t>statul de drept sub toate aspectele sale</w:t>
      </w:r>
      <w:r w:rsidRPr="00AD25B2">
        <w:rPr>
          <w:rFonts w:ascii="Times New Roman" w:hAnsi="Times New Roman"/>
          <w:noProof/>
          <w:sz w:val="24"/>
          <w:szCs w:val="24"/>
        </w:rPr>
        <w:t>. Este nevoie de un sistem judiciar independent și eficient, de rezultate solide în lupta împotriva corupției, a criminalității organizate și a terorismului, precum și de o protecție eficace a drepturilor fundamen</w:t>
      </w:r>
      <w:r w:rsidRPr="00AD25B2">
        <w:rPr>
          <w:rFonts w:ascii="Times New Roman" w:hAnsi="Times New Roman"/>
          <w:noProof/>
          <w:sz w:val="24"/>
          <w:szCs w:val="24"/>
        </w:rPr>
        <w:t>tale, inclusiv a libertății de exprimare și a libertății mass-mediei. Mai precis, este extrem de important ca măsurile de urgență luate în timpul crizei să nu fie în detrimentul principiilor și valorilor fundamentale și ca aceste măsuri să rămână proporțio</w:t>
      </w:r>
      <w:r w:rsidRPr="00AD25B2">
        <w:rPr>
          <w:rFonts w:ascii="Times New Roman" w:hAnsi="Times New Roman"/>
          <w:noProof/>
          <w:sz w:val="24"/>
          <w:szCs w:val="24"/>
        </w:rPr>
        <w:t xml:space="preserve">nale, să fie limitate în timp și să facă obiectul controlului democratic. </w:t>
      </w:r>
    </w:p>
    <w:p w:rsidR="005E046B" w:rsidRPr="00AD25B2" w:rsidRDefault="00AD25B2" w:rsidP="00AD25B2">
      <w:pPr>
        <w:pStyle w:val="Body"/>
        <w:spacing w:after="120" w:line="240" w:lineRule="auto"/>
        <w:jc w:val="both"/>
        <w:rPr>
          <w:rFonts w:ascii="Times New Roman" w:eastAsia="Times New Roman" w:hAnsi="Times New Roman" w:cs="Times New Roman"/>
          <w:b/>
          <w:bCs/>
          <w:noProof/>
          <w:sz w:val="24"/>
          <w:szCs w:val="24"/>
        </w:rPr>
      </w:pPr>
      <w:r w:rsidRPr="00AD25B2">
        <w:rPr>
          <w:rFonts w:ascii="Times New Roman" w:hAnsi="Times New Roman"/>
          <w:noProof/>
          <w:sz w:val="24"/>
          <w:szCs w:val="24"/>
        </w:rPr>
        <w:t xml:space="preserve">Pornind de la extinsa cooperare deja existentă, este esențial să se asigure un angajament activ continuu prin acțiuni comune și stabilite împreună privind </w:t>
      </w:r>
      <w:r w:rsidRPr="00AD25B2">
        <w:rPr>
          <w:rFonts w:ascii="Times New Roman" w:hAnsi="Times New Roman"/>
          <w:b/>
          <w:bCs/>
          <w:noProof/>
          <w:sz w:val="24"/>
          <w:szCs w:val="24"/>
        </w:rPr>
        <w:t>securitatea</w:t>
      </w:r>
      <w:r w:rsidRPr="00AD25B2">
        <w:rPr>
          <w:rFonts w:ascii="Times New Roman" w:hAnsi="Times New Roman"/>
          <w:noProof/>
          <w:sz w:val="24"/>
          <w:szCs w:val="24"/>
        </w:rPr>
        <w:t>, inclusiv împo</w:t>
      </w:r>
      <w:r w:rsidRPr="00AD25B2">
        <w:rPr>
          <w:rFonts w:ascii="Times New Roman" w:hAnsi="Times New Roman"/>
          <w:noProof/>
          <w:sz w:val="24"/>
          <w:szCs w:val="24"/>
        </w:rPr>
        <w:t xml:space="preserve">triva riscurilor de spălare a banilor și de finanțare a terorismului, și privind </w:t>
      </w:r>
      <w:r w:rsidRPr="00AD25B2">
        <w:rPr>
          <w:rFonts w:ascii="Times New Roman" w:hAnsi="Times New Roman"/>
          <w:b/>
          <w:bCs/>
          <w:noProof/>
          <w:sz w:val="24"/>
          <w:szCs w:val="24"/>
        </w:rPr>
        <w:t>migrația și gestionarea frontierelor. Consolidarea instituțiilor democratice și asigurarea unor procese democratice care să fie într-o mai mare măsură favorabile incluziunii</w:t>
      </w:r>
      <w:r w:rsidRPr="00AD25B2">
        <w:rPr>
          <w:rFonts w:ascii="Times New Roman" w:hAnsi="Times New Roman"/>
          <w:noProof/>
          <w:sz w:val="24"/>
          <w:szCs w:val="24"/>
        </w:rPr>
        <w:t xml:space="preserve"> r</w:t>
      </w:r>
      <w:r w:rsidRPr="00AD25B2">
        <w:rPr>
          <w:rFonts w:ascii="Times New Roman" w:hAnsi="Times New Roman"/>
          <w:noProof/>
          <w:sz w:val="24"/>
          <w:szCs w:val="24"/>
        </w:rPr>
        <w:t xml:space="preserve">ămân priorități-cheie. </w:t>
      </w:r>
      <w:r w:rsidRPr="00AD25B2">
        <w:rPr>
          <w:rFonts w:ascii="Times New Roman" w:hAnsi="Times New Roman"/>
          <w:b/>
          <w:bCs/>
          <w:noProof/>
          <w:sz w:val="24"/>
          <w:szCs w:val="24"/>
        </w:rPr>
        <w:t>Reforma administrației publice</w:t>
      </w:r>
      <w:r w:rsidRPr="00AD25B2">
        <w:rPr>
          <w:rFonts w:ascii="Times New Roman" w:hAnsi="Times New Roman"/>
          <w:noProof/>
          <w:sz w:val="24"/>
          <w:szCs w:val="24"/>
        </w:rPr>
        <w:t xml:space="preserve"> este esențială pentru îmbunătățirea guvernanței la toate nivelurile.</w:t>
      </w:r>
      <w:r w:rsidRPr="00AD25B2">
        <w:rPr>
          <w:rFonts w:ascii="Times New Roman" w:hAnsi="Times New Roman"/>
          <w:b/>
          <w:bCs/>
          <w:noProof/>
          <w:sz w:val="24"/>
          <w:szCs w:val="24"/>
        </w:rPr>
        <w:t xml:space="preserve"> </w:t>
      </w:r>
      <w:r w:rsidRPr="00AD25B2">
        <w:rPr>
          <w:rFonts w:ascii="Times New Roman" w:hAnsi="Times New Roman"/>
          <w:noProof/>
          <w:sz w:val="24"/>
          <w:szCs w:val="24"/>
        </w:rPr>
        <w:t>Aceasta include un grad sporit de transparență și asumare a răspunderii, o bună gestionare a finanțelor publice și îmbunătățirea nive</w:t>
      </w:r>
      <w:r w:rsidRPr="00AD25B2">
        <w:rPr>
          <w:rFonts w:ascii="Times New Roman" w:hAnsi="Times New Roman"/>
          <w:noProof/>
          <w:sz w:val="24"/>
          <w:szCs w:val="24"/>
        </w:rPr>
        <w:t>lului de profesionalism al administrațiilor. Luate împreună, aceste măsuri constituie piatra de temelie pentru o redresare economică susținută.</w:t>
      </w:r>
    </w:p>
    <w:p w:rsidR="005E046B" w:rsidRPr="00AD25B2" w:rsidRDefault="00AD25B2" w:rsidP="00AD25B2">
      <w:pPr>
        <w:pStyle w:val="Body"/>
        <w:spacing w:after="120" w:line="240" w:lineRule="auto"/>
        <w:jc w:val="both"/>
        <w:rPr>
          <w:rFonts w:ascii="Times New Roman" w:eastAsia="Times New Roman" w:hAnsi="Times New Roman" w:cs="Times New Roman"/>
          <w:noProof/>
          <w:sz w:val="24"/>
          <w:szCs w:val="24"/>
        </w:rPr>
      </w:pPr>
      <w:r w:rsidRPr="00AD25B2">
        <w:rPr>
          <w:rFonts w:ascii="Times New Roman" w:hAnsi="Times New Roman"/>
          <w:noProof/>
          <w:sz w:val="24"/>
          <w:szCs w:val="24"/>
        </w:rPr>
        <w:t>Comisia își menține angajamentul ferm de a sprijini regiunea în realizarea acestor reforme. Noi măsuri vor fi pr</w:t>
      </w:r>
      <w:r w:rsidRPr="00AD25B2">
        <w:rPr>
          <w:rFonts w:ascii="Times New Roman" w:hAnsi="Times New Roman"/>
          <w:noProof/>
          <w:sz w:val="24"/>
          <w:szCs w:val="24"/>
        </w:rPr>
        <w:t xml:space="preserve">ezentate într-o comunicare a Comisiei care va fi publicată în cursul acestui an.  </w:t>
      </w:r>
    </w:p>
    <w:p w:rsidR="005E046B" w:rsidRPr="00AD25B2" w:rsidRDefault="00AD25B2" w:rsidP="00AD25B2">
      <w:pPr>
        <w:pStyle w:val="Body"/>
        <w:spacing w:after="120" w:line="240" w:lineRule="auto"/>
        <w:jc w:val="both"/>
        <w:rPr>
          <w:rFonts w:ascii="Times New Roman" w:eastAsia="Times New Roman" w:hAnsi="Times New Roman" w:cs="Times New Roman"/>
          <w:noProof/>
          <w:sz w:val="24"/>
          <w:szCs w:val="24"/>
        </w:rPr>
      </w:pPr>
      <w:r w:rsidRPr="00AD25B2">
        <w:rPr>
          <w:rFonts w:ascii="Times New Roman" w:hAnsi="Times New Roman"/>
          <w:noProof/>
          <w:sz w:val="24"/>
          <w:szCs w:val="24"/>
        </w:rPr>
        <w:t>Criza provocată de pandemia de COVID-19 ne pune la încercare solidaritatea și determinarea, dar și demonstrează în mod pregnant faptul că, în calitate de europeni cu un dest</w:t>
      </w:r>
      <w:r w:rsidRPr="00AD25B2">
        <w:rPr>
          <w:rFonts w:ascii="Times New Roman" w:hAnsi="Times New Roman"/>
          <w:noProof/>
          <w:sz w:val="24"/>
          <w:szCs w:val="24"/>
        </w:rPr>
        <w:t xml:space="preserve">in comun, conlucrăm mai strâns. </w:t>
      </w:r>
      <w:r w:rsidRPr="00AD25B2">
        <w:rPr>
          <w:rFonts w:ascii="Times New Roman" w:hAnsi="Times New Roman"/>
          <w:noProof/>
          <w:sz w:val="24"/>
          <w:szCs w:val="24"/>
        </w:rPr>
        <w:t xml:space="preserve">În acest sens, recunoaștem că partenerii din Balcanii de Vest vor trebui să își găsească locul în cadrul viitorului nostru proces de reflecție privind viitorul Europei. </w:t>
      </w:r>
      <w:r w:rsidRPr="00AD25B2">
        <w:rPr>
          <w:rFonts w:ascii="Times New Roman" w:hAnsi="Times New Roman"/>
          <w:noProof/>
          <w:sz w:val="24"/>
          <w:szCs w:val="24"/>
        </w:rPr>
        <w:t>Împreună vom depăși această criză și ne vom redresa. Și</w:t>
      </w:r>
      <w:r w:rsidRPr="00AD25B2">
        <w:rPr>
          <w:rFonts w:ascii="Times New Roman" w:hAnsi="Times New Roman"/>
          <w:noProof/>
          <w:sz w:val="24"/>
          <w:szCs w:val="24"/>
        </w:rPr>
        <w:t xml:space="preserve"> tot împreună ne vom consolida și mai mult cooperarea pentru a-i ajuta pe partenerii noștri să îndeplinească cerințele de aderare la UE.</w:t>
      </w:r>
    </w:p>
    <w:p w:rsidR="005E046B" w:rsidRPr="00AD25B2" w:rsidRDefault="005E046B" w:rsidP="00AD25B2">
      <w:pPr>
        <w:pStyle w:val="Body"/>
        <w:spacing w:after="120" w:line="240" w:lineRule="auto"/>
        <w:jc w:val="both"/>
        <w:rPr>
          <w:rFonts w:ascii="Times New Roman" w:eastAsia="Times New Roman" w:hAnsi="Times New Roman" w:cs="Times New Roman"/>
          <w:noProof/>
          <w:sz w:val="24"/>
          <w:szCs w:val="24"/>
        </w:rPr>
      </w:pPr>
    </w:p>
    <w:p w:rsidR="005E046B" w:rsidRPr="00AD25B2" w:rsidRDefault="00AD25B2" w:rsidP="00AD25B2">
      <w:pPr>
        <w:pStyle w:val="Body"/>
        <w:spacing w:after="120" w:line="240" w:lineRule="auto"/>
        <w:jc w:val="center"/>
        <w:rPr>
          <w:noProof/>
          <w:sz w:val="24"/>
          <w:szCs w:val="24"/>
        </w:rPr>
      </w:pPr>
      <w:r w:rsidRPr="00AD25B2">
        <w:rPr>
          <w:rFonts w:ascii="Times New Roman" w:hAnsi="Times New Roman"/>
          <w:b/>
          <w:bCs/>
          <w:noProof/>
          <w:sz w:val="24"/>
          <w:szCs w:val="24"/>
        </w:rPr>
        <w:t>**</w:t>
      </w:r>
    </w:p>
    <w:p w:rsidR="005E046B" w:rsidRPr="00AD25B2" w:rsidRDefault="005E046B" w:rsidP="00AD25B2">
      <w:pPr>
        <w:spacing w:after="120" w:line="240" w:lineRule="auto"/>
        <w:rPr>
          <w:rFonts w:ascii="Times New Roman" w:hAnsi="Times New Roman"/>
          <w:b/>
          <w:noProof/>
          <w:sz w:val="24"/>
          <w:szCs w:val="24"/>
          <w:lang w:val="en-GB"/>
        </w:rPr>
      </w:pPr>
    </w:p>
    <w:sectPr w:rsidR="005E046B" w:rsidRPr="00AD25B2">
      <w:headerReference w:type="even" r:id="rId15"/>
      <w:headerReference w:type="default" r:id="rId16"/>
      <w:footerReference w:type="even" r:id="rId17"/>
      <w:footerReference w:type="default" r:id="rId18"/>
      <w:headerReference w:type="first" r:id="rId19"/>
      <w:footerReference w:type="first" r:id="rId20"/>
      <w:pgSz w:w="11900" w:h="16840"/>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046B" w:rsidRDefault="00AD25B2">
      <w:pPr>
        <w:spacing w:after="0" w:line="240" w:lineRule="auto"/>
      </w:pPr>
      <w:r>
        <w:separator/>
      </w:r>
    </w:p>
  </w:endnote>
  <w:endnote w:type="continuationSeparator" w:id="0">
    <w:p w:rsidR="005E046B" w:rsidRDefault="00AD25B2">
      <w:pPr>
        <w:spacing w:after="0" w:line="240" w:lineRule="auto"/>
      </w:pPr>
      <w:r>
        <w:continuationSeparator/>
      </w:r>
    </w:p>
  </w:endnote>
  <w:endnote w:type="continuationNotice" w:id="1">
    <w:p w:rsidR="005E046B" w:rsidRDefault="005E046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046B" w:rsidRDefault="005E046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046B" w:rsidRDefault="00AD25B2">
    <w:pPr>
      <w:pStyle w:val="FooterCoverPage"/>
      <w:rPr>
        <w:rFonts w:ascii="Arial" w:hAnsi="Arial" w:cs="Arial"/>
        <w:b/>
        <w:sz w:val="48"/>
      </w:rPr>
    </w:pPr>
    <w:r>
      <w:rPr>
        <w:rFonts w:ascii="Arial" w:hAnsi="Arial" w:cs="Arial"/>
        <w:b/>
        <w:sz w:val="48"/>
      </w:rPr>
      <w:t>RO</w:t>
    </w:r>
    <w:r>
      <w:rPr>
        <w:rFonts w:ascii="Arial" w:hAnsi="Arial" w:cs="Arial"/>
        <w:b/>
        <w:sz w:val="48"/>
      </w:rPr>
      <w:tab/>
    </w:r>
    <w:r>
      <w:rPr>
        <w:rFonts w:ascii="Arial" w:hAnsi="Arial" w:cs="Arial"/>
        <w:b/>
        <w:sz w:val="48"/>
      </w:rPr>
      <w:tab/>
    </w:r>
    <w:r>
      <w:tab/>
    </w:r>
    <w:r>
      <w:rPr>
        <w:rFonts w:ascii="Arial" w:hAnsi="Arial" w:cs="Arial"/>
        <w:b/>
        <w:sz w:val="48"/>
      </w:rPr>
      <w:t>RO</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046B" w:rsidRDefault="005E046B">
    <w:pPr>
      <w:pStyle w:val="FooterCoverPage"/>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046B" w:rsidRDefault="005E046B">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046B" w:rsidRDefault="00AD25B2">
    <w:pPr>
      <w:pStyle w:val="Footer"/>
      <w:tabs>
        <w:tab w:val="clear" w:pos="9360"/>
        <w:tab w:val="right" w:pos="9046"/>
      </w:tabs>
      <w:jc w:val="center"/>
    </w:pPr>
    <w:r>
      <w:rPr>
        <w:rFonts w:ascii="Times New Roman" w:eastAsia="Times New Roman" w:hAnsi="Times New Roman" w:cs="Times New Roman"/>
      </w:rPr>
      <w:fldChar w:fldCharType="begin"/>
    </w:r>
    <w:r>
      <w:rPr>
        <w:rFonts w:ascii="Times New Roman" w:eastAsia="Times New Roman" w:hAnsi="Times New Roman" w:cs="Times New Roman"/>
      </w:rPr>
      <w:instrText xml:space="preserve"> PAGE </w:instrText>
    </w:r>
    <w:r>
      <w:rPr>
        <w:rFonts w:ascii="Times New Roman" w:eastAsia="Times New Roman" w:hAnsi="Times New Roman" w:cs="Times New Roman"/>
      </w:rPr>
      <w:fldChar w:fldCharType="separate"/>
    </w:r>
    <w:r>
      <w:rPr>
        <w:rFonts w:ascii="Times New Roman" w:eastAsia="Times New Roman" w:hAnsi="Times New Roman" w:cs="Times New Roman"/>
        <w:noProof/>
      </w:rPr>
      <w:t>1</w:t>
    </w:r>
    <w:r>
      <w:rPr>
        <w:rFonts w:ascii="Times New Roman" w:eastAsia="Times New Roman" w:hAnsi="Times New Roman" w:cs="Times New Roman"/>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046B" w:rsidRDefault="005E04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046B" w:rsidRDefault="00AD25B2">
      <w:pPr>
        <w:spacing w:after="0" w:line="240" w:lineRule="auto"/>
      </w:pPr>
      <w:r>
        <w:separator/>
      </w:r>
    </w:p>
  </w:footnote>
  <w:footnote w:type="continuationSeparator" w:id="0">
    <w:p w:rsidR="005E046B" w:rsidRDefault="00AD25B2">
      <w:pPr>
        <w:spacing w:after="0" w:line="240" w:lineRule="auto"/>
      </w:pPr>
      <w:r>
        <w:continuationSeparator/>
      </w:r>
    </w:p>
  </w:footnote>
  <w:footnote w:type="continuationNotice" w:id="1">
    <w:p w:rsidR="005E046B" w:rsidRDefault="005E046B">
      <w:pPr>
        <w:spacing w:after="0" w:line="240" w:lineRule="auto"/>
      </w:pPr>
    </w:p>
  </w:footnote>
  <w:footnote w:id="2">
    <w:p w:rsidR="005E046B" w:rsidRDefault="00AD25B2">
      <w:pPr>
        <w:pStyle w:val="FootnoteText"/>
        <w:jc w:val="both"/>
      </w:pPr>
      <w:r>
        <w:rPr>
          <w:rFonts w:ascii="Times New Roman" w:eastAsia="Times New Roman" w:hAnsi="Times New Roman"/>
          <w:b/>
          <w:bCs/>
          <w:vertAlign w:val="superscript"/>
          <w:lang w:val="en-US"/>
        </w:rPr>
        <w:footnoteRef/>
      </w:r>
      <w:r>
        <w:rPr>
          <w:rFonts w:ascii="Times New Roman" w:hAnsi="Times New Roman"/>
        </w:rPr>
        <w:t xml:space="preserve"> Comunicarea Comisiei</w:t>
      </w:r>
      <w:r>
        <w:rPr>
          <w:rFonts w:ascii="Times New Roman" w:hAnsi="Times New Roman"/>
          <w:i/>
          <w:iCs/>
        </w:rPr>
        <w:t xml:space="preserve"> „Consolidarea procesului de aderare – O perspectivă credibilă de aderare la UE pentru Balcanii de Vest</w:t>
      </w:r>
      <w:r>
        <w:rPr>
          <w:rFonts w:ascii="Times New Roman" w:hAnsi="Times New Roman"/>
        </w:rPr>
        <w:t xml:space="preserve">”, </w:t>
      </w:r>
      <w:hyperlink r:id="rId1" w:history="1">
        <w:r>
          <w:rPr>
            <w:rStyle w:val="Hyperlink0"/>
            <w:rFonts w:eastAsia="Calibri"/>
          </w:rPr>
          <w:t>COM(2020) 57 final</w:t>
        </w:r>
      </w:hyperlink>
      <w:r>
        <w:t>.</w:t>
      </w:r>
    </w:p>
  </w:footnote>
  <w:footnote w:id="3">
    <w:p w:rsidR="005E046B" w:rsidRDefault="00AD25B2">
      <w:pPr>
        <w:pStyle w:val="FootnoteText"/>
      </w:pPr>
      <w:r>
        <w:rPr>
          <w:rFonts w:ascii="Times New Roman" w:eastAsia="Times New Roman" w:hAnsi="Times New Roman"/>
          <w:b/>
          <w:bCs/>
          <w:vertAlign w:val="superscript"/>
          <w:lang w:val="en-US"/>
        </w:rPr>
        <w:footnoteRef/>
      </w:r>
      <w:r>
        <w:rPr>
          <w:rFonts w:ascii="Times New Roman" w:hAnsi="Times New Roman"/>
        </w:rPr>
        <w:t xml:space="preserve"> Fonduri aloc</w:t>
      </w:r>
      <w:r>
        <w:rPr>
          <w:rFonts w:ascii="Times New Roman" w:hAnsi="Times New Roman"/>
        </w:rPr>
        <w:t>ate în cadrul actualului Program indicativ multianual pentru perioada 2014-2020.</w:t>
      </w:r>
    </w:p>
  </w:footnote>
  <w:footnote w:id="4">
    <w:p w:rsidR="005E046B" w:rsidRDefault="00AD25B2">
      <w:pPr>
        <w:pStyle w:val="FootnoteText"/>
      </w:pPr>
      <w:r>
        <w:rPr>
          <w:rFonts w:ascii="Times New Roman" w:eastAsia="Times New Roman" w:hAnsi="Times New Roman"/>
          <w:b/>
          <w:bCs/>
          <w:vertAlign w:val="superscript"/>
          <w:lang w:val="en-US"/>
        </w:rPr>
        <w:footnoteRef/>
      </w:r>
      <w:r>
        <w:t xml:space="preserve"> </w:t>
      </w:r>
      <w:r>
        <w:rPr>
          <w:rFonts w:ascii="Times New Roman" w:hAnsi="Times New Roman"/>
        </w:rPr>
        <w:t>Actualele programe de sprijin din cadrul IPA sunt, de asemenea, adaptate și accelerate, de exemplu, asistența pentru preaderare acordată de UE pentru dezvoltarea rurală (IPA</w:t>
      </w:r>
      <w:r>
        <w:rPr>
          <w:rFonts w:ascii="Times New Roman" w:hAnsi="Times New Roman"/>
        </w:rPr>
        <w:t>RD) și cooperarea transfrontalieră UE-Balcanii de Vest (REGIO).</w:t>
      </w:r>
    </w:p>
  </w:footnote>
  <w:footnote w:id="5">
    <w:p w:rsidR="005E046B" w:rsidRDefault="00AD25B2">
      <w:pPr>
        <w:pStyle w:val="FootnoteText"/>
        <w:jc w:val="both"/>
      </w:pPr>
      <w:r>
        <w:rPr>
          <w:rFonts w:ascii="Times New Roman" w:eastAsia="Times New Roman" w:hAnsi="Times New Roman"/>
          <w:vertAlign w:val="superscript"/>
          <w:lang w:val="en-US"/>
        </w:rPr>
        <w:footnoteRef/>
      </w:r>
      <w:r>
        <w:rPr>
          <w:rFonts w:ascii="Times New Roman" w:hAnsi="Times New Roman"/>
        </w:rPr>
        <w:t xml:space="preserve"> UE finanțează furnizarea a aproximativ 95 000 de teste de depistare a COVID-19, 500 de paturi de spital, 450 de aparate pentru respirație artificială, 100 de monitoare de terapie intensivă, </w:t>
      </w:r>
      <w:r>
        <w:rPr>
          <w:rFonts w:ascii="Times New Roman" w:hAnsi="Times New Roman"/>
        </w:rPr>
        <w:t>100 de containere pentru triaj, 10 ambulanțe, peste 4,5 milioane de echipamente de protecție, precum și sute de dispozitive medicale (cum ar fi raze X, electrocardiograme, scanere CT, defibrilatoare, pompe de perfuzie) și mii de consumabile medicale (cum a</w:t>
      </w:r>
      <w:r>
        <w:rPr>
          <w:rFonts w:ascii="Times New Roman" w:hAnsi="Times New Roman"/>
        </w:rPr>
        <w:t xml:space="preserve">r fi termometre, catetere, tuburi, seringi, măști). De asemenea, UE a suportat costul a 16 zboruri pe distanțe lungi care au transportat 750 de tone de consumabile medicale achiziționate din alte surse. </w:t>
      </w:r>
    </w:p>
  </w:footnote>
  <w:footnote w:id="6">
    <w:p w:rsidR="005E046B" w:rsidRDefault="00AD25B2">
      <w:pPr>
        <w:pStyle w:val="FootnoteText"/>
        <w:jc w:val="both"/>
      </w:pPr>
      <w:r>
        <w:rPr>
          <w:rFonts w:ascii="Times New Roman" w:eastAsia="Times New Roman" w:hAnsi="Times New Roman"/>
          <w:vertAlign w:val="superscript"/>
          <w:lang w:val="en-US"/>
        </w:rPr>
        <w:footnoteRef/>
      </w:r>
      <w:r>
        <w:rPr>
          <w:rFonts w:ascii="Times New Roman" w:hAnsi="Times New Roman"/>
        </w:rPr>
        <w:t xml:space="preserve"> 2020/0065 (COD) Propunere de Decizie a Parlamentului European și a Consiliului privind acordarea de asistență macrofinanciară partenerilor din cadrul politicii de extindere și de vecinătate în contextul crizei cauzate de pandemia de COVID-19, 22 aprilie 2</w:t>
      </w:r>
      <w:r>
        <w:rPr>
          <w:rFonts w:ascii="Times New Roman" w:hAnsi="Times New Roman"/>
        </w:rPr>
        <w:t>020.</w:t>
      </w:r>
    </w:p>
  </w:footnote>
  <w:footnote w:id="7">
    <w:p w:rsidR="005E046B" w:rsidRDefault="00AD25B2">
      <w:pPr>
        <w:pStyle w:val="FootnoteText"/>
        <w:jc w:val="both"/>
      </w:pPr>
      <w:r>
        <w:rPr>
          <w:rFonts w:ascii="Times New Roman" w:eastAsia="Times New Roman" w:hAnsi="Times New Roman"/>
          <w:b/>
          <w:bCs/>
          <w:vertAlign w:val="superscript"/>
          <w:lang w:val="en-US"/>
        </w:rPr>
        <w:footnoteRef/>
      </w:r>
      <w:r>
        <w:rPr>
          <w:rFonts w:ascii="Times New Roman" w:hAnsi="Times New Roman"/>
        </w:rPr>
        <w:t xml:space="preserve"> Comunicare privind răspunsul UE pe plan mondial la COVID-19 [JOIN (2020) 11 final] din 8.4.2020.</w:t>
      </w:r>
    </w:p>
  </w:footnote>
  <w:footnote w:id="8">
    <w:p w:rsidR="005E046B" w:rsidRDefault="00AD25B2">
      <w:pPr>
        <w:pStyle w:val="NormalWeb"/>
        <w:jc w:val="both"/>
      </w:pPr>
      <w:r>
        <w:rPr>
          <w:sz w:val="20"/>
          <w:szCs w:val="20"/>
          <w:vertAlign w:val="superscript"/>
          <w:lang w:val="en-US"/>
        </w:rPr>
        <w:footnoteRef/>
      </w:r>
      <w:r>
        <w:rPr>
          <w:sz w:val="20"/>
          <w:szCs w:val="20"/>
        </w:rPr>
        <w:t xml:space="preserve"> Regulamentul de punere în aplicare (UE) 2020/568 al Comisiei din 23 aprilie 2020 de instituire a obligației de a prezenta o autorizație de export pent</w:t>
      </w:r>
      <w:r>
        <w:rPr>
          <w:sz w:val="20"/>
          <w:szCs w:val="20"/>
        </w:rPr>
        <w:t>ru exportul anumitor produse (JO L 129, 24.4.2020)</w:t>
      </w:r>
      <w:r>
        <w:t>.</w:t>
      </w:r>
    </w:p>
  </w:footnote>
  <w:footnote w:id="9">
    <w:p w:rsidR="005E046B" w:rsidRDefault="00AD25B2">
      <w:pPr>
        <w:pStyle w:val="FootnoteText"/>
        <w:rPr>
          <w:rFonts w:ascii="Times New Roman" w:hAnsi="Times New Roman"/>
        </w:rPr>
      </w:pPr>
      <w:r>
        <w:rPr>
          <w:rStyle w:val="FootnoteReference"/>
          <w:rFonts w:ascii="Times New Roman" w:hAnsi="Times New Roman"/>
        </w:rPr>
        <w:footnoteRef/>
      </w:r>
      <w:r>
        <w:rPr>
          <w:rFonts w:ascii="Times New Roman" w:hAnsi="Times New Roman"/>
        </w:rPr>
        <w:t xml:space="preserve"> C(2020) 2050 final.</w:t>
      </w:r>
    </w:p>
  </w:footnote>
  <w:footnote w:id="10">
    <w:p w:rsidR="005E046B" w:rsidRDefault="00AD25B2">
      <w:pPr>
        <w:pStyle w:val="FootnoteText"/>
        <w:jc w:val="both"/>
      </w:pPr>
      <w:r>
        <w:rPr>
          <w:rFonts w:ascii="Times New Roman" w:eastAsia="Times New Roman" w:hAnsi="Times New Roman"/>
          <w:vertAlign w:val="superscript"/>
          <w:lang w:val="en-US"/>
        </w:rPr>
        <w:footnoteRef/>
      </w:r>
      <w:r>
        <w:rPr>
          <w:rFonts w:ascii="Times New Roman" w:hAnsi="Times New Roman"/>
        </w:rPr>
        <w:t>În plus, se vor furniza 65 de milioane EUR pentru a sprijini pregătirea și punerea în aplicare a proiectelor în temeiul Cadrului de investiții pentru Balcanii de Vest (CIBV), finanț</w:t>
      </w:r>
      <w:r>
        <w:rPr>
          <w:rFonts w:ascii="Times New Roman" w:hAnsi="Times New Roman"/>
        </w:rPr>
        <w:t>area acordată de UE Pachetului privind conectivitatea 2020 ajungând astfel la 200 de milioane EUR.</w:t>
      </w:r>
    </w:p>
  </w:footnote>
  <w:footnote w:id="11">
    <w:p w:rsidR="005E046B" w:rsidRDefault="00AD25B2">
      <w:pPr>
        <w:pStyle w:val="FootnoteText"/>
        <w:jc w:val="both"/>
      </w:pPr>
      <w:r>
        <w:rPr>
          <w:rFonts w:ascii="Times New Roman" w:eastAsia="Times New Roman" w:hAnsi="Times New Roman"/>
          <w:vertAlign w:val="superscript"/>
          <w:lang w:val="en-US"/>
        </w:rPr>
        <w:footnoteRef/>
      </w:r>
      <w:r>
        <w:rPr>
          <w:rFonts w:ascii="Times New Roman" w:hAnsi="Times New Roman"/>
        </w:rPr>
        <w:t xml:space="preserve"> De exemplu, sistemul de schimb de date privind accizele a fost actualizat pentru a asigura identificarea electronică timpurie a camioanelor care transportă</w:t>
      </w:r>
      <w:r>
        <w:rPr>
          <w:rFonts w:ascii="Times New Roman" w:hAnsi="Times New Roman"/>
        </w:rPr>
        <w:t xml:space="preserve"> bunuri esențiale, aceste date fiind comunicate punctelor de trecere a frontierei pentru ca respectivele camioane să treacă frontiera prin culoarele verzi.</w:t>
      </w:r>
    </w:p>
  </w:footnote>
  <w:footnote w:id="12">
    <w:p w:rsidR="005E046B" w:rsidRDefault="00AD25B2">
      <w:pPr>
        <w:pStyle w:val="FootnoteText"/>
        <w:jc w:val="both"/>
        <w:rPr>
          <w:rFonts w:ascii="Times New Roman" w:hAnsi="Times New Roman"/>
        </w:rPr>
      </w:pPr>
      <w:r>
        <w:rPr>
          <w:rFonts w:ascii="Times New Roman" w:eastAsia="Times New Roman" w:hAnsi="Times New Roman"/>
          <w:vertAlign w:val="superscript"/>
          <w:lang w:val="en-US"/>
        </w:rPr>
        <w:footnoteRef/>
      </w:r>
      <w:r>
        <w:rPr>
          <w:rFonts w:ascii="Times New Roman" w:hAnsi="Times New Roman"/>
        </w:rPr>
        <w:t xml:space="preserve"> În acest sens, Comisia a propus, la 3 aprilie, extinderea măsurilor comerciale autonome acordate d</w:t>
      </w:r>
      <w:r>
        <w:rPr>
          <w:rFonts w:ascii="Times New Roman" w:hAnsi="Times New Roman"/>
        </w:rPr>
        <w:t xml:space="preserve">e UE țărilor </w:t>
      </w:r>
    </w:p>
    <w:p w:rsidR="005E046B" w:rsidRDefault="00AD25B2">
      <w:pPr>
        <w:pStyle w:val="FootnoteText"/>
        <w:jc w:val="both"/>
      </w:pPr>
      <w:r>
        <w:rPr>
          <w:rFonts w:ascii="Times New Roman" w:hAnsi="Times New Roman"/>
        </w:rPr>
        <w:t xml:space="preserve">din Balcanii de Vest pentru încă 5 ani, până la sfârșitul lui 2025 [COM(2020) 135 final], 2020/0051 (COD).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046B" w:rsidRDefault="005E046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046B" w:rsidRDefault="005E046B">
    <w:pPr>
      <w:pStyle w:val="HeaderCoverPag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046B" w:rsidRDefault="005E046B">
    <w:pPr>
      <w:pStyle w:val="HeaderCoverPage"/>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046B" w:rsidRDefault="005E046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046B" w:rsidRDefault="005E046B">
    <w:pPr>
      <w:pStyle w:val="Header"/>
      <w:tabs>
        <w:tab w:val="clear" w:pos="9360"/>
        <w:tab w:val="right" w:pos="9046"/>
      </w:tabs>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046B" w:rsidRDefault="005E04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7E503D"/>
    <w:multiLevelType w:val="hybridMultilevel"/>
    <w:tmpl w:val="50DA3C46"/>
    <w:lvl w:ilvl="0" w:tplc="08090013">
      <w:start w:val="1"/>
      <w:numFmt w:val="upperRoman"/>
      <w:lvlText w:val="%1."/>
      <w:lvlJc w:val="right"/>
      <w:pPr>
        <w:ind w:left="780" w:hanging="360"/>
      </w:pPr>
    </w:lvl>
    <w:lvl w:ilvl="1" w:tplc="08090019">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 w15:restartNumberingAfterBreak="0">
    <w:nsid w:val="098C6320"/>
    <w:multiLevelType w:val="hybridMultilevel"/>
    <w:tmpl w:val="34CCDB36"/>
    <w:lvl w:ilvl="0" w:tplc="18090011">
      <w:start w:val="1"/>
      <w:numFmt w:val="decimal"/>
      <w:lvlText w:val="%1)"/>
      <w:lvlJc w:val="left"/>
      <w:pPr>
        <w:ind w:left="360" w:hanging="360"/>
      </w:p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2" w15:restartNumberingAfterBreak="0">
    <w:nsid w:val="10B51692"/>
    <w:multiLevelType w:val="hybridMultilevel"/>
    <w:tmpl w:val="6628A694"/>
    <w:lvl w:ilvl="0" w:tplc="08090013">
      <w:start w:val="1"/>
      <w:numFmt w:val="upperRoman"/>
      <w:lvlText w:val="%1."/>
      <w:lvlJc w:val="right"/>
      <w:pPr>
        <w:ind w:left="780" w:hanging="360"/>
      </w:pPr>
    </w:lvl>
    <w:lvl w:ilvl="1" w:tplc="08090019">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3" w15:restartNumberingAfterBreak="0">
    <w:nsid w:val="11B156DC"/>
    <w:multiLevelType w:val="hybridMultilevel"/>
    <w:tmpl w:val="1A942A5A"/>
    <w:lvl w:ilvl="0" w:tplc="080C0001">
      <w:start w:val="1"/>
      <w:numFmt w:val="bullet"/>
      <w:lvlText w:val=""/>
      <w:lvlJc w:val="left"/>
      <w:pPr>
        <w:ind w:left="1035" w:hanging="675"/>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4" w15:restartNumberingAfterBreak="0">
    <w:nsid w:val="15F641F9"/>
    <w:multiLevelType w:val="hybridMultilevel"/>
    <w:tmpl w:val="80584BB8"/>
    <w:lvl w:ilvl="0" w:tplc="FDEE4844">
      <w:start w:val="1"/>
      <w:numFmt w:val="bullet"/>
      <w:lvlText w:val="-"/>
      <w:lvlJc w:val="left"/>
      <w:pPr>
        <w:ind w:left="675" w:hanging="675"/>
      </w:pPr>
      <w:rPr>
        <w:rFonts w:ascii="Times New Roman" w:eastAsiaTheme="minorHAnsi" w:hAnsi="Times New Roman" w:cs="Times New Roman" w:hint="default"/>
      </w:rPr>
    </w:lvl>
    <w:lvl w:ilvl="1" w:tplc="080C0003" w:tentative="1">
      <w:start w:val="1"/>
      <w:numFmt w:val="bullet"/>
      <w:lvlText w:val="o"/>
      <w:lvlJc w:val="left"/>
      <w:pPr>
        <w:ind w:left="1080" w:hanging="360"/>
      </w:pPr>
      <w:rPr>
        <w:rFonts w:ascii="Courier New" w:hAnsi="Courier New" w:cs="Courier New" w:hint="default"/>
      </w:rPr>
    </w:lvl>
    <w:lvl w:ilvl="2" w:tplc="080C0005" w:tentative="1">
      <w:start w:val="1"/>
      <w:numFmt w:val="bullet"/>
      <w:lvlText w:val=""/>
      <w:lvlJc w:val="left"/>
      <w:pPr>
        <w:ind w:left="1800" w:hanging="360"/>
      </w:pPr>
      <w:rPr>
        <w:rFonts w:ascii="Wingdings" w:hAnsi="Wingdings" w:hint="default"/>
      </w:rPr>
    </w:lvl>
    <w:lvl w:ilvl="3" w:tplc="080C0001" w:tentative="1">
      <w:start w:val="1"/>
      <w:numFmt w:val="bullet"/>
      <w:lvlText w:val=""/>
      <w:lvlJc w:val="left"/>
      <w:pPr>
        <w:ind w:left="2520" w:hanging="360"/>
      </w:pPr>
      <w:rPr>
        <w:rFonts w:ascii="Symbol" w:hAnsi="Symbol" w:hint="default"/>
      </w:rPr>
    </w:lvl>
    <w:lvl w:ilvl="4" w:tplc="080C0003" w:tentative="1">
      <w:start w:val="1"/>
      <w:numFmt w:val="bullet"/>
      <w:lvlText w:val="o"/>
      <w:lvlJc w:val="left"/>
      <w:pPr>
        <w:ind w:left="3240" w:hanging="360"/>
      </w:pPr>
      <w:rPr>
        <w:rFonts w:ascii="Courier New" w:hAnsi="Courier New" w:cs="Courier New" w:hint="default"/>
      </w:rPr>
    </w:lvl>
    <w:lvl w:ilvl="5" w:tplc="080C0005" w:tentative="1">
      <w:start w:val="1"/>
      <w:numFmt w:val="bullet"/>
      <w:lvlText w:val=""/>
      <w:lvlJc w:val="left"/>
      <w:pPr>
        <w:ind w:left="3960" w:hanging="360"/>
      </w:pPr>
      <w:rPr>
        <w:rFonts w:ascii="Wingdings" w:hAnsi="Wingdings" w:hint="default"/>
      </w:rPr>
    </w:lvl>
    <w:lvl w:ilvl="6" w:tplc="080C0001" w:tentative="1">
      <w:start w:val="1"/>
      <w:numFmt w:val="bullet"/>
      <w:lvlText w:val=""/>
      <w:lvlJc w:val="left"/>
      <w:pPr>
        <w:ind w:left="4680" w:hanging="360"/>
      </w:pPr>
      <w:rPr>
        <w:rFonts w:ascii="Symbol" w:hAnsi="Symbol" w:hint="default"/>
      </w:rPr>
    </w:lvl>
    <w:lvl w:ilvl="7" w:tplc="080C0003" w:tentative="1">
      <w:start w:val="1"/>
      <w:numFmt w:val="bullet"/>
      <w:lvlText w:val="o"/>
      <w:lvlJc w:val="left"/>
      <w:pPr>
        <w:ind w:left="5400" w:hanging="360"/>
      </w:pPr>
      <w:rPr>
        <w:rFonts w:ascii="Courier New" w:hAnsi="Courier New" w:cs="Courier New" w:hint="default"/>
      </w:rPr>
    </w:lvl>
    <w:lvl w:ilvl="8" w:tplc="080C0005" w:tentative="1">
      <w:start w:val="1"/>
      <w:numFmt w:val="bullet"/>
      <w:lvlText w:val=""/>
      <w:lvlJc w:val="left"/>
      <w:pPr>
        <w:ind w:left="6120" w:hanging="360"/>
      </w:pPr>
      <w:rPr>
        <w:rFonts w:ascii="Wingdings" w:hAnsi="Wingdings" w:hint="default"/>
      </w:rPr>
    </w:lvl>
  </w:abstractNum>
  <w:abstractNum w:abstractNumId="5" w15:restartNumberingAfterBreak="0">
    <w:nsid w:val="1E5B3A38"/>
    <w:multiLevelType w:val="hybridMultilevel"/>
    <w:tmpl w:val="E430A882"/>
    <w:lvl w:ilvl="0" w:tplc="C77EC6F2">
      <w:numFmt w:val="bullet"/>
      <w:lvlText w:val="-"/>
      <w:lvlJc w:val="left"/>
      <w:pPr>
        <w:ind w:left="720" w:hanging="360"/>
      </w:pPr>
      <w:rPr>
        <w:rFonts w:ascii="Times New Roman" w:eastAsiaTheme="minorHAnsi" w:hAnsi="Times New Roman" w:cs="Times New Roman"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3E057F"/>
    <w:multiLevelType w:val="hybridMultilevel"/>
    <w:tmpl w:val="328EBD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73502D"/>
    <w:multiLevelType w:val="hybridMultilevel"/>
    <w:tmpl w:val="A41C6E94"/>
    <w:numStyleLink w:val="ImportedStyle1"/>
  </w:abstractNum>
  <w:abstractNum w:abstractNumId="8" w15:restartNumberingAfterBreak="0">
    <w:nsid w:val="2F000009"/>
    <w:multiLevelType w:val="hybridMultilevel"/>
    <w:tmpl w:val="34B116FA"/>
    <w:lvl w:ilvl="0" w:tplc="D922A03E">
      <w:start w:val="1"/>
      <w:numFmt w:val="bullet"/>
      <w:lvlText w:val="Ø"/>
      <w:lvlJc w:val="left"/>
      <w:pPr>
        <w:ind w:left="720" w:hanging="360"/>
        <w:jc w:val="both"/>
      </w:pPr>
      <w:rPr>
        <w:rFonts w:ascii="Wingdings" w:eastAsia="Wingdings" w:hAnsi="Wingdings"/>
        <w:w w:val="100"/>
        <w:sz w:val="20"/>
        <w:szCs w:val="20"/>
        <w:shd w:val="clear" w:color="auto" w:fill="auto"/>
      </w:rPr>
    </w:lvl>
    <w:lvl w:ilvl="1" w:tplc="F696803E">
      <w:start w:val="1"/>
      <w:numFmt w:val="bullet"/>
      <w:lvlText w:val="Ø"/>
      <w:lvlJc w:val="left"/>
      <w:pPr>
        <w:ind w:left="1440" w:hanging="360"/>
        <w:jc w:val="both"/>
      </w:pPr>
      <w:rPr>
        <w:rFonts w:ascii="Wingdings" w:eastAsia="Wingdings" w:hAnsi="Wingdings"/>
        <w:w w:val="100"/>
        <w:sz w:val="20"/>
        <w:szCs w:val="20"/>
        <w:shd w:val="clear" w:color="auto" w:fill="auto"/>
      </w:rPr>
    </w:lvl>
    <w:lvl w:ilvl="2" w:tplc="47F4BE3C">
      <w:start w:val="1"/>
      <w:numFmt w:val="bullet"/>
      <w:lvlText w:val="§"/>
      <w:lvlJc w:val="left"/>
      <w:pPr>
        <w:ind w:left="2160" w:hanging="360"/>
        <w:jc w:val="both"/>
      </w:pPr>
      <w:rPr>
        <w:rFonts w:ascii="Wingdings" w:eastAsia="Wingdings" w:hAnsi="Wingdings"/>
        <w:w w:val="100"/>
        <w:sz w:val="20"/>
        <w:szCs w:val="20"/>
        <w:shd w:val="clear" w:color="auto" w:fill="auto"/>
      </w:rPr>
    </w:lvl>
    <w:lvl w:ilvl="3" w:tplc="75548F68">
      <w:start w:val="1"/>
      <w:numFmt w:val="bullet"/>
      <w:lvlText w:val="·"/>
      <w:lvlJc w:val="left"/>
      <w:pPr>
        <w:ind w:left="2880" w:hanging="360"/>
        <w:jc w:val="both"/>
      </w:pPr>
      <w:rPr>
        <w:rFonts w:ascii="Symbol" w:eastAsia="Symbol" w:hAnsi="Symbol"/>
        <w:w w:val="100"/>
        <w:sz w:val="20"/>
        <w:szCs w:val="20"/>
        <w:shd w:val="clear" w:color="auto" w:fill="auto"/>
      </w:rPr>
    </w:lvl>
    <w:lvl w:ilvl="4" w:tplc="F760CF84">
      <w:start w:val="1"/>
      <w:numFmt w:val="bullet"/>
      <w:lvlText w:val="o"/>
      <w:lvlJc w:val="left"/>
      <w:pPr>
        <w:ind w:left="3600" w:hanging="360"/>
        <w:jc w:val="both"/>
      </w:pPr>
      <w:rPr>
        <w:rFonts w:ascii="Courier New" w:eastAsia="Courier New" w:hAnsi="Courier New"/>
        <w:w w:val="100"/>
        <w:sz w:val="20"/>
        <w:szCs w:val="20"/>
        <w:shd w:val="clear" w:color="auto" w:fill="auto"/>
      </w:rPr>
    </w:lvl>
    <w:lvl w:ilvl="5" w:tplc="8A2AF56E">
      <w:start w:val="1"/>
      <w:numFmt w:val="bullet"/>
      <w:lvlText w:val="§"/>
      <w:lvlJc w:val="left"/>
      <w:pPr>
        <w:ind w:left="4320" w:hanging="360"/>
        <w:jc w:val="both"/>
      </w:pPr>
      <w:rPr>
        <w:rFonts w:ascii="Wingdings" w:eastAsia="Wingdings" w:hAnsi="Wingdings"/>
        <w:w w:val="100"/>
        <w:sz w:val="20"/>
        <w:szCs w:val="20"/>
        <w:shd w:val="clear" w:color="auto" w:fill="auto"/>
      </w:rPr>
    </w:lvl>
    <w:lvl w:ilvl="6" w:tplc="2B0CC496">
      <w:start w:val="1"/>
      <w:numFmt w:val="bullet"/>
      <w:lvlText w:val="·"/>
      <w:lvlJc w:val="left"/>
      <w:pPr>
        <w:ind w:left="5040" w:hanging="360"/>
        <w:jc w:val="both"/>
      </w:pPr>
      <w:rPr>
        <w:rFonts w:ascii="Symbol" w:eastAsia="Symbol" w:hAnsi="Symbol"/>
        <w:w w:val="100"/>
        <w:sz w:val="20"/>
        <w:szCs w:val="20"/>
        <w:shd w:val="clear" w:color="auto" w:fill="auto"/>
      </w:rPr>
    </w:lvl>
    <w:lvl w:ilvl="7" w:tplc="437A2DE8">
      <w:start w:val="1"/>
      <w:numFmt w:val="bullet"/>
      <w:lvlText w:val="o"/>
      <w:lvlJc w:val="left"/>
      <w:pPr>
        <w:ind w:left="5760" w:hanging="360"/>
        <w:jc w:val="both"/>
      </w:pPr>
      <w:rPr>
        <w:rFonts w:ascii="Courier New" w:eastAsia="Courier New" w:hAnsi="Courier New"/>
        <w:w w:val="100"/>
        <w:sz w:val="20"/>
        <w:szCs w:val="20"/>
        <w:shd w:val="clear" w:color="auto" w:fill="auto"/>
      </w:rPr>
    </w:lvl>
    <w:lvl w:ilvl="8" w:tplc="8F8A2E6E">
      <w:start w:val="1"/>
      <w:numFmt w:val="bullet"/>
      <w:lvlText w:val="§"/>
      <w:lvlJc w:val="left"/>
      <w:pPr>
        <w:ind w:left="6480" w:hanging="360"/>
        <w:jc w:val="both"/>
      </w:pPr>
      <w:rPr>
        <w:rFonts w:ascii="Wingdings" w:eastAsia="Wingdings" w:hAnsi="Wingdings"/>
        <w:w w:val="100"/>
        <w:sz w:val="20"/>
        <w:szCs w:val="20"/>
        <w:shd w:val="clear" w:color="auto" w:fill="auto"/>
      </w:rPr>
    </w:lvl>
  </w:abstractNum>
  <w:abstractNum w:abstractNumId="9" w15:restartNumberingAfterBreak="0">
    <w:nsid w:val="2F000026"/>
    <w:multiLevelType w:val="hybridMultilevel"/>
    <w:tmpl w:val="43EE3B82"/>
    <w:lvl w:ilvl="0" w:tplc="FEE2DBB8">
      <w:start w:val="15"/>
      <w:numFmt w:val="bullet"/>
      <w:lvlText w:val="-"/>
      <w:lvlJc w:val="left"/>
      <w:pPr>
        <w:ind w:left="720" w:hanging="360"/>
        <w:jc w:val="both"/>
      </w:pPr>
      <w:rPr>
        <w:rFonts w:ascii="Times New Roman" w:eastAsia="Times New Roman" w:hAnsi="Times New Roman"/>
        <w:w w:val="100"/>
        <w:sz w:val="20"/>
        <w:szCs w:val="20"/>
        <w:shd w:val="clear" w:color="auto" w:fill="auto"/>
      </w:rPr>
    </w:lvl>
    <w:lvl w:ilvl="1" w:tplc="B55C1D74">
      <w:start w:val="1"/>
      <w:numFmt w:val="bullet"/>
      <w:lvlText w:val="o"/>
      <w:lvlJc w:val="left"/>
      <w:pPr>
        <w:ind w:left="1440" w:hanging="360"/>
        <w:jc w:val="both"/>
      </w:pPr>
      <w:rPr>
        <w:rFonts w:ascii="Courier New" w:eastAsia="Courier New" w:hAnsi="Courier New"/>
        <w:w w:val="100"/>
        <w:sz w:val="20"/>
        <w:szCs w:val="20"/>
        <w:shd w:val="clear" w:color="auto" w:fill="auto"/>
      </w:rPr>
    </w:lvl>
    <w:lvl w:ilvl="2" w:tplc="4B2C698C">
      <w:start w:val="1"/>
      <w:numFmt w:val="bullet"/>
      <w:lvlText w:val="§"/>
      <w:lvlJc w:val="left"/>
      <w:pPr>
        <w:ind w:left="2160" w:hanging="360"/>
        <w:jc w:val="both"/>
      </w:pPr>
      <w:rPr>
        <w:rFonts w:ascii="Wingdings" w:eastAsia="Wingdings" w:hAnsi="Wingdings"/>
        <w:w w:val="100"/>
        <w:sz w:val="20"/>
        <w:szCs w:val="20"/>
        <w:shd w:val="clear" w:color="auto" w:fill="auto"/>
      </w:rPr>
    </w:lvl>
    <w:lvl w:ilvl="3" w:tplc="A1FCB008">
      <w:start w:val="1"/>
      <w:numFmt w:val="bullet"/>
      <w:lvlText w:val="·"/>
      <w:lvlJc w:val="left"/>
      <w:pPr>
        <w:ind w:left="2880" w:hanging="360"/>
        <w:jc w:val="both"/>
      </w:pPr>
      <w:rPr>
        <w:rFonts w:ascii="Symbol" w:eastAsia="Symbol" w:hAnsi="Symbol"/>
        <w:w w:val="100"/>
        <w:sz w:val="20"/>
        <w:szCs w:val="20"/>
        <w:shd w:val="clear" w:color="auto" w:fill="auto"/>
      </w:rPr>
    </w:lvl>
    <w:lvl w:ilvl="4" w:tplc="BBB254BA">
      <w:start w:val="1"/>
      <w:numFmt w:val="bullet"/>
      <w:lvlText w:val="o"/>
      <w:lvlJc w:val="left"/>
      <w:pPr>
        <w:ind w:left="3600" w:hanging="360"/>
        <w:jc w:val="both"/>
      </w:pPr>
      <w:rPr>
        <w:rFonts w:ascii="Courier New" w:eastAsia="Courier New" w:hAnsi="Courier New"/>
        <w:w w:val="100"/>
        <w:sz w:val="20"/>
        <w:szCs w:val="20"/>
        <w:shd w:val="clear" w:color="auto" w:fill="auto"/>
      </w:rPr>
    </w:lvl>
    <w:lvl w:ilvl="5" w:tplc="FB045024">
      <w:start w:val="1"/>
      <w:numFmt w:val="bullet"/>
      <w:lvlText w:val="§"/>
      <w:lvlJc w:val="left"/>
      <w:pPr>
        <w:ind w:left="4320" w:hanging="360"/>
        <w:jc w:val="both"/>
      </w:pPr>
      <w:rPr>
        <w:rFonts w:ascii="Wingdings" w:eastAsia="Wingdings" w:hAnsi="Wingdings"/>
        <w:w w:val="100"/>
        <w:sz w:val="20"/>
        <w:szCs w:val="20"/>
        <w:shd w:val="clear" w:color="auto" w:fill="auto"/>
      </w:rPr>
    </w:lvl>
    <w:lvl w:ilvl="6" w:tplc="F7F4F9F2">
      <w:start w:val="1"/>
      <w:numFmt w:val="bullet"/>
      <w:lvlText w:val="·"/>
      <w:lvlJc w:val="left"/>
      <w:pPr>
        <w:ind w:left="5040" w:hanging="360"/>
        <w:jc w:val="both"/>
      </w:pPr>
      <w:rPr>
        <w:rFonts w:ascii="Symbol" w:eastAsia="Symbol" w:hAnsi="Symbol"/>
        <w:w w:val="100"/>
        <w:sz w:val="20"/>
        <w:szCs w:val="20"/>
        <w:shd w:val="clear" w:color="auto" w:fill="auto"/>
      </w:rPr>
    </w:lvl>
    <w:lvl w:ilvl="7" w:tplc="52F609A0">
      <w:start w:val="1"/>
      <w:numFmt w:val="bullet"/>
      <w:lvlText w:val="o"/>
      <w:lvlJc w:val="left"/>
      <w:pPr>
        <w:ind w:left="5760" w:hanging="360"/>
        <w:jc w:val="both"/>
      </w:pPr>
      <w:rPr>
        <w:rFonts w:ascii="Courier New" w:eastAsia="Courier New" w:hAnsi="Courier New"/>
        <w:w w:val="100"/>
        <w:sz w:val="20"/>
        <w:szCs w:val="20"/>
        <w:shd w:val="clear" w:color="auto" w:fill="auto"/>
      </w:rPr>
    </w:lvl>
    <w:lvl w:ilvl="8" w:tplc="98A47408">
      <w:start w:val="1"/>
      <w:numFmt w:val="bullet"/>
      <w:lvlText w:val="§"/>
      <w:lvlJc w:val="left"/>
      <w:pPr>
        <w:ind w:left="6480" w:hanging="360"/>
        <w:jc w:val="both"/>
      </w:pPr>
      <w:rPr>
        <w:rFonts w:ascii="Wingdings" w:eastAsia="Wingdings" w:hAnsi="Wingdings"/>
        <w:w w:val="100"/>
        <w:sz w:val="20"/>
        <w:szCs w:val="20"/>
        <w:shd w:val="clear" w:color="auto" w:fill="auto"/>
      </w:rPr>
    </w:lvl>
  </w:abstractNum>
  <w:abstractNum w:abstractNumId="10" w15:restartNumberingAfterBreak="0">
    <w:nsid w:val="2F000030"/>
    <w:multiLevelType w:val="hybridMultilevel"/>
    <w:tmpl w:val="1F34BE0E"/>
    <w:lvl w:ilvl="0" w:tplc="246A393C">
      <w:start w:val="1"/>
      <w:numFmt w:val="bullet"/>
      <w:lvlText w:val="Ø"/>
      <w:lvlJc w:val="left"/>
      <w:pPr>
        <w:ind w:left="592" w:hanging="400"/>
        <w:jc w:val="both"/>
      </w:pPr>
      <w:rPr>
        <w:rFonts w:ascii="Wingdings" w:eastAsia="Wingdings" w:hAnsi="Wingdings"/>
        <w:b w:val="0"/>
        <w:w w:val="100"/>
        <w:sz w:val="24"/>
        <w:szCs w:val="24"/>
        <w:u w:val="none"/>
        <w:shd w:val="clear" w:color="auto" w:fill="auto"/>
      </w:rPr>
    </w:lvl>
    <w:lvl w:ilvl="1" w:tplc="118EBD14">
      <w:start w:val="1"/>
      <w:numFmt w:val="bullet"/>
      <w:lvlText w:val="n"/>
      <w:lvlJc w:val="left"/>
      <w:pPr>
        <w:ind w:left="992" w:hanging="400"/>
        <w:jc w:val="both"/>
      </w:pPr>
      <w:rPr>
        <w:rFonts w:ascii="Wingdings" w:eastAsia="Wingdings" w:hAnsi="Wingdings"/>
        <w:w w:val="100"/>
        <w:sz w:val="20"/>
        <w:szCs w:val="20"/>
        <w:shd w:val="clear" w:color="auto" w:fill="auto"/>
      </w:rPr>
    </w:lvl>
    <w:lvl w:ilvl="2" w:tplc="5104660A">
      <w:start w:val="1"/>
      <w:numFmt w:val="bullet"/>
      <w:lvlText w:val="u"/>
      <w:lvlJc w:val="left"/>
      <w:pPr>
        <w:ind w:left="1392" w:hanging="400"/>
        <w:jc w:val="both"/>
      </w:pPr>
      <w:rPr>
        <w:rFonts w:ascii="Wingdings" w:eastAsia="Wingdings" w:hAnsi="Wingdings"/>
        <w:w w:val="100"/>
        <w:sz w:val="20"/>
        <w:szCs w:val="20"/>
        <w:shd w:val="clear" w:color="auto" w:fill="auto"/>
      </w:rPr>
    </w:lvl>
    <w:lvl w:ilvl="3" w:tplc="02E686DC">
      <w:start w:val="1"/>
      <w:numFmt w:val="bullet"/>
      <w:lvlText w:val="Ø"/>
      <w:lvlJc w:val="left"/>
      <w:pPr>
        <w:ind w:left="1792" w:hanging="400"/>
        <w:jc w:val="both"/>
      </w:pPr>
      <w:rPr>
        <w:rFonts w:ascii="Wingdings" w:eastAsia="Wingdings" w:hAnsi="Wingdings"/>
        <w:w w:val="100"/>
        <w:sz w:val="20"/>
        <w:szCs w:val="20"/>
        <w:shd w:val="clear" w:color="auto" w:fill="auto"/>
      </w:rPr>
    </w:lvl>
    <w:lvl w:ilvl="4" w:tplc="317603B6">
      <w:start w:val="1"/>
      <w:numFmt w:val="bullet"/>
      <w:lvlText w:val="n"/>
      <w:lvlJc w:val="left"/>
      <w:pPr>
        <w:ind w:left="2192" w:hanging="400"/>
        <w:jc w:val="both"/>
      </w:pPr>
      <w:rPr>
        <w:rFonts w:ascii="Wingdings" w:eastAsia="Wingdings" w:hAnsi="Wingdings"/>
        <w:w w:val="100"/>
        <w:sz w:val="20"/>
        <w:szCs w:val="20"/>
        <w:shd w:val="clear" w:color="auto" w:fill="auto"/>
      </w:rPr>
    </w:lvl>
    <w:lvl w:ilvl="5" w:tplc="DCC88D5E">
      <w:start w:val="1"/>
      <w:numFmt w:val="bullet"/>
      <w:lvlText w:val="u"/>
      <w:lvlJc w:val="left"/>
      <w:pPr>
        <w:ind w:left="2592" w:hanging="400"/>
        <w:jc w:val="both"/>
      </w:pPr>
      <w:rPr>
        <w:rFonts w:ascii="Wingdings" w:eastAsia="Wingdings" w:hAnsi="Wingdings"/>
        <w:w w:val="100"/>
        <w:sz w:val="20"/>
        <w:szCs w:val="20"/>
        <w:shd w:val="clear" w:color="auto" w:fill="auto"/>
      </w:rPr>
    </w:lvl>
    <w:lvl w:ilvl="6" w:tplc="C39839E8">
      <w:start w:val="1"/>
      <w:numFmt w:val="bullet"/>
      <w:lvlText w:val="Ø"/>
      <w:lvlJc w:val="left"/>
      <w:pPr>
        <w:ind w:left="2992" w:hanging="400"/>
        <w:jc w:val="both"/>
      </w:pPr>
      <w:rPr>
        <w:rFonts w:ascii="Wingdings" w:eastAsia="Wingdings" w:hAnsi="Wingdings"/>
        <w:w w:val="100"/>
        <w:sz w:val="20"/>
        <w:szCs w:val="20"/>
        <w:shd w:val="clear" w:color="auto" w:fill="auto"/>
      </w:rPr>
    </w:lvl>
    <w:lvl w:ilvl="7" w:tplc="F3442810">
      <w:start w:val="1"/>
      <w:numFmt w:val="bullet"/>
      <w:lvlText w:val="n"/>
      <w:lvlJc w:val="left"/>
      <w:pPr>
        <w:ind w:left="3392" w:hanging="400"/>
        <w:jc w:val="both"/>
      </w:pPr>
      <w:rPr>
        <w:rFonts w:ascii="Wingdings" w:eastAsia="Wingdings" w:hAnsi="Wingdings"/>
        <w:w w:val="100"/>
        <w:sz w:val="20"/>
        <w:szCs w:val="20"/>
        <w:shd w:val="clear" w:color="auto" w:fill="auto"/>
      </w:rPr>
    </w:lvl>
    <w:lvl w:ilvl="8" w:tplc="459CFE62">
      <w:start w:val="1"/>
      <w:numFmt w:val="bullet"/>
      <w:lvlText w:val="u"/>
      <w:lvlJc w:val="left"/>
      <w:pPr>
        <w:ind w:left="3792" w:hanging="400"/>
        <w:jc w:val="both"/>
      </w:pPr>
      <w:rPr>
        <w:rFonts w:ascii="Wingdings" w:eastAsia="Wingdings" w:hAnsi="Wingdings"/>
        <w:w w:val="100"/>
        <w:sz w:val="20"/>
        <w:szCs w:val="20"/>
        <w:shd w:val="clear" w:color="auto" w:fill="auto"/>
      </w:rPr>
    </w:lvl>
  </w:abstractNum>
  <w:abstractNum w:abstractNumId="11" w15:restartNumberingAfterBreak="0">
    <w:nsid w:val="3162379A"/>
    <w:multiLevelType w:val="hybridMultilevel"/>
    <w:tmpl w:val="839A3770"/>
    <w:lvl w:ilvl="0" w:tplc="FDEE4844">
      <w:start w:val="1"/>
      <w:numFmt w:val="bullet"/>
      <w:lvlText w:val="-"/>
      <w:lvlJc w:val="left"/>
      <w:pPr>
        <w:ind w:left="720" w:hanging="360"/>
      </w:pPr>
      <w:rPr>
        <w:rFonts w:ascii="Times New Roman" w:eastAsiaTheme="minorHAnsi" w:hAnsi="Times New Roman" w:cs="Times New Roman"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2" w15:restartNumberingAfterBreak="0">
    <w:nsid w:val="3D720EBD"/>
    <w:multiLevelType w:val="hybridMultilevel"/>
    <w:tmpl w:val="215C1B9C"/>
    <w:lvl w:ilvl="0" w:tplc="18090013">
      <w:start w:val="1"/>
      <w:numFmt w:val="upperRoman"/>
      <w:lvlText w:val="%1."/>
      <w:lvlJc w:val="righ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3" w15:restartNumberingAfterBreak="0">
    <w:nsid w:val="4FC751E2"/>
    <w:multiLevelType w:val="hybridMultilevel"/>
    <w:tmpl w:val="29B8FF8C"/>
    <w:lvl w:ilvl="0" w:tplc="FDEE4844">
      <w:start w:val="1"/>
      <w:numFmt w:val="bullet"/>
      <w:lvlText w:val="-"/>
      <w:lvlJc w:val="left"/>
      <w:pPr>
        <w:ind w:left="360" w:hanging="360"/>
      </w:pPr>
      <w:rPr>
        <w:rFonts w:ascii="Times New Roman" w:eastAsiaTheme="minorHAnsi" w:hAnsi="Times New Roman" w:cs="Times New Roman"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14" w15:restartNumberingAfterBreak="0">
    <w:nsid w:val="5ECF7D93"/>
    <w:multiLevelType w:val="hybridMultilevel"/>
    <w:tmpl w:val="C7CEC9F4"/>
    <w:lvl w:ilvl="0" w:tplc="FDEE4844">
      <w:start w:val="1"/>
      <w:numFmt w:val="bullet"/>
      <w:lvlText w:val="-"/>
      <w:lvlJc w:val="left"/>
      <w:pPr>
        <w:ind w:left="360" w:hanging="360"/>
      </w:pPr>
      <w:rPr>
        <w:rFonts w:ascii="Times New Roman" w:eastAsiaTheme="minorHAnsi"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64E902D2"/>
    <w:multiLevelType w:val="hybridMultilevel"/>
    <w:tmpl w:val="C0061EF4"/>
    <w:lvl w:ilvl="0" w:tplc="C680B46C">
      <w:start w:val="15"/>
      <w:numFmt w:val="bullet"/>
      <w:lvlText w:val="-"/>
      <w:lvlJc w:val="left"/>
      <w:pPr>
        <w:ind w:left="360" w:hanging="360"/>
      </w:pPr>
      <w:rPr>
        <w:rFonts w:ascii="Times New Roman" w:eastAsia="Calibri" w:hAnsi="Times New Roman" w:cs="Times New Roman" w:hint="default"/>
      </w:rPr>
    </w:lvl>
    <w:lvl w:ilvl="1" w:tplc="18090003">
      <w:start w:val="1"/>
      <w:numFmt w:val="bullet"/>
      <w:lvlText w:val="o"/>
      <w:lvlJc w:val="left"/>
      <w:pPr>
        <w:ind w:left="1080" w:hanging="360"/>
      </w:pPr>
      <w:rPr>
        <w:rFonts w:ascii="Courier New" w:hAnsi="Courier New" w:cs="Courier New" w:hint="default"/>
      </w:rPr>
    </w:lvl>
    <w:lvl w:ilvl="2" w:tplc="18090005">
      <w:start w:val="1"/>
      <w:numFmt w:val="bullet"/>
      <w:lvlText w:val=""/>
      <w:lvlJc w:val="left"/>
      <w:pPr>
        <w:ind w:left="1800" w:hanging="360"/>
      </w:pPr>
      <w:rPr>
        <w:rFonts w:ascii="Wingdings" w:hAnsi="Wingdings" w:hint="default"/>
      </w:rPr>
    </w:lvl>
    <w:lvl w:ilvl="3" w:tplc="18090001">
      <w:start w:val="1"/>
      <w:numFmt w:val="bullet"/>
      <w:lvlText w:val=""/>
      <w:lvlJc w:val="left"/>
      <w:pPr>
        <w:ind w:left="2520" w:hanging="360"/>
      </w:pPr>
      <w:rPr>
        <w:rFonts w:ascii="Symbol" w:hAnsi="Symbol" w:hint="default"/>
      </w:rPr>
    </w:lvl>
    <w:lvl w:ilvl="4" w:tplc="18090003">
      <w:start w:val="1"/>
      <w:numFmt w:val="bullet"/>
      <w:lvlText w:val="o"/>
      <w:lvlJc w:val="left"/>
      <w:pPr>
        <w:ind w:left="3240" w:hanging="360"/>
      </w:pPr>
      <w:rPr>
        <w:rFonts w:ascii="Courier New" w:hAnsi="Courier New" w:cs="Courier New" w:hint="default"/>
      </w:rPr>
    </w:lvl>
    <w:lvl w:ilvl="5" w:tplc="18090005">
      <w:start w:val="1"/>
      <w:numFmt w:val="bullet"/>
      <w:lvlText w:val=""/>
      <w:lvlJc w:val="left"/>
      <w:pPr>
        <w:ind w:left="3960" w:hanging="360"/>
      </w:pPr>
      <w:rPr>
        <w:rFonts w:ascii="Wingdings" w:hAnsi="Wingdings" w:hint="default"/>
      </w:rPr>
    </w:lvl>
    <w:lvl w:ilvl="6" w:tplc="18090001">
      <w:start w:val="1"/>
      <w:numFmt w:val="bullet"/>
      <w:lvlText w:val=""/>
      <w:lvlJc w:val="left"/>
      <w:pPr>
        <w:ind w:left="4680" w:hanging="360"/>
      </w:pPr>
      <w:rPr>
        <w:rFonts w:ascii="Symbol" w:hAnsi="Symbol" w:hint="default"/>
      </w:rPr>
    </w:lvl>
    <w:lvl w:ilvl="7" w:tplc="18090003">
      <w:start w:val="1"/>
      <w:numFmt w:val="bullet"/>
      <w:lvlText w:val="o"/>
      <w:lvlJc w:val="left"/>
      <w:pPr>
        <w:ind w:left="5400" w:hanging="360"/>
      </w:pPr>
      <w:rPr>
        <w:rFonts w:ascii="Courier New" w:hAnsi="Courier New" w:cs="Courier New" w:hint="default"/>
      </w:rPr>
    </w:lvl>
    <w:lvl w:ilvl="8" w:tplc="18090005">
      <w:start w:val="1"/>
      <w:numFmt w:val="bullet"/>
      <w:lvlText w:val=""/>
      <w:lvlJc w:val="left"/>
      <w:pPr>
        <w:ind w:left="6120" w:hanging="360"/>
      </w:pPr>
      <w:rPr>
        <w:rFonts w:ascii="Wingdings" w:hAnsi="Wingdings" w:hint="default"/>
      </w:rPr>
    </w:lvl>
  </w:abstractNum>
  <w:abstractNum w:abstractNumId="16" w15:restartNumberingAfterBreak="0">
    <w:nsid w:val="707C0670"/>
    <w:multiLevelType w:val="hybridMultilevel"/>
    <w:tmpl w:val="5B6A7AE0"/>
    <w:lvl w:ilvl="0" w:tplc="FDEE4844">
      <w:start w:val="1"/>
      <w:numFmt w:val="bullet"/>
      <w:lvlText w:val="-"/>
      <w:lvlJc w:val="left"/>
      <w:pPr>
        <w:ind w:left="720" w:hanging="360"/>
      </w:pPr>
      <w:rPr>
        <w:rFonts w:ascii="Times New Roman" w:eastAsia="Calibri" w:hAnsi="Times New Roman" w:cs="Times New Roman"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start w:val="1"/>
      <w:numFmt w:val="bullet"/>
      <w:lvlText w:val=""/>
      <w:lvlJc w:val="left"/>
      <w:pPr>
        <w:ind w:left="2880" w:hanging="360"/>
      </w:pPr>
      <w:rPr>
        <w:rFonts w:ascii="Symbol" w:hAnsi="Symbol" w:hint="default"/>
      </w:rPr>
    </w:lvl>
    <w:lvl w:ilvl="4" w:tplc="18090003">
      <w:start w:val="1"/>
      <w:numFmt w:val="bullet"/>
      <w:lvlText w:val="o"/>
      <w:lvlJc w:val="left"/>
      <w:pPr>
        <w:ind w:left="3600" w:hanging="360"/>
      </w:pPr>
      <w:rPr>
        <w:rFonts w:ascii="Courier New" w:hAnsi="Courier New" w:cs="Courier New" w:hint="default"/>
      </w:rPr>
    </w:lvl>
    <w:lvl w:ilvl="5" w:tplc="18090005">
      <w:start w:val="1"/>
      <w:numFmt w:val="bullet"/>
      <w:lvlText w:val=""/>
      <w:lvlJc w:val="left"/>
      <w:pPr>
        <w:ind w:left="4320" w:hanging="360"/>
      </w:pPr>
      <w:rPr>
        <w:rFonts w:ascii="Wingdings" w:hAnsi="Wingdings" w:hint="default"/>
      </w:rPr>
    </w:lvl>
    <w:lvl w:ilvl="6" w:tplc="18090001">
      <w:start w:val="1"/>
      <w:numFmt w:val="bullet"/>
      <w:lvlText w:val=""/>
      <w:lvlJc w:val="left"/>
      <w:pPr>
        <w:ind w:left="5040" w:hanging="360"/>
      </w:pPr>
      <w:rPr>
        <w:rFonts w:ascii="Symbol" w:hAnsi="Symbol" w:hint="default"/>
      </w:rPr>
    </w:lvl>
    <w:lvl w:ilvl="7" w:tplc="18090003">
      <w:start w:val="1"/>
      <w:numFmt w:val="bullet"/>
      <w:lvlText w:val="o"/>
      <w:lvlJc w:val="left"/>
      <w:pPr>
        <w:ind w:left="5760" w:hanging="360"/>
      </w:pPr>
      <w:rPr>
        <w:rFonts w:ascii="Courier New" w:hAnsi="Courier New" w:cs="Courier New" w:hint="default"/>
      </w:rPr>
    </w:lvl>
    <w:lvl w:ilvl="8" w:tplc="18090005">
      <w:start w:val="1"/>
      <w:numFmt w:val="bullet"/>
      <w:lvlText w:val=""/>
      <w:lvlJc w:val="left"/>
      <w:pPr>
        <w:ind w:left="6480" w:hanging="360"/>
      </w:pPr>
      <w:rPr>
        <w:rFonts w:ascii="Wingdings" w:hAnsi="Wingdings" w:hint="default"/>
      </w:rPr>
    </w:lvl>
  </w:abstractNum>
  <w:abstractNum w:abstractNumId="17" w15:restartNumberingAfterBreak="0">
    <w:nsid w:val="73D50132"/>
    <w:multiLevelType w:val="hybridMultilevel"/>
    <w:tmpl w:val="2DC07B7E"/>
    <w:lvl w:ilvl="0" w:tplc="FDEE4844">
      <w:start w:val="1"/>
      <w:numFmt w:val="bullet"/>
      <w:lvlText w:val="-"/>
      <w:lvlJc w:val="left"/>
      <w:pPr>
        <w:ind w:left="720" w:hanging="360"/>
      </w:pPr>
      <w:rPr>
        <w:rFonts w:ascii="Times New Roman" w:eastAsiaTheme="minorHAnsi" w:hAnsi="Times New Roman" w:cs="Times New Roman"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8" w15:restartNumberingAfterBreak="0">
    <w:nsid w:val="76962244"/>
    <w:multiLevelType w:val="hybridMultilevel"/>
    <w:tmpl w:val="A41C6E94"/>
    <w:styleLink w:val="ImportedStyle1"/>
    <w:lvl w:ilvl="0" w:tplc="826AB56E">
      <w:start w:val="1"/>
      <w:numFmt w:val="upperRoman"/>
      <w:lvlText w:val="%1."/>
      <w:lvlJc w:val="left"/>
      <w:pPr>
        <w:ind w:left="780" w:hanging="480"/>
      </w:pPr>
      <w:rPr>
        <w:rFonts w:hAnsi="Arial Unicode MS"/>
        <w:b/>
        <w:bCs/>
        <w:caps w:val="0"/>
        <w:smallCaps w:val="0"/>
        <w:strike w:val="0"/>
        <w:dstrike w:val="0"/>
        <w:outline w:val="0"/>
        <w:emboss w:val="0"/>
        <w:imprint w:val="0"/>
        <w:spacing w:val="0"/>
        <w:w w:val="100"/>
        <w:kern w:val="0"/>
        <w:position w:val="0"/>
        <w:highlight w:val="none"/>
        <w:vertAlign w:val="baseline"/>
      </w:rPr>
    </w:lvl>
    <w:lvl w:ilvl="1" w:tplc="D0F62A8C">
      <w:start w:val="1"/>
      <w:numFmt w:val="lowerLetter"/>
      <w:lvlText w:val="%2."/>
      <w:lvlJc w:val="left"/>
      <w:pPr>
        <w:ind w:left="15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8CC6F396">
      <w:start w:val="1"/>
      <w:numFmt w:val="lowerRoman"/>
      <w:lvlText w:val="%3."/>
      <w:lvlJc w:val="left"/>
      <w:pPr>
        <w:ind w:left="222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3" w:tplc="41F852DE">
      <w:start w:val="1"/>
      <w:numFmt w:val="decimal"/>
      <w:lvlText w:val="%4."/>
      <w:lvlJc w:val="left"/>
      <w:pPr>
        <w:ind w:left="29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A19C4E04">
      <w:start w:val="1"/>
      <w:numFmt w:val="lowerLetter"/>
      <w:lvlText w:val="%5."/>
      <w:lvlJc w:val="left"/>
      <w:pPr>
        <w:ind w:left="36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853CF178">
      <w:start w:val="1"/>
      <w:numFmt w:val="lowerRoman"/>
      <w:lvlText w:val="%6."/>
      <w:lvlJc w:val="left"/>
      <w:pPr>
        <w:ind w:left="4380"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6" w:tplc="47501B84">
      <w:start w:val="1"/>
      <w:numFmt w:val="decimal"/>
      <w:lvlText w:val="%7."/>
      <w:lvlJc w:val="left"/>
      <w:pPr>
        <w:ind w:left="51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214A7C1E">
      <w:start w:val="1"/>
      <w:numFmt w:val="lowerLetter"/>
      <w:lvlText w:val="%8."/>
      <w:lvlJc w:val="left"/>
      <w:pPr>
        <w:ind w:left="58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083C45F8">
      <w:start w:val="1"/>
      <w:numFmt w:val="lowerRoman"/>
      <w:lvlText w:val="%9."/>
      <w:lvlJc w:val="left"/>
      <w:pPr>
        <w:ind w:left="6540" w:hanging="30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0">
    <w:nsid w:val="7A8105DE"/>
    <w:multiLevelType w:val="hybridMultilevel"/>
    <w:tmpl w:val="85989ECE"/>
    <w:lvl w:ilvl="0" w:tplc="FDEE4844">
      <w:start w:val="1"/>
      <w:numFmt w:val="bullet"/>
      <w:lvlText w:val="-"/>
      <w:lvlJc w:val="left"/>
      <w:pPr>
        <w:ind w:left="720" w:hanging="360"/>
      </w:pPr>
      <w:rPr>
        <w:rFonts w:ascii="Times New Roman" w:eastAsiaTheme="minorHAnsi" w:hAnsi="Times New Roman" w:cs="Times New Roman" w:hint="default"/>
      </w:rPr>
    </w:lvl>
    <w:lvl w:ilvl="1" w:tplc="18090003">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abstractNumId w:val="8"/>
  </w:num>
  <w:num w:numId="2">
    <w:abstractNumId w:val="9"/>
  </w:num>
  <w:num w:numId="3">
    <w:abstractNumId w:val="10"/>
  </w:num>
  <w:num w:numId="4">
    <w:abstractNumId w:val="15"/>
  </w:num>
  <w:num w:numId="5">
    <w:abstractNumId w:val="0"/>
  </w:num>
  <w:num w:numId="6">
    <w:abstractNumId w:val="6"/>
  </w:num>
  <w:num w:numId="7">
    <w:abstractNumId w:val="14"/>
  </w:num>
  <w:num w:numId="8">
    <w:abstractNumId w:val="12"/>
  </w:num>
  <w:num w:numId="9">
    <w:abstractNumId w:val="2"/>
  </w:num>
  <w:num w:numId="10">
    <w:abstractNumId w:val="17"/>
  </w:num>
  <w:num w:numId="11">
    <w:abstractNumId w:val="16"/>
  </w:num>
  <w:num w:numId="12">
    <w:abstractNumId w:val="3"/>
  </w:num>
  <w:num w:numId="13">
    <w:abstractNumId w:val="4"/>
  </w:num>
  <w:num w:numId="14">
    <w:abstractNumId w:val="1"/>
  </w:num>
  <w:num w:numId="15">
    <w:abstractNumId w:val="13"/>
  </w:num>
  <w:num w:numId="16">
    <w:abstractNumId w:val="11"/>
  </w:num>
  <w:num w:numId="17">
    <w:abstractNumId w:val="19"/>
  </w:num>
  <w:num w:numId="18">
    <w:abstractNumId w:val="5"/>
  </w:num>
  <w:num w:numId="19">
    <w:abstractNumId w:val="18"/>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hideSpellingErrors/>
  <w:hideGrammaticalErrors/>
  <w:activeWritingStyle w:appName="MSWord" w:lang="fr-BE" w:vendorID="64" w:dllVersion="131078" w:nlCheck="1" w:checkStyle="0"/>
  <w:activeWritingStyle w:appName="MSWord" w:lang="en-GB" w:vendorID="64" w:dllVersion="131078" w:nlCheck="1" w:checkStyle="1"/>
  <w:activeWritingStyle w:appName="MSWord" w:lang="en-IE" w:vendorID="64" w:dllVersion="131078" w:nlCheck="1" w:checkStyle="1"/>
  <w:activeWritingStyle w:appName="MSWord" w:lang="en-US" w:vendorID="64" w:dllVersion="131078" w:nlCheck="1" w:checkStyle="1"/>
  <w:defaultTabStop w:val="708"/>
  <w:hyphenationZone w:val="425"/>
  <w:characterSpacingControl w:val="doNotCompress"/>
  <w:hdrShapeDefaults>
    <o:shapedefaults v:ext="edit" spidmax="36865"/>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ocStatus" w:val="Green"/>
    <w:docVar w:name="LW_CORRIGENDUM" w:val="&lt;UNUSED&gt;"/>
    <w:docVar w:name="LW_COVERPAGE_EXISTS" w:val="True"/>
    <w:docVar w:name="LW_COVERPAGE_GUID" w:val="28584569-1B83-4547-8123-F9898AEF06D9"/>
    <w:docVar w:name="LW_COVERPAGE_TYPE" w:val="1"/>
    <w:docVar w:name="LW_CROSSREFERENCE" w:val="&lt;UNUSED&gt;"/>
    <w:docVar w:name="LW_DocType" w:val="NORMAL"/>
    <w:docVar w:name="LW_EMISSION" w:val="29.4.2020"/>
    <w:docVar w:name="LW_EMISSION_ISODATE" w:val="2020-04-29"/>
    <w:docVar w:name="LW_EMISSION_LOCATION" w:val="BRX"/>
    <w:docVar w:name="LW_EMISSION_PREFIX" w:val="Bruxelles, "/>
    <w:docVar w:name="LW_EMISSION_SUFFIX" w:val=" "/>
    <w:docVar w:name="LW_ID_DOCTYPE_NONLW" w:val="CP-014"/>
    <w:docVar w:name="LW_LANGUE" w:val="RO"/>
    <w:docVar w:name="LW_LEVEL_OF_SENSITIVITY" w:val="Standard treatment"/>
    <w:docVar w:name="LW_NOM.INST" w:val="COMISIA EUROPEAN\u258?"/>
    <w:docVar w:name="LW_NOM.INST_JOINTDOC" w:val="&lt;EMPTY&gt;"/>
    <w:docVar w:name="LW_PART_NBR" w:val="1"/>
    <w:docVar w:name="LW_PART_NBR_TOTAL" w:val="1"/>
    <w:docVar w:name="LW_REF.INST.NEW" w:val="COM"/>
    <w:docVar w:name="LW_REF.INST.NEW_ADOPTED" w:val="final"/>
    <w:docVar w:name="LW_REF.INST.NEW_TEXT" w:val="(2020) 315"/>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UPERTITRE" w:val="&lt;UNUSED&gt;"/>
    <w:docVar w:name="LW_TITRE.OBJ.CP" w:val="&lt;FMT:Bold&gt;Sprijinirea Balcanilor de Vest pentru combaterea COVID-19 \u537?i redresarea &lt;/FMT&gt;_x000b_&lt;FMT:Bold&gt;post-pandemic\u259?&lt;/FMT&gt;_x000d__x000d__x000d__x000d__x000d__x000d__x000d__x000d__x000d__x000b__x000d__x000d__x000d__x000d__x000d__x000d__x000d__x000d__x000d__x000b_&lt;FMT:Bold&gt;Contribu\u539?ia Comisiei în perspectiva reuniunii liderilor UE \u537?i ai Balcanilor de Vest din        6 mai 2020&lt;/FMT&gt;"/>
    <w:docVar w:name="LW_TYPE.DOC.CP" w:val="COMUNICARE A COMISIEI C\u258?TRE PARLAMENTUL EUROPEAN, CONSILIU, COMITETUL ECONOMIC \u536?I SOCIAL EUROPEAN \u536?I COMITETUL REGIUNILOR"/>
    <w:docVar w:name="LW_TYPE.DOC.CP.USERTEXT" w:val="&lt;EMPTY&gt;"/>
  </w:docVars>
  <w:rsids>
    <w:rsidRoot w:val="005E046B"/>
    <w:rsid w:val="005E046B"/>
    <w:rsid w:val="00AD25B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5:docId w15:val="{C2C21CF5-F353-4DF7-86E3-BDF5AF6223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arker">
    <w:name w:val="Marker"/>
    <w:basedOn w:val="DefaultParagraphFont"/>
    <w:rPr>
      <w:color w:val="0000FF"/>
      <w:shd w:val="clear" w:color="auto" w:fill="auto"/>
    </w:rPr>
  </w:style>
  <w:style w:type="paragraph" w:customStyle="1" w:styleId="Pagedecouverture">
    <w:name w:val="Page de couverture"/>
    <w:basedOn w:val="Normal"/>
    <w:next w:val="Normal"/>
    <w:pPr>
      <w:spacing w:after="0" w:line="240" w:lineRule="auto"/>
      <w:jc w:val="both"/>
    </w:pPr>
    <w:rPr>
      <w:rFonts w:ascii="Times New Roman" w:hAnsi="Times New Roman" w:cs="Times New Roman"/>
      <w:sz w:val="24"/>
    </w:rPr>
  </w:style>
  <w:style w:type="paragraph" w:styleId="Header">
    <w:name w:val="header"/>
    <w:basedOn w:val="Normal"/>
    <w:link w:val="HeaderChar"/>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customStyle="1" w:styleId="FooterCoverPage">
    <w:name w:val="Footer Cover Page"/>
    <w:basedOn w:val="Normal"/>
    <w:link w:val="FooterCoverPageChar"/>
    <w:pPr>
      <w:tabs>
        <w:tab w:val="center" w:pos="4535"/>
        <w:tab w:val="right" w:pos="9071"/>
        <w:tab w:val="right" w:pos="9921"/>
      </w:tabs>
      <w:spacing w:before="360" w:after="0" w:line="240" w:lineRule="auto"/>
      <w:ind w:left="-850" w:right="-850"/>
    </w:pPr>
    <w:rPr>
      <w:rFonts w:ascii="Times New Roman" w:hAnsi="Times New Roman" w:cs="Times New Roman"/>
      <w:sz w:val="24"/>
    </w:rPr>
  </w:style>
  <w:style w:type="character" w:customStyle="1" w:styleId="FooterCoverPageChar">
    <w:name w:val="Footer Cover Page Char"/>
    <w:basedOn w:val="DefaultParagraphFont"/>
    <w:link w:val="FooterCoverPage"/>
    <w:rPr>
      <w:rFonts w:ascii="Times New Roman" w:hAnsi="Times New Roman" w:cs="Times New Roman"/>
      <w:sz w:val="24"/>
    </w:rPr>
  </w:style>
  <w:style w:type="paragraph" w:customStyle="1" w:styleId="FooterSensitivity">
    <w:name w:val="Footer Sensitivity"/>
    <w:basedOn w:val="Normal"/>
    <w:link w:val="FooterSensitivityChar"/>
    <w:pPr>
      <w:pBdr>
        <w:top w:val="single" w:sz="4" w:space="1" w:color="auto"/>
        <w:left w:val="single" w:sz="4" w:space="4" w:color="auto"/>
        <w:bottom w:val="single" w:sz="4" w:space="1" w:color="auto"/>
        <w:right w:val="single" w:sz="4" w:space="4" w:color="auto"/>
      </w:pBdr>
      <w:spacing w:before="360" w:after="0" w:line="240" w:lineRule="auto"/>
      <w:ind w:left="113" w:right="113"/>
      <w:jc w:val="center"/>
    </w:pPr>
    <w:rPr>
      <w:rFonts w:ascii="Times New Roman" w:hAnsi="Times New Roman" w:cs="Times New Roman"/>
      <w:b/>
      <w:sz w:val="32"/>
    </w:rPr>
  </w:style>
  <w:style w:type="character" w:customStyle="1" w:styleId="FooterSensitivityChar">
    <w:name w:val="Footer Sensitivity Char"/>
    <w:basedOn w:val="DefaultParagraphFont"/>
    <w:link w:val="FooterSensitivity"/>
    <w:rPr>
      <w:rFonts w:ascii="Times New Roman" w:hAnsi="Times New Roman" w:cs="Times New Roman"/>
      <w:b/>
      <w:sz w:val="32"/>
    </w:rPr>
  </w:style>
  <w:style w:type="paragraph" w:customStyle="1" w:styleId="HeaderCoverPage">
    <w:name w:val="Header Cover Page"/>
    <w:basedOn w:val="Normal"/>
    <w:link w:val="HeaderCoverPageChar"/>
    <w:pPr>
      <w:tabs>
        <w:tab w:val="center" w:pos="4535"/>
        <w:tab w:val="right" w:pos="9071"/>
      </w:tabs>
      <w:spacing w:after="120" w:line="240" w:lineRule="auto"/>
      <w:jc w:val="both"/>
    </w:pPr>
    <w:rPr>
      <w:rFonts w:ascii="Times New Roman" w:hAnsi="Times New Roman" w:cs="Times New Roman"/>
      <w:sz w:val="24"/>
    </w:rPr>
  </w:style>
  <w:style w:type="character" w:customStyle="1" w:styleId="HeaderCoverPageChar">
    <w:name w:val="Header Cover Page Char"/>
    <w:basedOn w:val="DefaultParagraphFont"/>
    <w:link w:val="HeaderCoverPage"/>
    <w:rPr>
      <w:rFonts w:ascii="Times New Roman" w:hAnsi="Times New Roman" w:cs="Times New Roman"/>
      <w:sz w:val="24"/>
    </w:rPr>
  </w:style>
  <w:style w:type="paragraph" w:customStyle="1" w:styleId="HeaderSensitivity">
    <w:name w:val="Header Sensitivity"/>
    <w:basedOn w:val="Normal"/>
    <w:link w:val="HeaderSensitivityChar"/>
    <w:pPr>
      <w:pBdr>
        <w:top w:val="single" w:sz="4" w:space="1" w:color="auto"/>
        <w:left w:val="single" w:sz="4" w:space="4" w:color="auto"/>
        <w:bottom w:val="single" w:sz="4" w:space="1" w:color="auto"/>
        <w:right w:val="single" w:sz="4" w:space="4" w:color="auto"/>
      </w:pBdr>
      <w:spacing w:after="120" w:line="240" w:lineRule="auto"/>
      <w:ind w:left="113" w:right="113"/>
      <w:jc w:val="center"/>
    </w:pPr>
    <w:rPr>
      <w:rFonts w:ascii="Times New Roman" w:hAnsi="Times New Roman" w:cs="Times New Roman"/>
      <w:b/>
      <w:sz w:val="32"/>
    </w:rPr>
  </w:style>
  <w:style w:type="character" w:customStyle="1" w:styleId="HeaderSensitivityChar">
    <w:name w:val="Header Sensitivity Char"/>
    <w:basedOn w:val="DefaultParagraphFont"/>
    <w:link w:val="HeaderSensitivity"/>
    <w:rPr>
      <w:rFonts w:ascii="Times New Roman" w:hAnsi="Times New Roman" w:cs="Times New Roman"/>
      <w:b/>
      <w:sz w:val="32"/>
    </w:rPr>
  </w:style>
  <w:style w:type="paragraph" w:customStyle="1" w:styleId="HeaderSensitivityRight">
    <w:name w:val="Header Sensitivity Right"/>
    <w:basedOn w:val="Normal"/>
    <w:link w:val="HeaderSensitivityRightChar"/>
    <w:pPr>
      <w:spacing w:after="120" w:line="240" w:lineRule="auto"/>
      <w:jc w:val="right"/>
    </w:pPr>
    <w:rPr>
      <w:rFonts w:ascii="Times New Roman" w:hAnsi="Times New Roman" w:cs="Times New Roman"/>
      <w:sz w:val="28"/>
    </w:rPr>
  </w:style>
  <w:style w:type="character" w:customStyle="1" w:styleId="HeaderSensitivityRightChar">
    <w:name w:val="Header Sensitivity Right Char"/>
    <w:basedOn w:val="DefaultParagraphFont"/>
    <w:link w:val="HeaderSensitivityRight"/>
    <w:rPr>
      <w:rFonts w:ascii="Times New Roman" w:hAnsi="Times New Roman" w:cs="Times New Roman"/>
      <w:sz w:val="28"/>
    </w:rPr>
  </w:style>
  <w:style w:type="paragraph" w:styleId="ListParagraph">
    <w:name w:val="List Paragraph"/>
    <w:aliases w:val="Table/Figure Heading,Colorful List - Accent 11,Dot pt,F5 List Paragraph,List Paragraph1,No Spacing1,List Paragraph Char Char Char,Indicator Text,Numbered Para 1,Bullet 1,Bullet Points,MAIN CONTENT,List Paragraph11,List Paragraph12,L,Ha"/>
    <w:basedOn w:val="Normal"/>
    <w:link w:val="ListParagraphChar"/>
    <w:qFormat/>
    <w:pPr>
      <w:spacing w:after="0" w:line="240" w:lineRule="auto"/>
      <w:ind w:left="720"/>
    </w:pPr>
    <w:rPr>
      <w:rFonts w:ascii="Calibri" w:eastAsia="Calibri" w:hAnsi="Calibri" w:cs="Times New Roman"/>
      <w:lang w:eastAsia="fr-BE"/>
    </w:rPr>
  </w:style>
  <w:style w:type="paragraph" w:styleId="FootnoteText">
    <w:name w:val="footnote text"/>
    <w:basedOn w:val="Normal"/>
    <w:link w:val="FootnoteTextChar"/>
    <w:uiPriority w:val="99"/>
    <w:unhideWhenUsed/>
    <w:qFormat/>
    <w:pPr>
      <w:spacing w:after="0" w:line="240" w:lineRule="auto"/>
    </w:pPr>
    <w:rPr>
      <w:rFonts w:ascii="Calibri" w:eastAsia="Calibri" w:hAnsi="Calibri" w:cs="Times New Roman"/>
      <w:sz w:val="20"/>
      <w:szCs w:val="20"/>
      <w:lang w:eastAsia="fr-BE"/>
    </w:rPr>
  </w:style>
  <w:style w:type="character" w:customStyle="1" w:styleId="FootnoteTextChar">
    <w:name w:val="Footnote Text Char"/>
    <w:basedOn w:val="DefaultParagraphFont"/>
    <w:link w:val="FootnoteText"/>
    <w:uiPriority w:val="99"/>
    <w:rPr>
      <w:rFonts w:ascii="Calibri" w:eastAsia="Calibri" w:hAnsi="Calibri" w:cs="Times New Roman"/>
      <w:sz w:val="20"/>
      <w:szCs w:val="20"/>
      <w:lang w:val="ro-RO" w:eastAsia="fr-BE"/>
    </w:rPr>
  </w:style>
  <w:style w:type="character" w:styleId="FootnoteReference">
    <w:name w:val="footnote reference"/>
    <w:aliases w:val="Voetnoot verwijzing,number,Footnote reference number,Footnote symbol,note TESI,-E Fußnotenzeichen,SUPERS,stylish,Footnote Reference_EP-LCA,BVI fnr,Odwołanie przypisu,Footnote Reference2,Footnote Reference Number,E FNZ,Footnote#,n,Nota"/>
    <w:basedOn w:val="DefaultParagraphFont"/>
    <w:link w:val="FootnotesymbolCarZchn"/>
    <w:uiPriority w:val="99"/>
    <w:unhideWhenUsed/>
    <w:qFormat/>
    <w:rPr>
      <w:w w:val="100"/>
      <w:sz w:val="20"/>
      <w:szCs w:val="20"/>
      <w:shd w:val="clear" w:color="auto" w:fill="auto"/>
      <w:vertAlign w:val="superscript"/>
    </w:rPr>
  </w:style>
  <w:style w:type="character" w:styleId="CommentReference">
    <w:name w:val="annotation reference"/>
    <w:basedOn w:val="DefaultParagraphFont"/>
    <w:uiPriority w:val="99"/>
    <w:semiHidden/>
    <w:unhideWhenUsed/>
    <w:rPr>
      <w:w w:val="100"/>
      <w:sz w:val="16"/>
      <w:szCs w:val="16"/>
      <w:shd w:val="clear" w:color="auto" w:fill="auto"/>
    </w:rPr>
  </w:style>
  <w:style w:type="paragraph" w:styleId="CommentText">
    <w:name w:val="annotation text"/>
    <w:basedOn w:val="Normal"/>
    <w:link w:val="CommentTextChar"/>
    <w:uiPriority w:val="99"/>
    <w:semiHidden/>
    <w:unhideWhenUsed/>
    <w:pPr>
      <w:spacing w:after="0" w:line="240" w:lineRule="auto"/>
    </w:pPr>
    <w:rPr>
      <w:rFonts w:ascii="Calibri" w:eastAsia="Calibri" w:hAnsi="Calibri" w:cs="Times New Roman"/>
      <w:sz w:val="20"/>
      <w:szCs w:val="20"/>
      <w:lang w:eastAsia="fr-BE"/>
    </w:rPr>
  </w:style>
  <w:style w:type="character" w:customStyle="1" w:styleId="CommentTextChar">
    <w:name w:val="Comment Text Char"/>
    <w:basedOn w:val="DefaultParagraphFont"/>
    <w:link w:val="CommentText"/>
    <w:uiPriority w:val="99"/>
    <w:semiHidden/>
    <w:rPr>
      <w:rFonts w:ascii="Calibri" w:eastAsia="Calibri" w:hAnsi="Calibri" w:cs="Times New Roman"/>
      <w:sz w:val="20"/>
      <w:szCs w:val="20"/>
      <w:lang w:val="ro-RO" w:eastAsia="fr-BE"/>
    </w:rPr>
  </w:style>
  <w:style w:type="paragraph" w:styleId="NormalWeb">
    <w:name w:val="Normal (Web)"/>
    <w:basedOn w:val="Normal"/>
    <w:unhideWhenUsed/>
    <w:pPr>
      <w:spacing w:after="0" w:line="240" w:lineRule="auto"/>
    </w:pPr>
    <w:rPr>
      <w:rFonts w:ascii="Times New Roman" w:eastAsia="Times New Roman" w:hAnsi="Times New Roman" w:cs="Times New Roman"/>
      <w:sz w:val="24"/>
      <w:szCs w:val="24"/>
      <w:lang w:eastAsia="fr-BE"/>
    </w:rPr>
  </w:style>
  <w:style w:type="character" w:customStyle="1" w:styleId="ListParagraphChar">
    <w:name w:val="List Paragraph Char"/>
    <w:aliases w:val="Table/Figure Heading Char,Colorful List - Accent 11 Char,Dot pt Char,F5 List Paragraph Char,List Paragraph1 Char,No Spacing1 Char,List Paragraph Char Char Char Char,Indicator Text Char,Numbered Para 1 Char,Bullet 1 Char,L Char"/>
    <w:basedOn w:val="DefaultParagraphFont"/>
    <w:link w:val="ListParagraph"/>
    <w:uiPriority w:val="34"/>
    <w:qFormat/>
    <w:rPr>
      <w:rFonts w:ascii="Calibri" w:eastAsia="Calibri" w:hAnsi="Calibri" w:cs="Times New Roman"/>
      <w:lang w:val="ro-RO" w:eastAsia="fr-BE"/>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pPr>
      <w:spacing w:after="200"/>
    </w:pPr>
    <w:rPr>
      <w:rFonts w:asciiTheme="minorHAnsi" w:eastAsiaTheme="minorHAnsi" w:hAnsiTheme="minorHAnsi" w:cstheme="minorBidi"/>
      <w:b/>
      <w:bCs/>
      <w:lang w:eastAsia="en-US"/>
    </w:rPr>
  </w:style>
  <w:style w:type="character" w:customStyle="1" w:styleId="CommentSubjectChar">
    <w:name w:val="Comment Subject Char"/>
    <w:basedOn w:val="CommentTextChar"/>
    <w:link w:val="CommentSubject"/>
    <w:uiPriority w:val="99"/>
    <w:semiHidden/>
    <w:rPr>
      <w:rFonts w:ascii="Calibri" w:eastAsia="Calibri" w:hAnsi="Calibri" w:cs="Times New Roman"/>
      <w:b/>
      <w:bCs/>
      <w:sz w:val="20"/>
      <w:szCs w:val="20"/>
      <w:lang w:val="ro-RO" w:eastAsia="fr-BE"/>
    </w:rPr>
  </w:style>
  <w:style w:type="character" w:styleId="Hyperlink">
    <w:name w:val="Hyperlink"/>
    <w:basedOn w:val="DefaultParagraphFont"/>
    <w:uiPriority w:val="99"/>
    <w:unhideWhenUsed/>
    <w:rPr>
      <w:color w:val="0000FF" w:themeColor="hyperlink"/>
      <w:u w:val="single"/>
    </w:rPr>
  </w:style>
  <w:style w:type="paragraph" w:customStyle="1" w:styleId="FootnotesymbolCarZchn">
    <w:name w:val="Footnote symbol Car Zchn"/>
    <w:aliases w:val="Footnote Car Zchn,Times 10 Point Car Zchn,Exposant 3 Point Car Zchn,Footnote Reference Superscript Car Zchn,Char Char Char Char Char Car Zchn,BVI fnr Car Zchn,SUPERS Car Zchn"/>
    <w:basedOn w:val="Normal"/>
    <w:link w:val="FootnoteReference"/>
    <w:uiPriority w:val="99"/>
    <w:qFormat/>
    <w:pPr>
      <w:spacing w:after="160" w:line="240" w:lineRule="exact"/>
      <w:jc w:val="both"/>
    </w:pPr>
    <w:rPr>
      <w:sz w:val="20"/>
      <w:szCs w:val="20"/>
      <w:vertAlign w:val="superscript"/>
    </w:rPr>
  </w:style>
  <w:style w:type="paragraph" w:styleId="Revision">
    <w:name w:val="Revision"/>
    <w:hidden/>
    <w:uiPriority w:val="99"/>
    <w:semiHidden/>
    <w:pPr>
      <w:spacing w:after="0" w:line="240" w:lineRule="auto"/>
    </w:pPr>
  </w:style>
  <w:style w:type="character" w:styleId="Emphasis">
    <w:name w:val="Emphasis"/>
    <w:basedOn w:val="DefaultParagraphFont"/>
    <w:uiPriority w:val="20"/>
    <w:qFormat/>
    <w:rPr>
      <w:i/>
      <w:iCs/>
    </w:rPr>
  </w:style>
  <w:style w:type="paragraph" w:customStyle="1" w:styleId="Body">
    <w:name w:val="Body"/>
    <w:pPr>
      <w:pBdr>
        <w:top w:val="nil"/>
        <w:left w:val="nil"/>
        <w:bottom w:val="nil"/>
        <w:right w:val="nil"/>
        <w:between w:val="nil"/>
        <w:bar w:val="nil"/>
      </w:pBdr>
    </w:pPr>
    <w:rPr>
      <w:rFonts w:ascii="Calibri" w:eastAsia="Calibri" w:hAnsi="Calibri" w:cs="Calibri"/>
      <w:color w:val="000000"/>
      <w:u w:color="000000"/>
      <w:bdr w:val="nil"/>
      <w:lang w:eastAsia="en-GB"/>
      <w14:textOutline w14:w="0" w14:cap="flat" w14:cmpd="sng" w14:algn="ctr">
        <w14:noFill/>
        <w14:prstDash w14:val="solid"/>
        <w14:bevel/>
      </w14:textOutline>
    </w:rPr>
  </w:style>
  <w:style w:type="numbering" w:customStyle="1" w:styleId="ImportedStyle1">
    <w:name w:val="Imported Style 1"/>
    <w:pPr>
      <w:numPr>
        <w:numId w:val="19"/>
      </w:numPr>
    </w:pPr>
  </w:style>
  <w:style w:type="character" w:customStyle="1" w:styleId="Hyperlink0">
    <w:name w:val="Hyperlink.0"/>
    <w:basedOn w:val="DefaultParagraphFont"/>
    <w:rPr>
      <w:rFonts w:ascii="Times New Roman" w:eastAsia="Times New Roman" w:hAnsi="Times New Roman" w:cs="Times New Roman"/>
      <w:color w:val="0000FF"/>
      <w:u w:val="single" w:color="0000FF"/>
      <w:lang w:val="ro-RO"/>
      <w14:textOutline w14:w="0" w14:cap="rnd"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958462">
      <w:bodyDiv w:val="1"/>
      <w:marLeft w:val="0"/>
      <w:marRight w:val="0"/>
      <w:marTop w:val="0"/>
      <w:marBottom w:val="0"/>
      <w:divBdr>
        <w:top w:val="none" w:sz="0" w:space="0" w:color="auto"/>
        <w:left w:val="none" w:sz="0" w:space="0" w:color="auto"/>
        <w:bottom w:val="none" w:sz="0" w:space="0" w:color="auto"/>
        <w:right w:val="none" w:sz="0" w:space="0" w:color="auto"/>
      </w:divBdr>
    </w:div>
    <w:div w:id="193353803">
      <w:bodyDiv w:val="1"/>
      <w:marLeft w:val="0"/>
      <w:marRight w:val="0"/>
      <w:marTop w:val="0"/>
      <w:marBottom w:val="0"/>
      <w:divBdr>
        <w:top w:val="none" w:sz="0" w:space="0" w:color="auto"/>
        <w:left w:val="none" w:sz="0" w:space="0" w:color="auto"/>
        <w:bottom w:val="none" w:sz="0" w:space="0" w:color="auto"/>
        <w:right w:val="none" w:sz="0" w:space="0" w:color="auto"/>
      </w:divBdr>
    </w:div>
    <w:div w:id="452789347">
      <w:bodyDiv w:val="1"/>
      <w:marLeft w:val="0"/>
      <w:marRight w:val="0"/>
      <w:marTop w:val="0"/>
      <w:marBottom w:val="0"/>
      <w:divBdr>
        <w:top w:val="none" w:sz="0" w:space="0" w:color="auto"/>
        <w:left w:val="none" w:sz="0" w:space="0" w:color="auto"/>
        <w:bottom w:val="none" w:sz="0" w:space="0" w:color="auto"/>
        <w:right w:val="none" w:sz="0" w:space="0" w:color="auto"/>
      </w:divBdr>
    </w:div>
    <w:div w:id="676232197">
      <w:bodyDiv w:val="1"/>
      <w:marLeft w:val="0"/>
      <w:marRight w:val="0"/>
      <w:marTop w:val="0"/>
      <w:marBottom w:val="0"/>
      <w:divBdr>
        <w:top w:val="none" w:sz="0" w:space="0" w:color="auto"/>
        <w:left w:val="none" w:sz="0" w:space="0" w:color="auto"/>
        <w:bottom w:val="none" w:sz="0" w:space="0" w:color="auto"/>
        <w:right w:val="none" w:sz="0" w:space="0" w:color="auto"/>
      </w:divBdr>
    </w:div>
    <w:div w:id="700055688">
      <w:bodyDiv w:val="1"/>
      <w:marLeft w:val="0"/>
      <w:marRight w:val="0"/>
      <w:marTop w:val="0"/>
      <w:marBottom w:val="0"/>
      <w:divBdr>
        <w:top w:val="none" w:sz="0" w:space="0" w:color="auto"/>
        <w:left w:val="none" w:sz="0" w:space="0" w:color="auto"/>
        <w:bottom w:val="none" w:sz="0" w:space="0" w:color="auto"/>
        <w:right w:val="none" w:sz="0" w:space="0" w:color="auto"/>
      </w:divBdr>
    </w:div>
    <w:div w:id="736166459">
      <w:bodyDiv w:val="1"/>
      <w:marLeft w:val="0"/>
      <w:marRight w:val="0"/>
      <w:marTop w:val="0"/>
      <w:marBottom w:val="0"/>
      <w:divBdr>
        <w:top w:val="none" w:sz="0" w:space="0" w:color="auto"/>
        <w:left w:val="none" w:sz="0" w:space="0" w:color="auto"/>
        <w:bottom w:val="none" w:sz="0" w:space="0" w:color="auto"/>
        <w:right w:val="none" w:sz="0" w:space="0" w:color="auto"/>
      </w:divBdr>
    </w:div>
    <w:div w:id="756904911">
      <w:bodyDiv w:val="1"/>
      <w:marLeft w:val="0"/>
      <w:marRight w:val="0"/>
      <w:marTop w:val="0"/>
      <w:marBottom w:val="0"/>
      <w:divBdr>
        <w:top w:val="none" w:sz="0" w:space="0" w:color="auto"/>
        <w:left w:val="none" w:sz="0" w:space="0" w:color="auto"/>
        <w:bottom w:val="none" w:sz="0" w:space="0" w:color="auto"/>
        <w:right w:val="none" w:sz="0" w:space="0" w:color="auto"/>
      </w:divBdr>
    </w:div>
    <w:div w:id="911962017">
      <w:bodyDiv w:val="1"/>
      <w:marLeft w:val="0"/>
      <w:marRight w:val="0"/>
      <w:marTop w:val="0"/>
      <w:marBottom w:val="0"/>
      <w:divBdr>
        <w:top w:val="none" w:sz="0" w:space="0" w:color="auto"/>
        <w:left w:val="none" w:sz="0" w:space="0" w:color="auto"/>
        <w:bottom w:val="none" w:sz="0" w:space="0" w:color="auto"/>
        <w:right w:val="none" w:sz="0" w:space="0" w:color="auto"/>
      </w:divBdr>
    </w:div>
    <w:div w:id="938295663">
      <w:bodyDiv w:val="1"/>
      <w:marLeft w:val="0"/>
      <w:marRight w:val="0"/>
      <w:marTop w:val="0"/>
      <w:marBottom w:val="0"/>
      <w:divBdr>
        <w:top w:val="none" w:sz="0" w:space="0" w:color="auto"/>
        <w:left w:val="none" w:sz="0" w:space="0" w:color="auto"/>
        <w:bottom w:val="none" w:sz="0" w:space="0" w:color="auto"/>
        <w:right w:val="none" w:sz="0" w:space="0" w:color="auto"/>
      </w:divBdr>
    </w:div>
    <w:div w:id="1168449821">
      <w:bodyDiv w:val="1"/>
      <w:marLeft w:val="0"/>
      <w:marRight w:val="0"/>
      <w:marTop w:val="0"/>
      <w:marBottom w:val="0"/>
      <w:divBdr>
        <w:top w:val="none" w:sz="0" w:space="0" w:color="auto"/>
        <w:left w:val="none" w:sz="0" w:space="0" w:color="auto"/>
        <w:bottom w:val="none" w:sz="0" w:space="0" w:color="auto"/>
        <w:right w:val="none" w:sz="0" w:space="0" w:color="auto"/>
      </w:divBdr>
    </w:div>
    <w:div w:id="1331561304">
      <w:bodyDiv w:val="1"/>
      <w:marLeft w:val="0"/>
      <w:marRight w:val="0"/>
      <w:marTop w:val="0"/>
      <w:marBottom w:val="0"/>
      <w:divBdr>
        <w:top w:val="none" w:sz="0" w:space="0" w:color="auto"/>
        <w:left w:val="none" w:sz="0" w:space="0" w:color="auto"/>
        <w:bottom w:val="none" w:sz="0" w:space="0" w:color="auto"/>
        <w:right w:val="none" w:sz="0" w:space="0" w:color="auto"/>
      </w:divBdr>
    </w:div>
    <w:div w:id="1403748287">
      <w:bodyDiv w:val="1"/>
      <w:marLeft w:val="0"/>
      <w:marRight w:val="0"/>
      <w:marTop w:val="0"/>
      <w:marBottom w:val="0"/>
      <w:divBdr>
        <w:top w:val="none" w:sz="0" w:space="0" w:color="auto"/>
        <w:left w:val="none" w:sz="0" w:space="0" w:color="auto"/>
        <w:bottom w:val="none" w:sz="0" w:space="0" w:color="auto"/>
        <w:right w:val="none" w:sz="0" w:space="0" w:color="auto"/>
      </w:divBdr>
    </w:div>
    <w:div w:id="1974796326">
      <w:bodyDiv w:val="1"/>
      <w:marLeft w:val="0"/>
      <w:marRight w:val="0"/>
      <w:marTop w:val="0"/>
      <w:marBottom w:val="0"/>
      <w:divBdr>
        <w:top w:val="none" w:sz="0" w:space="0" w:color="auto"/>
        <w:left w:val="none" w:sz="0" w:space="0" w:color="auto"/>
        <w:bottom w:val="none" w:sz="0" w:space="0" w:color="auto"/>
        <w:right w:val="none" w:sz="0" w:space="0" w:color="auto"/>
      </w:divBdr>
    </w:div>
    <w:div w:id="2141343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eur-lex.europa.eu/legal-content/RO/TXT/PDF/?uri=CELEX:52020DC0057&amp;qid=1587964995037&amp;from=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1AE0BF-745E-4F0E-B884-43ED0E04F1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7</Pages>
  <Words>2373</Words>
  <Characters>17472</Characters>
  <Application>Microsoft Office Word</Application>
  <DocSecurity>0</DocSecurity>
  <Lines>249</Lines>
  <Paragraphs>40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22</cp:revision>
  <cp:lastPrinted>2020-04-28T19:27:00Z</cp:lastPrinted>
  <dcterms:created xsi:type="dcterms:W3CDTF">2020-04-28T19:14:00Z</dcterms:created>
  <dcterms:modified xsi:type="dcterms:W3CDTF">2020-05-04T12:18:00Z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evel of sensitivity">
    <vt:lpwstr>Standard treatment</vt:lpwstr>
  </property>
  <property fmtid="{D5CDD505-2E9C-101B-9397-08002B2CF9AE}" pid="3" name="Part">
    <vt:lpwstr>1</vt:lpwstr>
  </property>
  <property fmtid="{D5CDD505-2E9C-101B-9397-08002B2CF9AE}" pid="4" name="Total parts">
    <vt:lpwstr>1</vt:lpwstr>
  </property>
  <property fmtid="{D5CDD505-2E9C-101B-9397-08002B2CF9AE}" pid="5" name="DocStatus">
    <vt:lpwstr>Green</vt:lpwstr>
  </property>
  <property fmtid="{D5CDD505-2E9C-101B-9397-08002B2CF9AE}" pid="6" name="CPTemplateID">
    <vt:lpwstr>CP-014</vt:lpwstr>
  </property>
  <property fmtid="{D5CDD505-2E9C-101B-9397-08002B2CF9AE}" pid="7" name="Last edited using">
    <vt:lpwstr>LW 7.0.1, Build 20190916</vt:lpwstr>
  </property>
  <property fmtid="{D5CDD505-2E9C-101B-9397-08002B2CF9AE}" pid="8" name="Created using">
    <vt:lpwstr>LW 7.0.1, Build 20190916</vt:lpwstr>
  </property>
  <property name="OP_sanitized" fmtid="{D5CDD505-2E9C-101B-9397-08002B2CF9AE}" pid="9">
    <vt:lpwstr>True</vt:lpwstr>
  </property>
</Properties>
</file>