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2B" w:rsidRPr="00410E50" w:rsidRDefault="00410E50" w:rsidP="00410E50">
      <w:pPr>
        <w:pStyle w:val="Pagedecouverture"/>
        <w:rPr>
          <w:noProof/>
          <w:szCs w:val="24"/>
        </w:rPr>
      </w:pPr>
      <w:bookmarkStart w:id="0" w:name="LW_BM_COVERPAGE"/>
      <w:r w:rsidRPr="00410E50">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C8F6772-770C-475E-AC36-B3CAEF82D0E3" style="width:451pt;height:362pt">
            <v:imagedata r:id="rId8" o:title=""/>
          </v:shape>
        </w:pict>
      </w:r>
    </w:p>
    <w:bookmarkEnd w:id="0"/>
    <w:p w:rsidR="00E9742B" w:rsidRPr="00410E50" w:rsidRDefault="00E9742B" w:rsidP="00410E50">
      <w:pPr>
        <w:spacing w:after="120" w:line="240" w:lineRule="auto"/>
        <w:rPr>
          <w:rFonts w:ascii="Times New Roman" w:hAnsi="Times New Roman" w:cs="Times New Roman"/>
          <w:noProof/>
          <w:sz w:val="24"/>
          <w:szCs w:val="24"/>
          <w:lang w:val="en-GB"/>
        </w:rPr>
        <w:sectPr w:rsidR="00E9742B" w:rsidRPr="00410E50">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E9742B" w:rsidRPr="00410E50" w:rsidRDefault="00410E50" w:rsidP="00410E50">
      <w:pPr>
        <w:pStyle w:val="Body"/>
        <w:spacing w:after="120" w:line="240" w:lineRule="auto"/>
        <w:jc w:val="center"/>
        <w:rPr>
          <w:rFonts w:ascii="Times New Roman" w:eastAsia="Times New Roman" w:hAnsi="Times New Roman" w:cs="Times New Roman"/>
          <w:b/>
          <w:bCs/>
          <w:noProof/>
          <w:sz w:val="24"/>
          <w:szCs w:val="24"/>
        </w:rPr>
      </w:pPr>
      <w:r w:rsidRPr="00410E50">
        <w:rPr>
          <w:rFonts w:ascii="Times New Roman" w:hAnsi="Times New Roman" w:cs="Times New Roman"/>
          <w:b/>
          <w:bCs/>
          <w:noProof/>
          <w:sz w:val="24"/>
          <w:szCs w:val="24"/>
        </w:rPr>
        <w:lastRenderedPageBreak/>
        <w:t xml:space="preserve">Sporočilo Komisije o </w:t>
      </w:r>
    </w:p>
    <w:p w:rsidR="00E9742B" w:rsidRPr="00410E50" w:rsidRDefault="00410E50" w:rsidP="00410E50">
      <w:pPr>
        <w:pStyle w:val="Body"/>
        <w:spacing w:line="240" w:lineRule="auto"/>
        <w:jc w:val="center"/>
        <w:rPr>
          <w:rFonts w:ascii="Times New Roman" w:eastAsia="Times New Roman" w:hAnsi="Times New Roman" w:cs="Times New Roman"/>
          <w:b/>
          <w:bCs/>
          <w:noProof/>
          <w:sz w:val="24"/>
          <w:szCs w:val="24"/>
        </w:rPr>
      </w:pPr>
      <w:r w:rsidRPr="00410E50">
        <w:rPr>
          <w:rFonts w:ascii="Times New Roman" w:hAnsi="Times New Roman" w:cs="Times New Roman"/>
          <w:b/>
          <w:bCs/>
          <w:noProof/>
          <w:sz w:val="24"/>
          <w:szCs w:val="24"/>
        </w:rPr>
        <w:t xml:space="preserve">podpori Zahodnemu Balkanu pri soočanju s COVID-19 in okrevanju po pandemiji </w:t>
      </w:r>
    </w:p>
    <w:p w:rsidR="00E9742B" w:rsidRPr="00410E50" w:rsidRDefault="00E9742B" w:rsidP="00410E50">
      <w:pPr>
        <w:pStyle w:val="Body"/>
        <w:spacing w:after="120" w:line="240" w:lineRule="auto"/>
        <w:rPr>
          <w:rFonts w:ascii="Times New Roman" w:eastAsia="Times New Roman" w:hAnsi="Times New Roman" w:cs="Times New Roman"/>
          <w:noProof/>
          <w:sz w:val="24"/>
          <w:szCs w:val="24"/>
          <w:lang w:val="en-US"/>
        </w:rPr>
      </w:pPr>
    </w:p>
    <w:p w:rsidR="00E9742B" w:rsidRPr="00410E50" w:rsidRDefault="00410E50" w:rsidP="00410E50">
      <w:pPr>
        <w:pStyle w:val="ListParagraph"/>
        <w:numPr>
          <w:ilvl w:val="0"/>
          <w:numId w:val="20"/>
        </w:numPr>
        <w:pBdr>
          <w:top w:val="nil"/>
          <w:left w:val="nil"/>
          <w:bottom w:val="nil"/>
          <w:right w:val="nil"/>
          <w:between w:val="nil"/>
          <w:bar w:val="nil"/>
        </w:pBdr>
        <w:spacing w:after="120"/>
        <w:jc w:val="both"/>
        <w:rPr>
          <w:rFonts w:ascii="Times New Roman" w:hAnsi="Times New Roman"/>
          <w:b/>
          <w:bCs/>
          <w:noProof/>
          <w:sz w:val="24"/>
          <w:szCs w:val="24"/>
        </w:rPr>
      </w:pPr>
      <w:r w:rsidRPr="00410E50">
        <w:rPr>
          <w:rFonts w:ascii="Times New Roman" w:hAnsi="Times New Roman"/>
          <w:b/>
          <w:bCs/>
          <w:noProof/>
          <w:sz w:val="24"/>
          <w:szCs w:val="24"/>
        </w:rPr>
        <w:t xml:space="preserve">Uvod </w:t>
      </w: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lang w:val="en-US"/>
        </w:rPr>
      </w:pP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b/>
          <w:bCs/>
          <w:noProof/>
          <w:sz w:val="24"/>
          <w:szCs w:val="24"/>
        </w:rPr>
        <w:t>Zahodni Balkan je sestavni del Evrope</w:t>
      </w:r>
      <w:r w:rsidRPr="00410E50">
        <w:rPr>
          <w:rFonts w:ascii="Times New Roman" w:hAnsi="Times New Roman" w:cs="Times New Roman"/>
          <w:noProof/>
          <w:sz w:val="24"/>
          <w:szCs w:val="24"/>
        </w:rPr>
        <w:t xml:space="preserve"> in geostrateška prednostna naloga Evropske unije. Evropska perspektiva celotne regije je bila znova potrjena marca 2020, ko so države članice potrdile predlog Komisije o </w:t>
      </w:r>
      <w:r w:rsidRPr="00410E50">
        <w:rPr>
          <w:rFonts w:ascii="Times New Roman" w:hAnsi="Times New Roman" w:cs="Times New Roman"/>
          <w:b/>
          <w:bCs/>
          <w:noProof/>
          <w:sz w:val="24"/>
          <w:szCs w:val="24"/>
        </w:rPr>
        <w:t>okrepljeni metodologiji</w:t>
      </w:r>
      <w:r w:rsidRPr="00410E50">
        <w:rPr>
          <w:rFonts w:ascii="Times New Roman" w:eastAsia="Times New Roman" w:hAnsi="Times New Roman" w:cs="Times New Roman"/>
          <w:b/>
          <w:bCs/>
          <w:noProof/>
          <w:sz w:val="24"/>
          <w:szCs w:val="24"/>
          <w:vertAlign w:val="superscript"/>
          <w:lang w:val="en-US"/>
        </w:rPr>
        <w:footnoteReference w:id="2"/>
      </w:r>
      <w:r w:rsidRPr="00410E50">
        <w:rPr>
          <w:rFonts w:ascii="Times New Roman" w:hAnsi="Times New Roman" w:cs="Times New Roman"/>
          <w:noProof/>
          <w:sz w:val="24"/>
          <w:szCs w:val="24"/>
        </w:rPr>
        <w:t xml:space="preserve"> za pristopni proces ter sprejele odločitev o začetku pristopnih pogajanj z </w:t>
      </w:r>
      <w:r w:rsidRPr="00410E50">
        <w:rPr>
          <w:rFonts w:ascii="Times New Roman" w:hAnsi="Times New Roman" w:cs="Times New Roman"/>
          <w:b/>
          <w:bCs/>
          <w:noProof/>
          <w:sz w:val="24"/>
          <w:szCs w:val="24"/>
        </w:rPr>
        <w:t>Republiko</w:t>
      </w:r>
      <w:r w:rsidRPr="00410E50">
        <w:rPr>
          <w:rFonts w:ascii="Times New Roman" w:hAnsi="Times New Roman" w:cs="Times New Roman"/>
          <w:noProof/>
          <w:sz w:val="24"/>
          <w:szCs w:val="24"/>
        </w:rPr>
        <w:t xml:space="preserve"> </w:t>
      </w:r>
      <w:r w:rsidRPr="00410E50">
        <w:rPr>
          <w:rFonts w:ascii="Times New Roman" w:hAnsi="Times New Roman" w:cs="Times New Roman"/>
          <w:b/>
          <w:bCs/>
          <w:noProof/>
          <w:sz w:val="24"/>
          <w:szCs w:val="24"/>
        </w:rPr>
        <w:t>Albanijo</w:t>
      </w:r>
      <w:r w:rsidRPr="00410E50">
        <w:rPr>
          <w:rFonts w:ascii="Times New Roman" w:hAnsi="Times New Roman" w:cs="Times New Roman"/>
          <w:noProof/>
          <w:sz w:val="24"/>
          <w:szCs w:val="24"/>
        </w:rPr>
        <w:t xml:space="preserve"> in </w:t>
      </w:r>
      <w:r w:rsidRPr="00410E50">
        <w:rPr>
          <w:rFonts w:ascii="Times New Roman" w:hAnsi="Times New Roman" w:cs="Times New Roman"/>
          <w:b/>
          <w:bCs/>
          <w:noProof/>
          <w:sz w:val="24"/>
          <w:szCs w:val="24"/>
        </w:rPr>
        <w:t>Republiko Severno Makedonijo</w:t>
      </w:r>
      <w:r w:rsidRPr="00410E50">
        <w:rPr>
          <w:rFonts w:ascii="Times New Roman" w:hAnsi="Times New Roman" w:cs="Times New Roman"/>
          <w:noProof/>
          <w:sz w:val="24"/>
          <w:szCs w:val="24"/>
        </w:rPr>
        <w:t>. Za Evropsko unijo je ključnega pomena, da še naprej spodbuja stabilnost in blaginjo te regije ter gradi na naših skupnih strateš</w:t>
      </w:r>
      <w:r w:rsidRPr="00410E50">
        <w:rPr>
          <w:rFonts w:ascii="Times New Roman" w:hAnsi="Times New Roman" w:cs="Times New Roman"/>
          <w:noProof/>
          <w:sz w:val="24"/>
          <w:szCs w:val="24"/>
        </w:rPr>
        <w:t xml:space="preserve">kih interesih. </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 xml:space="preserve">Kljub odločnim ukrepom, ki so jih sprejele partnerice z Zahodnega Balkana, ima </w:t>
      </w:r>
      <w:r w:rsidRPr="00410E50">
        <w:rPr>
          <w:rFonts w:ascii="Times New Roman" w:hAnsi="Times New Roman"/>
          <w:b/>
          <w:bCs/>
          <w:noProof/>
          <w:sz w:val="24"/>
          <w:szCs w:val="24"/>
        </w:rPr>
        <w:t>pandemija COVID-19</w:t>
      </w:r>
      <w:r w:rsidRPr="00410E50">
        <w:rPr>
          <w:rFonts w:ascii="Times New Roman" w:hAnsi="Times New Roman"/>
          <w:noProof/>
          <w:sz w:val="24"/>
          <w:szCs w:val="24"/>
        </w:rPr>
        <w:t xml:space="preserve"> poleg neposrednega učinka na ljudi tudi </w:t>
      </w:r>
      <w:r w:rsidRPr="00410E50">
        <w:rPr>
          <w:rFonts w:ascii="Times New Roman" w:hAnsi="Times New Roman"/>
          <w:b/>
          <w:bCs/>
          <w:noProof/>
          <w:sz w:val="24"/>
          <w:szCs w:val="24"/>
        </w:rPr>
        <w:t>moteč vpliv na gospodarstva v regiji in na življenja ljudi</w:t>
      </w:r>
      <w:r w:rsidRPr="00410E50">
        <w:rPr>
          <w:rFonts w:ascii="Times New Roman" w:hAnsi="Times New Roman"/>
          <w:noProof/>
          <w:sz w:val="24"/>
          <w:szCs w:val="24"/>
        </w:rPr>
        <w:t>. Pandemija pomeni breme brez primere za nji</w:t>
      </w:r>
      <w:r w:rsidRPr="00410E50">
        <w:rPr>
          <w:rFonts w:ascii="Times New Roman" w:hAnsi="Times New Roman"/>
          <w:noProof/>
          <w:sz w:val="24"/>
          <w:szCs w:val="24"/>
        </w:rPr>
        <w:t>hove sisteme varovanja zdravja in socialne zaščite. Za več tisoč državljanov obstaja tveganje, da bodo izgubili zaposlitev, in začasni vladni ukrepi za podporo (nadomestila za brezposelnost, odlogi/opustitve plačila davkov in prispevkov za socialno varnost</w:t>
      </w:r>
      <w:r w:rsidRPr="00410E50">
        <w:rPr>
          <w:rFonts w:ascii="Times New Roman" w:hAnsi="Times New Roman"/>
          <w:noProof/>
          <w:sz w:val="24"/>
          <w:szCs w:val="24"/>
        </w:rPr>
        <w:t xml:space="preserve"> itd.) imajo pomemben fiskalni učinek. Vlade morajo tudi hitro razširiti obseg storitev sistemov socialne zaščite. Pandemija vpliva tudi na skupna prizadevanja na področju migracij.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Čeprav je pandemija EU močno prizadela, ima EU posebno </w:t>
      </w:r>
      <w:r w:rsidRPr="00410E50">
        <w:rPr>
          <w:rFonts w:ascii="Times New Roman" w:hAnsi="Times New Roman" w:cs="Times New Roman"/>
          <w:b/>
          <w:bCs/>
          <w:noProof/>
          <w:sz w:val="24"/>
          <w:szCs w:val="24"/>
        </w:rPr>
        <w:t>odgovornost in int</w:t>
      </w:r>
      <w:r w:rsidRPr="00410E50">
        <w:rPr>
          <w:rFonts w:ascii="Times New Roman" w:hAnsi="Times New Roman" w:cs="Times New Roman"/>
          <w:b/>
          <w:bCs/>
          <w:noProof/>
          <w:sz w:val="24"/>
          <w:szCs w:val="24"/>
        </w:rPr>
        <w:t>eres, da prevzame vodilno vlogo pri odzivu na svetovni ravni</w:t>
      </w:r>
      <w:r w:rsidRPr="00410E50">
        <w:rPr>
          <w:rFonts w:ascii="Times New Roman" w:hAnsi="Times New Roman" w:cs="Times New Roman"/>
          <w:noProof/>
          <w:sz w:val="24"/>
          <w:szCs w:val="24"/>
        </w:rPr>
        <w:t xml:space="preserve"> in zagotovi pomoč partnericam v stiski, zlasti v njenem neposrednem sosedstvu. EU v okviru svojih mednarodnih prizadevanj </w:t>
      </w:r>
      <w:r w:rsidRPr="00410E50">
        <w:rPr>
          <w:rFonts w:ascii="Times New Roman" w:hAnsi="Times New Roman" w:cs="Times New Roman"/>
          <w:b/>
          <w:bCs/>
          <w:noProof/>
          <w:sz w:val="24"/>
          <w:szCs w:val="24"/>
        </w:rPr>
        <w:t>Zahodnemu Balkanu zagotavlja nujno in neprimerljivo podporo</w:t>
      </w:r>
      <w:r w:rsidRPr="00410E50">
        <w:rPr>
          <w:rFonts w:ascii="Times New Roman" w:hAnsi="Times New Roman" w:cs="Times New Roman"/>
          <w:noProof/>
          <w:sz w:val="24"/>
          <w:szCs w:val="24"/>
        </w:rPr>
        <w:t>. EU zagotavlj</w:t>
      </w:r>
      <w:r w:rsidRPr="00410E50">
        <w:rPr>
          <w:rFonts w:ascii="Times New Roman" w:hAnsi="Times New Roman" w:cs="Times New Roman"/>
          <w:noProof/>
          <w:sz w:val="24"/>
          <w:szCs w:val="24"/>
        </w:rPr>
        <w:t>a finančno podporo v višini več kot 3,3 milijarde EUR za države v regiji, da bi bilo mogoče obravnavati neposredno zdravstveno krizo in humanitarne potrebe, ki izhajajo iz nje, ter dolgoročni in strukturni učinek na družbe in gospodarstva teh držav. Ob upo</w:t>
      </w:r>
      <w:r w:rsidRPr="00410E50">
        <w:rPr>
          <w:rFonts w:ascii="Times New Roman" w:hAnsi="Times New Roman" w:cs="Times New Roman"/>
          <w:noProof/>
          <w:sz w:val="24"/>
          <w:szCs w:val="24"/>
        </w:rPr>
        <w:t xml:space="preserve">števanju njihove evropske perspektive poleg tega obravnava partnerice z Zahodnega Balkana kot privilegirane, tako da jim zagotavlja dostop do številnih pobud in instrumentov, ki so rezervirani za države članice EU.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Voditelji EU in voditelji iz regije se b</w:t>
      </w:r>
      <w:r w:rsidRPr="00410E50">
        <w:rPr>
          <w:rFonts w:ascii="Times New Roman" w:hAnsi="Times New Roman" w:cs="Times New Roman"/>
          <w:noProof/>
          <w:sz w:val="24"/>
          <w:szCs w:val="24"/>
        </w:rPr>
        <w:t xml:space="preserve">odo sestali 6. maja 2020, da bi razpravljali o izzivih, s katerimi se skupaj soočajo. Kot prispevek k tem razpravam to sporočilo opredeljuje </w:t>
      </w:r>
      <w:r w:rsidRPr="00410E50">
        <w:rPr>
          <w:rFonts w:ascii="Times New Roman" w:hAnsi="Times New Roman" w:cs="Times New Roman"/>
          <w:b/>
          <w:bCs/>
          <w:noProof/>
          <w:sz w:val="24"/>
          <w:szCs w:val="24"/>
        </w:rPr>
        <w:t>solidarnost Evropske unije z Zahodnim Balkanom</w:t>
      </w:r>
      <w:r w:rsidRPr="00410E50">
        <w:rPr>
          <w:rFonts w:ascii="Times New Roman" w:hAnsi="Times New Roman" w:cs="Times New Roman"/>
          <w:noProof/>
          <w:sz w:val="24"/>
          <w:szCs w:val="24"/>
        </w:rPr>
        <w:t xml:space="preserve"> pri obravnavanju neposrednega učinka COVID-19 in določa področja vza</w:t>
      </w:r>
      <w:r w:rsidRPr="00410E50">
        <w:rPr>
          <w:rFonts w:ascii="Times New Roman" w:hAnsi="Times New Roman" w:cs="Times New Roman"/>
          <w:noProof/>
          <w:sz w:val="24"/>
          <w:szCs w:val="24"/>
        </w:rPr>
        <w:t xml:space="preserve">jemnega sodelovanja. Napoveduje dolgoročno podporo, ki jo bo EU zagotovila za gospodarsko okrevanje, in </w:t>
      </w:r>
      <w:r w:rsidRPr="00410E50">
        <w:rPr>
          <w:rFonts w:ascii="Times New Roman" w:hAnsi="Times New Roman" w:cs="Times New Roman"/>
          <w:b/>
          <w:bCs/>
          <w:noProof/>
          <w:sz w:val="24"/>
          <w:szCs w:val="24"/>
        </w:rPr>
        <w:t>začrtuje podrobnejši gospodarski in naložbeni načrt za regijo, ki ga bo Komisija predstavila</w:t>
      </w:r>
      <w:r w:rsidRPr="00410E50">
        <w:rPr>
          <w:rFonts w:ascii="Times New Roman" w:hAnsi="Times New Roman" w:cs="Times New Roman"/>
          <w:noProof/>
          <w:sz w:val="24"/>
          <w:szCs w:val="24"/>
        </w:rPr>
        <w:t xml:space="preserve"> pozneje letos. Napoveduje tudi nadaljnja okrepljena prizade</w:t>
      </w:r>
      <w:r w:rsidRPr="00410E50">
        <w:rPr>
          <w:rFonts w:ascii="Times New Roman" w:hAnsi="Times New Roman" w:cs="Times New Roman"/>
          <w:noProof/>
          <w:sz w:val="24"/>
          <w:szCs w:val="24"/>
        </w:rPr>
        <w:t xml:space="preserve">vanja EU in podporo za uresničitev evropske perspektive regije. EU bo tako podprla vse partnerice pri še odločnejšem </w:t>
      </w:r>
      <w:r w:rsidRPr="00410E50">
        <w:rPr>
          <w:rFonts w:ascii="Times New Roman" w:hAnsi="Times New Roman" w:cs="Times New Roman"/>
          <w:b/>
          <w:bCs/>
          <w:noProof/>
          <w:sz w:val="24"/>
          <w:szCs w:val="24"/>
        </w:rPr>
        <w:t>obravnavanju zahtevanih temeljnih</w:t>
      </w:r>
      <w:r w:rsidRPr="00410E50">
        <w:rPr>
          <w:rFonts w:ascii="Times New Roman" w:hAnsi="Times New Roman" w:cs="Times New Roman"/>
          <w:b/>
          <w:noProof/>
          <w:sz w:val="24"/>
          <w:szCs w:val="24"/>
        </w:rPr>
        <w:t xml:space="preserve"> demokratičnih in gospodarskih </w:t>
      </w:r>
      <w:r w:rsidRPr="00410E50">
        <w:rPr>
          <w:rFonts w:ascii="Times New Roman" w:hAnsi="Times New Roman" w:cs="Times New Roman"/>
          <w:b/>
          <w:bCs/>
          <w:noProof/>
          <w:sz w:val="24"/>
          <w:szCs w:val="24"/>
        </w:rPr>
        <w:t>reform ter reform pravne države</w:t>
      </w:r>
      <w:r w:rsidRPr="00410E50">
        <w:rPr>
          <w:rFonts w:ascii="Times New Roman" w:hAnsi="Times New Roman" w:cs="Times New Roman"/>
          <w:noProof/>
          <w:sz w:val="24"/>
          <w:szCs w:val="24"/>
        </w:rPr>
        <w:t>, kot je predvideno v okrepljeni metodologij</w:t>
      </w:r>
      <w:r w:rsidRPr="00410E50">
        <w:rPr>
          <w:rFonts w:ascii="Times New Roman" w:hAnsi="Times New Roman" w:cs="Times New Roman"/>
          <w:noProof/>
          <w:sz w:val="24"/>
          <w:szCs w:val="24"/>
        </w:rPr>
        <w:t>i</w:t>
      </w:r>
      <w:r w:rsidRPr="00410E50">
        <w:rPr>
          <w:rFonts w:ascii="Times New Roman" w:hAnsi="Times New Roman" w:cs="Times New Roman"/>
          <w:noProof/>
          <w:sz w:val="24"/>
          <w:szCs w:val="24"/>
        </w:rPr>
        <w:t>.</w:t>
      </w:r>
      <w:r w:rsidRPr="00410E50">
        <w:rPr>
          <w:rFonts w:ascii="Times New Roman" w:hAnsi="Times New Roman" w:cs="Times New Roman"/>
          <w:noProof/>
          <w:sz w:val="24"/>
          <w:szCs w:val="24"/>
        </w:rPr>
        <w:t xml:space="preserve"> </w:t>
      </w: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rPr>
      </w:pP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rPr>
      </w:pPr>
    </w:p>
    <w:p w:rsidR="00E9742B" w:rsidRPr="00410E50" w:rsidRDefault="00410E50" w:rsidP="00410E50">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410E50">
        <w:rPr>
          <w:rFonts w:ascii="Times New Roman" w:hAnsi="Times New Roman"/>
          <w:b/>
          <w:bCs/>
          <w:noProof/>
          <w:sz w:val="24"/>
          <w:szCs w:val="24"/>
        </w:rPr>
        <w:lastRenderedPageBreak/>
        <w:t>Podpora EU</w:t>
      </w:r>
      <w:r w:rsidRPr="00410E50">
        <w:rPr>
          <w:rFonts w:ascii="Times New Roman" w:hAnsi="Times New Roman"/>
          <w:noProof/>
          <w:sz w:val="24"/>
          <w:szCs w:val="24"/>
        </w:rPr>
        <w:t xml:space="preserve"> </w:t>
      </w:r>
      <w:r w:rsidRPr="00410E50">
        <w:rPr>
          <w:rFonts w:ascii="Times New Roman" w:hAnsi="Times New Roman"/>
          <w:b/>
          <w:bCs/>
          <w:noProof/>
          <w:sz w:val="24"/>
          <w:szCs w:val="24"/>
        </w:rPr>
        <w:t xml:space="preserve">Zahodnemu Balkanu pri soočanju s COVID-19 </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EU se je pri odzivu na krizo odločila, da bo zagotovila znatno finančno podporo in da bo v največji možni meri v svoj odziv vključila tudi Zahodni Balkan. Čeprav so podporo zagotovile tudi druge p</w:t>
      </w:r>
      <w:r w:rsidRPr="00410E50">
        <w:rPr>
          <w:rFonts w:ascii="Times New Roman" w:hAnsi="Times New Roman"/>
          <w:noProof/>
          <w:sz w:val="24"/>
          <w:szCs w:val="24"/>
        </w:rPr>
        <w:t>artnerice regije, se je EU zaradi prožnih postopkov in pravočasnih odločitev ponovno izkazala kot najučinkovitejša in najzanesljivejša partnerica regije.</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 xml:space="preserve">EU je mobilizirala </w:t>
      </w:r>
      <w:r w:rsidRPr="00410E50">
        <w:rPr>
          <w:rFonts w:ascii="Times New Roman" w:hAnsi="Times New Roman"/>
          <w:b/>
          <w:bCs/>
          <w:noProof/>
          <w:sz w:val="24"/>
          <w:szCs w:val="24"/>
        </w:rPr>
        <w:t>sveženj v višini več kot 3,3 milijarde EUR</w:t>
      </w:r>
      <w:r w:rsidRPr="00410E50">
        <w:rPr>
          <w:rFonts w:ascii="Times New Roman" w:hAnsi="Times New Roman"/>
          <w:bCs/>
          <w:noProof/>
          <w:sz w:val="24"/>
          <w:szCs w:val="24"/>
        </w:rPr>
        <w:t xml:space="preserve"> v korist </w:t>
      </w:r>
      <w:r w:rsidRPr="00410E50">
        <w:rPr>
          <w:rFonts w:ascii="Times New Roman" w:hAnsi="Times New Roman"/>
          <w:b/>
          <w:bCs/>
          <w:noProof/>
          <w:sz w:val="24"/>
          <w:szCs w:val="24"/>
        </w:rPr>
        <w:t>prebivalcev</w:t>
      </w:r>
      <w:r w:rsidRPr="00410E50">
        <w:rPr>
          <w:rFonts w:ascii="Times New Roman" w:hAnsi="Times New Roman"/>
          <w:bCs/>
          <w:noProof/>
          <w:sz w:val="24"/>
          <w:szCs w:val="24"/>
        </w:rPr>
        <w:t xml:space="preserve"> Zahodnega Balkana</w:t>
      </w:r>
      <w:r w:rsidRPr="00410E50">
        <w:rPr>
          <w:rFonts w:ascii="Times New Roman" w:eastAsia="Times New Roman" w:hAnsi="Times New Roman"/>
          <w:b/>
          <w:bCs/>
          <w:noProof/>
          <w:sz w:val="24"/>
          <w:szCs w:val="24"/>
          <w:vertAlign w:val="superscript"/>
          <w:lang w:val="en-US"/>
        </w:rPr>
        <w:footnoteReference w:id="3"/>
      </w:r>
      <w:r w:rsidRPr="00410E50">
        <w:rPr>
          <w:rFonts w:ascii="Times New Roman" w:hAnsi="Times New Roman"/>
          <w:noProof/>
          <w:sz w:val="24"/>
          <w:szCs w:val="24"/>
        </w:rPr>
        <w:t xml:space="preserve">. Ta znesek vključuje poleg prerazporeditev iz </w:t>
      </w:r>
      <w:r w:rsidRPr="00410E50">
        <w:rPr>
          <w:rFonts w:ascii="Times New Roman" w:hAnsi="Times New Roman"/>
          <w:b/>
          <w:bCs/>
          <w:noProof/>
          <w:sz w:val="24"/>
          <w:szCs w:val="24"/>
        </w:rPr>
        <w:t>instrumenta za predpristopno pomoč</w:t>
      </w:r>
      <w:r w:rsidRPr="00410E50">
        <w:rPr>
          <w:rFonts w:ascii="Times New Roman" w:eastAsia="Times New Roman" w:hAnsi="Times New Roman"/>
          <w:b/>
          <w:bCs/>
          <w:noProof/>
          <w:sz w:val="24"/>
          <w:szCs w:val="24"/>
          <w:vertAlign w:val="superscript"/>
          <w:lang w:val="en-US"/>
        </w:rPr>
        <w:footnoteReference w:id="4"/>
      </w:r>
      <w:r w:rsidRPr="00410E50">
        <w:rPr>
          <w:rFonts w:ascii="Times New Roman" w:hAnsi="Times New Roman"/>
          <w:noProof/>
          <w:sz w:val="24"/>
          <w:szCs w:val="24"/>
        </w:rPr>
        <w:t xml:space="preserve">, </w:t>
      </w:r>
      <w:r w:rsidRPr="00410E50">
        <w:rPr>
          <w:rFonts w:ascii="Times New Roman" w:hAnsi="Times New Roman"/>
          <w:b/>
          <w:noProof/>
          <w:sz w:val="24"/>
          <w:szCs w:val="24"/>
        </w:rPr>
        <w:t>in sicer 38 milijonov EUR</w:t>
      </w:r>
      <w:r w:rsidRPr="00410E50">
        <w:rPr>
          <w:rFonts w:ascii="Times New Roman" w:hAnsi="Times New Roman"/>
          <w:noProof/>
          <w:sz w:val="24"/>
          <w:szCs w:val="24"/>
        </w:rPr>
        <w:t xml:space="preserve"> z namenom takojšnje podpore za zdravstveni sektor, zlasti z dobavo nujnih potrebščin za reševanje življenj, kot so osebna zaščitna oprema, testi i</w:t>
      </w:r>
      <w:r w:rsidRPr="00410E50">
        <w:rPr>
          <w:rFonts w:ascii="Times New Roman" w:hAnsi="Times New Roman"/>
          <w:noProof/>
          <w:sz w:val="24"/>
          <w:szCs w:val="24"/>
        </w:rPr>
        <w:t>n ventilatorji</w:t>
      </w:r>
      <w:r w:rsidRPr="00410E50">
        <w:rPr>
          <w:rFonts w:ascii="Times New Roman" w:eastAsia="Times New Roman" w:hAnsi="Times New Roman"/>
          <w:noProof/>
          <w:sz w:val="24"/>
          <w:szCs w:val="24"/>
          <w:vertAlign w:val="superscript"/>
          <w:lang w:val="en-US"/>
        </w:rPr>
        <w:footnoteReference w:id="5"/>
      </w:r>
      <w:r w:rsidRPr="00410E50">
        <w:rPr>
          <w:rFonts w:ascii="Times New Roman" w:hAnsi="Times New Roman"/>
          <w:noProof/>
          <w:sz w:val="24"/>
          <w:szCs w:val="24"/>
        </w:rPr>
        <w:t xml:space="preserve">, </w:t>
      </w:r>
      <w:r w:rsidRPr="00410E50">
        <w:rPr>
          <w:rFonts w:ascii="Times New Roman" w:hAnsi="Times New Roman"/>
          <w:b/>
          <w:bCs/>
          <w:noProof/>
          <w:sz w:val="24"/>
          <w:szCs w:val="24"/>
        </w:rPr>
        <w:t>389 milijonov EUR</w:t>
      </w:r>
      <w:r w:rsidRPr="00410E50">
        <w:rPr>
          <w:rFonts w:ascii="Times New Roman" w:hAnsi="Times New Roman"/>
          <w:noProof/>
          <w:sz w:val="24"/>
          <w:szCs w:val="24"/>
        </w:rPr>
        <w:t xml:space="preserve"> za obravnavanje </w:t>
      </w:r>
      <w:r w:rsidRPr="00410E50">
        <w:rPr>
          <w:rFonts w:ascii="Times New Roman" w:hAnsi="Times New Roman"/>
          <w:b/>
          <w:bCs/>
          <w:noProof/>
          <w:sz w:val="24"/>
          <w:szCs w:val="24"/>
        </w:rPr>
        <w:t>potreb v zvezi s socialnim in gospodarskim okrevanjem</w:t>
      </w:r>
      <w:r w:rsidRPr="00410E50">
        <w:rPr>
          <w:rFonts w:ascii="Times New Roman" w:hAnsi="Times New Roman"/>
          <w:noProof/>
          <w:sz w:val="24"/>
          <w:szCs w:val="24"/>
        </w:rPr>
        <w:t xml:space="preserve"> in dodatnih </w:t>
      </w:r>
      <w:r w:rsidRPr="00410E50">
        <w:rPr>
          <w:rFonts w:ascii="Times New Roman" w:hAnsi="Times New Roman"/>
          <w:b/>
          <w:bCs/>
          <w:noProof/>
          <w:sz w:val="24"/>
          <w:szCs w:val="24"/>
        </w:rPr>
        <w:t>455 milijonov EUR</w:t>
      </w:r>
      <w:r w:rsidRPr="00410E50">
        <w:rPr>
          <w:rFonts w:ascii="Times New Roman" w:hAnsi="Times New Roman"/>
          <w:noProof/>
          <w:sz w:val="24"/>
          <w:szCs w:val="24"/>
        </w:rPr>
        <w:t xml:space="preserve"> v </w:t>
      </w:r>
      <w:r w:rsidRPr="00410E50">
        <w:rPr>
          <w:rFonts w:ascii="Times New Roman" w:hAnsi="Times New Roman"/>
          <w:b/>
          <w:bCs/>
          <w:noProof/>
          <w:sz w:val="24"/>
          <w:szCs w:val="24"/>
        </w:rPr>
        <w:t>svežnju za ponovni gospodarski zagon</w:t>
      </w:r>
      <w:r w:rsidRPr="00410E50">
        <w:rPr>
          <w:rFonts w:ascii="Times New Roman" w:hAnsi="Times New Roman"/>
          <w:noProof/>
          <w:sz w:val="24"/>
          <w:szCs w:val="24"/>
        </w:rPr>
        <w:t xml:space="preserve"> regije v tesnem sodelovanju z mednarodnimi finančnimi institucijami, še predlog</w:t>
      </w:r>
      <w:r w:rsidRPr="00410E50">
        <w:rPr>
          <w:rFonts w:ascii="Times New Roman" w:eastAsia="Times New Roman" w:hAnsi="Times New Roman"/>
          <w:noProof/>
          <w:sz w:val="24"/>
          <w:szCs w:val="24"/>
          <w:vertAlign w:val="superscript"/>
          <w:lang w:val="en-US"/>
        </w:rPr>
        <w:footnoteReference w:id="6"/>
      </w:r>
      <w:r w:rsidRPr="00410E50">
        <w:rPr>
          <w:rFonts w:ascii="Times New Roman" w:hAnsi="Times New Roman"/>
          <w:noProof/>
          <w:sz w:val="24"/>
          <w:szCs w:val="24"/>
        </w:rPr>
        <w:t xml:space="preserve"> o</w:t>
      </w:r>
      <w:r w:rsidRPr="00410E50">
        <w:rPr>
          <w:rFonts w:ascii="Times New Roman" w:hAnsi="Times New Roman"/>
          <w:noProof/>
          <w:sz w:val="24"/>
          <w:szCs w:val="24"/>
        </w:rPr>
        <w:t xml:space="preserve"> zagotovitvi </w:t>
      </w:r>
      <w:r w:rsidRPr="00410E50">
        <w:rPr>
          <w:rFonts w:ascii="Times New Roman" w:hAnsi="Times New Roman"/>
          <w:b/>
          <w:bCs/>
          <w:noProof/>
          <w:sz w:val="24"/>
          <w:szCs w:val="24"/>
        </w:rPr>
        <w:t>750 milijonov EUR</w:t>
      </w:r>
      <w:r w:rsidRPr="00410E50">
        <w:rPr>
          <w:rFonts w:ascii="Times New Roman" w:hAnsi="Times New Roman"/>
          <w:noProof/>
          <w:sz w:val="24"/>
          <w:szCs w:val="24"/>
        </w:rPr>
        <w:t xml:space="preserve"> </w:t>
      </w:r>
      <w:r w:rsidRPr="00410E50">
        <w:rPr>
          <w:rFonts w:ascii="Times New Roman" w:hAnsi="Times New Roman"/>
          <w:b/>
          <w:bCs/>
          <w:noProof/>
          <w:sz w:val="24"/>
          <w:szCs w:val="24"/>
        </w:rPr>
        <w:t>makrofinančne pomoči</w:t>
      </w:r>
      <w:r w:rsidRPr="00410E50">
        <w:rPr>
          <w:rFonts w:ascii="Times New Roman" w:hAnsi="Times New Roman"/>
          <w:noProof/>
          <w:sz w:val="24"/>
          <w:szCs w:val="24"/>
        </w:rPr>
        <w:t xml:space="preserve"> in sveženj pomoči </w:t>
      </w:r>
      <w:r w:rsidRPr="00410E50">
        <w:rPr>
          <w:rFonts w:ascii="Times New Roman" w:hAnsi="Times New Roman"/>
          <w:b/>
          <w:bCs/>
          <w:noProof/>
          <w:sz w:val="24"/>
          <w:szCs w:val="24"/>
        </w:rPr>
        <w:t>Evropske investicijske banke</w:t>
      </w:r>
      <w:r w:rsidRPr="00410E50">
        <w:rPr>
          <w:rFonts w:ascii="Times New Roman" w:hAnsi="Times New Roman"/>
          <w:noProof/>
          <w:sz w:val="24"/>
          <w:szCs w:val="24"/>
        </w:rPr>
        <w:t xml:space="preserve"> v višini </w:t>
      </w:r>
      <w:r w:rsidRPr="00410E50">
        <w:rPr>
          <w:rFonts w:ascii="Times New Roman" w:hAnsi="Times New Roman"/>
          <w:b/>
          <w:bCs/>
          <w:noProof/>
          <w:sz w:val="24"/>
          <w:szCs w:val="24"/>
        </w:rPr>
        <w:t>1,7 milijarde EUR</w:t>
      </w:r>
      <w:r w:rsidRPr="00410E50">
        <w:rPr>
          <w:rFonts w:ascii="Times New Roman" w:hAnsi="Times New Roman"/>
          <w:noProof/>
          <w:sz w:val="24"/>
          <w:szCs w:val="24"/>
        </w:rPr>
        <w:t xml:space="preserve">. EU zagotavlja tudi </w:t>
      </w:r>
      <w:r w:rsidRPr="00410E50">
        <w:rPr>
          <w:rFonts w:ascii="Times New Roman" w:hAnsi="Times New Roman"/>
          <w:b/>
          <w:bCs/>
          <w:noProof/>
          <w:sz w:val="24"/>
          <w:szCs w:val="24"/>
        </w:rPr>
        <w:t>takojšnjo humanitarno pomoč ranljivim beguncem in migrantom v višini 4,5 milijona EUR</w:t>
      </w:r>
      <w:r w:rsidRPr="00410E50">
        <w:rPr>
          <w:rFonts w:ascii="Times New Roman" w:hAnsi="Times New Roman"/>
          <w:noProof/>
          <w:sz w:val="24"/>
          <w:szCs w:val="24"/>
        </w:rPr>
        <w:t>, in sicer za zaščito, po</w:t>
      </w:r>
      <w:r w:rsidRPr="00410E50">
        <w:rPr>
          <w:rFonts w:ascii="Times New Roman" w:hAnsi="Times New Roman"/>
          <w:noProof/>
          <w:sz w:val="24"/>
          <w:szCs w:val="24"/>
        </w:rPr>
        <w:t xml:space="preserve">dporo mladoletnikom brez spremstva in zdravstveno varstvo, vključno s pripravljenostjo na COVID-19, ter nujno pomoč migrantom in beguncem, ki so obtičali na Zahodnem Balkanu, v višini </w:t>
      </w:r>
      <w:r w:rsidRPr="00410E50">
        <w:rPr>
          <w:rFonts w:ascii="Times New Roman" w:hAnsi="Times New Roman"/>
          <w:b/>
          <w:bCs/>
          <w:noProof/>
          <w:sz w:val="24"/>
          <w:szCs w:val="24"/>
        </w:rPr>
        <w:t>8 milijonov EUR</w:t>
      </w:r>
      <w:r w:rsidRPr="00410E50">
        <w:rPr>
          <w:rFonts w:ascii="Times New Roman" w:hAnsi="Times New Roman"/>
          <w:noProof/>
          <w:sz w:val="24"/>
          <w:szCs w:val="24"/>
        </w:rPr>
        <w:t xml:space="preserve"> iz </w:t>
      </w:r>
      <w:r w:rsidRPr="00410E50">
        <w:rPr>
          <w:rFonts w:ascii="Times New Roman" w:hAnsi="Times New Roman"/>
          <w:b/>
          <w:bCs/>
          <w:noProof/>
          <w:sz w:val="24"/>
          <w:szCs w:val="24"/>
        </w:rPr>
        <w:t>instrumenta za prispevanje k stabilnosti in miru</w:t>
      </w:r>
      <w:r w:rsidRPr="00410E50">
        <w:rPr>
          <w:rFonts w:ascii="Times New Roman" w:hAnsi="Times New Roman"/>
          <w:noProof/>
          <w:sz w:val="24"/>
          <w:szCs w:val="24"/>
        </w:rPr>
        <w:t>. Pol</w:t>
      </w:r>
      <w:r w:rsidRPr="00410E50">
        <w:rPr>
          <w:rFonts w:ascii="Times New Roman" w:hAnsi="Times New Roman"/>
          <w:noProof/>
          <w:sz w:val="24"/>
          <w:szCs w:val="24"/>
        </w:rPr>
        <w:t xml:space="preserve">eg tega </w:t>
      </w:r>
      <w:r w:rsidRPr="00410E50">
        <w:rPr>
          <w:rFonts w:ascii="Times New Roman" w:hAnsi="Times New Roman"/>
          <w:b/>
          <w:bCs/>
          <w:noProof/>
          <w:sz w:val="24"/>
          <w:szCs w:val="24"/>
        </w:rPr>
        <w:t>Solidarnostni sklad</w:t>
      </w:r>
      <w:r w:rsidRPr="00410E50">
        <w:rPr>
          <w:rFonts w:ascii="Times New Roman" w:hAnsi="Times New Roman"/>
          <w:noProof/>
          <w:sz w:val="24"/>
          <w:szCs w:val="24"/>
        </w:rPr>
        <w:t xml:space="preserve"> EU, dostopen za tiste države Zahodnega Balkana, ki so začele pristopna pogajanja, zdaj zajema tudi krize na področju javnega zdravja.</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 xml:space="preserve">Pomemben del gospodarske podpore EU bo </w:t>
      </w:r>
      <w:r w:rsidRPr="00410E50">
        <w:rPr>
          <w:rFonts w:ascii="Times New Roman" w:hAnsi="Times New Roman"/>
          <w:b/>
          <w:bCs/>
          <w:noProof/>
          <w:sz w:val="24"/>
          <w:szCs w:val="24"/>
        </w:rPr>
        <w:t xml:space="preserve">zasebnemu sektorju pomagal pri reševanju likvidnostnih </w:t>
      </w:r>
      <w:r w:rsidRPr="00410E50">
        <w:rPr>
          <w:rFonts w:ascii="Times New Roman" w:hAnsi="Times New Roman"/>
          <w:b/>
          <w:bCs/>
          <w:noProof/>
          <w:sz w:val="24"/>
          <w:szCs w:val="24"/>
        </w:rPr>
        <w:t>in finančnih izzivov</w:t>
      </w:r>
      <w:r w:rsidRPr="00410E50">
        <w:rPr>
          <w:rFonts w:ascii="Times New Roman" w:hAnsi="Times New Roman"/>
          <w:noProof/>
          <w:sz w:val="24"/>
          <w:szCs w:val="24"/>
        </w:rPr>
        <w:t xml:space="preserve">, in sicer z mobilizacijo jamstvenih shem, ki jih financira EU, v sodelovanju z mednarodnimi finančnimi institucijami. </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 xml:space="preserve">Odziv EU temelji na </w:t>
      </w:r>
      <w:r w:rsidRPr="00410E50">
        <w:rPr>
          <w:rFonts w:ascii="Times New Roman" w:hAnsi="Times New Roman"/>
          <w:b/>
          <w:bCs/>
          <w:noProof/>
          <w:sz w:val="24"/>
          <w:szCs w:val="24"/>
        </w:rPr>
        <w:t>pristopu Ekipe Evropa</w:t>
      </w:r>
      <w:r w:rsidRPr="00410E50">
        <w:rPr>
          <w:rFonts w:ascii="Times New Roman" w:eastAsia="Times New Roman" w:hAnsi="Times New Roman"/>
          <w:b/>
          <w:bCs/>
          <w:noProof/>
          <w:sz w:val="24"/>
          <w:szCs w:val="24"/>
          <w:vertAlign w:val="superscript"/>
          <w:lang w:val="en-US"/>
        </w:rPr>
        <w:footnoteReference w:id="7"/>
      </w:r>
      <w:r w:rsidRPr="00410E50">
        <w:rPr>
          <w:rFonts w:ascii="Times New Roman" w:hAnsi="Times New Roman"/>
          <w:noProof/>
          <w:sz w:val="24"/>
          <w:szCs w:val="24"/>
        </w:rPr>
        <w:t xml:space="preserve">: naša hitra in ciljno usmerjena podpora združuje sredstva institucij EU, </w:t>
      </w:r>
      <w:r w:rsidRPr="00410E50">
        <w:rPr>
          <w:rFonts w:ascii="Times New Roman" w:hAnsi="Times New Roman"/>
          <w:noProof/>
          <w:sz w:val="24"/>
          <w:szCs w:val="24"/>
        </w:rPr>
        <w:t xml:space="preserve">držav članic in finančnih institucij, zlasti Evropske investicijske banke in Evropske banke za obnovo in razvoj. Skupaj z našimi partnericami zagotavljamo, da so znatna sredstva EU, ki so jim bila že dodeljena, namenjena za pomoč pri obvladovanju posledic </w:t>
      </w:r>
      <w:r w:rsidRPr="00410E50">
        <w:rPr>
          <w:rFonts w:ascii="Times New Roman" w:hAnsi="Times New Roman"/>
          <w:noProof/>
          <w:sz w:val="24"/>
          <w:szCs w:val="24"/>
        </w:rPr>
        <w:t>pandemije. Hkrati nekatere države članice EU zagotavljajo tudi dvostransko podporo, ne glede na to, ali gre za finančne donacije ali donacije potrebščin.</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Posledica izbruha COVID-19 je, da je Zahodni Balkan </w:t>
      </w:r>
      <w:r w:rsidRPr="00410E50">
        <w:rPr>
          <w:rFonts w:ascii="Times New Roman" w:hAnsi="Times New Roman" w:cs="Times New Roman"/>
          <w:b/>
          <w:bCs/>
          <w:noProof/>
          <w:sz w:val="24"/>
          <w:szCs w:val="24"/>
        </w:rPr>
        <w:t>aktiviral tudi mehanizem Unije na področju civilne</w:t>
      </w:r>
      <w:r w:rsidRPr="00410E50">
        <w:rPr>
          <w:rFonts w:ascii="Times New Roman" w:hAnsi="Times New Roman" w:cs="Times New Roman"/>
          <w:b/>
          <w:bCs/>
          <w:noProof/>
          <w:sz w:val="24"/>
          <w:szCs w:val="24"/>
        </w:rPr>
        <w:t xml:space="preserve"> zaščite (v nadaljnjem besedilu: UCPM)</w:t>
      </w:r>
      <w:r w:rsidRPr="00410E50">
        <w:rPr>
          <w:rFonts w:ascii="Times New Roman" w:hAnsi="Times New Roman" w:cs="Times New Roman"/>
          <w:noProof/>
          <w:sz w:val="24"/>
          <w:szCs w:val="24"/>
        </w:rPr>
        <w:t xml:space="preserve"> in že začel prejemati pomoč iz držav članic EU in drugih držav, ki sodelujejo pri UCPM. </w:t>
      </w:r>
      <w:r w:rsidRPr="00410E50">
        <w:rPr>
          <w:rFonts w:ascii="Times New Roman" w:hAnsi="Times New Roman" w:cs="Times New Roman"/>
          <w:b/>
          <w:bCs/>
          <w:noProof/>
          <w:sz w:val="24"/>
          <w:szCs w:val="24"/>
        </w:rPr>
        <w:t>Srbija, Severna Makedonija in Črna gora</w:t>
      </w:r>
      <w:r w:rsidRPr="00410E50">
        <w:rPr>
          <w:rFonts w:ascii="Times New Roman" w:hAnsi="Times New Roman" w:cs="Times New Roman"/>
          <w:noProof/>
          <w:sz w:val="24"/>
          <w:szCs w:val="24"/>
        </w:rPr>
        <w:t xml:space="preserve"> kot države, ki sodelujejo pri mehanizmu, lahko prispevajo k rescEU, vključno z ustvarjanj</w:t>
      </w:r>
      <w:r w:rsidRPr="00410E50">
        <w:rPr>
          <w:rFonts w:ascii="Times New Roman" w:hAnsi="Times New Roman" w:cs="Times New Roman"/>
          <w:noProof/>
          <w:sz w:val="24"/>
          <w:szCs w:val="24"/>
        </w:rPr>
        <w:t>em zalog medicinske in druge opreme, in pri rescEU zaprosijo za podporo. Državljani z Zahodnega Balkana, ki so obtičali v tujini, so se po zaslugi poletov za repatriacijo, ki so bili organizirani in sofinancirani v okviru UCPM, lahko vrnili v svojo domovin</w:t>
      </w:r>
      <w:r w:rsidRPr="00410E50">
        <w:rPr>
          <w:rFonts w:ascii="Times New Roman" w:hAnsi="Times New Roman" w:cs="Times New Roman"/>
          <w:noProof/>
          <w:sz w:val="24"/>
          <w:szCs w:val="24"/>
        </w:rPr>
        <w:t xml:space="preserve">o. Organi civilne zaščite Zahodnega Balkana bodo še naprej sodelovali pri usposabljanju, vajah in izmenjavi strokovnjakov v okviru UCPM. EU </w:t>
      </w:r>
      <w:r w:rsidRPr="00410E50">
        <w:rPr>
          <w:rFonts w:ascii="Times New Roman" w:hAnsi="Times New Roman" w:cs="Times New Roman"/>
          <w:b/>
          <w:bCs/>
          <w:noProof/>
          <w:sz w:val="24"/>
          <w:szCs w:val="24"/>
        </w:rPr>
        <w:t>ceni tudi dragoceno podporo</w:t>
      </w:r>
      <w:r w:rsidRPr="00410E50">
        <w:rPr>
          <w:rFonts w:ascii="Times New Roman" w:hAnsi="Times New Roman" w:cs="Times New Roman"/>
          <w:noProof/>
          <w:sz w:val="24"/>
          <w:szCs w:val="24"/>
        </w:rPr>
        <w:t>, ki jo je Zahodni Balkan zagotovil EU in svojim neposrednim sosedom, kar zadeva zdravstv</w:t>
      </w:r>
      <w:r w:rsidRPr="00410E50">
        <w:rPr>
          <w:rFonts w:ascii="Times New Roman" w:hAnsi="Times New Roman" w:cs="Times New Roman"/>
          <w:noProof/>
          <w:sz w:val="24"/>
          <w:szCs w:val="24"/>
        </w:rPr>
        <w:t>eno osebje in opremo. To odraža solidarnost in temeljne vrednote, na katerih temelji EU.</w:t>
      </w:r>
      <w:r w:rsidRPr="00410E50">
        <w:rPr>
          <w:rFonts w:ascii="Times New Roman" w:hAnsi="Times New Roman" w:cs="Times New Roman"/>
          <w:noProof/>
          <w:sz w:val="24"/>
          <w:szCs w:val="24"/>
        </w:rPr>
        <w:t xml:space="preserve"> </w:t>
      </w:r>
    </w:p>
    <w:p w:rsidR="00E9742B" w:rsidRPr="00410E50" w:rsidRDefault="00410E50" w:rsidP="00410E50">
      <w:pPr>
        <w:pStyle w:val="FootnoteText"/>
        <w:spacing w:after="120"/>
        <w:jc w:val="both"/>
        <w:rPr>
          <w:rFonts w:ascii="Times New Roman" w:hAnsi="Times New Roman"/>
          <w:b/>
          <w:bCs/>
          <w:noProof/>
          <w:sz w:val="24"/>
          <w:szCs w:val="24"/>
        </w:rPr>
      </w:pPr>
      <w:r w:rsidRPr="00410E50">
        <w:rPr>
          <w:rFonts w:ascii="Times New Roman" w:hAnsi="Times New Roman"/>
          <w:noProof/>
          <w:sz w:val="24"/>
          <w:szCs w:val="24"/>
        </w:rPr>
        <w:t xml:space="preserve">Trenutna pandemija tako jasno kaže, kako EU in Zahodni Balkan </w:t>
      </w:r>
      <w:r w:rsidRPr="00410E50">
        <w:rPr>
          <w:rFonts w:ascii="Times New Roman" w:hAnsi="Times New Roman"/>
          <w:b/>
          <w:bCs/>
          <w:noProof/>
          <w:sz w:val="24"/>
          <w:szCs w:val="24"/>
        </w:rPr>
        <w:t>skupaj rešujeta skupne izzive</w:t>
      </w:r>
      <w:r w:rsidRPr="00410E50">
        <w:rPr>
          <w:rFonts w:ascii="Times New Roman" w:hAnsi="Times New Roman"/>
          <w:noProof/>
          <w:sz w:val="24"/>
          <w:szCs w:val="24"/>
        </w:rPr>
        <w:t xml:space="preserve">. To vključuje </w:t>
      </w:r>
      <w:r w:rsidRPr="00410E50">
        <w:rPr>
          <w:rFonts w:ascii="Times New Roman" w:hAnsi="Times New Roman"/>
          <w:b/>
          <w:bCs/>
          <w:noProof/>
          <w:sz w:val="24"/>
          <w:szCs w:val="24"/>
        </w:rPr>
        <w:t>skupno javno naročanje medicinske opreme</w:t>
      </w:r>
      <w:r w:rsidRPr="00410E50">
        <w:rPr>
          <w:rFonts w:ascii="Times New Roman" w:hAnsi="Times New Roman"/>
          <w:noProof/>
          <w:sz w:val="24"/>
          <w:szCs w:val="24"/>
        </w:rPr>
        <w:t xml:space="preserve">, izvzetje regije iz </w:t>
      </w:r>
      <w:r w:rsidRPr="00410E50">
        <w:rPr>
          <w:rFonts w:ascii="Times New Roman" w:hAnsi="Times New Roman"/>
          <w:b/>
          <w:bCs/>
          <w:noProof/>
          <w:sz w:val="24"/>
          <w:szCs w:val="24"/>
        </w:rPr>
        <w:t>programa izvoznih dovoljenj EU</w:t>
      </w:r>
      <w:r w:rsidRPr="00410E50">
        <w:rPr>
          <w:rFonts w:ascii="Times New Roman" w:hAnsi="Times New Roman"/>
          <w:noProof/>
          <w:sz w:val="24"/>
          <w:szCs w:val="24"/>
        </w:rPr>
        <w:t xml:space="preserve"> za osebno varovalno opremo</w:t>
      </w:r>
      <w:r w:rsidRPr="00410E50">
        <w:rPr>
          <w:rFonts w:ascii="Times New Roman" w:eastAsia="Times New Roman" w:hAnsi="Times New Roman"/>
          <w:noProof/>
          <w:sz w:val="24"/>
          <w:szCs w:val="24"/>
          <w:vertAlign w:val="superscript"/>
          <w:lang w:val="en-US"/>
        </w:rPr>
        <w:footnoteReference w:id="8"/>
      </w:r>
      <w:r w:rsidRPr="00410E50">
        <w:rPr>
          <w:rFonts w:ascii="Times New Roman" w:hAnsi="Times New Roman"/>
          <w:noProof/>
          <w:sz w:val="24"/>
          <w:szCs w:val="24"/>
        </w:rPr>
        <w:t xml:space="preserve"> in </w:t>
      </w:r>
      <w:r w:rsidRPr="00410E50">
        <w:rPr>
          <w:rFonts w:ascii="Times New Roman" w:hAnsi="Times New Roman"/>
          <w:b/>
          <w:bCs/>
          <w:noProof/>
          <w:sz w:val="24"/>
          <w:szCs w:val="24"/>
        </w:rPr>
        <w:t>dobavo materiala za testiranje</w:t>
      </w:r>
      <w:r w:rsidRPr="00410E50">
        <w:rPr>
          <w:rFonts w:ascii="Times New Roman" w:hAnsi="Times New Roman"/>
          <w:noProof/>
          <w:sz w:val="24"/>
          <w:szCs w:val="24"/>
        </w:rPr>
        <w:t>, ki ga je razvilo Skupno raziskovalno središče Evropske komisije, s strani EU, da se zagotovi pravilno delovanje koronavirusnih testov na Zaho</w:t>
      </w:r>
      <w:r w:rsidRPr="00410E50">
        <w:rPr>
          <w:rFonts w:ascii="Times New Roman" w:hAnsi="Times New Roman"/>
          <w:noProof/>
          <w:sz w:val="24"/>
          <w:szCs w:val="24"/>
        </w:rPr>
        <w:t xml:space="preserve">dnem Balkanu. </w:t>
      </w:r>
      <w:r w:rsidRPr="00410E50">
        <w:rPr>
          <w:rFonts w:ascii="Times New Roman" w:hAnsi="Times New Roman"/>
          <w:noProof/>
          <w:sz w:val="24"/>
          <w:szCs w:val="24"/>
        </w:rPr>
        <w:t xml:space="preserve">Zainteresirane strani iz vse regije so v celoti vključene v evropska prizadevanja na področju </w:t>
      </w:r>
      <w:r w:rsidRPr="00410E50">
        <w:rPr>
          <w:rFonts w:ascii="Times New Roman" w:hAnsi="Times New Roman"/>
          <w:b/>
          <w:noProof/>
          <w:sz w:val="24"/>
          <w:szCs w:val="24"/>
        </w:rPr>
        <w:t>raziskav in inovacij</w:t>
      </w:r>
      <w:r w:rsidRPr="00410E50">
        <w:rPr>
          <w:rFonts w:ascii="Times New Roman" w:hAnsi="Times New Roman"/>
          <w:noProof/>
          <w:sz w:val="24"/>
          <w:szCs w:val="24"/>
        </w:rPr>
        <w:t xml:space="preserve"> v zvezi s COVID-19. </w:t>
      </w:r>
      <w:r w:rsidRPr="00410E50">
        <w:rPr>
          <w:rFonts w:ascii="Times New Roman" w:hAnsi="Times New Roman"/>
          <w:noProof/>
          <w:sz w:val="24"/>
          <w:szCs w:val="24"/>
        </w:rPr>
        <w:t xml:space="preserve">Celotna regija je prav tako deležna tehnične pomoči in izmenjave informacij, ki ju omogoča </w:t>
      </w:r>
      <w:r w:rsidRPr="00410E50">
        <w:rPr>
          <w:rFonts w:ascii="Times New Roman" w:hAnsi="Times New Roman"/>
          <w:b/>
          <w:bCs/>
          <w:noProof/>
          <w:sz w:val="24"/>
          <w:szCs w:val="24"/>
        </w:rPr>
        <w:t xml:space="preserve">Evropski center </w:t>
      </w:r>
      <w:r w:rsidRPr="00410E50">
        <w:rPr>
          <w:rFonts w:ascii="Times New Roman" w:hAnsi="Times New Roman"/>
          <w:b/>
          <w:bCs/>
          <w:noProof/>
          <w:sz w:val="24"/>
          <w:szCs w:val="24"/>
        </w:rPr>
        <w:t>za preprečevanje in obvladovanje bolezni</w:t>
      </w:r>
      <w:r w:rsidRPr="00410E50">
        <w:rPr>
          <w:rFonts w:ascii="Times New Roman" w:hAnsi="Times New Roman"/>
          <w:noProof/>
          <w:sz w:val="24"/>
          <w:szCs w:val="24"/>
        </w:rPr>
        <w:t xml:space="preserve">, države kandidatke na Zahodnem Balkanu pa so bile v </w:t>
      </w:r>
      <w:r w:rsidRPr="00410E50">
        <w:rPr>
          <w:rFonts w:ascii="Times New Roman" w:hAnsi="Times New Roman"/>
          <w:b/>
          <w:bCs/>
          <w:noProof/>
          <w:sz w:val="24"/>
          <w:szCs w:val="24"/>
        </w:rPr>
        <w:t>Odbor EU za zdravstveno varnost</w:t>
      </w:r>
      <w:r w:rsidRPr="00410E50">
        <w:rPr>
          <w:rFonts w:ascii="Times New Roman" w:hAnsi="Times New Roman"/>
          <w:noProof/>
          <w:sz w:val="24"/>
          <w:szCs w:val="24"/>
        </w:rPr>
        <w:t xml:space="preserve"> povabljene kot opazovalke in imajo dostop do ustreznega </w:t>
      </w:r>
      <w:r w:rsidRPr="00410E50">
        <w:rPr>
          <w:rFonts w:ascii="Times New Roman" w:hAnsi="Times New Roman"/>
          <w:b/>
          <w:bCs/>
          <w:noProof/>
          <w:sz w:val="24"/>
          <w:szCs w:val="24"/>
        </w:rPr>
        <w:t>sistema zgodnjega obveščanja in odzivanja</w:t>
      </w:r>
      <w:r w:rsidRPr="00410E50">
        <w:rPr>
          <w:rFonts w:ascii="Times New Roman" w:hAnsi="Times New Roman"/>
          <w:noProof/>
          <w:sz w:val="24"/>
          <w:szCs w:val="24"/>
        </w:rPr>
        <w:t>.</w:t>
      </w:r>
    </w:p>
    <w:p w:rsidR="00E9742B" w:rsidRPr="00410E50" w:rsidRDefault="00410E50" w:rsidP="00410E50">
      <w:pPr>
        <w:spacing w:line="240" w:lineRule="auto"/>
        <w:jc w:val="both"/>
        <w:rPr>
          <w:rFonts w:ascii="Times New Roman" w:hAnsi="Times New Roman" w:cs="Times New Roman"/>
          <w:noProof/>
          <w:sz w:val="24"/>
          <w:szCs w:val="24"/>
        </w:rPr>
      </w:pPr>
      <w:bookmarkStart w:id="1" w:name="_GoBack"/>
      <w:bookmarkEnd w:id="1"/>
      <w:r w:rsidRPr="00410E50">
        <w:rPr>
          <w:rFonts w:ascii="Times New Roman" w:hAnsi="Times New Roman" w:cs="Times New Roman"/>
          <w:noProof/>
          <w:sz w:val="24"/>
          <w:szCs w:val="24"/>
        </w:rPr>
        <w:t>S skupnim predlogom stalnega se</w:t>
      </w:r>
      <w:r w:rsidRPr="00410E50">
        <w:rPr>
          <w:rFonts w:ascii="Times New Roman" w:hAnsi="Times New Roman" w:cs="Times New Roman"/>
          <w:noProof/>
          <w:sz w:val="24"/>
          <w:szCs w:val="24"/>
        </w:rPr>
        <w:t>kretariata prometne skupnosti in Cefte je bilo zagotovljeno, da je bil pojem „zelenih voznih pasov“ razširjen na Zahodni Balkan, kar je zagotovilo hiter pretok bistvenega blaga v regiji. Komisija je pripravljena, da regijo tesno poveže z izvajanjem svojega</w:t>
      </w:r>
      <w:r w:rsidRPr="00410E50">
        <w:rPr>
          <w:rFonts w:ascii="Times New Roman" w:hAnsi="Times New Roman" w:cs="Times New Roman"/>
          <w:noProof/>
          <w:sz w:val="24"/>
          <w:szCs w:val="24"/>
        </w:rPr>
        <w:t xml:space="preserve"> „</w:t>
      </w:r>
      <w:r w:rsidRPr="00410E50">
        <w:rPr>
          <w:rFonts w:ascii="Times New Roman" w:hAnsi="Times New Roman" w:cs="Times New Roman"/>
          <w:b/>
          <w:noProof/>
          <w:sz w:val="24"/>
          <w:szCs w:val="24"/>
        </w:rPr>
        <w:t>skupnega evropskega časovnega načrta</w:t>
      </w:r>
      <w:r w:rsidRPr="00410E50">
        <w:rPr>
          <w:rFonts w:ascii="Times New Roman" w:hAnsi="Times New Roman" w:cs="Times New Roman"/>
          <w:noProof/>
          <w:sz w:val="24"/>
          <w:szCs w:val="24"/>
        </w:rPr>
        <w:t xml:space="preserve"> za odpravo ukrepov za zajezitev COVID-19“. Komisija je poleg izrednih razmer na področju zdravja </w:t>
      </w:r>
      <w:r w:rsidRPr="00410E50">
        <w:rPr>
          <w:rFonts w:ascii="Times New Roman" w:hAnsi="Times New Roman" w:cs="Times New Roman"/>
          <w:noProof/>
          <w:color w:val="000000"/>
          <w:sz w:val="24"/>
          <w:szCs w:val="24"/>
          <w:u w:color="000000"/>
          <w14:textOutline w14:w="0" w14:cap="flat" w14:cmpd="sng" w14:algn="ctr">
            <w14:noFill/>
            <w14:prstDash w14:val="solid"/>
            <w14:bevel/>
          </w14:textOutline>
        </w:rPr>
        <w:t>in z njimi povezanih omejitev gibanja blaga in potnikov dolgoročno zavezana tudi k boljši povezljivosti z Zahodnim Balka</w:t>
      </w:r>
      <w:r w:rsidRPr="00410E50">
        <w:rPr>
          <w:rFonts w:ascii="Times New Roman" w:hAnsi="Times New Roman" w:cs="Times New Roman"/>
          <w:noProof/>
          <w:color w:val="000000"/>
          <w:sz w:val="24"/>
          <w:szCs w:val="24"/>
          <w:u w:color="000000"/>
          <w14:textOutline w14:w="0" w14:cap="flat" w14:cmpd="sng" w14:algn="ctr">
            <w14:noFill/>
            <w14:prstDash w14:val="solid"/>
            <w14:bevel/>
          </w14:textOutline>
        </w:rPr>
        <w:t>nom in odpravi strukturnih ozkih grl na mejah med EU in Zahodnim Balkanom.</w:t>
      </w:r>
      <w:r w:rsidRPr="00410E50">
        <w:rPr>
          <w:rFonts w:ascii="Times New Roman" w:hAnsi="Times New Roman" w:cs="Times New Roman"/>
          <w:noProof/>
          <w:sz w:val="24"/>
          <w:szCs w:val="24"/>
        </w:rPr>
        <w:t xml:space="preserve"> Komisija je izdala tudi smernice</w:t>
      </w:r>
      <w:r w:rsidRPr="00410E50">
        <w:rPr>
          <w:rStyle w:val="FootnoteReference"/>
          <w:rFonts w:ascii="Times New Roman" w:hAnsi="Times New Roman" w:cs="Times New Roman"/>
          <w:noProof/>
          <w:sz w:val="24"/>
          <w:szCs w:val="24"/>
        </w:rPr>
        <w:footnoteReference w:id="9"/>
      </w:r>
      <w:r w:rsidRPr="00410E50">
        <w:rPr>
          <w:rFonts w:ascii="Times New Roman" w:hAnsi="Times New Roman" w:cs="Times New Roman"/>
          <w:noProof/>
          <w:sz w:val="24"/>
          <w:szCs w:val="24"/>
        </w:rPr>
        <w:t xml:space="preserve"> o tem, kako uvesti </w:t>
      </w:r>
      <w:r w:rsidRPr="00410E50">
        <w:rPr>
          <w:rFonts w:ascii="Times New Roman" w:hAnsi="Times New Roman" w:cs="Times New Roman"/>
          <w:b/>
          <w:noProof/>
          <w:sz w:val="24"/>
          <w:szCs w:val="24"/>
        </w:rPr>
        <w:t>začasne omejitve potovanj</w:t>
      </w:r>
      <w:r w:rsidRPr="00410E50">
        <w:rPr>
          <w:rFonts w:ascii="Times New Roman" w:hAnsi="Times New Roman" w:cs="Times New Roman"/>
          <w:noProof/>
          <w:sz w:val="24"/>
          <w:szCs w:val="24"/>
        </w:rPr>
        <w:t>, ki se uporabljajo za vsa nenujna poto</w:t>
      </w:r>
      <w:r w:rsidRPr="00410E50">
        <w:rPr>
          <w:rFonts w:ascii="Times New Roman" w:hAnsi="Times New Roman" w:cs="Times New Roman"/>
          <w:noProof/>
          <w:sz w:val="24"/>
          <w:szCs w:val="24"/>
        </w:rPr>
        <w:t>vanja iz tretjih držav v EU, vključno z obravnavo tistih oseb, ki so prisiljene ostati v EU dlje, kot jim je bilo dovoljeno.</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To sodelovanje med EU in Zahodnim Balkanom ter podpora iz EU </w:t>
      </w:r>
      <w:r w:rsidRPr="00410E50">
        <w:rPr>
          <w:rFonts w:ascii="Times New Roman" w:hAnsi="Times New Roman" w:cs="Times New Roman"/>
          <w:b/>
          <w:bCs/>
          <w:noProof/>
          <w:sz w:val="24"/>
          <w:szCs w:val="24"/>
        </w:rPr>
        <w:t>močno presegata vse, kar je katera koli druga partnerica zagotovila t</w:t>
      </w:r>
      <w:r w:rsidRPr="00410E50">
        <w:rPr>
          <w:rFonts w:ascii="Times New Roman" w:hAnsi="Times New Roman" w:cs="Times New Roman"/>
          <w:b/>
          <w:bCs/>
          <w:noProof/>
          <w:sz w:val="24"/>
          <w:szCs w:val="24"/>
        </w:rPr>
        <w:t>ej regiji</w:t>
      </w:r>
      <w:r w:rsidRPr="00410E50">
        <w:rPr>
          <w:rFonts w:ascii="Times New Roman" w:hAnsi="Times New Roman" w:cs="Times New Roman"/>
          <w:noProof/>
          <w:sz w:val="24"/>
          <w:szCs w:val="24"/>
        </w:rPr>
        <w:t>, v tem pa se odraža strateški pomen regije za EU. Institucije EU niso samo izvajale intenzivnih komunikacijskih kampanj o zagotavljanju pomoči s strani EU, ampak tudi objavljale sporočila za medije s terena skupaj z državami članicami EU, podprle</w:t>
      </w:r>
      <w:r w:rsidRPr="00410E50">
        <w:rPr>
          <w:rFonts w:ascii="Times New Roman" w:hAnsi="Times New Roman" w:cs="Times New Roman"/>
          <w:noProof/>
          <w:sz w:val="24"/>
          <w:szCs w:val="24"/>
        </w:rPr>
        <w:t xml:space="preserve"> pobude, kot je „Ostani doma“, in prispevale k razširjanju informacij o dejstvih v zvezi s COVID-19.</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V zvezi s tem se je treba javno in izrazito odzvati na poskuse napačne predstavitve izvora krize in prizadevanj za njeno obvladovanje, hkrati pa okrepiti s</w:t>
      </w:r>
      <w:r w:rsidRPr="00410E50">
        <w:rPr>
          <w:rFonts w:ascii="Times New Roman" w:hAnsi="Times New Roman" w:cs="Times New Roman"/>
          <w:noProof/>
          <w:sz w:val="24"/>
          <w:szCs w:val="24"/>
        </w:rPr>
        <w:t>odelovanje pri ohranjanju svobode izražanja in medijev.</w:t>
      </w: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rPr>
      </w:pPr>
    </w:p>
    <w:p w:rsidR="00E9742B" w:rsidRPr="00410E50" w:rsidRDefault="00410E50" w:rsidP="00410E50">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410E50">
        <w:rPr>
          <w:rFonts w:ascii="Times New Roman" w:hAnsi="Times New Roman"/>
          <w:b/>
          <w:bCs/>
          <w:noProof/>
          <w:sz w:val="24"/>
          <w:szCs w:val="24"/>
        </w:rPr>
        <w:t xml:space="preserve">Po COVID-19 – gospodarski in naložbeni načrt za okrevanje </w:t>
      </w:r>
    </w:p>
    <w:p w:rsidR="00E9742B" w:rsidRPr="00410E50" w:rsidRDefault="00410E50" w:rsidP="00410E50">
      <w:pPr>
        <w:pStyle w:val="FootnoteText"/>
        <w:spacing w:after="120"/>
        <w:jc w:val="both"/>
        <w:rPr>
          <w:rFonts w:ascii="Times New Roman" w:eastAsia="Times New Roman" w:hAnsi="Times New Roman"/>
          <w:noProof/>
          <w:sz w:val="24"/>
          <w:szCs w:val="24"/>
        </w:rPr>
      </w:pPr>
      <w:r w:rsidRPr="00410E50">
        <w:rPr>
          <w:rFonts w:ascii="Times New Roman" w:hAnsi="Times New Roman"/>
          <w:noProof/>
          <w:sz w:val="24"/>
          <w:szCs w:val="24"/>
        </w:rPr>
        <w:t xml:space="preserve">Zahodni Balkan bo potreboval stalno podporo pri </w:t>
      </w:r>
      <w:r w:rsidRPr="00410E50">
        <w:rPr>
          <w:rFonts w:ascii="Times New Roman" w:hAnsi="Times New Roman"/>
          <w:b/>
          <w:bCs/>
          <w:noProof/>
          <w:sz w:val="24"/>
          <w:szCs w:val="24"/>
        </w:rPr>
        <w:t>obravnavi učinka krize zaradi COVID-19</w:t>
      </w:r>
      <w:r w:rsidRPr="00410E50">
        <w:rPr>
          <w:rFonts w:ascii="Times New Roman" w:hAnsi="Times New Roman"/>
          <w:noProof/>
          <w:sz w:val="24"/>
          <w:szCs w:val="24"/>
        </w:rPr>
        <w:t>.</w:t>
      </w:r>
      <w:r w:rsidRPr="00410E50">
        <w:rPr>
          <w:rFonts w:ascii="Times New Roman" w:hAnsi="Times New Roman"/>
          <w:b/>
          <w:bCs/>
          <w:noProof/>
          <w:sz w:val="24"/>
          <w:szCs w:val="24"/>
        </w:rPr>
        <w:t xml:space="preserve"> </w:t>
      </w:r>
      <w:r w:rsidRPr="00410E50">
        <w:rPr>
          <w:rFonts w:ascii="Times New Roman" w:hAnsi="Times New Roman"/>
          <w:noProof/>
          <w:sz w:val="24"/>
          <w:szCs w:val="24"/>
        </w:rPr>
        <w:t xml:space="preserve">Ko bodo takojšnji ukrepi za zajezitev pandemije COVID-19 sproščeni, se bo začela nova faza tesnega sodelovanja, da bi odpravili resni socialno-ekonomski učinek krize. Evropska komisija bo pozneje letos predložila </w:t>
      </w:r>
      <w:r w:rsidRPr="00410E50">
        <w:rPr>
          <w:rFonts w:ascii="Times New Roman" w:hAnsi="Times New Roman"/>
          <w:b/>
          <w:bCs/>
          <w:noProof/>
          <w:sz w:val="24"/>
          <w:szCs w:val="24"/>
        </w:rPr>
        <w:t>gospodarski in naložbeni načrt za regijo</w:t>
      </w:r>
      <w:r w:rsidRPr="00410E50">
        <w:rPr>
          <w:rFonts w:ascii="Times New Roman" w:hAnsi="Times New Roman"/>
          <w:noProof/>
          <w:sz w:val="24"/>
          <w:szCs w:val="24"/>
        </w:rPr>
        <w:t xml:space="preserve">.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Načrt bo vključeval </w:t>
      </w:r>
      <w:r w:rsidRPr="00410E50">
        <w:rPr>
          <w:rFonts w:ascii="Times New Roman" w:hAnsi="Times New Roman" w:cs="Times New Roman"/>
          <w:b/>
          <w:bCs/>
          <w:noProof/>
          <w:sz w:val="24"/>
          <w:szCs w:val="24"/>
        </w:rPr>
        <w:t>obsežen naložbeni sveženj za regijo</w:t>
      </w:r>
      <w:r w:rsidRPr="00410E50">
        <w:rPr>
          <w:rFonts w:ascii="Times New Roman" w:hAnsi="Times New Roman" w:cs="Times New Roman"/>
          <w:noProof/>
          <w:sz w:val="24"/>
          <w:szCs w:val="24"/>
        </w:rPr>
        <w:t xml:space="preserve">. Komisija je 2. maja 2018 za </w:t>
      </w:r>
      <w:r w:rsidRPr="00410E50">
        <w:rPr>
          <w:rFonts w:ascii="Times New Roman" w:hAnsi="Times New Roman" w:cs="Times New Roman"/>
          <w:b/>
          <w:bCs/>
          <w:noProof/>
          <w:sz w:val="24"/>
          <w:szCs w:val="24"/>
        </w:rPr>
        <w:t>obdobje 2021–2027</w:t>
      </w:r>
      <w:r w:rsidRPr="00410E50">
        <w:rPr>
          <w:rFonts w:ascii="Times New Roman" w:hAnsi="Times New Roman" w:cs="Times New Roman"/>
          <w:noProof/>
          <w:sz w:val="24"/>
          <w:szCs w:val="24"/>
        </w:rPr>
        <w:t xml:space="preserve"> predlagala sredstva za predpristopni instrument III v višini skupaj 14,5 milijarde EUR, od katerih je levji delež namenjen Zahodnemu Balkanu. Komisija pr</w:t>
      </w:r>
      <w:r w:rsidRPr="00410E50">
        <w:rPr>
          <w:rFonts w:ascii="Times New Roman" w:hAnsi="Times New Roman" w:cs="Times New Roman"/>
          <w:noProof/>
          <w:sz w:val="24"/>
          <w:szCs w:val="24"/>
        </w:rPr>
        <w:t xml:space="preserve">edvideva, da se bo znotraj naložbenega okvira za Zahodni Balkan </w:t>
      </w:r>
      <w:r w:rsidRPr="00410E50">
        <w:rPr>
          <w:rFonts w:ascii="Times New Roman" w:hAnsi="Times New Roman" w:cs="Times New Roman"/>
          <w:b/>
          <w:bCs/>
          <w:noProof/>
          <w:sz w:val="24"/>
          <w:szCs w:val="24"/>
        </w:rPr>
        <w:t>podvojilo zagotavljanje nepovratnih sredstev</w:t>
      </w:r>
      <w:r w:rsidRPr="00410E50">
        <w:rPr>
          <w:rFonts w:ascii="Times New Roman" w:hAnsi="Times New Roman" w:cs="Times New Roman"/>
          <w:noProof/>
          <w:sz w:val="24"/>
          <w:szCs w:val="24"/>
        </w:rPr>
        <w:t xml:space="preserve"> </w:t>
      </w:r>
      <w:r w:rsidRPr="00410E50">
        <w:rPr>
          <w:rFonts w:ascii="Times New Roman" w:hAnsi="Times New Roman" w:cs="Times New Roman"/>
          <w:noProof/>
          <w:sz w:val="24"/>
          <w:szCs w:val="24"/>
        </w:rPr>
        <w:t xml:space="preserve">za podporo razvoja zasebnega sektorja, povezljivosti, digitalizacije, zelene agende in socialnih naložb. Prav tako predvideva znatno povečanje </w:t>
      </w:r>
      <w:r w:rsidRPr="00410E50">
        <w:rPr>
          <w:rFonts w:ascii="Times New Roman" w:hAnsi="Times New Roman" w:cs="Times New Roman"/>
          <w:b/>
          <w:bCs/>
          <w:noProof/>
          <w:sz w:val="24"/>
          <w:szCs w:val="24"/>
        </w:rPr>
        <w:t>fina</w:t>
      </w:r>
      <w:r w:rsidRPr="00410E50">
        <w:rPr>
          <w:rFonts w:ascii="Times New Roman" w:hAnsi="Times New Roman" w:cs="Times New Roman"/>
          <w:b/>
          <w:bCs/>
          <w:noProof/>
          <w:sz w:val="24"/>
          <w:szCs w:val="24"/>
        </w:rPr>
        <w:t>nčnih jamstev za podporo javnih in zasebnih naložb</w:t>
      </w:r>
      <w:r w:rsidRPr="00410E50">
        <w:rPr>
          <w:rFonts w:ascii="Times New Roman" w:hAnsi="Times New Roman" w:cs="Times New Roman"/>
          <w:noProof/>
          <w:sz w:val="24"/>
          <w:szCs w:val="24"/>
        </w:rPr>
        <w:t xml:space="preserve"> v regiji</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 xml:space="preserve">prek namenskega </w:t>
      </w:r>
      <w:r w:rsidRPr="00410E50">
        <w:rPr>
          <w:rFonts w:ascii="Times New Roman" w:hAnsi="Times New Roman" w:cs="Times New Roman"/>
          <w:b/>
          <w:bCs/>
          <w:noProof/>
          <w:sz w:val="24"/>
          <w:szCs w:val="24"/>
        </w:rPr>
        <w:t>jamstvenega instrumenta znotraj naložbenega okvira za Zahodni Balkan</w:t>
      </w:r>
      <w:r w:rsidRPr="00410E50">
        <w:rPr>
          <w:rFonts w:ascii="Times New Roman" w:hAnsi="Times New Roman" w:cs="Times New Roman"/>
          <w:noProof/>
          <w:sz w:val="24"/>
          <w:szCs w:val="24"/>
        </w:rPr>
        <w:t xml:space="preserve">.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b/>
          <w:bCs/>
          <w:noProof/>
          <w:sz w:val="24"/>
          <w:szCs w:val="24"/>
        </w:rPr>
        <w:t>Prehod na zeleno gospodarstvo in digitalna preobrazba</w:t>
      </w:r>
      <w:r w:rsidRPr="00410E50">
        <w:rPr>
          <w:rFonts w:ascii="Times New Roman" w:hAnsi="Times New Roman" w:cs="Times New Roman"/>
          <w:noProof/>
          <w:sz w:val="24"/>
          <w:szCs w:val="24"/>
        </w:rPr>
        <w:t xml:space="preserve"> bosta imela osrednjo vlogo pri oživitvi in posodobitvi </w:t>
      </w:r>
      <w:r w:rsidRPr="00410E50">
        <w:rPr>
          <w:rFonts w:ascii="Times New Roman" w:hAnsi="Times New Roman" w:cs="Times New Roman"/>
          <w:noProof/>
          <w:sz w:val="24"/>
          <w:szCs w:val="24"/>
        </w:rPr>
        <w:t xml:space="preserve">gospodarstev Zahodnega Balkana. Naložbe v čiste in digitalne tehnologije in zmogljivosti, skupaj s krožnim gospodarstvom, bodo prispevale k ustvarjanju delovnih mest in rasti. Zagotovljena bo tudi podpora za izboljšanje </w:t>
      </w:r>
      <w:r w:rsidRPr="00410E50">
        <w:rPr>
          <w:rFonts w:ascii="Times New Roman" w:hAnsi="Times New Roman" w:cs="Times New Roman"/>
          <w:b/>
          <w:bCs/>
          <w:noProof/>
          <w:sz w:val="24"/>
          <w:szCs w:val="24"/>
        </w:rPr>
        <w:t>konkurenčnosti</w:t>
      </w:r>
      <w:r w:rsidRPr="00410E50">
        <w:rPr>
          <w:rFonts w:ascii="Times New Roman" w:hAnsi="Times New Roman" w:cs="Times New Roman"/>
          <w:noProof/>
          <w:sz w:val="24"/>
          <w:szCs w:val="24"/>
        </w:rPr>
        <w:t xml:space="preserve"> gospodarstev Zahodneg</w:t>
      </w:r>
      <w:r w:rsidRPr="00410E50">
        <w:rPr>
          <w:rFonts w:ascii="Times New Roman" w:hAnsi="Times New Roman" w:cs="Times New Roman"/>
          <w:noProof/>
          <w:sz w:val="24"/>
          <w:szCs w:val="24"/>
        </w:rPr>
        <w:t xml:space="preserve">a Balkana, </w:t>
      </w:r>
      <w:r w:rsidRPr="00410E50">
        <w:rPr>
          <w:rFonts w:ascii="Times New Roman" w:hAnsi="Times New Roman" w:cs="Times New Roman"/>
          <w:b/>
          <w:bCs/>
          <w:noProof/>
          <w:sz w:val="24"/>
          <w:szCs w:val="24"/>
        </w:rPr>
        <w:t>boljše povezovanje teh gospodarstev znotraj regije in z EU</w:t>
      </w:r>
      <w:r w:rsidRPr="00410E50">
        <w:rPr>
          <w:rFonts w:ascii="Times New Roman" w:hAnsi="Times New Roman" w:cs="Times New Roman"/>
          <w:noProof/>
          <w:sz w:val="24"/>
          <w:szCs w:val="24"/>
        </w:rPr>
        <w:t xml:space="preserve"> ter za pomoč Zahodnemu Balkanu, da se </w:t>
      </w:r>
      <w:r w:rsidRPr="00410E50">
        <w:rPr>
          <w:rFonts w:ascii="Times New Roman" w:hAnsi="Times New Roman" w:cs="Times New Roman"/>
          <w:b/>
          <w:bCs/>
          <w:noProof/>
          <w:sz w:val="24"/>
          <w:szCs w:val="24"/>
        </w:rPr>
        <w:t>prilagodi digitalni dobi</w:t>
      </w:r>
      <w:r w:rsidRPr="00410E50">
        <w:rPr>
          <w:rFonts w:ascii="Times New Roman" w:hAnsi="Times New Roman" w:cs="Times New Roman"/>
          <w:noProof/>
          <w:sz w:val="24"/>
          <w:szCs w:val="24"/>
        </w:rPr>
        <w:t xml:space="preserve">. Podpora bo zagotovljena gospodarstvu za ljudi, tudi s sodelovanjem na področju </w:t>
      </w:r>
      <w:r w:rsidRPr="00410E50">
        <w:rPr>
          <w:rFonts w:ascii="Times New Roman" w:hAnsi="Times New Roman" w:cs="Times New Roman"/>
          <w:b/>
          <w:bCs/>
          <w:noProof/>
          <w:sz w:val="24"/>
          <w:szCs w:val="24"/>
        </w:rPr>
        <w:t>izobraževanja</w:t>
      </w:r>
      <w:r w:rsidRPr="00410E50">
        <w:rPr>
          <w:rFonts w:ascii="Times New Roman" w:hAnsi="Times New Roman" w:cs="Times New Roman"/>
          <w:noProof/>
          <w:sz w:val="24"/>
          <w:szCs w:val="24"/>
        </w:rPr>
        <w:t xml:space="preserve"> in </w:t>
      </w:r>
      <w:r w:rsidRPr="00410E50">
        <w:rPr>
          <w:rFonts w:ascii="Times New Roman" w:hAnsi="Times New Roman" w:cs="Times New Roman"/>
          <w:b/>
          <w:bCs/>
          <w:noProof/>
          <w:sz w:val="24"/>
          <w:szCs w:val="24"/>
        </w:rPr>
        <w:t>zdravja</w:t>
      </w:r>
      <w:r w:rsidRPr="00410E50">
        <w:rPr>
          <w:rFonts w:ascii="Times New Roman" w:hAnsi="Times New Roman" w:cs="Times New Roman"/>
          <w:bCs/>
          <w:noProof/>
          <w:sz w:val="24"/>
          <w:szCs w:val="24"/>
        </w:rPr>
        <w:t xml:space="preserve">, </w:t>
      </w:r>
      <w:r w:rsidRPr="00410E50">
        <w:rPr>
          <w:rFonts w:ascii="Times New Roman" w:hAnsi="Times New Roman" w:cs="Times New Roman"/>
          <w:noProof/>
          <w:sz w:val="24"/>
          <w:szCs w:val="24"/>
        </w:rPr>
        <w:t xml:space="preserve">da se med drugim </w:t>
      </w:r>
      <w:r w:rsidRPr="00410E50">
        <w:rPr>
          <w:rFonts w:ascii="Times New Roman" w:hAnsi="Times New Roman" w:cs="Times New Roman"/>
          <w:noProof/>
          <w:sz w:val="24"/>
          <w:szCs w:val="24"/>
        </w:rPr>
        <w:t>okrepi odpornost zdravstvenih sistemov</w:t>
      </w:r>
      <w:r w:rsidRPr="00410E50">
        <w:rPr>
          <w:rFonts w:ascii="Times New Roman" w:hAnsi="Times New Roman" w:cs="Times New Roman"/>
          <w:bCs/>
          <w:noProof/>
          <w:sz w:val="24"/>
          <w:szCs w:val="24"/>
        </w:rPr>
        <w:t xml:space="preserve">, </w:t>
      </w:r>
      <w:r w:rsidRPr="00410E50">
        <w:rPr>
          <w:rFonts w:ascii="Times New Roman" w:hAnsi="Times New Roman" w:cs="Times New Roman"/>
          <w:b/>
          <w:bCs/>
          <w:noProof/>
          <w:sz w:val="24"/>
          <w:szCs w:val="24"/>
        </w:rPr>
        <w:t>socialne zaščite in vključenosti</w:t>
      </w:r>
      <w:r w:rsidRPr="00410E50">
        <w:rPr>
          <w:rFonts w:ascii="Times New Roman" w:hAnsi="Times New Roman" w:cs="Times New Roman"/>
          <w:noProof/>
          <w:sz w:val="24"/>
          <w:szCs w:val="24"/>
        </w:rPr>
        <w:t>, enakih priložnosti,</w:t>
      </w:r>
      <w:r w:rsidRPr="00410E50">
        <w:rPr>
          <w:rFonts w:ascii="Times New Roman" w:hAnsi="Times New Roman" w:cs="Times New Roman"/>
          <w:noProof/>
          <w:sz w:val="24"/>
          <w:szCs w:val="24"/>
        </w:rPr>
        <w:t xml:space="preserve"> dostopa do trga dela, zlasti s povečanim zagotavljanjem aktivnih politik trga dela, </w:t>
      </w:r>
      <w:r w:rsidRPr="00410E50">
        <w:rPr>
          <w:rFonts w:ascii="Times New Roman" w:hAnsi="Times New Roman" w:cs="Times New Roman"/>
          <w:b/>
          <w:noProof/>
          <w:sz w:val="24"/>
          <w:szCs w:val="24"/>
        </w:rPr>
        <w:t>poštenih delovnih pogojev</w:t>
      </w:r>
      <w:r w:rsidRPr="00410E50">
        <w:rPr>
          <w:rFonts w:ascii="Times New Roman" w:hAnsi="Times New Roman" w:cs="Times New Roman"/>
          <w:noProof/>
          <w:sz w:val="24"/>
          <w:szCs w:val="24"/>
        </w:rPr>
        <w:t xml:space="preserve">, med drugim s podporo okrepitvi socialnega dialoga, </w:t>
      </w:r>
      <w:r w:rsidRPr="00410E50">
        <w:rPr>
          <w:rFonts w:ascii="Times New Roman" w:hAnsi="Times New Roman" w:cs="Times New Roman"/>
          <w:noProof/>
          <w:sz w:val="24"/>
          <w:szCs w:val="24"/>
        </w:rPr>
        <w:t>kulture ter raziskav in inovacij.</w:t>
      </w:r>
    </w:p>
    <w:p w:rsidR="00E9742B" w:rsidRPr="00410E50" w:rsidRDefault="00410E50" w:rsidP="00410E50">
      <w:pPr>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Močan poudarek bo na </w:t>
      </w:r>
      <w:r w:rsidRPr="00410E50">
        <w:rPr>
          <w:rFonts w:ascii="Times New Roman" w:hAnsi="Times New Roman" w:cs="Times New Roman"/>
          <w:b/>
          <w:bCs/>
          <w:noProof/>
          <w:sz w:val="24"/>
          <w:szCs w:val="24"/>
        </w:rPr>
        <w:t>prometu in energetskih povezavah</w:t>
      </w:r>
      <w:r w:rsidRPr="00410E50">
        <w:rPr>
          <w:rFonts w:ascii="Times New Roman" w:hAnsi="Times New Roman" w:cs="Times New Roman"/>
          <w:noProof/>
          <w:sz w:val="24"/>
          <w:szCs w:val="24"/>
        </w:rPr>
        <w:t>, ki so ključnega pomena za gospodarski razvoj regije in EU. Letos namerava EU predlagati sveženj v višini 135 milijonov EUR</w:t>
      </w:r>
      <w:r w:rsidRPr="00410E50">
        <w:rPr>
          <w:rFonts w:ascii="Times New Roman" w:eastAsia="Times New Roman" w:hAnsi="Times New Roman" w:cs="Times New Roman"/>
          <w:noProof/>
          <w:sz w:val="24"/>
          <w:szCs w:val="24"/>
          <w:vertAlign w:val="superscript"/>
        </w:rPr>
        <w:footnoteReference w:id="10"/>
      </w:r>
      <w:r w:rsidRPr="00410E50">
        <w:rPr>
          <w:rFonts w:ascii="Times New Roman" w:hAnsi="Times New Roman" w:cs="Times New Roman"/>
          <w:noProof/>
          <w:sz w:val="24"/>
          <w:szCs w:val="24"/>
        </w:rPr>
        <w:t xml:space="preserve"> za financiranje šestih dodatnih infrastrukt</w:t>
      </w:r>
      <w:r w:rsidRPr="00410E50">
        <w:rPr>
          <w:rFonts w:ascii="Times New Roman" w:hAnsi="Times New Roman" w:cs="Times New Roman"/>
          <w:noProof/>
          <w:sz w:val="24"/>
          <w:szCs w:val="24"/>
        </w:rPr>
        <w:t xml:space="preserve">urnih naložbenih projektov v okviru agende na področju povezljivosti za Zahodni Balkan. S tem financiranjem bo </w:t>
      </w:r>
      <w:r w:rsidRPr="00410E50">
        <w:rPr>
          <w:rFonts w:ascii="Times New Roman" w:hAnsi="Times New Roman" w:cs="Times New Roman"/>
          <w:b/>
          <w:bCs/>
          <w:noProof/>
          <w:sz w:val="24"/>
          <w:szCs w:val="24"/>
        </w:rPr>
        <w:t>EU presegla zavezo iz leta 2015, s katero se je obvezala, da bo do leta 2020 zagotovila 1 milijardo EUR v obliki nepovratnih sredstev EU za agend</w:t>
      </w:r>
      <w:r w:rsidRPr="00410E50">
        <w:rPr>
          <w:rFonts w:ascii="Times New Roman" w:hAnsi="Times New Roman" w:cs="Times New Roman"/>
          <w:b/>
          <w:bCs/>
          <w:noProof/>
          <w:sz w:val="24"/>
          <w:szCs w:val="24"/>
        </w:rPr>
        <w:t>o na področju povezljivosti</w:t>
      </w:r>
      <w:r w:rsidRPr="00410E50">
        <w:rPr>
          <w:rFonts w:ascii="Times New Roman" w:hAnsi="Times New Roman" w:cs="Times New Roman"/>
          <w:noProof/>
          <w:sz w:val="24"/>
          <w:szCs w:val="24"/>
        </w:rPr>
        <w:t>. Ta sredstva bodo imela učinek finančnega vzvoda, na podlagi katerega bo mobiliziranih skoraj 4 milijarde EUR za 45 infrastrukturnih naložb, ki povezujejo regijo s prednostnimi prometnimi osmi vseevropskih omrežij (TEN-T), in pr</w:t>
      </w:r>
      <w:r w:rsidRPr="00410E50">
        <w:rPr>
          <w:rFonts w:ascii="Times New Roman" w:hAnsi="Times New Roman" w:cs="Times New Roman"/>
          <w:noProof/>
          <w:sz w:val="24"/>
          <w:szCs w:val="24"/>
        </w:rPr>
        <w:t>ojekte energetske skupnosti, ki so v vzajemnem interesu. Dejavno regionalno sodelovanje v okviru energetske skupnosti in pobude za energetske povezave v srednji in jugovzhodni Evropi je dobra podlaga za pospešitev naložb v te energetske povezave ter projek</w:t>
      </w:r>
      <w:r w:rsidRPr="00410E50">
        <w:rPr>
          <w:rFonts w:ascii="Times New Roman" w:hAnsi="Times New Roman" w:cs="Times New Roman"/>
          <w:noProof/>
          <w:sz w:val="24"/>
          <w:szCs w:val="24"/>
        </w:rPr>
        <w:t>te na področju energije iz obnovljivih virov in energetske učinkovitosti.</w:t>
      </w:r>
    </w:p>
    <w:p w:rsidR="00E9742B" w:rsidRPr="00410E50" w:rsidRDefault="00410E50" w:rsidP="00410E50">
      <w:pPr>
        <w:pStyle w:val="Body"/>
        <w:spacing w:after="120" w:line="240" w:lineRule="auto"/>
        <w:jc w:val="both"/>
        <w:rPr>
          <w:rFonts w:ascii="Times New Roman" w:hAnsi="Times New Roman" w:cs="Times New Roman"/>
          <w:noProof/>
          <w:sz w:val="24"/>
          <w:szCs w:val="24"/>
        </w:rPr>
      </w:pPr>
      <w:r w:rsidRPr="00410E50">
        <w:rPr>
          <w:rFonts w:ascii="Times New Roman" w:hAnsi="Times New Roman" w:cs="Times New Roman"/>
          <w:noProof/>
          <w:sz w:val="24"/>
          <w:szCs w:val="24"/>
        </w:rPr>
        <w:t xml:space="preserve">EU bo še naprej posvečala posebno pozornost </w:t>
      </w:r>
      <w:r w:rsidRPr="00410E50">
        <w:rPr>
          <w:rFonts w:ascii="Times New Roman" w:hAnsi="Times New Roman" w:cs="Times New Roman"/>
          <w:b/>
          <w:bCs/>
          <w:noProof/>
          <w:sz w:val="24"/>
          <w:szCs w:val="24"/>
        </w:rPr>
        <w:t>izzivom, s katerimi se soočajo mladi ljudje</w:t>
      </w:r>
      <w:r w:rsidRPr="00410E50">
        <w:rPr>
          <w:rFonts w:ascii="Times New Roman" w:hAnsi="Times New Roman" w:cs="Times New Roman"/>
          <w:noProof/>
          <w:sz w:val="24"/>
          <w:szCs w:val="24"/>
        </w:rPr>
        <w:t xml:space="preserve">, zlasti kar zadeva zaposlitvene možnosti, neenakost in ohranjanje mladih talentov v regiji, </w:t>
      </w:r>
      <w:r w:rsidRPr="00410E50">
        <w:rPr>
          <w:rFonts w:ascii="Times New Roman" w:hAnsi="Times New Roman" w:cs="Times New Roman"/>
          <w:b/>
          <w:bCs/>
          <w:noProof/>
          <w:sz w:val="24"/>
          <w:szCs w:val="24"/>
        </w:rPr>
        <w:t>da</w:t>
      </w:r>
      <w:r w:rsidRPr="00410E50">
        <w:rPr>
          <w:rFonts w:ascii="Times New Roman" w:hAnsi="Times New Roman" w:cs="Times New Roman"/>
          <w:b/>
          <w:bCs/>
          <w:noProof/>
          <w:sz w:val="24"/>
          <w:szCs w:val="24"/>
        </w:rPr>
        <w:t xml:space="preserve"> bi se bilo mogoče zoperstaviti begu možganov</w:t>
      </w:r>
      <w:r w:rsidRPr="00410E50">
        <w:rPr>
          <w:rFonts w:ascii="Times New Roman" w:hAnsi="Times New Roman" w:cs="Times New Roman"/>
          <w:b/>
          <w:noProof/>
          <w:color w:val="000000" w:themeColor="text1"/>
          <w:sz w:val="24"/>
          <w:szCs w:val="24"/>
        </w:rPr>
        <w:t xml:space="preserve"> in drugim demografskim izzivom</w:t>
      </w:r>
      <w:r w:rsidRPr="00410E50">
        <w:rPr>
          <w:rFonts w:ascii="Times New Roman" w:hAnsi="Times New Roman" w:cs="Times New Roman"/>
          <w:noProof/>
          <w:color w:val="000000" w:themeColor="text1"/>
          <w:sz w:val="24"/>
          <w:szCs w:val="24"/>
        </w:rPr>
        <w:t>, s katerimi se sooča regija</w:t>
      </w:r>
      <w:r w:rsidRPr="00410E50">
        <w:rPr>
          <w:rFonts w:ascii="Times New Roman" w:hAnsi="Times New Roman" w:cs="Times New Roman"/>
          <w:noProof/>
          <w:sz w:val="24"/>
          <w:szCs w:val="24"/>
        </w:rPr>
        <w:t xml:space="preserve">. Financiranje iz programa </w:t>
      </w:r>
      <w:r w:rsidRPr="00410E50">
        <w:rPr>
          <w:rFonts w:ascii="Times New Roman" w:hAnsi="Times New Roman" w:cs="Times New Roman"/>
          <w:b/>
          <w:bCs/>
          <w:noProof/>
          <w:sz w:val="24"/>
          <w:szCs w:val="24"/>
        </w:rPr>
        <w:t>Erasmus+, namenjeno regiji, se je od leta 2018 podvojilo</w:t>
      </w:r>
      <w:r w:rsidRPr="00410E50">
        <w:rPr>
          <w:rFonts w:ascii="Times New Roman" w:hAnsi="Times New Roman" w:cs="Times New Roman"/>
          <w:noProof/>
          <w:sz w:val="24"/>
          <w:szCs w:val="24"/>
        </w:rPr>
        <w:t xml:space="preserve"> (na več kot 65 milijonov EUR) skupaj s povečanim poudarkom na poklic</w:t>
      </w:r>
      <w:r w:rsidRPr="00410E50">
        <w:rPr>
          <w:rFonts w:ascii="Times New Roman" w:hAnsi="Times New Roman" w:cs="Times New Roman"/>
          <w:noProof/>
          <w:sz w:val="24"/>
          <w:szCs w:val="24"/>
        </w:rPr>
        <w:t xml:space="preserve">nem izobraževanju. V prihodnje bo še večji poudarek na digitalnih spretnostih in znanjih ter spretnostih in znanjih na področju raziskav in podjetništva, da bi se mladim omogočil uspeh in razvoj v digitalni dobi. </w:t>
      </w:r>
    </w:p>
    <w:p w:rsidR="00E9742B" w:rsidRPr="00410E50" w:rsidRDefault="00410E50" w:rsidP="00410E50">
      <w:pPr>
        <w:pStyle w:val="Body"/>
        <w:spacing w:after="120" w:line="240" w:lineRule="auto"/>
        <w:jc w:val="both"/>
        <w:rPr>
          <w:rFonts w:ascii="Times New Roman" w:eastAsia="Times New Roman" w:hAnsi="Times New Roman" w:cs="Times New Roman"/>
          <w:b/>
          <w:bCs/>
          <w:noProof/>
          <w:sz w:val="24"/>
          <w:szCs w:val="24"/>
        </w:rPr>
      </w:pPr>
      <w:r w:rsidRPr="00410E50">
        <w:rPr>
          <w:rFonts w:ascii="Times New Roman" w:hAnsi="Times New Roman" w:cs="Times New Roman"/>
          <w:noProof/>
          <w:sz w:val="24"/>
          <w:szCs w:val="24"/>
        </w:rPr>
        <w:t>Pandemija COVID-19 je izrazito opozorila n</w:t>
      </w:r>
      <w:r w:rsidRPr="00410E50">
        <w:rPr>
          <w:rFonts w:ascii="Times New Roman" w:hAnsi="Times New Roman" w:cs="Times New Roman"/>
          <w:noProof/>
          <w:sz w:val="24"/>
          <w:szCs w:val="24"/>
        </w:rPr>
        <w:t xml:space="preserve">a pomen pravilnega delovanja </w:t>
      </w:r>
      <w:r w:rsidRPr="00410E50">
        <w:rPr>
          <w:rFonts w:ascii="Times New Roman" w:hAnsi="Times New Roman" w:cs="Times New Roman"/>
          <w:b/>
          <w:bCs/>
          <w:noProof/>
          <w:sz w:val="24"/>
          <w:szCs w:val="24"/>
        </w:rPr>
        <w:t>enotnega trga</w:t>
      </w:r>
      <w:r w:rsidRPr="00410E50">
        <w:rPr>
          <w:rFonts w:ascii="Times New Roman" w:hAnsi="Times New Roman" w:cs="Times New Roman"/>
          <w:noProof/>
          <w:sz w:val="24"/>
          <w:szCs w:val="24"/>
        </w:rPr>
        <w:t xml:space="preserve"> EU kot ključnega elementa naše </w:t>
      </w:r>
      <w:r w:rsidRPr="00410E50">
        <w:rPr>
          <w:rFonts w:ascii="Times New Roman" w:hAnsi="Times New Roman" w:cs="Times New Roman"/>
          <w:b/>
          <w:bCs/>
          <w:noProof/>
          <w:sz w:val="24"/>
          <w:szCs w:val="24"/>
        </w:rPr>
        <w:t>blaginje</w:t>
      </w:r>
      <w:r w:rsidRPr="00410E50">
        <w:rPr>
          <w:rFonts w:ascii="Times New Roman" w:hAnsi="Times New Roman" w:cs="Times New Roman"/>
          <w:noProof/>
          <w:sz w:val="24"/>
          <w:szCs w:val="24"/>
        </w:rPr>
        <w:t xml:space="preserve"> in </w:t>
      </w:r>
      <w:r w:rsidRPr="00410E50">
        <w:rPr>
          <w:rFonts w:ascii="Times New Roman" w:hAnsi="Times New Roman" w:cs="Times New Roman"/>
          <w:b/>
          <w:bCs/>
          <w:noProof/>
          <w:sz w:val="24"/>
          <w:szCs w:val="24"/>
        </w:rPr>
        <w:t>odpornosti</w:t>
      </w:r>
      <w:r w:rsidRPr="00410E50">
        <w:rPr>
          <w:rFonts w:ascii="Times New Roman" w:hAnsi="Times New Roman" w:cs="Times New Roman"/>
          <w:noProof/>
          <w:sz w:val="24"/>
          <w:szCs w:val="24"/>
        </w:rPr>
        <w:t>.</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Prav tako je poudarila visoko stopnjo socialno-ekonomske soodvisnosti med gospodarstvi EU in Zahodnega Balkana ter znotraj same regije. Zato bo ključnega pome</w:t>
      </w:r>
      <w:r w:rsidRPr="00410E50">
        <w:rPr>
          <w:rFonts w:ascii="Times New Roman" w:hAnsi="Times New Roman" w:cs="Times New Roman"/>
          <w:noProof/>
          <w:sz w:val="24"/>
          <w:szCs w:val="24"/>
        </w:rPr>
        <w:t xml:space="preserve">na </w:t>
      </w:r>
      <w:r w:rsidRPr="00410E50">
        <w:rPr>
          <w:rFonts w:ascii="Times New Roman" w:hAnsi="Times New Roman" w:cs="Times New Roman"/>
          <w:b/>
          <w:bCs/>
          <w:noProof/>
          <w:sz w:val="24"/>
          <w:szCs w:val="24"/>
        </w:rPr>
        <w:t>učinkovitejše povezovanje gospodarstev Zahodnega Balkana – znotraj regije in z EU</w:t>
      </w:r>
      <w:r w:rsidRPr="00410E50">
        <w:rPr>
          <w:rFonts w:ascii="Times New Roman" w:hAnsi="Times New Roman" w:cs="Times New Roman"/>
          <w:noProof/>
          <w:sz w:val="24"/>
          <w:szCs w:val="24"/>
        </w:rPr>
        <w:t xml:space="preserve">. To zahteva močnejšo zavezanost vseh partneric z Zahodnega Balkana k poglabljanju vključujočega regionalnega gospodarskega povezovanja in </w:t>
      </w:r>
      <w:r w:rsidRPr="00410E50">
        <w:rPr>
          <w:rFonts w:ascii="Times New Roman" w:hAnsi="Times New Roman" w:cs="Times New Roman"/>
          <w:b/>
          <w:bCs/>
          <w:noProof/>
          <w:sz w:val="24"/>
          <w:szCs w:val="24"/>
        </w:rPr>
        <w:t>razvoju skupnega regionalnega trg</w:t>
      </w:r>
      <w:r w:rsidRPr="00410E50">
        <w:rPr>
          <w:rFonts w:ascii="Times New Roman" w:hAnsi="Times New Roman" w:cs="Times New Roman"/>
          <w:b/>
          <w:bCs/>
          <w:noProof/>
          <w:sz w:val="24"/>
          <w:szCs w:val="24"/>
        </w:rPr>
        <w:t>a</w:t>
      </w:r>
      <w:r w:rsidRPr="00410E50">
        <w:rPr>
          <w:rFonts w:ascii="Times New Roman" w:hAnsi="Times New Roman" w:cs="Times New Roman"/>
          <w:noProof/>
          <w:sz w:val="24"/>
          <w:szCs w:val="24"/>
        </w:rPr>
        <w:t xml:space="preserve">, kot je bilo dogovorjeno, na podlagi pravnega reda EU in ob spoštovanju zavez EU, zaradi česar bo </w:t>
      </w:r>
      <w:r w:rsidRPr="00410E50">
        <w:rPr>
          <w:rFonts w:ascii="Times New Roman" w:hAnsi="Times New Roman" w:cs="Times New Roman"/>
          <w:b/>
          <w:bCs/>
          <w:noProof/>
          <w:sz w:val="24"/>
          <w:szCs w:val="24"/>
        </w:rPr>
        <w:t>regija postala privlačnejše naložbeno območje</w:t>
      </w:r>
      <w:r w:rsidRPr="00410E50">
        <w:rPr>
          <w:rFonts w:ascii="Times New Roman" w:hAnsi="Times New Roman" w:cs="Times New Roman"/>
          <w:noProof/>
          <w:sz w:val="24"/>
          <w:szCs w:val="24"/>
        </w:rPr>
        <w:t>.</w:t>
      </w:r>
      <w:r w:rsidRPr="00410E50">
        <w:rPr>
          <w:rFonts w:ascii="Times New Roman" w:hAnsi="Times New Roman" w:cs="Times New Roman"/>
          <w:b/>
          <w:bCs/>
          <w:noProof/>
          <w:sz w:val="24"/>
          <w:szCs w:val="24"/>
        </w:rPr>
        <w:t xml:space="preserve">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Pri tem so bistvenega pomena </w:t>
      </w:r>
      <w:r w:rsidRPr="00410E50">
        <w:rPr>
          <w:rFonts w:ascii="Times New Roman" w:hAnsi="Times New Roman" w:cs="Times New Roman"/>
          <w:b/>
          <w:bCs/>
          <w:noProof/>
          <w:sz w:val="24"/>
          <w:szCs w:val="24"/>
        </w:rPr>
        <w:t>regionalne organizacije</w:t>
      </w:r>
      <w:r w:rsidRPr="00410E50">
        <w:rPr>
          <w:rFonts w:ascii="Times New Roman" w:hAnsi="Times New Roman" w:cs="Times New Roman"/>
          <w:noProof/>
          <w:sz w:val="24"/>
          <w:szCs w:val="24"/>
        </w:rPr>
        <w:t>, tj. Svet za regionalno sodelovanje, prometna skupnost,</w:t>
      </w:r>
      <w:r w:rsidRPr="00410E50">
        <w:rPr>
          <w:rFonts w:ascii="Times New Roman" w:hAnsi="Times New Roman" w:cs="Times New Roman"/>
          <w:noProof/>
          <w:sz w:val="24"/>
          <w:szCs w:val="24"/>
        </w:rPr>
        <w:t xml:space="preserve"> energetska skupnost in srednjeevropsko območje proste trgovine. Projekti, ki jih financira EU, so imeli tudi ključno vlogo pri zmanjševanju trgovinskih ovir</w:t>
      </w:r>
      <w:r w:rsidRPr="00410E50">
        <w:rPr>
          <w:rFonts w:ascii="Times New Roman" w:eastAsia="Times New Roman" w:hAnsi="Times New Roman" w:cs="Times New Roman"/>
          <w:noProof/>
          <w:sz w:val="24"/>
          <w:szCs w:val="24"/>
          <w:vertAlign w:val="superscript"/>
          <w:lang w:val="en-US"/>
        </w:rPr>
        <w:footnoteReference w:id="11"/>
      </w:r>
      <w:r w:rsidRPr="00410E50">
        <w:rPr>
          <w:rFonts w:ascii="Times New Roman" w:hAnsi="Times New Roman" w:cs="Times New Roman"/>
          <w:noProof/>
          <w:sz w:val="24"/>
          <w:szCs w:val="24"/>
        </w:rPr>
        <w:t>.</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Vsi ti podporni ukrepi imajo iste cilje: preoblikovati Zahodni Balkan v </w:t>
      </w:r>
      <w:r w:rsidRPr="00410E50">
        <w:rPr>
          <w:rFonts w:ascii="Times New Roman" w:hAnsi="Times New Roman" w:cs="Times New Roman"/>
          <w:b/>
          <w:bCs/>
          <w:noProof/>
          <w:sz w:val="24"/>
          <w:szCs w:val="24"/>
        </w:rPr>
        <w:t>delujoče tržno gospodars</w:t>
      </w:r>
      <w:r w:rsidRPr="00410E50">
        <w:rPr>
          <w:rFonts w:ascii="Times New Roman" w:hAnsi="Times New Roman" w:cs="Times New Roman"/>
          <w:b/>
          <w:bCs/>
          <w:noProof/>
          <w:sz w:val="24"/>
          <w:szCs w:val="24"/>
        </w:rPr>
        <w:t>tvo, ki se bo lahko popolnoma vključilo v enotni trg EU</w:t>
      </w:r>
      <w:r w:rsidRPr="00410E50">
        <w:rPr>
          <w:rFonts w:ascii="Times New Roman" w:hAnsi="Times New Roman" w:cs="Times New Roman"/>
          <w:noProof/>
          <w:sz w:val="24"/>
          <w:szCs w:val="24"/>
        </w:rPr>
        <w:t>, izboljšati poslovno in naložbeno ozračje, s čimer se bo prispevalo k povečanju trgovinskih tokov znotraj regije in z EU</w:t>
      </w:r>
      <w:r w:rsidRPr="00410E50">
        <w:rPr>
          <w:rFonts w:ascii="Times New Roman" w:eastAsia="Times New Roman" w:hAnsi="Times New Roman" w:cs="Times New Roman"/>
          <w:noProof/>
          <w:sz w:val="24"/>
          <w:szCs w:val="24"/>
          <w:vertAlign w:val="superscript"/>
          <w:lang w:val="en-US"/>
        </w:rPr>
        <w:footnoteReference w:id="12"/>
      </w:r>
      <w:r w:rsidRPr="00410E50">
        <w:rPr>
          <w:rFonts w:ascii="Times New Roman" w:hAnsi="Times New Roman" w:cs="Times New Roman"/>
          <w:noProof/>
          <w:sz w:val="24"/>
          <w:szCs w:val="24"/>
        </w:rPr>
        <w:t>, ustvariti delovna mesta in priložnosti, s čimer se bo zmanjšal beg možganov i</w:t>
      </w:r>
      <w:r w:rsidRPr="00410E50">
        <w:rPr>
          <w:rFonts w:ascii="Times New Roman" w:hAnsi="Times New Roman" w:cs="Times New Roman"/>
          <w:noProof/>
          <w:sz w:val="24"/>
          <w:szCs w:val="24"/>
        </w:rPr>
        <w:t>z regije. Sedanja kriza zato ne sme odvrniti pozornosti od ključnih strukturnih pomanjkljivosti, kot so visoka brezposelnost (zlasti med mladimi), nizka udeležba na trgu dela (zlasti žensk), neskladje med spretnostmi in znanji ter potrebami trga dela, neza</w:t>
      </w:r>
      <w:r w:rsidRPr="00410E50">
        <w:rPr>
          <w:rFonts w:ascii="Times New Roman" w:hAnsi="Times New Roman" w:cs="Times New Roman"/>
          <w:noProof/>
          <w:sz w:val="24"/>
          <w:szCs w:val="24"/>
        </w:rPr>
        <w:t xml:space="preserve">dostna socialna zaščita, nizka kmetijska produktivnost in konkurenčnost ter nediverzificirana oskrba z energijo in nizka energijska učinkovitost. Dobro uveljavljen gospodarski in finančni dialog, ki temelji na </w:t>
      </w:r>
      <w:r w:rsidRPr="00410E50">
        <w:rPr>
          <w:rFonts w:ascii="Times New Roman" w:hAnsi="Times New Roman" w:cs="Times New Roman"/>
          <w:b/>
          <w:bCs/>
          <w:noProof/>
          <w:sz w:val="24"/>
          <w:szCs w:val="24"/>
        </w:rPr>
        <w:t>programih gospodarskih reform</w:t>
      </w:r>
      <w:r w:rsidRPr="00410E50">
        <w:rPr>
          <w:rFonts w:ascii="Times New Roman" w:hAnsi="Times New Roman" w:cs="Times New Roman"/>
          <w:noProof/>
          <w:sz w:val="24"/>
          <w:szCs w:val="24"/>
        </w:rPr>
        <w:t xml:space="preserve"> partneric, ostaj</w:t>
      </w:r>
      <w:r w:rsidRPr="00410E50">
        <w:rPr>
          <w:rFonts w:ascii="Times New Roman" w:hAnsi="Times New Roman" w:cs="Times New Roman"/>
          <w:noProof/>
          <w:sz w:val="24"/>
          <w:szCs w:val="24"/>
        </w:rPr>
        <w:t xml:space="preserve">a pomemben okvir za usmerjanje makroekonomskih in strukturnih reform ter podporo tem reformam.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Cilj gospodarskega in naložbenega načrta bo </w:t>
      </w:r>
      <w:r w:rsidRPr="00410E50">
        <w:rPr>
          <w:rFonts w:ascii="Times New Roman" w:hAnsi="Times New Roman" w:cs="Times New Roman"/>
          <w:b/>
          <w:bCs/>
          <w:noProof/>
          <w:sz w:val="24"/>
          <w:szCs w:val="24"/>
        </w:rPr>
        <w:t>spodbuditi dolgoročno okrevanje gospodarstva</w:t>
      </w:r>
      <w:r w:rsidRPr="00410E50">
        <w:rPr>
          <w:rFonts w:ascii="Times New Roman" w:hAnsi="Times New Roman" w:cs="Times New Roman"/>
          <w:noProof/>
          <w:sz w:val="24"/>
          <w:szCs w:val="24"/>
        </w:rPr>
        <w:t>, spodbuditi gospodarsko rast in podpreti reforme, ki so potrebne za n</w:t>
      </w:r>
      <w:r w:rsidRPr="00410E50">
        <w:rPr>
          <w:rFonts w:ascii="Times New Roman" w:hAnsi="Times New Roman" w:cs="Times New Roman"/>
          <w:noProof/>
          <w:sz w:val="24"/>
          <w:szCs w:val="24"/>
        </w:rPr>
        <w:t>apredek na poti k EU. Gospodarski in naložbeni načrt</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bo</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 xml:space="preserve">črpal iz prednostnih nalog, ki si jih je Evropska komisija zadala pri lastnem delu v obdobju 2019–2024, in bo usklajen z njimi. </w:t>
      </w: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rPr>
      </w:pPr>
    </w:p>
    <w:p w:rsidR="00E9742B" w:rsidRPr="00410E50" w:rsidRDefault="00410E50" w:rsidP="00410E50">
      <w:pPr>
        <w:pStyle w:val="ListParagraph"/>
        <w:keepNext/>
        <w:numPr>
          <w:ilvl w:val="0"/>
          <w:numId w:val="20"/>
        </w:numPr>
        <w:pBdr>
          <w:top w:val="nil"/>
          <w:left w:val="nil"/>
          <w:bottom w:val="nil"/>
          <w:right w:val="nil"/>
          <w:between w:val="nil"/>
          <w:bar w:val="nil"/>
        </w:pBdr>
        <w:spacing w:after="120"/>
        <w:ind w:left="783" w:hanging="482"/>
        <w:jc w:val="both"/>
        <w:rPr>
          <w:rFonts w:ascii="Times New Roman" w:hAnsi="Times New Roman"/>
          <w:b/>
          <w:bCs/>
          <w:noProof/>
          <w:sz w:val="24"/>
          <w:szCs w:val="24"/>
        </w:rPr>
      </w:pPr>
      <w:r w:rsidRPr="00410E50">
        <w:rPr>
          <w:rFonts w:ascii="Times New Roman" w:hAnsi="Times New Roman"/>
          <w:b/>
          <w:bCs/>
          <w:noProof/>
          <w:sz w:val="24"/>
          <w:szCs w:val="24"/>
        </w:rPr>
        <w:t xml:space="preserve">Reševanje vprašanja temeljnih reform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Okrevanje po sedanji krizi bo učinkovito le, če bodo </w:t>
      </w:r>
      <w:r w:rsidRPr="00410E50">
        <w:rPr>
          <w:rFonts w:ascii="Times New Roman" w:hAnsi="Times New Roman" w:cs="Times New Roman"/>
          <w:b/>
          <w:bCs/>
          <w:noProof/>
          <w:sz w:val="24"/>
          <w:szCs w:val="24"/>
        </w:rPr>
        <w:t>države še naprej uresničevale svoje zaveze na področju reform</w:t>
      </w:r>
      <w:r w:rsidRPr="00410E50">
        <w:rPr>
          <w:rFonts w:ascii="Times New Roman" w:hAnsi="Times New Roman" w:cs="Times New Roman"/>
          <w:noProof/>
          <w:sz w:val="24"/>
          <w:szCs w:val="24"/>
        </w:rPr>
        <w:t xml:space="preserve"> in zagotavljale oprijemljive rezultate pri njihovem izvajanju. To je ključno za uresničevanje njihove evropske perspektive. Poleg nadaljevanj</w:t>
      </w:r>
      <w:r w:rsidRPr="00410E50">
        <w:rPr>
          <w:rFonts w:ascii="Times New Roman" w:hAnsi="Times New Roman" w:cs="Times New Roman"/>
          <w:noProof/>
          <w:sz w:val="24"/>
          <w:szCs w:val="24"/>
        </w:rPr>
        <w:t xml:space="preserve">a gospodarskih reform se je treba </w:t>
      </w:r>
      <w:r w:rsidRPr="00410E50">
        <w:rPr>
          <w:rFonts w:ascii="Times New Roman" w:hAnsi="Times New Roman" w:cs="Times New Roman"/>
          <w:b/>
          <w:bCs/>
          <w:noProof/>
          <w:sz w:val="24"/>
          <w:szCs w:val="24"/>
        </w:rPr>
        <w:t>bolj osredotočiti na pravno državo, delovanje demokratičnih institucij in javno upravo</w:t>
      </w:r>
      <w:r w:rsidRPr="00410E50">
        <w:rPr>
          <w:rFonts w:ascii="Times New Roman" w:hAnsi="Times New Roman" w:cs="Times New Roman"/>
          <w:noProof/>
          <w:sz w:val="24"/>
          <w:szCs w:val="24"/>
        </w:rPr>
        <w:t xml:space="preserve">.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Krepitev </w:t>
      </w:r>
      <w:r w:rsidRPr="00410E50">
        <w:rPr>
          <w:rFonts w:ascii="Times New Roman" w:hAnsi="Times New Roman" w:cs="Times New Roman"/>
          <w:b/>
          <w:bCs/>
          <w:noProof/>
          <w:sz w:val="24"/>
          <w:szCs w:val="24"/>
        </w:rPr>
        <w:t>pravne države in vseh njenih vidikov</w:t>
      </w:r>
      <w:r w:rsidRPr="00410E50">
        <w:rPr>
          <w:rFonts w:ascii="Times New Roman" w:hAnsi="Times New Roman" w:cs="Times New Roman"/>
          <w:noProof/>
          <w:sz w:val="24"/>
          <w:szCs w:val="24"/>
        </w:rPr>
        <w:t xml:space="preserve"> je bistvenega pomena. To zahteva neodvisno in učinkovito pravosodje, trdne rezultate v </w:t>
      </w:r>
      <w:r w:rsidRPr="00410E50">
        <w:rPr>
          <w:rFonts w:ascii="Times New Roman" w:hAnsi="Times New Roman" w:cs="Times New Roman"/>
          <w:noProof/>
          <w:sz w:val="24"/>
          <w:szCs w:val="24"/>
        </w:rPr>
        <w:t>boju proti korupciji, organiziranemu kriminalu in terorizmu ter učinkovito varstvo temeljnih pravic, vključno s svobodo izražanja in medijev. In sicer je izjemno pomembno, da izredni ukrepi, sprejeti med krizo, niso v nasprotju s temeljnimi načeli in vredn</w:t>
      </w:r>
      <w:r w:rsidRPr="00410E50">
        <w:rPr>
          <w:rFonts w:ascii="Times New Roman" w:hAnsi="Times New Roman" w:cs="Times New Roman"/>
          <w:noProof/>
          <w:sz w:val="24"/>
          <w:szCs w:val="24"/>
        </w:rPr>
        <w:t xml:space="preserve">otami ter da so taki ukrepi sorazmerni, časovno omejeni in podvrženi demokratičnemu nadzoru. </w:t>
      </w:r>
    </w:p>
    <w:p w:rsidR="00E9742B" w:rsidRPr="00410E50" w:rsidRDefault="00410E50" w:rsidP="00410E50">
      <w:pPr>
        <w:pStyle w:val="Body"/>
        <w:spacing w:after="120" w:line="240" w:lineRule="auto"/>
        <w:jc w:val="both"/>
        <w:rPr>
          <w:rFonts w:ascii="Times New Roman" w:eastAsia="Times New Roman" w:hAnsi="Times New Roman" w:cs="Times New Roman"/>
          <w:b/>
          <w:bCs/>
          <w:noProof/>
          <w:sz w:val="24"/>
          <w:szCs w:val="24"/>
        </w:rPr>
      </w:pPr>
      <w:r w:rsidRPr="00410E50">
        <w:rPr>
          <w:rFonts w:ascii="Times New Roman" w:hAnsi="Times New Roman" w:cs="Times New Roman"/>
          <w:noProof/>
          <w:sz w:val="24"/>
          <w:szCs w:val="24"/>
        </w:rPr>
        <w:t>Izhajajoč iz obsežnega sodelovanja, ki že obstaja, je bistveno zagotoviti stalna aktivna prizadevanja v okviru skupnih in vzajemno dogovorjenih ukrepov na področj</w:t>
      </w:r>
      <w:r w:rsidRPr="00410E50">
        <w:rPr>
          <w:rFonts w:ascii="Times New Roman" w:hAnsi="Times New Roman" w:cs="Times New Roman"/>
          <w:noProof/>
          <w:sz w:val="24"/>
          <w:szCs w:val="24"/>
        </w:rPr>
        <w:t xml:space="preserve">u </w:t>
      </w:r>
      <w:r w:rsidRPr="00410E50">
        <w:rPr>
          <w:rFonts w:ascii="Times New Roman" w:hAnsi="Times New Roman" w:cs="Times New Roman"/>
          <w:b/>
          <w:bCs/>
          <w:noProof/>
          <w:sz w:val="24"/>
          <w:szCs w:val="24"/>
        </w:rPr>
        <w:t>varnosti</w:t>
      </w:r>
      <w:r w:rsidRPr="00410E50">
        <w:rPr>
          <w:rFonts w:ascii="Times New Roman" w:hAnsi="Times New Roman" w:cs="Times New Roman"/>
          <w:noProof/>
          <w:sz w:val="24"/>
          <w:szCs w:val="24"/>
        </w:rPr>
        <w:t xml:space="preserve">, vključno z ukrepi za preprečevanje tveganja pranja denarja in financiranja terorizma ter ukrepi v zvezi z </w:t>
      </w:r>
      <w:r w:rsidRPr="00410E50">
        <w:rPr>
          <w:rFonts w:ascii="Times New Roman" w:hAnsi="Times New Roman" w:cs="Times New Roman"/>
          <w:b/>
          <w:bCs/>
          <w:noProof/>
          <w:sz w:val="24"/>
          <w:szCs w:val="24"/>
        </w:rPr>
        <w:t>migracijami in upravljanjem meja</w:t>
      </w:r>
      <w:r w:rsidRPr="00410E50">
        <w:rPr>
          <w:rFonts w:ascii="Times New Roman" w:hAnsi="Times New Roman" w:cs="Times New Roman"/>
          <w:noProof/>
          <w:sz w:val="24"/>
          <w:szCs w:val="24"/>
        </w:rPr>
        <w:t>.</w:t>
      </w:r>
      <w:r w:rsidRPr="00410E50">
        <w:rPr>
          <w:rFonts w:ascii="Times New Roman" w:hAnsi="Times New Roman" w:cs="Times New Roman"/>
          <w:b/>
          <w:bCs/>
          <w:noProof/>
          <w:sz w:val="24"/>
          <w:szCs w:val="24"/>
        </w:rPr>
        <w:t xml:space="preserve"> Močnejše demokratične institucije in bolj vključujoči demokratični procesi</w:t>
      </w:r>
      <w:r w:rsidRPr="00410E50">
        <w:rPr>
          <w:rFonts w:ascii="Times New Roman" w:hAnsi="Times New Roman" w:cs="Times New Roman"/>
          <w:noProof/>
          <w:sz w:val="24"/>
          <w:szCs w:val="24"/>
        </w:rPr>
        <w:t xml:space="preserve"> bodo še naprej uvrščeni med k</w:t>
      </w:r>
      <w:r w:rsidRPr="00410E50">
        <w:rPr>
          <w:rFonts w:ascii="Times New Roman" w:hAnsi="Times New Roman" w:cs="Times New Roman"/>
          <w:noProof/>
          <w:sz w:val="24"/>
          <w:szCs w:val="24"/>
        </w:rPr>
        <w:t xml:space="preserve">ljučne prednostne naloge. </w:t>
      </w:r>
      <w:r w:rsidRPr="00410E50">
        <w:rPr>
          <w:rFonts w:ascii="Times New Roman" w:hAnsi="Times New Roman" w:cs="Times New Roman"/>
          <w:b/>
          <w:bCs/>
          <w:noProof/>
          <w:sz w:val="24"/>
          <w:szCs w:val="24"/>
        </w:rPr>
        <w:t>Reforma javne uprave</w:t>
      </w:r>
      <w:r w:rsidRPr="00410E50">
        <w:rPr>
          <w:rFonts w:ascii="Times New Roman" w:hAnsi="Times New Roman" w:cs="Times New Roman"/>
          <w:noProof/>
          <w:sz w:val="24"/>
          <w:szCs w:val="24"/>
        </w:rPr>
        <w:t xml:space="preserve"> je ključnega pomena za izboljšanje upravljanja na vseh ravneh.</w:t>
      </w:r>
      <w:r w:rsidRPr="00410E50">
        <w:rPr>
          <w:rFonts w:ascii="Times New Roman" w:hAnsi="Times New Roman" w:cs="Times New Roman"/>
          <w:b/>
          <w:bCs/>
          <w:noProof/>
          <w:sz w:val="24"/>
          <w:szCs w:val="24"/>
        </w:rPr>
        <w:t xml:space="preserve"> </w:t>
      </w:r>
      <w:r w:rsidRPr="00410E50">
        <w:rPr>
          <w:rFonts w:ascii="Times New Roman" w:hAnsi="Times New Roman" w:cs="Times New Roman"/>
          <w:noProof/>
          <w:sz w:val="24"/>
          <w:szCs w:val="24"/>
        </w:rPr>
        <w:t xml:space="preserve">To vključuje večjo preglednost in odgovornost, dobro javnofinančno upravljanje in bolj profesionalno upravo. Zgoraj navedeno skupaj tvori podlago </w:t>
      </w:r>
      <w:r w:rsidRPr="00410E50">
        <w:rPr>
          <w:rFonts w:ascii="Times New Roman" w:hAnsi="Times New Roman" w:cs="Times New Roman"/>
          <w:noProof/>
          <w:sz w:val="24"/>
          <w:szCs w:val="24"/>
        </w:rPr>
        <w:t>za trajno okrevanje gospodarstva.</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 xml:space="preserve">Komisija bo še naprej trdno zavezana podpori regije pri izvajanju teh reform. Nadaljnji ukrepi bodo določeni v sporočilu Komisije pozneje letos.  </w:t>
      </w:r>
    </w:p>
    <w:p w:rsidR="00E9742B" w:rsidRPr="00410E50" w:rsidRDefault="00410E50" w:rsidP="00410E50">
      <w:pPr>
        <w:pStyle w:val="Body"/>
        <w:spacing w:after="120" w:line="240" w:lineRule="auto"/>
        <w:jc w:val="both"/>
        <w:rPr>
          <w:rFonts w:ascii="Times New Roman" w:eastAsia="Times New Roman" w:hAnsi="Times New Roman" w:cs="Times New Roman"/>
          <w:noProof/>
          <w:sz w:val="24"/>
          <w:szCs w:val="24"/>
        </w:rPr>
      </w:pPr>
      <w:r w:rsidRPr="00410E50">
        <w:rPr>
          <w:rFonts w:ascii="Times New Roman" w:hAnsi="Times New Roman" w:cs="Times New Roman"/>
          <w:noProof/>
          <w:sz w:val="24"/>
          <w:szCs w:val="24"/>
        </w:rPr>
        <w:t>Kriza zaradi COVID-19 predstavlja preizkus naše solidarnosti in odločenosti</w:t>
      </w:r>
      <w:r w:rsidRPr="00410E50">
        <w:rPr>
          <w:rFonts w:ascii="Times New Roman" w:hAnsi="Times New Roman" w:cs="Times New Roman"/>
          <w:noProof/>
          <w:sz w:val="24"/>
          <w:szCs w:val="24"/>
        </w:rPr>
        <w:t xml:space="preserve">, jasno pa kaže tudi, kako lahko kot Evropejci s skupno usodo tesneje sodelujemo. </w:t>
      </w:r>
      <w:r w:rsidRPr="00410E50">
        <w:rPr>
          <w:rFonts w:ascii="Times New Roman" w:hAnsi="Times New Roman" w:cs="Times New Roman"/>
          <w:noProof/>
          <w:sz w:val="24"/>
          <w:szCs w:val="24"/>
        </w:rPr>
        <w:t xml:space="preserve">V zvezi s tem se zavedamo, da bodo morale partnerice z Zahodnega Balkana najti svoje mesto v našem prihodnjem razmisleku o prihodnosti Evrope. </w:t>
      </w:r>
      <w:r w:rsidRPr="00410E50">
        <w:rPr>
          <w:rFonts w:ascii="Times New Roman" w:hAnsi="Times New Roman" w:cs="Times New Roman"/>
          <w:noProof/>
          <w:sz w:val="24"/>
          <w:szCs w:val="24"/>
        </w:rPr>
        <w:t xml:space="preserve">Skupaj bomo premagali to krizo </w:t>
      </w:r>
      <w:r w:rsidRPr="00410E50">
        <w:rPr>
          <w:rFonts w:ascii="Times New Roman" w:hAnsi="Times New Roman" w:cs="Times New Roman"/>
          <w:noProof/>
          <w:sz w:val="24"/>
          <w:szCs w:val="24"/>
        </w:rPr>
        <w:t>in okrevali. Skupaj bomo dodatno okrepili naše sodelovanje, da bi našim partnericam pomagali izpolniti zahteve za članstvo v EU.</w:t>
      </w:r>
    </w:p>
    <w:p w:rsidR="00E9742B" w:rsidRPr="00410E50" w:rsidRDefault="00E9742B" w:rsidP="00410E50">
      <w:pPr>
        <w:pStyle w:val="Body"/>
        <w:spacing w:after="120" w:line="240" w:lineRule="auto"/>
        <w:jc w:val="both"/>
        <w:rPr>
          <w:rFonts w:ascii="Times New Roman" w:eastAsia="Times New Roman" w:hAnsi="Times New Roman" w:cs="Times New Roman"/>
          <w:noProof/>
          <w:sz w:val="24"/>
          <w:szCs w:val="24"/>
        </w:rPr>
      </w:pPr>
    </w:p>
    <w:p w:rsidR="00E9742B" w:rsidRPr="00410E50" w:rsidRDefault="00410E50" w:rsidP="00410E50">
      <w:pPr>
        <w:pStyle w:val="Body"/>
        <w:spacing w:after="120" w:line="240" w:lineRule="auto"/>
        <w:jc w:val="center"/>
        <w:rPr>
          <w:rFonts w:ascii="Times New Roman" w:hAnsi="Times New Roman" w:cs="Times New Roman"/>
          <w:noProof/>
          <w:sz w:val="24"/>
          <w:szCs w:val="24"/>
        </w:rPr>
      </w:pPr>
      <w:r w:rsidRPr="00410E50">
        <w:rPr>
          <w:rFonts w:ascii="Times New Roman" w:hAnsi="Times New Roman" w:cs="Times New Roman"/>
          <w:b/>
          <w:bCs/>
          <w:noProof/>
          <w:sz w:val="24"/>
          <w:szCs w:val="24"/>
        </w:rPr>
        <w:t>**</w:t>
      </w:r>
    </w:p>
    <w:p w:rsidR="00E9742B" w:rsidRPr="00410E50" w:rsidRDefault="00E9742B" w:rsidP="00410E50">
      <w:pPr>
        <w:spacing w:after="120" w:line="240" w:lineRule="auto"/>
        <w:rPr>
          <w:rFonts w:ascii="Times New Roman" w:hAnsi="Times New Roman" w:cs="Times New Roman"/>
          <w:b/>
          <w:noProof/>
          <w:sz w:val="24"/>
          <w:szCs w:val="24"/>
          <w:lang w:val="en-GB"/>
        </w:rPr>
      </w:pPr>
    </w:p>
    <w:sectPr w:rsidR="00E9742B" w:rsidRPr="00410E50">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42B" w:rsidRDefault="00410E50">
      <w:pPr>
        <w:spacing w:after="0" w:line="240" w:lineRule="auto"/>
      </w:pPr>
      <w:r>
        <w:separator/>
      </w:r>
    </w:p>
  </w:endnote>
  <w:endnote w:type="continuationSeparator" w:id="0">
    <w:p w:rsidR="00E9742B" w:rsidRDefault="00410E50">
      <w:pPr>
        <w:spacing w:after="0" w:line="240" w:lineRule="auto"/>
      </w:pPr>
      <w:r>
        <w:continuationSeparator/>
      </w:r>
    </w:p>
  </w:endnote>
  <w:endnote w:type="continuationNotice" w:id="1">
    <w:p w:rsidR="00E9742B" w:rsidRDefault="00E97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410E50">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410E50">
    <w:pPr>
      <w:pStyle w:val="Footer"/>
      <w:tabs>
        <w:tab w:val="clear" w:pos="9360"/>
        <w:tab w:val="right" w:pos="9046"/>
      </w:tabs>
      <w:jc w:val="cente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42B" w:rsidRDefault="00410E50">
      <w:pPr>
        <w:spacing w:after="0" w:line="240" w:lineRule="auto"/>
      </w:pPr>
      <w:r>
        <w:separator/>
      </w:r>
    </w:p>
  </w:footnote>
  <w:footnote w:type="continuationSeparator" w:id="0">
    <w:p w:rsidR="00E9742B" w:rsidRDefault="00410E50">
      <w:pPr>
        <w:spacing w:after="0" w:line="240" w:lineRule="auto"/>
      </w:pPr>
      <w:r>
        <w:continuationSeparator/>
      </w:r>
    </w:p>
  </w:footnote>
  <w:footnote w:type="continuationNotice" w:id="1">
    <w:p w:rsidR="00E9742B" w:rsidRDefault="00E9742B">
      <w:pPr>
        <w:spacing w:after="0" w:line="240" w:lineRule="auto"/>
      </w:pPr>
    </w:p>
  </w:footnote>
  <w:footnote w:id="2">
    <w:p w:rsidR="00E9742B" w:rsidRDefault="00410E50">
      <w:pPr>
        <w:pStyle w:val="FootnoteText"/>
        <w:jc w:val="both"/>
      </w:pPr>
      <w:r>
        <w:rPr>
          <w:rFonts w:ascii="Times New Roman" w:eastAsia="Times New Roman" w:hAnsi="Times New Roman"/>
          <w:b/>
          <w:bCs/>
          <w:vertAlign w:val="superscript"/>
          <w:lang w:val="en-US"/>
        </w:rPr>
        <w:footnoteRef/>
      </w:r>
      <w:r>
        <w:rPr>
          <w:rFonts w:ascii="Times New Roman" w:hAnsi="Times New Roman"/>
        </w:rPr>
        <w:t xml:space="preserve"> Sporočilo Komisije „Okrepitev pristopnega procesa – verodostojna perspektiva EU za Zahodni Balkan“,</w:t>
      </w:r>
      <w:r>
        <w:t xml:space="preserve"> </w:t>
      </w:r>
      <w:hyperlink r:id="rId1" w:history="1">
        <w:r>
          <w:rPr>
            <w:rStyle w:val="Hyperlink0"/>
            <w:rFonts w:eastAsia="Calibri"/>
          </w:rPr>
          <w:t>COM(2020) 57 final</w:t>
        </w:r>
      </w:hyperlink>
      <w:r>
        <w:t>.</w:t>
      </w:r>
    </w:p>
  </w:footnote>
  <w:footnote w:id="3">
    <w:p w:rsidR="00E9742B" w:rsidRDefault="00410E50">
      <w:pPr>
        <w:pStyle w:val="FootnoteText"/>
      </w:pPr>
      <w:r>
        <w:rPr>
          <w:rFonts w:ascii="Times New Roman" w:eastAsia="Times New Roman" w:hAnsi="Times New Roman"/>
          <w:b/>
          <w:bCs/>
          <w:vertAlign w:val="superscript"/>
          <w:lang w:val="en-US"/>
        </w:rPr>
        <w:footnoteRef/>
      </w:r>
      <w:r>
        <w:rPr>
          <w:rFonts w:ascii="Times New Roman" w:hAnsi="Times New Roman"/>
        </w:rPr>
        <w:t xml:space="preserve"> Dodelitev sredstev v o</w:t>
      </w:r>
      <w:r>
        <w:rPr>
          <w:rFonts w:ascii="Times New Roman" w:hAnsi="Times New Roman"/>
        </w:rPr>
        <w:t>kviru obstoječega večletnega okvirnega programa za obdobje 2014–2020.</w:t>
      </w:r>
    </w:p>
  </w:footnote>
  <w:footnote w:id="4">
    <w:p w:rsidR="00E9742B" w:rsidRDefault="00410E50">
      <w:pPr>
        <w:pStyle w:val="FootnoteText"/>
      </w:pPr>
      <w:r>
        <w:rPr>
          <w:rFonts w:ascii="Times New Roman" w:eastAsia="Times New Roman" w:hAnsi="Times New Roman"/>
          <w:b/>
          <w:bCs/>
          <w:vertAlign w:val="superscript"/>
          <w:lang w:val="en-US"/>
        </w:rPr>
        <w:footnoteRef/>
      </w:r>
      <w:r>
        <w:t xml:space="preserve"> </w:t>
      </w:r>
      <w:r>
        <w:rPr>
          <w:rFonts w:ascii="Times New Roman" w:hAnsi="Times New Roman"/>
        </w:rPr>
        <w:t>Prav tako se prilagajajo in pospešujejo obstoječi podporni programi IPA, npr. predpristopna pomoč EU za razvoj podeželja (IPARD) in čezmejno sodelovanje EU-Zahodni Balkan (REGIO).</w:t>
      </w:r>
    </w:p>
  </w:footnote>
  <w:footnote w:id="5">
    <w:p w:rsidR="00E9742B" w:rsidRDefault="00410E50">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 EU</w:t>
      </w:r>
      <w:r>
        <w:rPr>
          <w:rFonts w:ascii="Times New Roman" w:hAnsi="Times New Roman"/>
        </w:rPr>
        <w:t xml:space="preserve"> financira dobavo približno 95 000 testov za COVID, 500 bolnišničnih postelj, 450 ventilatorjev, 100 monitorjev za intenzivno nego, 100 zabojnikov za triažo, 10 reševalnih vozil ter več kot 4,5 milijona kosov zaščitne opreme in več sto medicinskih pripomoč</w:t>
      </w:r>
      <w:r>
        <w:rPr>
          <w:rFonts w:ascii="Times New Roman" w:hAnsi="Times New Roman"/>
        </w:rPr>
        <w:t xml:space="preserve">kov (kot so rentgenski aparati, elektrokardiografi, skenerji za računalniško tomografijo, defibrilatorji, infuzijske črpalke) in več tisoč potrebščin (kot so termometri, katetri, cevke, brizge in maske). EU je krila tudi stroške 16 letov na dolge razdalje </w:t>
      </w:r>
      <w:r>
        <w:rPr>
          <w:rFonts w:ascii="Times New Roman" w:hAnsi="Times New Roman"/>
        </w:rPr>
        <w:t xml:space="preserve">za prevoz 750 ton zdravstvene opreme, kupljene iz drugih virov. </w:t>
      </w:r>
    </w:p>
  </w:footnote>
  <w:footnote w:id="6">
    <w:p w:rsidR="00E9742B" w:rsidRDefault="00410E50">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 2020/0065 (COD) Predlog sklepa Evropskega parlamenta in Sveta o zagotavljanju makrofinančne pomoči partnericam v okviru širitvene in sosedske politike v zvezi s pandemijo COVID-19, 22. apri</w:t>
      </w:r>
      <w:r>
        <w:rPr>
          <w:rFonts w:ascii="Times New Roman" w:hAnsi="Times New Roman"/>
        </w:rPr>
        <w:t>l 2020.</w:t>
      </w:r>
    </w:p>
  </w:footnote>
  <w:footnote w:id="7">
    <w:p w:rsidR="00E9742B" w:rsidRDefault="00410E50">
      <w:pPr>
        <w:pStyle w:val="FootnoteText"/>
        <w:jc w:val="both"/>
      </w:pPr>
      <w:r>
        <w:rPr>
          <w:rFonts w:ascii="Times New Roman" w:eastAsia="Times New Roman" w:hAnsi="Times New Roman"/>
          <w:b/>
          <w:bCs/>
          <w:vertAlign w:val="superscript"/>
          <w:lang w:val="en-US"/>
        </w:rPr>
        <w:footnoteRef/>
      </w:r>
      <w:r>
        <w:rPr>
          <w:rFonts w:ascii="Times New Roman" w:hAnsi="Times New Roman"/>
        </w:rPr>
        <w:t xml:space="preserve"> Sporočilo o globalnem odzivu EU na pandemijo COVID-19 (JOIN(2020)11 final) z dne 8. aprila 2020.</w:t>
      </w:r>
    </w:p>
  </w:footnote>
  <w:footnote w:id="8">
    <w:p w:rsidR="00E9742B" w:rsidRDefault="00410E50">
      <w:pPr>
        <w:pStyle w:val="NormalWeb"/>
        <w:jc w:val="both"/>
      </w:pPr>
      <w:r>
        <w:rPr>
          <w:sz w:val="20"/>
          <w:szCs w:val="20"/>
          <w:vertAlign w:val="superscript"/>
          <w:lang w:val="en-US"/>
        </w:rPr>
        <w:footnoteRef/>
      </w:r>
      <w:r>
        <w:rPr>
          <w:sz w:val="20"/>
          <w:szCs w:val="20"/>
        </w:rPr>
        <w:t xml:space="preserve"> Izvedbena uredba Komisije (EU) 2020/568 z dne 23. aprila 2020 o določitvi obvezne predložitve izvoznega dovoljenja pri izvozu nekaterih izdelkov (U</w:t>
      </w:r>
      <w:r>
        <w:rPr>
          <w:sz w:val="20"/>
          <w:szCs w:val="20"/>
        </w:rPr>
        <w:t>L L 129, 24.4.2020).</w:t>
      </w:r>
    </w:p>
  </w:footnote>
  <w:footnote w:id="9">
    <w:p w:rsidR="00E9742B" w:rsidRDefault="00410E5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C(2020) 2050 final.</w:t>
      </w:r>
    </w:p>
  </w:footnote>
  <w:footnote w:id="10">
    <w:p w:rsidR="00E9742B" w:rsidRDefault="00410E50">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 Poleg tega bo zagotovljenih 65 milijonov EUR za podporo pripravi in izvajanju projektov znotraj naložbenega okvira za Zahodni Balkan. S tem bo sveženj za povezljivost 2020, ki ga financira EU, dosegel 200 milijo</w:t>
      </w:r>
      <w:r>
        <w:rPr>
          <w:rFonts w:ascii="Times New Roman" w:hAnsi="Times New Roman"/>
        </w:rPr>
        <w:t>nov EUR.</w:t>
      </w:r>
    </w:p>
  </w:footnote>
  <w:footnote w:id="11">
    <w:p w:rsidR="00E9742B" w:rsidRDefault="00410E50">
      <w:pPr>
        <w:pStyle w:val="FootnoteText"/>
        <w:jc w:val="both"/>
      </w:pPr>
      <w:r>
        <w:rPr>
          <w:rFonts w:ascii="Times New Roman" w:eastAsia="Times New Roman" w:hAnsi="Times New Roman"/>
          <w:vertAlign w:val="superscript"/>
          <w:lang w:val="en-US"/>
        </w:rPr>
        <w:footnoteRef/>
      </w:r>
      <w:r>
        <w:rPr>
          <w:rFonts w:ascii="Times New Roman" w:hAnsi="Times New Roman"/>
        </w:rPr>
        <w:t xml:space="preserve"> Sistem za izmenjavo podatkov o trošarinah je bil na primer nadgrajen, da bi se zagotovila in mejnim prehodom sporočila zgodnja elektronska identifikacija tovornjakov, ki prevažajo osnovne dobrine, da bi se tem tovornjakom omogočil prehod meje po</w:t>
      </w:r>
      <w:r>
        <w:rPr>
          <w:rFonts w:ascii="Times New Roman" w:hAnsi="Times New Roman"/>
        </w:rPr>
        <w:t xml:space="preserve"> zelenih voznih pasovih).</w:t>
      </w:r>
    </w:p>
  </w:footnote>
  <w:footnote w:id="12">
    <w:p w:rsidR="00E9742B" w:rsidRDefault="00410E50">
      <w:pPr>
        <w:pStyle w:val="FootnoteText"/>
        <w:jc w:val="both"/>
        <w:rPr>
          <w:rFonts w:ascii="Times New Roman" w:eastAsia="Times New Roman" w:hAnsi="Times New Roman"/>
        </w:rPr>
      </w:pPr>
      <w:r>
        <w:rPr>
          <w:rFonts w:ascii="Times New Roman" w:eastAsia="Times New Roman" w:hAnsi="Times New Roman"/>
          <w:vertAlign w:val="superscript"/>
          <w:lang w:val="en-US"/>
        </w:rPr>
        <w:footnoteRef/>
      </w:r>
      <w:r>
        <w:rPr>
          <w:rFonts w:ascii="Times New Roman" w:hAnsi="Times New Roman"/>
        </w:rPr>
        <w:t xml:space="preserve"> V zvezi s tem je Komisija 3. aprila predlagala razširitev avtonomnih trgovinskih ukrepov, ki jih je EU odobrila državam Zahodnega Balkana za obdobje nadaljnjih 5 let do konca leta 2025 (COM(2020) 135 final), </w:t>
      </w:r>
    </w:p>
    <w:p w:rsidR="00E9742B" w:rsidRDefault="00410E50">
      <w:pPr>
        <w:pStyle w:val="FootnoteText"/>
      </w:pPr>
      <w:r>
        <w:rPr>
          <w:rFonts w:ascii="Times New Roman" w:hAnsi="Times New Roman"/>
        </w:rPr>
        <w:t xml:space="preserve">2020/0051 (COD).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
      <w:tabs>
        <w:tab w:val="clear" w:pos="9360"/>
        <w:tab w:val="right" w:pos="9046"/>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42B" w:rsidRDefault="00E97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503D"/>
    <w:multiLevelType w:val="hybridMultilevel"/>
    <w:tmpl w:val="50DA3C46"/>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98C6320"/>
    <w:multiLevelType w:val="hybridMultilevel"/>
    <w:tmpl w:val="34CCDB36"/>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B51692"/>
    <w:multiLevelType w:val="hybridMultilevel"/>
    <w:tmpl w:val="6628A694"/>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1B156DC"/>
    <w:multiLevelType w:val="hybridMultilevel"/>
    <w:tmpl w:val="1A942A5A"/>
    <w:lvl w:ilvl="0" w:tplc="080C0001">
      <w:start w:val="1"/>
      <w:numFmt w:val="bullet"/>
      <w:lvlText w:val=""/>
      <w:lvlJc w:val="left"/>
      <w:pPr>
        <w:ind w:left="1035" w:hanging="675"/>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F641F9"/>
    <w:multiLevelType w:val="hybridMultilevel"/>
    <w:tmpl w:val="80584BB8"/>
    <w:lvl w:ilvl="0" w:tplc="FDEE4844">
      <w:start w:val="1"/>
      <w:numFmt w:val="bullet"/>
      <w:lvlText w:val="-"/>
      <w:lvlJc w:val="left"/>
      <w:pPr>
        <w:ind w:left="675" w:hanging="675"/>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E5B3A38"/>
    <w:multiLevelType w:val="hybridMultilevel"/>
    <w:tmpl w:val="E430A882"/>
    <w:lvl w:ilvl="0" w:tplc="C77EC6F2">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E057F"/>
    <w:multiLevelType w:val="hybridMultilevel"/>
    <w:tmpl w:val="328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3502D"/>
    <w:multiLevelType w:val="hybridMultilevel"/>
    <w:tmpl w:val="A41C6E94"/>
    <w:numStyleLink w:val="ImportedStyle1"/>
  </w:abstractNum>
  <w:abstractNum w:abstractNumId="8" w15:restartNumberingAfterBreak="0">
    <w:nsid w:val="2F000009"/>
    <w:multiLevelType w:val="hybridMultilevel"/>
    <w:tmpl w:val="34B116FA"/>
    <w:lvl w:ilvl="0" w:tplc="D922A03E">
      <w:start w:val="1"/>
      <w:numFmt w:val="bullet"/>
      <w:lvlText w:val="Ø"/>
      <w:lvlJc w:val="left"/>
      <w:pPr>
        <w:ind w:left="720" w:hanging="360"/>
        <w:jc w:val="both"/>
      </w:pPr>
      <w:rPr>
        <w:rFonts w:ascii="Wingdings" w:eastAsia="Wingdings" w:hAnsi="Wingdings"/>
        <w:w w:val="100"/>
        <w:sz w:val="20"/>
        <w:szCs w:val="20"/>
        <w:shd w:val="clear" w:color="auto" w:fill="auto"/>
      </w:rPr>
    </w:lvl>
    <w:lvl w:ilvl="1" w:tplc="F696803E">
      <w:start w:val="1"/>
      <w:numFmt w:val="bullet"/>
      <w:lvlText w:val="Ø"/>
      <w:lvlJc w:val="left"/>
      <w:pPr>
        <w:ind w:left="1440" w:hanging="360"/>
        <w:jc w:val="both"/>
      </w:pPr>
      <w:rPr>
        <w:rFonts w:ascii="Wingdings" w:eastAsia="Wingdings" w:hAnsi="Wingdings"/>
        <w:w w:val="100"/>
        <w:sz w:val="20"/>
        <w:szCs w:val="20"/>
        <w:shd w:val="clear" w:color="auto" w:fill="auto"/>
      </w:rPr>
    </w:lvl>
    <w:lvl w:ilvl="2" w:tplc="47F4BE3C">
      <w:start w:val="1"/>
      <w:numFmt w:val="bullet"/>
      <w:lvlText w:val="§"/>
      <w:lvlJc w:val="left"/>
      <w:pPr>
        <w:ind w:left="2160" w:hanging="360"/>
        <w:jc w:val="both"/>
      </w:pPr>
      <w:rPr>
        <w:rFonts w:ascii="Wingdings" w:eastAsia="Wingdings" w:hAnsi="Wingdings"/>
        <w:w w:val="100"/>
        <w:sz w:val="20"/>
        <w:szCs w:val="20"/>
        <w:shd w:val="clear" w:color="auto" w:fill="auto"/>
      </w:rPr>
    </w:lvl>
    <w:lvl w:ilvl="3" w:tplc="75548F68">
      <w:start w:val="1"/>
      <w:numFmt w:val="bullet"/>
      <w:lvlText w:val="·"/>
      <w:lvlJc w:val="left"/>
      <w:pPr>
        <w:ind w:left="2880" w:hanging="360"/>
        <w:jc w:val="both"/>
      </w:pPr>
      <w:rPr>
        <w:rFonts w:ascii="Symbol" w:eastAsia="Symbol" w:hAnsi="Symbol"/>
        <w:w w:val="100"/>
        <w:sz w:val="20"/>
        <w:szCs w:val="20"/>
        <w:shd w:val="clear" w:color="auto" w:fill="auto"/>
      </w:rPr>
    </w:lvl>
    <w:lvl w:ilvl="4" w:tplc="F760CF8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A2AF56E">
      <w:start w:val="1"/>
      <w:numFmt w:val="bullet"/>
      <w:lvlText w:val="§"/>
      <w:lvlJc w:val="left"/>
      <w:pPr>
        <w:ind w:left="4320" w:hanging="360"/>
        <w:jc w:val="both"/>
      </w:pPr>
      <w:rPr>
        <w:rFonts w:ascii="Wingdings" w:eastAsia="Wingdings" w:hAnsi="Wingdings"/>
        <w:w w:val="100"/>
        <w:sz w:val="20"/>
        <w:szCs w:val="20"/>
        <w:shd w:val="clear" w:color="auto" w:fill="auto"/>
      </w:rPr>
    </w:lvl>
    <w:lvl w:ilvl="6" w:tplc="2B0CC496">
      <w:start w:val="1"/>
      <w:numFmt w:val="bullet"/>
      <w:lvlText w:val="·"/>
      <w:lvlJc w:val="left"/>
      <w:pPr>
        <w:ind w:left="5040" w:hanging="360"/>
        <w:jc w:val="both"/>
      </w:pPr>
      <w:rPr>
        <w:rFonts w:ascii="Symbol" w:eastAsia="Symbol" w:hAnsi="Symbol"/>
        <w:w w:val="100"/>
        <w:sz w:val="20"/>
        <w:szCs w:val="20"/>
        <w:shd w:val="clear" w:color="auto" w:fill="auto"/>
      </w:rPr>
    </w:lvl>
    <w:lvl w:ilvl="7" w:tplc="437A2DE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F8A2E6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9" w15:restartNumberingAfterBreak="0">
    <w:nsid w:val="2F000026"/>
    <w:multiLevelType w:val="hybridMultilevel"/>
    <w:tmpl w:val="43EE3B82"/>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B55C1D7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B2C698C">
      <w:start w:val="1"/>
      <w:numFmt w:val="bullet"/>
      <w:lvlText w:val="§"/>
      <w:lvlJc w:val="left"/>
      <w:pPr>
        <w:ind w:left="2160" w:hanging="360"/>
        <w:jc w:val="both"/>
      </w:pPr>
      <w:rPr>
        <w:rFonts w:ascii="Wingdings" w:eastAsia="Wingdings" w:hAnsi="Wingdings"/>
        <w:w w:val="100"/>
        <w:sz w:val="20"/>
        <w:szCs w:val="20"/>
        <w:shd w:val="clear" w:color="auto" w:fill="auto"/>
      </w:rPr>
    </w:lvl>
    <w:lvl w:ilvl="3" w:tplc="A1FCB008">
      <w:start w:val="1"/>
      <w:numFmt w:val="bullet"/>
      <w:lvlText w:val="·"/>
      <w:lvlJc w:val="left"/>
      <w:pPr>
        <w:ind w:left="2880" w:hanging="360"/>
        <w:jc w:val="both"/>
      </w:pPr>
      <w:rPr>
        <w:rFonts w:ascii="Symbol" w:eastAsia="Symbol" w:hAnsi="Symbol"/>
        <w:w w:val="100"/>
        <w:sz w:val="20"/>
        <w:szCs w:val="20"/>
        <w:shd w:val="clear" w:color="auto" w:fill="auto"/>
      </w:rPr>
    </w:lvl>
    <w:lvl w:ilvl="4" w:tplc="BBB254B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B045024">
      <w:start w:val="1"/>
      <w:numFmt w:val="bullet"/>
      <w:lvlText w:val="§"/>
      <w:lvlJc w:val="left"/>
      <w:pPr>
        <w:ind w:left="4320" w:hanging="360"/>
        <w:jc w:val="both"/>
      </w:pPr>
      <w:rPr>
        <w:rFonts w:ascii="Wingdings" w:eastAsia="Wingdings" w:hAnsi="Wingdings"/>
        <w:w w:val="100"/>
        <w:sz w:val="20"/>
        <w:szCs w:val="20"/>
        <w:shd w:val="clear" w:color="auto" w:fill="auto"/>
      </w:rPr>
    </w:lvl>
    <w:lvl w:ilvl="6" w:tplc="F7F4F9F2">
      <w:start w:val="1"/>
      <w:numFmt w:val="bullet"/>
      <w:lvlText w:val="·"/>
      <w:lvlJc w:val="left"/>
      <w:pPr>
        <w:ind w:left="5040" w:hanging="360"/>
        <w:jc w:val="both"/>
      </w:pPr>
      <w:rPr>
        <w:rFonts w:ascii="Symbol" w:eastAsia="Symbol" w:hAnsi="Symbol"/>
        <w:w w:val="100"/>
        <w:sz w:val="20"/>
        <w:szCs w:val="20"/>
        <w:shd w:val="clear" w:color="auto" w:fill="auto"/>
      </w:rPr>
    </w:lvl>
    <w:lvl w:ilvl="7" w:tplc="52F609A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8A474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0" w15:restartNumberingAfterBreak="0">
    <w:nsid w:val="2F000030"/>
    <w:multiLevelType w:val="hybridMultilevel"/>
    <w:tmpl w:val="1F34BE0E"/>
    <w:lvl w:ilvl="0" w:tplc="246A393C">
      <w:start w:val="1"/>
      <w:numFmt w:val="bullet"/>
      <w:lvlText w:val="Ø"/>
      <w:lvlJc w:val="left"/>
      <w:pPr>
        <w:ind w:left="592" w:hanging="400"/>
        <w:jc w:val="both"/>
      </w:pPr>
      <w:rPr>
        <w:rFonts w:ascii="Wingdings" w:eastAsia="Wingdings" w:hAnsi="Wingdings"/>
        <w:b w:val="0"/>
        <w:w w:val="100"/>
        <w:sz w:val="24"/>
        <w:szCs w:val="24"/>
        <w:u w:val="none"/>
        <w:shd w:val="clear" w:color="auto" w:fill="auto"/>
      </w:rPr>
    </w:lvl>
    <w:lvl w:ilvl="1" w:tplc="118EBD14">
      <w:start w:val="1"/>
      <w:numFmt w:val="bullet"/>
      <w:lvlText w:val="n"/>
      <w:lvlJc w:val="left"/>
      <w:pPr>
        <w:ind w:left="992" w:hanging="400"/>
        <w:jc w:val="both"/>
      </w:pPr>
      <w:rPr>
        <w:rFonts w:ascii="Wingdings" w:eastAsia="Wingdings" w:hAnsi="Wingdings"/>
        <w:w w:val="100"/>
        <w:sz w:val="20"/>
        <w:szCs w:val="20"/>
        <w:shd w:val="clear" w:color="auto" w:fill="auto"/>
      </w:rPr>
    </w:lvl>
    <w:lvl w:ilvl="2" w:tplc="5104660A">
      <w:start w:val="1"/>
      <w:numFmt w:val="bullet"/>
      <w:lvlText w:val="u"/>
      <w:lvlJc w:val="left"/>
      <w:pPr>
        <w:ind w:left="1392" w:hanging="400"/>
        <w:jc w:val="both"/>
      </w:pPr>
      <w:rPr>
        <w:rFonts w:ascii="Wingdings" w:eastAsia="Wingdings" w:hAnsi="Wingdings"/>
        <w:w w:val="100"/>
        <w:sz w:val="20"/>
        <w:szCs w:val="20"/>
        <w:shd w:val="clear" w:color="auto" w:fill="auto"/>
      </w:rPr>
    </w:lvl>
    <w:lvl w:ilvl="3" w:tplc="02E686DC">
      <w:start w:val="1"/>
      <w:numFmt w:val="bullet"/>
      <w:lvlText w:val="Ø"/>
      <w:lvlJc w:val="left"/>
      <w:pPr>
        <w:ind w:left="1792" w:hanging="400"/>
        <w:jc w:val="both"/>
      </w:pPr>
      <w:rPr>
        <w:rFonts w:ascii="Wingdings" w:eastAsia="Wingdings" w:hAnsi="Wingdings"/>
        <w:w w:val="100"/>
        <w:sz w:val="20"/>
        <w:szCs w:val="20"/>
        <w:shd w:val="clear" w:color="auto" w:fill="auto"/>
      </w:rPr>
    </w:lvl>
    <w:lvl w:ilvl="4" w:tplc="317603B6">
      <w:start w:val="1"/>
      <w:numFmt w:val="bullet"/>
      <w:lvlText w:val="n"/>
      <w:lvlJc w:val="left"/>
      <w:pPr>
        <w:ind w:left="2192" w:hanging="400"/>
        <w:jc w:val="both"/>
      </w:pPr>
      <w:rPr>
        <w:rFonts w:ascii="Wingdings" w:eastAsia="Wingdings" w:hAnsi="Wingdings"/>
        <w:w w:val="100"/>
        <w:sz w:val="20"/>
        <w:szCs w:val="20"/>
        <w:shd w:val="clear" w:color="auto" w:fill="auto"/>
      </w:rPr>
    </w:lvl>
    <w:lvl w:ilvl="5" w:tplc="DCC88D5E">
      <w:start w:val="1"/>
      <w:numFmt w:val="bullet"/>
      <w:lvlText w:val="u"/>
      <w:lvlJc w:val="left"/>
      <w:pPr>
        <w:ind w:left="2592" w:hanging="400"/>
        <w:jc w:val="both"/>
      </w:pPr>
      <w:rPr>
        <w:rFonts w:ascii="Wingdings" w:eastAsia="Wingdings" w:hAnsi="Wingdings"/>
        <w:w w:val="100"/>
        <w:sz w:val="20"/>
        <w:szCs w:val="20"/>
        <w:shd w:val="clear" w:color="auto" w:fill="auto"/>
      </w:rPr>
    </w:lvl>
    <w:lvl w:ilvl="6" w:tplc="C39839E8">
      <w:start w:val="1"/>
      <w:numFmt w:val="bullet"/>
      <w:lvlText w:val="Ø"/>
      <w:lvlJc w:val="left"/>
      <w:pPr>
        <w:ind w:left="2992" w:hanging="400"/>
        <w:jc w:val="both"/>
      </w:pPr>
      <w:rPr>
        <w:rFonts w:ascii="Wingdings" w:eastAsia="Wingdings" w:hAnsi="Wingdings"/>
        <w:w w:val="100"/>
        <w:sz w:val="20"/>
        <w:szCs w:val="20"/>
        <w:shd w:val="clear" w:color="auto" w:fill="auto"/>
      </w:rPr>
    </w:lvl>
    <w:lvl w:ilvl="7" w:tplc="F3442810">
      <w:start w:val="1"/>
      <w:numFmt w:val="bullet"/>
      <w:lvlText w:val="n"/>
      <w:lvlJc w:val="left"/>
      <w:pPr>
        <w:ind w:left="3392" w:hanging="400"/>
        <w:jc w:val="both"/>
      </w:pPr>
      <w:rPr>
        <w:rFonts w:ascii="Wingdings" w:eastAsia="Wingdings" w:hAnsi="Wingdings"/>
        <w:w w:val="100"/>
        <w:sz w:val="20"/>
        <w:szCs w:val="20"/>
        <w:shd w:val="clear" w:color="auto" w:fill="auto"/>
      </w:rPr>
    </w:lvl>
    <w:lvl w:ilvl="8" w:tplc="459CFE62">
      <w:start w:val="1"/>
      <w:numFmt w:val="bullet"/>
      <w:lvlText w:val="u"/>
      <w:lvlJc w:val="left"/>
      <w:pPr>
        <w:ind w:left="3792" w:hanging="400"/>
        <w:jc w:val="both"/>
      </w:pPr>
      <w:rPr>
        <w:rFonts w:ascii="Wingdings" w:eastAsia="Wingdings" w:hAnsi="Wingdings"/>
        <w:w w:val="100"/>
        <w:sz w:val="20"/>
        <w:szCs w:val="20"/>
        <w:shd w:val="clear" w:color="auto" w:fill="auto"/>
      </w:rPr>
    </w:lvl>
  </w:abstractNum>
  <w:abstractNum w:abstractNumId="11" w15:restartNumberingAfterBreak="0">
    <w:nsid w:val="3162379A"/>
    <w:multiLevelType w:val="hybridMultilevel"/>
    <w:tmpl w:val="839A3770"/>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D720EBD"/>
    <w:multiLevelType w:val="hybridMultilevel"/>
    <w:tmpl w:val="215C1B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C751E2"/>
    <w:multiLevelType w:val="hybridMultilevel"/>
    <w:tmpl w:val="29B8FF8C"/>
    <w:lvl w:ilvl="0" w:tplc="FDEE4844">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ECF7D93"/>
    <w:multiLevelType w:val="hybridMultilevel"/>
    <w:tmpl w:val="C7CEC9F4"/>
    <w:lvl w:ilvl="0" w:tplc="FDEE484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902D2"/>
    <w:multiLevelType w:val="hybridMultilevel"/>
    <w:tmpl w:val="C0061EF4"/>
    <w:lvl w:ilvl="0" w:tplc="C680B46C">
      <w:start w:val="15"/>
      <w:numFmt w:val="bullet"/>
      <w:lvlText w:val="-"/>
      <w:lvlJc w:val="left"/>
      <w:pPr>
        <w:ind w:left="360" w:hanging="360"/>
      </w:pPr>
      <w:rPr>
        <w:rFonts w:ascii="Times New Roman" w:eastAsia="Calibr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07C0670"/>
    <w:multiLevelType w:val="hybridMultilevel"/>
    <w:tmpl w:val="5B6A7AE0"/>
    <w:lvl w:ilvl="0" w:tplc="FDEE4844">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D50132"/>
    <w:multiLevelType w:val="hybridMultilevel"/>
    <w:tmpl w:val="2DC07B7E"/>
    <w:lvl w:ilvl="0" w:tplc="FDEE48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6962244"/>
    <w:multiLevelType w:val="hybridMultilevel"/>
    <w:tmpl w:val="A41C6E94"/>
    <w:styleLink w:val="ImportedStyle1"/>
    <w:lvl w:ilvl="0" w:tplc="826AB56E">
      <w:start w:val="1"/>
      <w:numFmt w:val="upperRoman"/>
      <w:lvlText w:val="%1."/>
      <w:lvlJc w:val="left"/>
      <w:pPr>
        <w:ind w:left="7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D0F62A8C">
      <w:start w:val="1"/>
      <w:numFmt w:val="lowerLetter"/>
      <w:lvlText w:val="%2."/>
      <w:lvlJc w:val="left"/>
      <w:pPr>
        <w:ind w:left="15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C6F396">
      <w:start w:val="1"/>
      <w:numFmt w:val="lowerRoman"/>
      <w:lvlText w:val="%3."/>
      <w:lvlJc w:val="left"/>
      <w:pPr>
        <w:ind w:left="22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1F852DE">
      <w:start w:val="1"/>
      <w:numFmt w:val="decimal"/>
      <w:lvlText w:val="%4."/>
      <w:lvlJc w:val="left"/>
      <w:pPr>
        <w:ind w:left="29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19C4E04">
      <w:start w:val="1"/>
      <w:numFmt w:val="lowerLetter"/>
      <w:lvlText w:val="%5."/>
      <w:lvlJc w:val="left"/>
      <w:pPr>
        <w:ind w:left="36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53CF178">
      <w:start w:val="1"/>
      <w:numFmt w:val="lowerRoman"/>
      <w:lvlText w:val="%6."/>
      <w:lvlJc w:val="left"/>
      <w:pPr>
        <w:ind w:left="43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7501B84">
      <w:start w:val="1"/>
      <w:numFmt w:val="decimal"/>
      <w:lvlText w:val="%7."/>
      <w:lvlJc w:val="left"/>
      <w:pPr>
        <w:ind w:left="5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4A7C1E">
      <w:start w:val="1"/>
      <w:numFmt w:val="lowerLetter"/>
      <w:lvlText w:val="%8."/>
      <w:lvlJc w:val="left"/>
      <w:pPr>
        <w:ind w:left="5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3C45F8">
      <w:start w:val="1"/>
      <w:numFmt w:val="lowerRoman"/>
      <w:lvlText w:val="%9."/>
      <w:lvlJc w:val="left"/>
      <w:pPr>
        <w:ind w:left="65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A8105DE"/>
    <w:multiLevelType w:val="hybridMultilevel"/>
    <w:tmpl w:val="85989ECE"/>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5"/>
  </w:num>
  <w:num w:numId="5">
    <w:abstractNumId w:val="0"/>
  </w:num>
  <w:num w:numId="6">
    <w:abstractNumId w:val="6"/>
  </w:num>
  <w:num w:numId="7">
    <w:abstractNumId w:val="14"/>
  </w:num>
  <w:num w:numId="8">
    <w:abstractNumId w:val="12"/>
  </w:num>
  <w:num w:numId="9">
    <w:abstractNumId w:val="2"/>
  </w:num>
  <w:num w:numId="10">
    <w:abstractNumId w:val="17"/>
  </w:num>
  <w:num w:numId="11">
    <w:abstractNumId w:val="16"/>
  </w:num>
  <w:num w:numId="12">
    <w:abstractNumId w:val="3"/>
  </w:num>
  <w:num w:numId="13">
    <w:abstractNumId w:val="4"/>
  </w:num>
  <w:num w:numId="14">
    <w:abstractNumId w:val="1"/>
  </w:num>
  <w:num w:numId="15">
    <w:abstractNumId w:val="13"/>
  </w:num>
  <w:num w:numId="16">
    <w:abstractNumId w:val="11"/>
  </w:num>
  <w:num w:numId="17">
    <w:abstractNumId w:val="19"/>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C8F6772-770C-475E-AC36-B3CAEF82D0E3"/>
    <w:docVar w:name="LW_COVERPAGE_TYPE" w:val="1"/>
    <w:docVar w:name="LW_CROSSREFERENCE" w:val="&lt;UNUSED&gt;"/>
    <w:docVar w:name="LW_DocType" w:val="NORMAL"/>
    <w:docVar w:name="LW_EMISSION" w:val="29.4.2020"/>
    <w:docVar w:name="LW_EMISSION_ISODATE" w:val="2020-04-29"/>
    <w:docVar w:name="LW_EMISSION_LOCATION" w:val="BRX"/>
    <w:docVar w:name="LW_EMISSION_PREFIX" w:val="Bruselj, "/>
    <w:docVar w:name="LW_EMISSION_SUFFIX" w:val=" "/>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0) 3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odpora Zahodnemu Balkanu pri soo\u269?anju s COVID-19 in okrevanju po pandemiji &lt;/FMT&gt;_x000d__x000d__x000d__x000b__x000d__x000b_&lt;FMT:Bold&gt;Prispevek Komisije med pripravami na sre\u269?anje voditeljev EU in Zahodnega Balkana &lt;/FMT&gt;_x000b_&lt;FMT:Bold&gt;6. maja 2020&lt;/FMT&gt;_x000d__x000d__x000d__x000d__x000d__x000b_"/>
    <w:docVar w:name="LW_TYPE.DOC.CP" w:val="SPORO\u268?ILO KOMISIJE EVROPSKEMU PARLAMENTU, SVETU, EVROPSKEMU EKONOMSKO-SOCIALNEMU ODBORU IN ODBORU REGIJ"/>
    <w:docVar w:name="LW_TYPE.DOC.CP.USERTEXT" w:val="&lt;EMPTY&gt;"/>
  </w:docVars>
  <w:rsids>
    <w:rsidRoot w:val="00E9742B"/>
    <w:rsid w:val="00410E50"/>
    <w:rsid w:val="00E97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5BFE887-BBFA-4E6C-824F-C35166EF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Ha"/>
    <w:basedOn w:val="Normal"/>
    <w:link w:val="ListParagraphChar"/>
    <w:qFormat/>
    <w:pPr>
      <w:spacing w:after="0" w:line="240" w:lineRule="auto"/>
      <w:ind w:left="720"/>
    </w:pPr>
    <w:rPr>
      <w:rFonts w:ascii="Calibri" w:eastAsia="Calibri" w:hAnsi="Calibri" w:cs="Times New Roman"/>
      <w:lang w:eastAsia="fr-BE"/>
    </w:rPr>
  </w:style>
  <w:style w:type="paragraph" w:styleId="FootnoteText">
    <w:name w:val="footnote text"/>
    <w:basedOn w:val="Normal"/>
    <w:link w:val="FootnoteTextChar"/>
    <w:uiPriority w:val="99"/>
    <w:unhideWhenUsed/>
    <w:qFormat/>
    <w:pPr>
      <w:spacing w:after="0" w:line="240" w:lineRule="auto"/>
    </w:pPr>
    <w:rPr>
      <w:rFonts w:ascii="Calibri" w:eastAsia="Calibri" w:hAnsi="Calibri" w:cs="Times New Roman"/>
      <w:sz w:val="20"/>
      <w:szCs w:val="20"/>
      <w:lang w:eastAsia="fr-BE"/>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sl-SI" w:eastAsia="fr-B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n,Nota"/>
    <w:basedOn w:val="DefaultParagraphFont"/>
    <w:link w:val="FootnotesymbolCarZchn"/>
    <w:uiPriority w:val="99"/>
    <w:unhideWhenUsed/>
    <w:qFormat/>
    <w:rPr>
      <w:w w:val="100"/>
      <w:sz w:val="20"/>
      <w:szCs w:val="20"/>
      <w:shd w:val="clear" w:color="auto" w:fill="auto"/>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semiHidden/>
    <w:unhideWhenUsed/>
    <w:pPr>
      <w:spacing w:after="0" w:line="240" w:lineRule="auto"/>
    </w:pPr>
    <w:rPr>
      <w:rFonts w:ascii="Calibri" w:eastAsia="Calibri" w:hAnsi="Calibri" w:cs="Times New Roman"/>
      <w:sz w:val="20"/>
      <w:szCs w:val="20"/>
      <w:lang w:eastAsia="fr-BE"/>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sl-SI" w:eastAsia="fr-BE"/>
    </w:rPr>
  </w:style>
  <w:style w:type="paragraph" w:styleId="NormalWeb">
    <w:name w:val="Normal (Web)"/>
    <w:basedOn w:val="Normal"/>
    <w:unhideWhenUsed/>
    <w:pPr>
      <w:spacing w:after="0" w:line="240" w:lineRule="auto"/>
    </w:pPr>
    <w:rPr>
      <w:rFonts w:ascii="Times New Roman" w:eastAsia="Times New Roman" w:hAnsi="Times New Roman" w:cs="Times New Roman"/>
      <w:sz w:val="24"/>
      <w:szCs w:val="24"/>
      <w:lang w:eastAsia="fr-BE"/>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basedOn w:val="DefaultParagraphFont"/>
    <w:link w:val="ListParagraph"/>
    <w:uiPriority w:val="34"/>
    <w:qFormat/>
    <w:rPr>
      <w:rFonts w:ascii="Calibri" w:eastAsia="Calibri" w:hAnsi="Calibri" w:cs="Times New Roman"/>
      <w:lang w:val="sl-SI"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sl-SI" w:eastAsia="fr-BE"/>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sz w:val="20"/>
      <w:szCs w:val="20"/>
      <w:vertAlign w:val="superscript"/>
    </w:rPr>
  </w:style>
  <w:style w:type="paragraph" w:styleId="Revision">
    <w:name w:val="Revision"/>
    <w:hidden/>
    <w:uiPriority w:val="99"/>
    <w:semiHidden/>
    <w:pPr>
      <w:spacing w:after="0" w:line="240" w:lineRule="auto"/>
    </w:pPr>
  </w:style>
  <w:style w:type="character" w:styleId="Emphasis">
    <w:name w:val="Emphasis"/>
    <w:basedOn w:val="DefaultParagraphFont"/>
    <w:uiPriority w:val="20"/>
    <w:qFormat/>
    <w:rPr>
      <w:i/>
      <w:iCs/>
    </w:r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14:textOutline w14:w="0" w14:cap="flat" w14:cmpd="sng" w14:algn="ctr">
        <w14:noFill/>
        <w14:prstDash w14:val="solid"/>
        <w14:bevel/>
      </w14:textOutline>
    </w:rPr>
  </w:style>
  <w:style w:type="numbering" w:customStyle="1" w:styleId="ImportedStyle1">
    <w:name w:val="Imported Style 1"/>
    <w:pPr>
      <w:numPr>
        <w:numId w:val="19"/>
      </w:numPr>
    </w:pPr>
  </w:style>
  <w:style w:type="character" w:customStyle="1" w:styleId="Hyperlink0">
    <w:name w:val="Hyperlink.0"/>
    <w:basedOn w:val="DefaultParagraphFont"/>
    <w:rPr>
      <w:rFonts w:ascii="Times New Roman" w:eastAsia="Times New Roman" w:hAnsi="Times New Roman" w:cs="Times New Roman"/>
      <w:color w:val="0000FF"/>
      <w:u w:val="single" w:color="0000FF"/>
      <w:lang w:val="sl-SI"/>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462">
      <w:bodyDiv w:val="1"/>
      <w:marLeft w:val="0"/>
      <w:marRight w:val="0"/>
      <w:marTop w:val="0"/>
      <w:marBottom w:val="0"/>
      <w:divBdr>
        <w:top w:val="none" w:sz="0" w:space="0" w:color="auto"/>
        <w:left w:val="none" w:sz="0" w:space="0" w:color="auto"/>
        <w:bottom w:val="none" w:sz="0" w:space="0" w:color="auto"/>
        <w:right w:val="none" w:sz="0" w:space="0" w:color="auto"/>
      </w:divBdr>
    </w:div>
    <w:div w:id="193353803">
      <w:bodyDiv w:val="1"/>
      <w:marLeft w:val="0"/>
      <w:marRight w:val="0"/>
      <w:marTop w:val="0"/>
      <w:marBottom w:val="0"/>
      <w:divBdr>
        <w:top w:val="none" w:sz="0" w:space="0" w:color="auto"/>
        <w:left w:val="none" w:sz="0" w:space="0" w:color="auto"/>
        <w:bottom w:val="none" w:sz="0" w:space="0" w:color="auto"/>
        <w:right w:val="none" w:sz="0" w:space="0" w:color="auto"/>
      </w:divBdr>
    </w:div>
    <w:div w:id="452789347">
      <w:bodyDiv w:val="1"/>
      <w:marLeft w:val="0"/>
      <w:marRight w:val="0"/>
      <w:marTop w:val="0"/>
      <w:marBottom w:val="0"/>
      <w:divBdr>
        <w:top w:val="none" w:sz="0" w:space="0" w:color="auto"/>
        <w:left w:val="none" w:sz="0" w:space="0" w:color="auto"/>
        <w:bottom w:val="none" w:sz="0" w:space="0" w:color="auto"/>
        <w:right w:val="none" w:sz="0" w:space="0" w:color="auto"/>
      </w:divBdr>
    </w:div>
    <w:div w:id="676232197">
      <w:bodyDiv w:val="1"/>
      <w:marLeft w:val="0"/>
      <w:marRight w:val="0"/>
      <w:marTop w:val="0"/>
      <w:marBottom w:val="0"/>
      <w:divBdr>
        <w:top w:val="none" w:sz="0" w:space="0" w:color="auto"/>
        <w:left w:val="none" w:sz="0" w:space="0" w:color="auto"/>
        <w:bottom w:val="none" w:sz="0" w:space="0" w:color="auto"/>
        <w:right w:val="none" w:sz="0" w:space="0" w:color="auto"/>
      </w:divBdr>
    </w:div>
    <w:div w:id="700055688">
      <w:bodyDiv w:val="1"/>
      <w:marLeft w:val="0"/>
      <w:marRight w:val="0"/>
      <w:marTop w:val="0"/>
      <w:marBottom w:val="0"/>
      <w:divBdr>
        <w:top w:val="none" w:sz="0" w:space="0" w:color="auto"/>
        <w:left w:val="none" w:sz="0" w:space="0" w:color="auto"/>
        <w:bottom w:val="none" w:sz="0" w:space="0" w:color="auto"/>
        <w:right w:val="none" w:sz="0" w:space="0" w:color="auto"/>
      </w:divBdr>
    </w:div>
    <w:div w:id="736166459">
      <w:bodyDiv w:val="1"/>
      <w:marLeft w:val="0"/>
      <w:marRight w:val="0"/>
      <w:marTop w:val="0"/>
      <w:marBottom w:val="0"/>
      <w:divBdr>
        <w:top w:val="none" w:sz="0" w:space="0" w:color="auto"/>
        <w:left w:val="none" w:sz="0" w:space="0" w:color="auto"/>
        <w:bottom w:val="none" w:sz="0" w:space="0" w:color="auto"/>
        <w:right w:val="none" w:sz="0" w:space="0" w:color="auto"/>
      </w:divBdr>
    </w:div>
    <w:div w:id="756904911">
      <w:bodyDiv w:val="1"/>
      <w:marLeft w:val="0"/>
      <w:marRight w:val="0"/>
      <w:marTop w:val="0"/>
      <w:marBottom w:val="0"/>
      <w:divBdr>
        <w:top w:val="none" w:sz="0" w:space="0" w:color="auto"/>
        <w:left w:val="none" w:sz="0" w:space="0" w:color="auto"/>
        <w:bottom w:val="none" w:sz="0" w:space="0" w:color="auto"/>
        <w:right w:val="none" w:sz="0" w:space="0" w:color="auto"/>
      </w:divBdr>
    </w:div>
    <w:div w:id="911962017">
      <w:bodyDiv w:val="1"/>
      <w:marLeft w:val="0"/>
      <w:marRight w:val="0"/>
      <w:marTop w:val="0"/>
      <w:marBottom w:val="0"/>
      <w:divBdr>
        <w:top w:val="none" w:sz="0" w:space="0" w:color="auto"/>
        <w:left w:val="none" w:sz="0" w:space="0" w:color="auto"/>
        <w:bottom w:val="none" w:sz="0" w:space="0" w:color="auto"/>
        <w:right w:val="none" w:sz="0" w:space="0" w:color="auto"/>
      </w:divBdr>
    </w:div>
    <w:div w:id="938295663">
      <w:bodyDiv w:val="1"/>
      <w:marLeft w:val="0"/>
      <w:marRight w:val="0"/>
      <w:marTop w:val="0"/>
      <w:marBottom w:val="0"/>
      <w:divBdr>
        <w:top w:val="none" w:sz="0" w:space="0" w:color="auto"/>
        <w:left w:val="none" w:sz="0" w:space="0" w:color="auto"/>
        <w:bottom w:val="none" w:sz="0" w:space="0" w:color="auto"/>
        <w:right w:val="none" w:sz="0" w:space="0" w:color="auto"/>
      </w:divBdr>
    </w:div>
    <w:div w:id="1168449821">
      <w:bodyDiv w:val="1"/>
      <w:marLeft w:val="0"/>
      <w:marRight w:val="0"/>
      <w:marTop w:val="0"/>
      <w:marBottom w:val="0"/>
      <w:divBdr>
        <w:top w:val="none" w:sz="0" w:space="0" w:color="auto"/>
        <w:left w:val="none" w:sz="0" w:space="0" w:color="auto"/>
        <w:bottom w:val="none" w:sz="0" w:space="0" w:color="auto"/>
        <w:right w:val="none" w:sz="0" w:space="0" w:color="auto"/>
      </w:divBdr>
    </w:div>
    <w:div w:id="1331561304">
      <w:bodyDiv w:val="1"/>
      <w:marLeft w:val="0"/>
      <w:marRight w:val="0"/>
      <w:marTop w:val="0"/>
      <w:marBottom w:val="0"/>
      <w:divBdr>
        <w:top w:val="none" w:sz="0" w:space="0" w:color="auto"/>
        <w:left w:val="none" w:sz="0" w:space="0" w:color="auto"/>
        <w:bottom w:val="none" w:sz="0" w:space="0" w:color="auto"/>
        <w:right w:val="none" w:sz="0" w:space="0" w:color="auto"/>
      </w:divBdr>
    </w:div>
    <w:div w:id="1403748287">
      <w:bodyDiv w:val="1"/>
      <w:marLeft w:val="0"/>
      <w:marRight w:val="0"/>
      <w:marTop w:val="0"/>
      <w:marBottom w:val="0"/>
      <w:divBdr>
        <w:top w:val="none" w:sz="0" w:space="0" w:color="auto"/>
        <w:left w:val="none" w:sz="0" w:space="0" w:color="auto"/>
        <w:bottom w:val="none" w:sz="0" w:space="0" w:color="auto"/>
        <w:right w:val="none" w:sz="0" w:space="0" w:color="auto"/>
      </w:divBdr>
    </w:div>
    <w:div w:id="1974796326">
      <w:bodyDiv w:val="1"/>
      <w:marLeft w:val="0"/>
      <w:marRight w:val="0"/>
      <w:marTop w:val="0"/>
      <w:marBottom w:val="0"/>
      <w:divBdr>
        <w:top w:val="none" w:sz="0" w:space="0" w:color="auto"/>
        <w:left w:val="none" w:sz="0" w:space="0" w:color="auto"/>
        <w:bottom w:val="none" w:sz="0" w:space="0" w:color="auto"/>
        <w:right w:val="none" w:sz="0" w:space="0" w:color="auto"/>
      </w:divBdr>
    </w:div>
    <w:div w:id="2141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enlargement/sites/near/files/enlargement-methodology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F827B-9594-431C-B3A6-8908B9C7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2026</Words>
  <Characters>14919</Characters>
  <Application>Microsoft Office Word</Application>
  <DocSecurity>0</DocSecurity>
  <Lines>213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2020-04-28T19:27:00Z</cp:lastPrinted>
  <dcterms:created xsi:type="dcterms:W3CDTF">2020-04-28T19:14:00Z</dcterms:created>
  <dcterms:modified xsi:type="dcterms:W3CDTF">2020-05-04T12:14:00Z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7.0.1, Build 20190916</vt:lpwstr>
  </property>
  <property name="OP_sanitized" fmtid="{D5CDD505-2E9C-101B-9397-08002B2CF9AE}" pid="9">
    <vt:lpwstr>True</vt:lpwstr>
  </property>
</Properties>
</file>