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DBA0A" w14:textId="2E66E45A" w:rsidR="00C05109" w:rsidRPr="00931D25" w:rsidRDefault="00121B8A" w:rsidP="00121B8A">
      <w:pPr>
        <w:pStyle w:val="Pagedecouverture"/>
        <w:rPr>
          <w:noProof/>
        </w:rPr>
      </w:pPr>
      <w:r>
        <w:rPr>
          <w:noProof/>
        </w:rPr>
        <w:pict w14:anchorId="24790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0BCEA0E3-552D-4C6E-8C57-3BD36B763F2E" style="width:455pt;height:383.5pt">
            <v:imagedata r:id="rId8" o:title=""/>
          </v:shape>
        </w:pict>
      </w:r>
    </w:p>
    <w:p w14:paraId="4A46E6FA" w14:textId="77777777" w:rsidR="00C05109" w:rsidRPr="00931D25" w:rsidRDefault="00C05109" w:rsidP="00C05109">
      <w:pPr>
        <w:rPr>
          <w:noProof/>
        </w:rPr>
        <w:sectPr w:rsidR="00C05109" w:rsidRPr="00931D25" w:rsidSect="00121B8A">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1D17DA64" w14:textId="77777777" w:rsidR="00C05109" w:rsidRPr="00931D25" w:rsidRDefault="00C05109" w:rsidP="00BB6B30">
      <w:pPr>
        <w:pStyle w:val="Exposdesmotifstitre"/>
        <w:rPr>
          <w:noProof/>
        </w:rPr>
      </w:pPr>
      <w:r w:rsidRPr="00931D25">
        <w:rPr>
          <w:noProof/>
        </w:rPr>
        <w:lastRenderedPageBreak/>
        <w:t>MOTIVERING</w:t>
      </w:r>
    </w:p>
    <w:p w14:paraId="3721F270" w14:textId="10A80B7D" w:rsidR="00180A74" w:rsidRPr="00931D25" w:rsidRDefault="000F3DA0" w:rsidP="000F3DA0">
      <w:pPr>
        <w:pStyle w:val="Point0"/>
        <w:rPr>
          <w:noProof/>
        </w:rPr>
      </w:pPr>
      <w:r w:rsidRPr="000F3DA0">
        <w:rPr>
          <w:noProof/>
        </w:rPr>
        <w:t>(1)</w:t>
      </w:r>
      <w:r w:rsidRPr="000F3DA0">
        <w:rPr>
          <w:noProof/>
        </w:rPr>
        <w:tab/>
      </w:r>
      <w:r w:rsidR="00180A74" w:rsidRPr="00931D25">
        <w:rPr>
          <w:noProof/>
        </w:rPr>
        <w:t xml:space="preserve">Rådets förordning (EU) nr 269/2014 om restriktiva åtgärder med avseende på åtgärder som undergräver eller hotar Ukrainas territoriella integritet, suveränitet och oberoende ger verkan åt restriktiva åtgärder som </w:t>
      </w:r>
      <w:r w:rsidR="00180A74" w:rsidRPr="00931D25">
        <w:rPr>
          <w:noProof/>
          <w:u w:color="000000"/>
          <w:bdr w:val="nil"/>
        </w:rPr>
        <w:t>föreskrivs i beslut 2014/145/Gusp</w:t>
      </w:r>
      <w:r w:rsidR="00180A74" w:rsidRPr="00931D25">
        <w:rPr>
          <w:noProof/>
        </w:rPr>
        <w:t>.</w:t>
      </w:r>
    </w:p>
    <w:p w14:paraId="2C5E90CD" w14:textId="0AD7B784" w:rsidR="00180A74" w:rsidRPr="00931D25" w:rsidRDefault="000F3DA0" w:rsidP="000F3DA0">
      <w:pPr>
        <w:pStyle w:val="Point0"/>
        <w:rPr>
          <w:rStyle w:val="normaltextrun"/>
          <w:noProof/>
        </w:rPr>
      </w:pPr>
      <w:r w:rsidRPr="000F3DA0">
        <w:rPr>
          <w:rStyle w:val="normaltextrun"/>
          <w:noProof/>
        </w:rPr>
        <w:t>(2)</w:t>
      </w:r>
      <w:r w:rsidRPr="000F3DA0">
        <w:rPr>
          <w:rStyle w:val="normaltextrun"/>
          <w:noProof/>
        </w:rPr>
        <w:tab/>
      </w:r>
      <w:r w:rsidR="00C05109" w:rsidRPr="00931D25">
        <w:rPr>
          <w:noProof/>
        </w:rPr>
        <w:t>Den XXX 2022 antog rådet beslut XXXX om ändring av beslut 2014/145/Gusp genom vilket det infördes ytterligare möjligheter till undantag från frysningen av tillgångar och från förbudet mot att göra penningmedel och ekonomiska resurser tillgängliga för personer och enheter för att snabbt kunna förebygga eller mildra konsekvenserna av en händelse som sannolikt kommer att ha en allvarlig och betydande inverkan på människors hälsa och säkerhet eller på miljön.</w:t>
      </w:r>
      <w:r w:rsidR="00C05109" w:rsidRPr="00931D25">
        <w:rPr>
          <w:rStyle w:val="normaltextrun"/>
          <w:noProof/>
        </w:rPr>
        <w:t xml:space="preserve"> </w:t>
      </w:r>
      <w:r w:rsidR="00C05109" w:rsidRPr="00931D25">
        <w:rPr>
          <w:noProof/>
        </w:rPr>
        <w:t>Mot bakgrund av unionens beslutsamma agerande för att undvika och motverka osäkerhet kring livsmedels- och energiförsörjning i världen utvidgar också beslut (Gusp) 2022/XXX undantaget från förbudet att frysa tillgångar och från förbudet mot att göra penningmedel och ekonomiska resurser tillgängliga för personer och enheter för jordbruksprodukter.</w:t>
      </w:r>
    </w:p>
    <w:p w14:paraId="42E5C158" w14:textId="4894ADAE" w:rsidR="00864077" w:rsidRPr="00931D25" w:rsidRDefault="000F3DA0" w:rsidP="000F3DA0">
      <w:pPr>
        <w:pStyle w:val="Point0"/>
        <w:rPr>
          <w:noProof/>
        </w:rPr>
      </w:pPr>
      <w:r w:rsidRPr="000F3DA0">
        <w:rPr>
          <w:noProof/>
        </w:rPr>
        <w:t>(3)</w:t>
      </w:r>
      <w:r w:rsidRPr="000F3DA0">
        <w:rPr>
          <w:noProof/>
        </w:rPr>
        <w:tab/>
      </w:r>
      <w:r w:rsidR="00864077" w:rsidRPr="00931D25">
        <w:rPr>
          <w:noProof/>
        </w:rPr>
        <w:t>För att säkerställa ett effektivt och enhetligt genomförande av rådets förordning (EU) nr 269/2014 är det lämpligt att ålägga personer och enheter som är uppförda på förteckningen och som har tillgångar inom unionens jurisdiktion att inrapportera dessa och att samarbeta med den behöriga myndigheten i kontrollen av denna rapportering. Det är också lämpligt att skärpa bestämmelserna om rapporteringsskyldigheter för EU-operatörer för att begränsa överträdelser och kringgående av frysning av tillgångar.</w:t>
      </w:r>
    </w:p>
    <w:p w14:paraId="033721A4" w14:textId="0CE8586B" w:rsidR="00C05109" w:rsidRPr="00931D25" w:rsidRDefault="000F3DA0" w:rsidP="000F3DA0">
      <w:pPr>
        <w:pStyle w:val="Point0"/>
        <w:rPr>
          <w:noProof/>
        </w:rPr>
      </w:pPr>
      <w:r w:rsidRPr="000F3DA0">
        <w:rPr>
          <w:noProof/>
        </w:rPr>
        <w:t>(4)</w:t>
      </w:r>
      <w:r w:rsidRPr="000F3DA0">
        <w:rPr>
          <w:noProof/>
        </w:rPr>
        <w:tab/>
      </w:r>
      <w:r w:rsidR="00C05109" w:rsidRPr="00931D25">
        <w:rPr>
          <w:noProof/>
        </w:rPr>
        <w:t>Det krävs ytterligare insatser från unionens sida för att ge verkan åt dessa åtgärder i unionsrätten.</w:t>
      </w:r>
    </w:p>
    <w:p w14:paraId="75124DCB" w14:textId="1ACEDC5B" w:rsidR="00C05109" w:rsidRPr="00931D25" w:rsidRDefault="000F3DA0" w:rsidP="000F3DA0">
      <w:pPr>
        <w:pStyle w:val="Point0"/>
        <w:rPr>
          <w:noProof/>
        </w:rPr>
      </w:pPr>
      <w:r w:rsidRPr="000F3DA0">
        <w:rPr>
          <w:noProof/>
        </w:rPr>
        <w:t>(5)</w:t>
      </w:r>
      <w:r w:rsidRPr="000F3DA0">
        <w:rPr>
          <w:noProof/>
        </w:rPr>
        <w:tab/>
      </w:r>
      <w:r w:rsidR="00C05109" w:rsidRPr="00931D25">
        <w:rPr>
          <w:noProof/>
        </w:rPr>
        <w:t>Unionens höga representant för utrikes frågor och säkerhetspolitik samt Europeiska kommissionen föreslår en ändring av förordning (EU) nr 269/2014 i enlighet med detta.</w:t>
      </w:r>
    </w:p>
    <w:p w14:paraId="5A3F4DF2" w14:textId="77777777" w:rsidR="00C05109" w:rsidRPr="00931D25" w:rsidRDefault="00C05109" w:rsidP="00C05109">
      <w:pPr>
        <w:pStyle w:val="ManualHeading1"/>
        <w:rPr>
          <w:noProof/>
        </w:rPr>
        <w:sectPr w:rsidR="00C05109" w:rsidRPr="00931D25" w:rsidSect="00121B8A">
          <w:footerReference w:type="default" r:id="rId15"/>
          <w:footerReference w:type="first" r:id="rId16"/>
          <w:pgSz w:w="11907" w:h="16839"/>
          <w:pgMar w:top="1134" w:right="1417" w:bottom="1134" w:left="1417" w:header="709" w:footer="709" w:gutter="0"/>
          <w:cols w:space="708"/>
          <w:docGrid w:linePitch="360"/>
        </w:sectPr>
      </w:pPr>
    </w:p>
    <w:p w14:paraId="4FE99457" w14:textId="684C3290" w:rsidR="00044288" w:rsidRDefault="00121B8A" w:rsidP="00121B8A">
      <w:pPr>
        <w:pStyle w:val="Rfrenceinterinstitutionnelle"/>
        <w:rPr>
          <w:noProof/>
        </w:rPr>
      </w:pPr>
      <w:r w:rsidRPr="00121B8A">
        <w:t>2022/0224 (NLE)</w:t>
      </w:r>
    </w:p>
    <w:p w14:paraId="499E2EBB" w14:textId="56853907" w:rsidR="00C05109" w:rsidRPr="00931D25" w:rsidRDefault="00931D25" w:rsidP="00931D25">
      <w:pPr>
        <w:pStyle w:val="Statut"/>
        <w:rPr>
          <w:noProof/>
        </w:rPr>
      </w:pPr>
      <w:r w:rsidRPr="00931D25">
        <w:rPr>
          <w:noProof/>
        </w:rPr>
        <w:t>Gemensamt förslag till</w:t>
      </w:r>
    </w:p>
    <w:p w14:paraId="54739266" w14:textId="0933F522" w:rsidR="00C05109" w:rsidRPr="00931D25" w:rsidRDefault="00931D25" w:rsidP="00931D25">
      <w:pPr>
        <w:pStyle w:val="Typedudocument"/>
        <w:rPr>
          <w:noProof/>
        </w:rPr>
      </w:pPr>
      <w:r w:rsidRPr="00931D25">
        <w:rPr>
          <w:noProof/>
        </w:rPr>
        <w:t>RÅDETS FÖRORDNING</w:t>
      </w:r>
    </w:p>
    <w:p w14:paraId="70C4446B" w14:textId="7588B1A6" w:rsidR="001177DA" w:rsidRPr="00931D25" w:rsidRDefault="00931D25" w:rsidP="00931D25">
      <w:pPr>
        <w:pStyle w:val="Titreobjet"/>
        <w:rPr>
          <w:noProof/>
        </w:rPr>
      </w:pPr>
      <w:r w:rsidRPr="00931D25">
        <w:rPr>
          <w:noProof/>
        </w:rPr>
        <w:t>om ändring av rådets förordning (EU) nr 269/2014 om restriktiva åtgärder med avseende på åtgärder som undergräver eller hotar Ukrainas territoriella integritet, suveränitet och oberoende</w:t>
      </w:r>
    </w:p>
    <w:p w14:paraId="3481B642" w14:textId="77777777" w:rsidR="00C05109" w:rsidRPr="00931D25" w:rsidRDefault="00C05109" w:rsidP="00CE48A5">
      <w:pPr>
        <w:pStyle w:val="Institutionquiagit"/>
        <w:rPr>
          <w:noProof/>
        </w:rPr>
      </w:pPr>
      <w:r w:rsidRPr="00931D25">
        <w:rPr>
          <w:noProof/>
        </w:rPr>
        <w:t>EUROPEISKA UNIONENS RÅD HAR ANTAGIT DENNA FÖRORDNING</w:t>
      </w:r>
    </w:p>
    <w:p w14:paraId="6F39BF57" w14:textId="77777777" w:rsidR="00C05109" w:rsidRPr="00931D25" w:rsidRDefault="00C05109" w:rsidP="00CE48A5">
      <w:pPr>
        <w:rPr>
          <w:noProof/>
        </w:rPr>
      </w:pPr>
      <w:r w:rsidRPr="00931D25">
        <w:rPr>
          <w:noProof/>
        </w:rPr>
        <w:t>med beaktande av fördraget om Europeiska unionens funktionssätt, särskilt artikel 215,</w:t>
      </w:r>
    </w:p>
    <w:p w14:paraId="156E63BF" w14:textId="77777777" w:rsidR="00C05109" w:rsidRPr="00931D25" w:rsidRDefault="00BC3A90" w:rsidP="00CE48A5">
      <w:pPr>
        <w:rPr>
          <w:noProof/>
        </w:rPr>
      </w:pPr>
      <w:r w:rsidRPr="00931D25">
        <w:rPr>
          <w:noProof/>
        </w:rPr>
        <w:t>med beaktande av rådets beslut 2014/145/Gusp av den 17 mars 2014 om restriktiva åtgärder mot åtgärder som undergräver eller hotar Ukrainas territoriella integritet, suveränitet och oberoende</w:t>
      </w:r>
      <w:r w:rsidRPr="00931D25">
        <w:rPr>
          <w:rStyle w:val="FootnoteReference"/>
          <w:noProof/>
        </w:rPr>
        <w:footnoteReference w:id="1"/>
      </w:r>
      <w:r w:rsidRPr="00931D25">
        <w:rPr>
          <w:noProof/>
        </w:rPr>
        <w:t>,</w:t>
      </w:r>
    </w:p>
    <w:p w14:paraId="46F542AB" w14:textId="77777777" w:rsidR="00C05109" w:rsidRPr="00931D25" w:rsidRDefault="00C05109" w:rsidP="00CE48A5">
      <w:pPr>
        <w:rPr>
          <w:noProof/>
        </w:rPr>
      </w:pPr>
      <w:r w:rsidRPr="00931D25">
        <w:rPr>
          <w:noProof/>
        </w:rPr>
        <w:t>med beaktande av det gemensamma förslaget från unionens höga representant för utrikes frågor och säkerhetspolitik och Europeiska kommissionen, och</w:t>
      </w:r>
    </w:p>
    <w:p w14:paraId="4A0B815F" w14:textId="77777777" w:rsidR="00C05109" w:rsidRPr="00931D25" w:rsidRDefault="00C05109" w:rsidP="00CE48A5">
      <w:pPr>
        <w:rPr>
          <w:noProof/>
        </w:rPr>
      </w:pPr>
      <w:r w:rsidRPr="00931D25">
        <w:rPr>
          <w:noProof/>
        </w:rPr>
        <w:t>av följande skäl:</w:t>
      </w:r>
    </w:p>
    <w:p w14:paraId="366EFEE4" w14:textId="03ACE4B6" w:rsidR="00CF2A39" w:rsidRPr="00931D25" w:rsidRDefault="000F3DA0" w:rsidP="000F3DA0">
      <w:pPr>
        <w:pStyle w:val="ManualConsidrant"/>
        <w:rPr>
          <w:noProof/>
        </w:rPr>
      </w:pPr>
      <w:r w:rsidRPr="000F3DA0">
        <w:rPr>
          <w:noProof/>
        </w:rPr>
        <w:t>(1)</w:t>
      </w:r>
      <w:r w:rsidRPr="000F3DA0">
        <w:rPr>
          <w:noProof/>
        </w:rPr>
        <w:tab/>
      </w:r>
      <w:r w:rsidR="00FF0373" w:rsidRPr="00931D25">
        <w:rPr>
          <w:noProof/>
        </w:rPr>
        <w:t>Rådets förordning (EU) nr 269/2014 om restriktiva åtgärder med avseende på åtgärder som undergräver eller hotar Ukrainas territoriella integritet, suveränitet och oberoende ger verkan åt restriktiva åtgärder som föreskrivs i beslut 2014/145/Gusp.</w:t>
      </w:r>
    </w:p>
    <w:p w14:paraId="08DD9E15" w14:textId="59CC0A1D" w:rsidR="002B5FF9" w:rsidRPr="00931D25" w:rsidRDefault="000F3DA0" w:rsidP="000F3DA0">
      <w:pPr>
        <w:pStyle w:val="ManualConsidrant"/>
        <w:rPr>
          <w:noProof/>
        </w:rPr>
      </w:pPr>
      <w:r w:rsidRPr="000F3DA0">
        <w:rPr>
          <w:noProof/>
        </w:rPr>
        <w:t>(2)</w:t>
      </w:r>
      <w:r w:rsidRPr="000F3DA0">
        <w:rPr>
          <w:noProof/>
        </w:rPr>
        <w:tab/>
      </w:r>
      <w:r w:rsidR="00F27FE8" w:rsidRPr="00931D25">
        <w:rPr>
          <w:noProof/>
        </w:rPr>
        <w:t xml:space="preserve">Den XX YY 2022 antog rådet beslut XXXX om ändring av beslut 2014/145/Gusp genom vilket det infördes ytterligare möjligheter till undantag från frysningen av tillgångar och från förbudet mot att göra penningmedel och ekonomiska resurser tillgängliga för personer och enheter för att snabbt kunna förebygga eller mildra konsekvenserna av en händelse som sannolikt kommer att ha en allvarlig och betydande inverkan på människors hälsa och säkerhet eller på miljön. </w:t>
      </w:r>
    </w:p>
    <w:p w14:paraId="5B354173" w14:textId="23BE6241" w:rsidR="00B52A46" w:rsidRPr="00931D25" w:rsidRDefault="000F3DA0" w:rsidP="000F3DA0">
      <w:pPr>
        <w:pStyle w:val="ManualConsidrant"/>
        <w:rPr>
          <w:noProof/>
        </w:rPr>
      </w:pPr>
      <w:r w:rsidRPr="000F3DA0">
        <w:rPr>
          <w:noProof/>
        </w:rPr>
        <w:t>(3)</w:t>
      </w:r>
      <w:r w:rsidRPr="000F3DA0">
        <w:rPr>
          <w:noProof/>
        </w:rPr>
        <w:tab/>
      </w:r>
      <w:r w:rsidR="001019F1" w:rsidRPr="00931D25">
        <w:rPr>
          <w:noProof/>
        </w:rPr>
        <w:t>Mot bakgrund av unionens beslutsamma agerande för att undvika och motverka osäkerhet kring livsmedelsförsörjning i världen och för att undvika störningar i betalningskanalerna för jordbruksprodukter inför också beslut (Gusp) 2022/XXX ett undantag från frysningen av tillgångar och från förbudet mot att göra penningmedel och ekonomiska resurser tillgängliga för förtecknade banker.</w:t>
      </w:r>
    </w:p>
    <w:p w14:paraId="0653722F" w14:textId="33AD8B1B" w:rsidR="002B5FF9" w:rsidRPr="00931D25" w:rsidRDefault="000F3DA0" w:rsidP="000F3DA0">
      <w:pPr>
        <w:pStyle w:val="ManualConsidrant"/>
        <w:rPr>
          <w:noProof/>
        </w:rPr>
      </w:pPr>
      <w:r w:rsidRPr="000F3DA0">
        <w:rPr>
          <w:noProof/>
        </w:rPr>
        <w:t>(4)</w:t>
      </w:r>
      <w:r w:rsidRPr="000F3DA0">
        <w:rPr>
          <w:noProof/>
        </w:rPr>
        <w:tab/>
      </w:r>
      <w:r w:rsidR="002B5FF9" w:rsidRPr="00931D25">
        <w:rPr>
          <w:noProof/>
        </w:rPr>
        <w:t>Beslut XXXX tillåter också undantag för ordnad avveckling av operationer, inbegripet korrespondentbanksverksamhet, med en förtecknad bank.</w:t>
      </w:r>
    </w:p>
    <w:p w14:paraId="251CC3B4" w14:textId="70DEF017" w:rsidR="00B52A46" w:rsidRPr="00931D25" w:rsidRDefault="000F3DA0" w:rsidP="000F3DA0">
      <w:pPr>
        <w:pStyle w:val="ManualConsidrant"/>
        <w:rPr>
          <w:noProof/>
        </w:rPr>
      </w:pPr>
      <w:r w:rsidRPr="000F3DA0">
        <w:rPr>
          <w:noProof/>
        </w:rPr>
        <w:t>(5)</w:t>
      </w:r>
      <w:r w:rsidRPr="000F3DA0">
        <w:rPr>
          <w:noProof/>
        </w:rPr>
        <w:tab/>
      </w:r>
      <w:r w:rsidR="00864077" w:rsidRPr="00931D25">
        <w:rPr>
          <w:noProof/>
        </w:rPr>
        <w:t>För att säkerställa ett effektivt och enhetligt genomförande av rådets förordning (EU) nr 269/2014 är det lämpligt att ålägga personer och enheter som är uppförda på förteckningen och som har tillgångar inom unionens jurisdiktion att inrapportera dessa och att samarbeta med den behöriga myndigheten i kontrollen av denna rapportering. Det är också lämpligt att skärpa bestämmelserna om rapporteringsskyldigheter för EU-operatörer för att begränsa överträdelser och kringgående av frysning av tillgångar.</w:t>
      </w:r>
    </w:p>
    <w:p w14:paraId="5B8C8B95" w14:textId="1BFA6AC6" w:rsidR="00C05109" w:rsidRPr="00931D25" w:rsidRDefault="000F3DA0" w:rsidP="000F3DA0">
      <w:pPr>
        <w:pStyle w:val="ManualConsidrant"/>
        <w:rPr>
          <w:noProof/>
        </w:rPr>
      </w:pPr>
      <w:r w:rsidRPr="000F3DA0">
        <w:rPr>
          <w:noProof/>
        </w:rPr>
        <w:t>(6)</w:t>
      </w:r>
      <w:r w:rsidRPr="000F3DA0">
        <w:rPr>
          <w:noProof/>
        </w:rPr>
        <w:tab/>
      </w:r>
      <w:r w:rsidR="00F27FE8" w:rsidRPr="00931D25">
        <w:rPr>
          <w:noProof/>
        </w:rPr>
        <w:t>Dessa ändringar omfattas av tillämpningsområdet för fördraget och lagstiftningsåtgärder på unionsnivå är därför nödvändiga för att genomföra dem, särskilt för att säkerställa att de tillämpas på ett enhetligt sätt i alla medlemsstater.</w:t>
      </w:r>
    </w:p>
    <w:p w14:paraId="39D3C000" w14:textId="699F367E" w:rsidR="00C05109" w:rsidRPr="00931D25" w:rsidRDefault="000F3DA0" w:rsidP="000F3DA0">
      <w:pPr>
        <w:pStyle w:val="ManualConsidrant"/>
        <w:rPr>
          <w:noProof/>
        </w:rPr>
      </w:pPr>
      <w:r w:rsidRPr="000F3DA0">
        <w:rPr>
          <w:noProof/>
        </w:rPr>
        <w:t>(7)</w:t>
      </w:r>
      <w:r w:rsidRPr="000F3DA0">
        <w:rPr>
          <w:noProof/>
        </w:rPr>
        <w:tab/>
      </w:r>
      <w:r w:rsidR="001F3E48" w:rsidRPr="00931D25">
        <w:rPr>
          <w:noProof/>
        </w:rPr>
        <w:t>Rådets förordning (EU) nr 269/2014 bör därför ändras i enlighet med detta.</w:t>
      </w:r>
    </w:p>
    <w:p w14:paraId="0B7996EC" w14:textId="77777777" w:rsidR="00152DAA" w:rsidRPr="00931D25" w:rsidRDefault="00152DAA" w:rsidP="00152DAA">
      <w:pPr>
        <w:rPr>
          <w:noProof/>
        </w:rPr>
      </w:pPr>
    </w:p>
    <w:p w14:paraId="529F83D2" w14:textId="77777777" w:rsidR="00C05109" w:rsidRPr="00931D25" w:rsidRDefault="00C05109" w:rsidP="00CE48A5">
      <w:pPr>
        <w:pStyle w:val="Formuledadoption"/>
        <w:rPr>
          <w:noProof/>
        </w:rPr>
      </w:pPr>
      <w:r w:rsidRPr="00931D25">
        <w:rPr>
          <w:noProof/>
        </w:rPr>
        <w:t>HÄRIGENOM FÖRESKRIVS FÖLJANDE.</w:t>
      </w:r>
    </w:p>
    <w:p w14:paraId="4C90EFF2" w14:textId="77777777" w:rsidR="00185EA6" w:rsidRPr="00931D25" w:rsidRDefault="00185EA6" w:rsidP="00185EA6">
      <w:pPr>
        <w:pStyle w:val="Titrearticle"/>
        <w:rPr>
          <w:noProof/>
        </w:rPr>
      </w:pPr>
      <w:r w:rsidRPr="00931D25">
        <w:rPr>
          <w:noProof/>
        </w:rPr>
        <w:t>Artikel 1</w:t>
      </w:r>
    </w:p>
    <w:p w14:paraId="6F51FCE4" w14:textId="77777777" w:rsidR="006513FC" w:rsidRPr="00931D25" w:rsidRDefault="00E248B7" w:rsidP="00222306">
      <w:pPr>
        <w:rPr>
          <w:noProof/>
        </w:rPr>
      </w:pPr>
      <w:r w:rsidRPr="00931D25">
        <w:rPr>
          <w:noProof/>
        </w:rPr>
        <w:t>Rådets förordning (EU) nr 269/2014 ska ändras på följande sätt:</w:t>
      </w:r>
    </w:p>
    <w:p w14:paraId="375F98D6" w14:textId="0D35F25B" w:rsidR="002F3B1C" w:rsidRPr="00931D25" w:rsidRDefault="000F3DA0" w:rsidP="000F3DA0">
      <w:pPr>
        <w:pStyle w:val="Point0"/>
        <w:rPr>
          <w:noProof/>
        </w:rPr>
      </w:pPr>
      <w:r w:rsidRPr="000F3DA0">
        <w:rPr>
          <w:noProof/>
        </w:rPr>
        <w:t>(1)</w:t>
      </w:r>
      <w:r w:rsidRPr="000F3DA0">
        <w:rPr>
          <w:noProof/>
        </w:rPr>
        <w:tab/>
      </w:r>
      <w:r w:rsidR="0027021E" w:rsidRPr="00931D25">
        <w:rPr>
          <w:noProof/>
        </w:rPr>
        <w:t xml:space="preserve">I artikel 6b.3 ska led a ersättas med följande: </w:t>
      </w:r>
    </w:p>
    <w:p w14:paraId="697713B2" w14:textId="0B4081F9" w:rsidR="006513FC" w:rsidRPr="00931D25" w:rsidRDefault="006513FC" w:rsidP="00C607DE">
      <w:pPr>
        <w:rPr>
          <w:noProof/>
        </w:rPr>
      </w:pPr>
      <w:r w:rsidRPr="00931D25">
        <w:rPr>
          <w:noProof/>
        </w:rPr>
        <w:t>”a) penningmedlen eller de ekonomiska resurserna är nödvändiga för försäljning och överföring senast den 31 december 2022 eller inom sex månader från datumet för förtecknandet i bilaga I, beroende på vilket som inträffar sist, av äganderätter i juridiska personer, enheter eller organ som är etablerade i unionen, om dessa äganderätter direkt eller indirekt ägs av en fysisk eller juridisk person, en enhet eller ett organ som förtecknas i bilaga I, och”</w:t>
      </w:r>
    </w:p>
    <w:p w14:paraId="183B7838" w14:textId="77777777" w:rsidR="006513FC" w:rsidRPr="00931D25" w:rsidRDefault="006513FC" w:rsidP="006513FC">
      <w:pPr>
        <w:rPr>
          <w:noProof/>
        </w:rPr>
      </w:pPr>
    </w:p>
    <w:p w14:paraId="276B55DD" w14:textId="50880508" w:rsidR="00BC316F" w:rsidRPr="00931D25" w:rsidRDefault="000F3DA0" w:rsidP="000F3DA0">
      <w:pPr>
        <w:pStyle w:val="Point0"/>
        <w:rPr>
          <w:noProof/>
        </w:rPr>
      </w:pPr>
      <w:r w:rsidRPr="000F3DA0">
        <w:rPr>
          <w:noProof/>
        </w:rPr>
        <w:t>(2)</w:t>
      </w:r>
      <w:r w:rsidRPr="000F3DA0">
        <w:rPr>
          <w:noProof/>
        </w:rPr>
        <w:tab/>
      </w:r>
      <w:r w:rsidR="00BC316F" w:rsidRPr="00931D25">
        <w:rPr>
          <w:noProof/>
        </w:rPr>
        <w:t xml:space="preserve"> Följande punkt ska införas i artikel 6b:</w:t>
      </w:r>
    </w:p>
    <w:p w14:paraId="19A9DB00" w14:textId="4C732C78" w:rsidR="00BC316F" w:rsidRPr="00931D25" w:rsidRDefault="00BC316F" w:rsidP="003D542B">
      <w:pPr>
        <w:rPr>
          <w:noProof/>
        </w:rPr>
      </w:pPr>
      <w:r w:rsidRPr="00931D25">
        <w:rPr>
          <w:noProof/>
        </w:rPr>
        <w:t xml:space="preserve">”2 a. Med avvikelse från artikel 2 får en medlemsstats behöriga myndigheter ge tillstånd att frigöra vissa frysta penningmedel eller ekonomiska resurser som tillhör den enhet som förtecknas under posten </w:t>
      </w:r>
      <w:r w:rsidRPr="00931D25">
        <w:rPr>
          <w:i/>
          <w:noProof/>
        </w:rPr>
        <w:t>[EUT: inför numret på den bankenhet som nyligen uppförts på förteckningen]</w:t>
      </w:r>
      <w:r w:rsidRPr="00931D25">
        <w:rPr>
          <w:noProof/>
        </w:rPr>
        <w:t xml:space="preserve"> i bilaga I, eller att göra vissa penningmedel eller ekonomiska resurser tillgängliga till den enheten, på de villkor som de behöriga myndigheterna anser vara lämpliga och efter att ha konstaterat att dessa penningmedel eller ekonomiska resurser är nödvändiga för slutförandet senast den </w:t>
      </w:r>
      <w:r w:rsidRPr="00931D25">
        <w:rPr>
          <w:i/>
          <w:noProof/>
        </w:rPr>
        <w:t>[EUT: inför datum sex månader efter denna förordnings ikraftträdande]</w:t>
      </w:r>
      <w:r w:rsidRPr="00931D25">
        <w:rPr>
          <w:noProof/>
        </w:rPr>
        <w:t xml:space="preserve"> av operationer, avtal eller andra överenskommelser, inbegripet korrespondentbankförbindelser, som ingåtts med den enheten före den </w:t>
      </w:r>
      <w:r w:rsidRPr="00931D25">
        <w:rPr>
          <w:i/>
          <w:noProof/>
        </w:rPr>
        <w:t>[EUT: inför datumet för denna förordnings ikraftträdande]</w:t>
      </w:r>
      <w:r w:rsidRPr="00931D25">
        <w:rPr>
          <w:noProof/>
        </w:rPr>
        <w:t>.”</w:t>
      </w:r>
    </w:p>
    <w:p w14:paraId="3C7FCD0B" w14:textId="1B24095D" w:rsidR="006513FC" w:rsidRPr="00931D25" w:rsidRDefault="000F3DA0" w:rsidP="000F3DA0">
      <w:pPr>
        <w:pStyle w:val="Point0"/>
        <w:rPr>
          <w:noProof/>
        </w:rPr>
      </w:pPr>
      <w:r w:rsidRPr="000F3DA0">
        <w:rPr>
          <w:noProof/>
        </w:rPr>
        <w:t>(3)</w:t>
      </w:r>
      <w:r w:rsidRPr="000F3DA0">
        <w:rPr>
          <w:noProof/>
        </w:rPr>
        <w:tab/>
      </w:r>
      <w:r w:rsidR="006513FC" w:rsidRPr="00931D25">
        <w:rPr>
          <w:noProof/>
        </w:rPr>
        <w:t>Följande artikel ska införas:</w:t>
      </w:r>
    </w:p>
    <w:p w14:paraId="0DE9EA87" w14:textId="77777777" w:rsidR="002F3B1C" w:rsidRPr="00931D25" w:rsidRDefault="002F3B1C" w:rsidP="002F3B1C">
      <w:pPr>
        <w:spacing w:after="240"/>
        <w:jc w:val="center"/>
        <w:rPr>
          <w:rFonts w:eastAsia="Calibri"/>
          <w:iCs/>
          <w:noProof/>
        </w:rPr>
      </w:pPr>
      <w:r w:rsidRPr="00931D25">
        <w:rPr>
          <w:noProof/>
        </w:rPr>
        <w:t>”Artikel 6d</w:t>
      </w:r>
    </w:p>
    <w:p w14:paraId="61D6F41D" w14:textId="77777777" w:rsidR="002F3B1C" w:rsidRPr="00931D25" w:rsidRDefault="00743C82" w:rsidP="002F3B1C">
      <w:pPr>
        <w:spacing w:after="240"/>
        <w:rPr>
          <w:rFonts w:eastAsia="Calibri"/>
          <w:iCs/>
          <w:noProof/>
        </w:rPr>
      </w:pPr>
      <w:r w:rsidRPr="00931D25">
        <w:rPr>
          <w:noProof/>
        </w:rPr>
        <w:t>1. Med avvikelse från artikel 2 får medlemsstaternas behöriga myndigheter ge tillstånd, på de villkor som de anser vara lämpliga, att frigöra vissa frysta ekonomiska resurser, efter att ha fastställt att</w:t>
      </w:r>
    </w:p>
    <w:p w14:paraId="0E5FE9C9" w14:textId="0DFBF579" w:rsidR="002F3B1C" w:rsidRPr="00931D25" w:rsidRDefault="002F3B1C" w:rsidP="00152DAA">
      <w:pPr>
        <w:spacing w:after="240"/>
        <w:rPr>
          <w:rFonts w:eastAsia="Calibri"/>
          <w:iCs/>
          <w:noProof/>
        </w:rPr>
      </w:pPr>
      <w:r w:rsidRPr="00931D25">
        <w:rPr>
          <w:noProof/>
        </w:rPr>
        <w:t>a) det är nödvändigt att frigöra sådana ekonomiska resurser för att snabbt kunna förebygga eller mildra konsekvenserna av en händelse som sannolikt kommer att ha en allvarlig och betydande inverkan på människors hälsa och säkerhet eller miljön, och</w:t>
      </w:r>
    </w:p>
    <w:p w14:paraId="1098710E" w14:textId="1451BA5C" w:rsidR="002F3B1C" w:rsidRPr="00931D25" w:rsidRDefault="002F3B1C" w:rsidP="00152DAA">
      <w:pPr>
        <w:spacing w:after="240"/>
        <w:rPr>
          <w:rFonts w:eastAsia="Calibri"/>
          <w:iCs/>
          <w:noProof/>
        </w:rPr>
      </w:pPr>
      <w:r w:rsidRPr="00931D25">
        <w:rPr>
          <w:noProof/>
        </w:rPr>
        <w:t>b) intäkter från frigörandet av sådana ekonomiska resurser fryses.</w:t>
      </w:r>
    </w:p>
    <w:p w14:paraId="4335DFEE" w14:textId="545DC69C" w:rsidR="002F3B1C" w:rsidRPr="00931D25" w:rsidRDefault="002F3B1C" w:rsidP="002F3B1C">
      <w:pPr>
        <w:spacing w:after="240"/>
        <w:rPr>
          <w:rFonts w:eastAsia="Calibri"/>
          <w:iCs/>
          <w:noProof/>
        </w:rPr>
      </w:pPr>
      <w:r w:rsidRPr="00931D25">
        <w:rPr>
          <w:noProof/>
        </w:rPr>
        <w:t>2. Den berörda medlemsstaten ska underrätta övriga medlemsstater och kommissionen om varje tillstånd som beviljas enligt punkt 1 inom två veckor från det att tillståndet beviljades.”</w:t>
      </w:r>
    </w:p>
    <w:p w14:paraId="6E7F3A51" w14:textId="6E8C65A3" w:rsidR="003504BD" w:rsidRPr="00931D25" w:rsidRDefault="000F3DA0" w:rsidP="000F3DA0">
      <w:pPr>
        <w:pStyle w:val="Point0"/>
        <w:rPr>
          <w:noProof/>
        </w:rPr>
      </w:pPr>
      <w:r w:rsidRPr="000F3DA0">
        <w:rPr>
          <w:noProof/>
        </w:rPr>
        <w:t>(4)</w:t>
      </w:r>
      <w:r w:rsidRPr="000F3DA0">
        <w:rPr>
          <w:noProof/>
        </w:rPr>
        <w:tab/>
      </w:r>
      <w:r w:rsidR="003504BD" w:rsidRPr="00931D25">
        <w:rPr>
          <w:noProof/>
        </w:rPr>
        <w:t>Följande artikel ska införas:</w:t>
      </w:r>
    </w:p>
    <w:p w14:paraId="092D0212" w14:textId="4485254E" w:rsidR="003504BD" w:rsidRPr="00931D25" w:rsidRDefault="003504BD" w:rsidP="003504BD">
      <w:pPr>
        <w:spacing w:after="240"/>
        <w:jc w:val="center"/>
        <w:rPr>
          <w:rFonts w:eastAsia="Calibri"/>
          <w:iCs/>
          <w:noProof/>
        </w:rPr>
      </w:pPr>
      <w:r w:rsidRPr="00931D25">
        <w:rPr>
          <w:noProof/>
        </w:rPr>
        <w:t>”Artikel 6e</w:t>
      </w:r>
    </w:p>
    <w:p w14:paraId="1E053A06" w14:textId="40F6BB0A" w:rsidR="003504BD" w:rsidRPr="00931D25" w:rsidRDefault="00D753E6" w:rsidP="003D542B">
      <w:pPr>
        <w:rPr>
          <w:noProof/>
        </w:rPr>
      </w:pPr>
      <w:r w:rsidRPr="00931D25">
        <w:rPr>
          <w:noProof/>
        </w:rPr>
        <w:t>1. Med avvikelse från artikel 2 får en medlemsstats behöriga myndigheter ge tillstånd att frigöra vissa frysta penningmedel eller ekonomiska resurser som tillhör de enheter som förtecknas under posterna 53, 54, 55, 79, 80, 81, 82 och</w:t>
      </w:r>
      <w:r w:rsidRPr="00931D25">
        <w:rPr>
          <w:i/>
          <w:noProof/>
        </w:rPr>
        <w:t>[EUT: inför numret på den bankenhet som nyligen uppförts på förteckningen]</w:t>
      </w:r>
      <w:r w:rsidRPr="00931D25">
        <w:rPr>
          <w:noProof/>
        </w:rPr>
        <w:t xml:space="preserve"> i bilaga I, eller att göra vissa penningmedel eller ekonomiska resurser tillgängliga till dessa enheter, på de villkor som de behöriga myndigheterna anser vara lämpliga och efter att ha konstaterat att dessa penningmedel eller ekonomiska resurser är nödvändiga för inköp, import eller transport av jordbruksprodukter och livsmedelsprodukter, inbegripet vete och gödselmedel.</w:t>
      </w:r>
    </w:p>
    <w:p w14:paraId="4FEC1C2A" w14:textId="6F775238" w:rsidR="00D753E6" w:rsidRPr="00931D25" w:rsidRDefault="00D753E6" w:rsidP="003D542B">
      <w:pPr>
        <w:spacing w:after="240"/>
        <w:rPr>
          <w:rFonts w:eastAsia="Calibri"/>
          <w:iCs/>
          <w:noProof/>
        </w:rPr>
      </w:pPr>
      <w:r w:rsidRPr="00931D25">
        <w:rPr>
          <w:noProof/>
        </w:rPr>
        <w:t>2. Den berörda medlemsstaten ska underrätta övriga medlemsstater och kommissionen om varje tillstånd som beviljas enligt punkt 1 inom två veckor från det att tillståndet beviljades.”</w:t>
      </w:r>
    </w:p>
    <w:p w14:paraId="04DC8FFF" w14:textId="3ABFE3A1" w:rsidR="00463785" w:rsidRPr="00931D25" w:rsidRDefault="000F3DA0" w:rsidP="000F3DA0">
      <w:pPr>
        <w:pStyle w:val="Point0"/>
        <w:rPr>
          <w:noProof/>
        </w:rPr>
      </w:pPr>
      <w:r w:rsidRPr="000F3DA0">
        <w:rPr>
          <w:noProof/>
        </w:rPr>
        <w:t>(5)</w:t>
      </w:r>
      <w:r w:rsidRPr="000F3DA0">
        <w:rPr>
          <w:noProof/>
        </w:rPr>
        <w:tab/>
      </w:r>
      <w:r w:rsidR="009A1B20" w:rsidRPr="00931D25">
        <w:rPr>
          <w:noProof/>
        </w:rPr>
        <w:t xml:space="preserve">I artikel 8 ska punkt 1 ersättas med följande: </w:t>
      </w:r>
    </w:p>
    <w:p w14:paraId="1C8CD7A5" w14:textId="77777777" w:rsidR="00463785" w:rsidRPr="00931D25" w:rsidRDefault="00C868B5" w:rsidP="00C607DE">
      <w:pPr>
        <w:rPr>
          <w:noProof/>
        </w:rPr>
      </w:pPr>
      <w:r w:rsidRPr="00931D25">
        <w:rPr>
          <w:noProof/>
        </w:rPr>
        <w:t>”1.   Trots gällande regler om rapportering, sekretess och tystnadsplikt ska fysiska och juridiska personer, enheter och organ</w:t>
      </w:r>
    </w:p>
    <w:p w14:paraId="573B5FA0" w14:textId="760F7C59" w:rsidR="00463785" w:rsidRPr="00931D25" w:rsidRDefault="00463785" w:rsidP="00C607DE">
      <w:pPr>
        <w:rPr>
          <w:noProof/>
        </w:rPr>
      </w:pPr>
      <w:r w:rsidRPr="00931D25">
        <w:rPr>
          <w:noProof/>
        </w:rPr>
        <w:t>a) omedelbart lämna alla uppgifter som underlättar efterlevnaden av denna förordning, såsom uppgifter om konton och belopp som frysts i enlighet med artikel 2 och information om penningmedel och ekonomiska resurser inom EU:s territorium som tillhör, ägs, innehas eller kontrolleras av fysiska eller juridiska personer, enheter eller organ som förtecknas i bilaga I och som ännu inte har frysts av de fysiska eller juridiska personer, enheter eller organ som är skyldiga att göra det, till den behöriga myndigheten i den medlemsstat där de är bosatta eller etablerade samt vidarebefordra dessa uppgifter till kommissionen, direkt eller genom medlemsstaten, och</w:t>
      </w:r>
    </w:p>
    <w:p w14:paraId="1BD0565E" w14:textId="4B4DF3DA" w:rsidR="00463785" w:rsidRPr="00931D25" w:rsidRDefault="00463785" w:rsidP="00C607DE">
      <w:pPr>
        <w:rPr>
          <w:noProof/>
        </w:rPr>
      </w:pPr>
      <w:r w:rsidRPr="00931D25">
        <w:rPr>
          <w:noProof/>
        </w:rPr>
        <w:t>b) samarbeta med den behöriga myndigheten vid alla kontroller av dessa uppgifter.”</w:t>
      </w:r>
    </w:p>
    <w:p w14:paraId="1FBEAA7A" w14:textId="09A28473" w:rsidR="00F87B8B" w:rsidRPr="00931D25" w:rsidRDefault="000F3DA0" w:rsidP="000F3DA0">
      <w:pPr>
        <w:pStyle w:val="Point0"/>
        <w:rPr>
          <w:b/>
          <w:noProof/>
        </w:rPr>
      </w:pPr>
      <w:r w:rsidRPr="000F3DA0">
        <w:rPr>
          <w:noProof/>
        </w:rPr>
        <w:t>(6)</w:t>
      </w:r>
      <w:r w:rsidRPr="000F3DA0">
        <w:rPr>
          <w:noProof/>
        </w:rPr>
        <w:tab/>
      </w:r>
      <w:r w:rsidR="00F87B8B" w:rsidRPr="00931D25">
        <w:rPr>
          <w:noProof/>
        </w:rPr>
        <w:t xml:space="preserve">Följande punkter ska införas i artikel 8: </w:t>
      </w:r>
    </w:p>
    <w:p w14:paraId="3E3711D8" w14:textId="79B7EAFB" w:rsidR="005D3688" w:rsidRPr="00931D25" w:rsidRDefault="005D3688" w:rsidP="005D3688">
      <w:pPr>
        <w:rPr>
          <w:noProof/>
        </w:rPr>
      </w:pPr>
      <w:r w:rsidRPr="00931D25">
        <w:rPr>
          <w:noProof/>
        </w:rPr>
        <w:t>”1 a. Medlemsstaternas behöriga myndigheter, inbegripet myndigheter som ansvarar för efterlevnad och förvaltare av officiella register där fysiska och juridiska personer, enheter och organ samt fast och lös egendom är registrerade, ska behandla och utbyta information, inbegripet personuppgifter, med andra behöriga myndigheter i medlemsstaterna och med Europeiska kommissionen.</w:t>
      </w:r>
    </w:p>
    <w:p w14:paraId="0890D567" w14:textId="2C5F5D79" w:rsidR="005D3688" w:rsidRPr="00931D25" w:rsidRDefault="005D3688" w:rsidP="005D3688">
      <w:pPr>
        <w:rPr>
          <w:noProof/>
        </w:rPr>
      </w:pPr>
      <w:r w:rsidRPr="00931D25">
        <w:rPr>
          <w:noProof/>
        </w:rPr>
        <w:t>1b Behandlingen av personuppgifter ska i enlighet med denna förordning, förordning (EU) 2016/679 och förordning (EU) 2018/1725 endast i den mån det är nödvändigt för tillämpningen av denna förordning och för att säkerställa effektivt samarbete mellan medlemsstaterna och med Europeiska kommissionen vid tillämpningen av denna förordning.”</w:t>
      </w:r>
    </w:p>
    <w:p w14:paraId="53813548" w14:textId="656C5FC2" w:rsidR="008B4448" w:rsidRPr="00931D25" w:rsidRDefault="000F3DA0" w:rsidP="000F3DA0">
      <w:pPr>
        <w:pStyle w:val="Point0"/>
        <w:rPr>
          <w:noProof/>
        </w:rPr>
      </w:pPr>
      <w:r w:rsidRPr="000F3DA0">
        <w:rPr>
          <w:noProof/>
        </w:rPr>
        <w:t>(7)</w:t>
      </w:r>
      <w:r w:rsidRPr="000F3DA0">
        <w:rPr>
          <w:noProof/>
        </w:rPr>
        <w:tab/>
      </w:r>
      <w:r w:rsidR="00351869" w:rsidRPr="00931D25">
        <w:rPr>
          <w:noProof/>
        </w:rPr>
        <w:t>Artikel 9 ska ersättas med följande:</w:t>
      </w:r>
    </w:p>
    <w:p w14:paraId="1EE5E107" w14:textId="514EE4F6" w:rsidR="00351869" w:rsidRPr="00931D25" w:rsidRDefault="0092472E" w:rsidP="008B4448">
      <w:pPr>
        <w:spacing w:after="240"/>
        <w:rPr>
          <w:rFonts w:eastAsia="Times New Roman"/>
          <w:noProof/>
          <w:szCs w:val="24"/>
        </w:rPr>
      </w:pPr>
      <w:r w:rsidRPr="00931D25">
        <w:rPr>
          <w:noProof/>
        </w:rPr>
        <w:t>”1. Det ska vara förbjudet att medvetet och avsiktligt delta i verksamhet vars syfte eller verkan är att kringgå åtgärderna i artikel 2.</w:t>
      </w:r>
    </w:p>
    <w:p w14:paraId="73F68329" w14:textId="77777777" w:rsidR="008B4448" w:rsidRPr="00931D25" w:rsidRDefault="008B4448" w:rsidP="008B4448">
      <w:pPr>
        <w:spacing w:after="240"/>
        <w:rPr>
          <w:rFonts w:eastAsia="Times New Roman"/>
          <w:noProof/>
          <w:szCs w:val="24"/>
        </w:rPr>
      </w:pPr>
      <w:r w:rsidRPr="00931D25">
        <w:rPr>
          <w:noProof/>
        </w:rPr>
        <w:t>2. Fysiska eller juridiska personer, enheter eller organ som förtecknas i bilaga I ska</w:t>
      </w:r>
    </w:p>
    <w:p w14:paraId="5312AFE2" w14:textId="53A6F7D6" w:rsidR="008B4448" w:rsidRPr="00931D25" w:rsidRDefault="008B4448" w:rsidP="00152DAA">
      <w:pPr>
        <w:spacing w:after="240"/>
        <w:rPr>
          <w:rFonts w:eastAsia="Times New Roman"/>
          <w:noProof/>
          <w:szCs w:val="24"/>
        </w:rPr>
      </w:pPr>
      <w:r w:rsidRPr="00931D25">
        <w:rPr>
          <w:noProof/>
        </w:rPr>
        <w:t>a) före den [</w:t>
      </w:r>
      <w:r w:rsidRPr="00931D25">
        <w:rPr>
          <w:i/>
          <w:noProof/>
        </w:rPr>
        <w:t>EUT: inför datum sex veckor efter denna förordnings ikraftträdande]</w:t>
      </w:r>
      <w:r w:rsidRPr="00931D25">
        <w:rPr>
          <w:noProof/>
        </w:rPr>
        <w:t xml:space="preserve"> eller inom sex veckor efter det att de har förtecknats i bilagan, beroende på vilket som inträffar sist, lämna alla uppgifter om penningmedel eller ekonomiska resurser inom EU:s jurisdiktion som tillhör, ägs, innehas eller kontrolleras av dem till den behöriga myndigheten i den medlemsstat där dessa penningmedel eller ekonomiska resurser är lokaliserade, samt vidarebefordra dessa uppgifter till kommissionen, direkt eller genom medlemsstaten, och</w:t>
      </w:r>
    </w:p>
    <w:p w14:paraId="0EF251D6" w14:textId="77777777" w:rsidR="008B4448" w:rsidRPr="00931D25" w:rsidRDefault="008B4448" w:rsidP="00152DAA">
      <w:pPr>
        <w:spacing w:after="240"/>
        <w:rPr>
          <w:rFonts w:eastAsia="Times New Roman"/>
          <w:noProof/>
          <w:szCs w:val="24"/>
        </w:rPr>
      </w:pPr>
      <w:r w:rsidRPr="00931D25">
        <w:rPr>
          <w:noProof/>
        </w:rPr>
        <w:t>b) samarbeta med den behöriga myndigheten vid alla kontroller av dessa uppgifter.</w:t>
      </w:r>
    </w:p>
    <w:p w14:paraId="013A4554" w14:textId="77777777" w:rsidR="00262C13" w:rsidRPr="00931D25" w:rsidRDefault="00262C13" w:rsidP="00262C13">
      <w:pPr>
        <w:spacing w:after="240"/>
        <w:rPr>
          <w:rFonts w:eastAsia="Times New Roman"/>
          <w:noProof/>
          <w:szCs w:val="24"/>
        </w:rPr>
      </w:pPr>
      <w:r w:rsidRPr="00931D25">
        <w:rPr>
          <w:noProof/>
        </w:rPr>
        <w:t>3. Underlåtenhet att följa punkt 2 ska betraktas som deltagande i verksamhet vars syfte eller verkan är att kringgå åtgärderna i artikel 2.</w:t>
      </w:r>
    </w:p>
    <w:p w14:paraId="33825F0A" w14:textId="77777777" w:rsidR="008B4448" w:rsidRPr="00931D25" w:rsidRDefault="00262C13" w:rsidP="008B4448">
      <w:pPr>
        <w:spacing w:after="240"/>
        <w:rPr>
          <w:rFonts w:eastAsia="Times New Roman"/>
          <w:noProof/>
          <w:szCs w:val="24"/>
        </w:rPr>
      </w:pPr>
      <w:r w:rsidRPr="00931D25">
        <w:rPr>
          <w:noProof/>
        </w:rPr>
        <w:t>5. Alla ytterligare uppgifter som kommissionen tar emot direkt ska göras tillgängliga för medlemsstaterna.</w:t>
      </w:r>
    </w:p>
    <w:p w14:paraId="2B84CCF7" w14:textId="77777777" w:rsidR="0092472E" w:rsidRPr="00931D25" w:rsidRDefault="00262C13" w:rsidP="00152DAA">
      <w:pPr>
        <w:spacing w:after="240"/>
        <w:rPr>
          <w:rFonts w:eastAsia="Times New Roman"/>
          <w:noProof/>
          <w:szCs w:val="24"/>
        </w:rPr>
      </w:pPr>
      <w:r w:rsidRPr="00931D25">
        <w:rPr>
          <w:noProof/>
        </w:rPr>
        <w:t>6. Uppgifter som lämnas eller mottas enligt denna artikel får endast användas i de syften för vilka de lämnades eller mottogs.”</w:t>
      </w:r>
    </w:p>
    <w:p w14:paraId="20B7E5E7" w14:textId="77777777" w:rsidR="00C05109" w:rsidRPr="00931D25" w:rsidRDefault="00C05109" w:rsidP="00CE48A5">
      <w:pPr>
        <w:pStyle w:val="Titrearticle"/>
        <w:rPr>
          <w:noProof/>
        </w:rPr>
      </w:pPr>
      <w:r w:rsidRPr="00931D25">
        <w:rPr>
          <w:noProof/>
        </w:rPr>
        <w:t>Artikel 2</w:t>
      </w:r>
    </w:p>
    <w:p w14:paraId="49FB99A9" w14:textId="77777777" w:rsidR="00C05109" w:rsidRPr="00931D25" w:rsidRDefault="00C05109" w:rsidP="00CE48A5">
      <w:pPr>
        <w:rPr>
          <w:noProof/>
        </w:rPr>
      </w:pPr>
      <w:r w:rsidRPr="00931D25">
        <w:rPr>
          <w:noProof/>
        </w:rPr>
        <w:t xml:space="preserve">Denna förordning träder i kraft dagen efter det att den har offentliggjorts i </w:t>
      </w:r>
      <w:r w:rsidRPr="00931D25">
        <w:rPr>
          <w:i/>
          <w:noProof/>
        </w:rPr>
        <w:t>Europeiska unionens officiella tidning</w:t>
      </w:r>
      <w:r w:rsidRPr="00931D25">
        <w:rPr>
          <w:noProof/>
        </w:rPr>
        <w:t>.</w:t>
      </w:r>
    </w:p>
    <w:p w14:paraId="5442B635" w14:textId="77777777" w:rsidR="00C05109" w:rsidRPr="00931D25" w:rsidRDefault="00C05109" w:rsidP="00CE48A5">
      <w:pPr>
        <w:pStyle w:val="Applicationdirecte"/>
        <w:rPr>
          <w:noProof/>
        </w:rPr>
      </w:pPr>
      <w:r w:rsidRPr="00931D25">
        <w:rPr>
          <w:noProof/>
        </w:rPr>
        <w:t>Denna förordning är till alla delar bindande och direkt tillämplig i alla medlemsstater.</w:t>
      </w:r>
    </w:p>
    <w:p w14:paraId="1E54EE44" w14:textId="1870398F" w:rsidR="00C05109" w:rsidRPr="00931D25" w:rsidRDefault="00121B8A" w:rsidP="00121B8A">
      <w:pPr>
        <w:pStyle w:val="Fait"/>
        <w:rPr>
          <w:noProof/>
        </w:rPr>
      </w:pPr>
      <w:r w:rsidRPr="00121B8A">
        <w:t>Utfärdad i Bryssel den</w:t>
      </w:r>
    </w:p>
    <w:p w14:paraId="3B456678" w14:textId="77777777" w:rsidR="00C05109" w:rsidRPr="00931D25" w:rsidRDefault="00C05109" w:rsidP="00F90FDF">
      <w:pPr>
        <w:pStyle w:val="Institutionquisigne"/>
        <w:rPr>
          <w:noProof/>
        </w:rPr>
      </w:pPr>
      <w:r w:rsidRPr="00931D25">
        <w:rPr>
          <w:noProof/>
        </w:rPr>
        <w:tab/>
        <w:t>På rådets vägnar</w:t>
      </w:r>
    </w:p>
    <w:p w14:paraId="7078D32C" w14:textId="77777777" w:rsidR="00057515" w:rsidRPr="00931D25" w:rsidRDefault="00C05109" w:rsidP="0049682E">
      <w:pPr>
        <w:pStyle w:val="Personnequisigne"/>
        <w:rPr>
          <w:noProof/>
        </w:rPr>
      </w:pPr>
      <w:r w:rsidRPr="00931D25">
        <w:rPr>
          <w:noProof/>
        </w:rPr>
        <w:tab/>
        <w:t>Ordförande</w:t>
      </w:r>
    </w:p>
    <w:sectPr w:rsidR="00057515" w:rsidRPr="00931D25" w:rsidSect="00121B8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6C54" w14:textId="77777777" w:rsidR="007D179B" w:rsidRDefault="007D179B" w:rsidP="00C05109">
      <w:pPr>
        <w:spacing w:before="0" w:after="0"/>
      </w:pPr>
      <w:r>
        <w:separator/>
      </w:r>
    </w:p>
  </w:endnote>
  <w:endnote w:type="continuationSeparator" w:id="0">
    <w:p w14:paraId="50EE3952" w14:textId="77777777" w:rsidR="007D179B" w:rsidRDefault="007D179B" w:rsidP="00C051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6873" w14:textId="77777777" w:rsidR="00121B8A" w:rsidRPr="00121B8A" w:rsidRDefault="00121B8A" w:rsidP="00121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A4F9" w14:textId="683948F1" w:rsidR="00121B8A" w:rsidRPr="00121B8A" w:rsidRDefault="00121B8A" w:rsidP="00121B8A">
    <w:pPr>
      <w:pStyle w:val="Footer"/>
      <w:rPr>
        <w:rFonts w:ascii="Arial" w:hAnsi="Arial" w:cs="Arial"/>
        <w:b/>
        <w:sz w:val="48"/>
      </w:rPr>
    </w:pPr>
    <w:r w:rsidRPr="00121B8A">
      <w:rPr>
        <w:rFonts w:ascii="Arial" w:hAnsi="Arial" w:cs="Arial"/>
        <w:b/>
        <w:sz w:val="48"/>
      </w:rPr>
      <w:t>SV</w:t>
    </w:r>
    <w:r w:rsidRPr="00121B8A">
      <w:rPr>
        <w:rFonts w:ascii="Arial" w:hAnsi="Arial" w:cs="Arial"/>
        <w:b/>
        <w:sz w:val="48"/>
      </w:rPr>
      <w:tab/>
    </w:r>
    <w:r w:rsidRPr="00121B8A">
      <w:rPr>
        <w:rFonts w:ascii="Arial" w:hAnsi="Arial" w:cs="Arial"/>
        <w:b/>
        <w:sz w:val="48"/>
      </w:rPr>
      <w:tab/>
    </w:r>
    <w:r w:rsidRPr="00121B8A">
      <w:tab/>
    </w:r>
    <w:proofErr w:type="spellStart"/>
    <w:r w:rsidRPr="00121B8A">
      <w:rPr>
        <w:rFonts w:ascii="Arial" w:hAnsi="Arial" w:cs="Arial"/>
        <w:b/>
        <w:sz w:val="48"/>
      </w:rPr>
      <w:t>SV</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F611" w14:textId="77777777" w:rsidR="00121B8A" w:rsidRPr="00121B8A" w:rsidRDefault="00121B8A" w:rsidP="00121B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665F" w14:textId="042FC38C" w:rsidR="00121B8A" w:rsidRPr="00121B8A" w:rsidRDefault="00121B8A" w:rsidP="00121B8A">
    <w:pPr>
      <w:pStyle w:val="Footer"/>
      <w:rPr>
        <w:rFonts w:ascii="Arial" w:hAnsi="Arial" w:cs="Arial"/>
        <w:b/>
        <w:sz w:val="48"/>
      </w:rPr>
    </w:pPr>
    <w:r w:rsidRPr="00121B8A">
      <w:rPr>
        <w:rFonts w:ascii="Arial" w:hAnsi="Arial" w:cs="Arial"/>
        <w:b/>
        <w:sz w:val="48"/>
      </w:rPr>
      <w:t>SV</w:t>
    </w:r>
    <w:r w:rsidRPr="00121B8A">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121B8A">
      <w:tab/>
    </w:r>
    <w:r w:rsidRPr="00121B8A">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9B7B" w14:textId="77777777" w:rsidR="00121B8A" w:rsidRPr="00121B8A" w:rsidRDefault="00121B8A" w:rsidP="00121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90AEB" w14:textId="77777777" w:rsidR="007D179B" w:rsidRDefault="007D179B" w:rsidP="00C05109">
      <w:pPr>
        <w:spacing w:before="0" w:after="0"/>
      </w:pPr>
      <w:r>
        <w:separator/>
      </w:r>
    </w:p>
  </w:footnote>
  <w:footnote w:type="continuationSeparator" w:id="0">
    <w:p w14:paraId="087A3904" w14:textId="77777777" w:rsidR="007D179B" w:rsidRDefault="007D179B" w:rsidP="00C05109">
      <w:pPr>
        <w:spacing w:before="0" w:after="0"/>
      </w:pPr>
      <w:r>
        <w:continuationSeparator/>
      </w:r>
    </w:p>
  </w:footnote>
  <w:footnote w:id="1">
    <w:p w14:paraId="474B4B46" w14:textId="77777777" w:rsidR="00C05109" w:rsidRPr="004B4693" w:rsidRDefault="00C05109" w:rsidP="004B4693">
      <w:pPr>
        <w:pStyle w:val="FootnoteText"/>
      </w:pPr>
      <w:r>
        <w:rPr>
          <w:rStyle w:val="FootnoteReference"/>
        </w:rPr>
        <w:footnoteRef/>
      </w:r>
      <w:r>
        <w:tab/>
        <w:t>EUT L 078, 17.3.2014, s.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9643" w14:textId="77777777" w:rsidR="00121B8A" w:rsidRPr="00121B8A" w:rsidRDefault="00121B8A" w:rsidP="00121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40B2" w14:textId="77777777" w:rsidR="00121B8A" w:rsidRPr="00121B8A" w:rsidRDefault="00121B8A" w:rsidP="00121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DA0BB" w14:textId="77777777" w:rsidR="00121B8A" w:rsidRPr="00121B8A" w:rsidRDefault="00121B8A" w:rsidP="00121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7A667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18D2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1A8EAE"/>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66A43F4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5B07AD8"/>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E9DACDF4"/>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5825F54"/>
    <w:name w:val="0.574424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DB66A1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3E0C0B6C"/>
    <w:multiLevelType w:val="hybridMultilevel"/>
    <w:tmpl w:val="6A7200FC"/>
    <w:lvl w:ilvl="0" w:tplc="0966F61E">
      <w:start w:val="1"/>
      <w:numFmt w:val="lowerRoman"/>
      <w:pStyle w:val="PointDou"/>
      <w:lvlText w:val="(%1)"/>
      <w:lvlJc w:val="left"/>
      <w:pPr>
        <w:ind w:left="2137" w:hanging="720"/>
      </w:pPr>
      <w:rPr>
        <w:rFonts w:ascii="Times New Roman" w:eastAsiaTheme="minorHAnsi" w:hAnsi="Times New Roman" w:cs="Times New Roman"/>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781341272">
    <w:abstractNumId w:val="7"/>
  </w:num>
  <w:num w:numId="2" w16cid:durableId="240919080">
    <w:abstractNumId w:val="8"/>
  </w:num>
  <w:num w:numId="3" w16cid:durableId="1970166142">
    <w:abstractNumId w:val="6"/>
  </w:num>
  <w:num w:numId="4" w16cid:durableId="1141772704">
    <w:abstractNumId w:val="5"/>
  </w:num>
  <w:num w:numId="5" w16cid:durableId="1431271578">
    <w:abstractNumId w:val="4"/>
  </w:num>
  <w:num w:numId="6" w16cid:durableId="17050544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6696337">
    <w:abstractNumId w:val="24"/>
    <w:lvlOverride w:ilvl="0">
      <w:startOverride w:val="1"/>
    </w:lvlOverride>
  </w:num>
  <w:num w:numId="8" w16cid:durableId="1347444199">
    <w:abstractNumId w:val="3"/>
  </w:num>
  <w:num w:numId="9" w16cid:durableId="1366910058">
    <w:abstractNumId w:val="2"/>
  </w:num>
  <w:num w:numId="10" w16cid:durableId="963534203">
    <w:abstractNumId w:val="1"/>
  </w:num>
  <w:num w:numId="11" w16cid:durableId="1612857558">
    <w:abstractNumId w:val="13"/>
  </w:num>
  <w:num w:numId="12" w16cid:durableId="127087617">
    <w:abstractNumId w:val="0"/>
  </w:num>
  <w:num w:numId="13" w16cid:durableId="1726249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9336599">
    <w:abstractNumId w:val="21"/>
  </w:num>
  <w:num w:numId="15" w16cid:durableId="145051543">
    <w:abstractNumId w:val="14"/>
  </w:num>
  <w:num w:numId="16" w16cid:durableId="1699428344">
    <w:abstractNumId w:val="23"/>
  </w:num>
  <w:num w:numId="17" w16cid:durableId="31927639">
    <w:abstractNumId w:val="12"/>
  </w:num>
  <w:num w:numId="18" w16cid:durableId="762727925">
    <w:abstractNumId w:val="15"/>
  </w:num>
  <w:num w:numId="19" w16cid:durableId="1451779642">
    <w:abstractNumId w:val="16"/>
  </w:num>
  <w:num w:numId="20" w16cid:durableId="350231724">
    <w:abstractNumId w:val="10"/>
  </w:num>
  <w:num w:numId="21" w16cid:durableId="340275497">
    <w:abstractNumId w:val="22"/>
  </w:num>
  <w:num w:numId="22" w16cid:durableId="1802455113">
    <w:abstractNumId w:val="9"/>
  </w:num>
  <w:num w:numId="23" w16cid:durableId="839782240">
    <w:abstractNumId w:val="17"/>
  </w:num>
  <w:num w:numId="24" w16cid:durableId="1096243713">
    <w:abstractNumId w:val="19"/>
  </w:num>
  <w:num w:numId="25" w16cid:durableId="403912960">
    <w:abstractNumId w:val="20"/>
  </w:num>
  <w:num w:numId="26" w16cid:durableId="1607299996">
    <w:abstractNumId w:val="11"/>
  </w:num>
  <w:num w:numId="27" w16cid:durableId="1386951373">
    <w:abstractNumId w:val="18"/>
  </w:num>
  <w:num w:numId="28" w16cid:durableId="1987588292">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3-02-07 09:24:25"/>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CORRIGENDUM" w:val="&lt;UNUSED&gt;"/>
    <w:docVar w:name="LW_COVERPAGE_EXISTS" w:val="True"/>
    <w:docVar w:name="LW_COVERPAGE_GUID" w:val="0BCEA0E3-552D-4C6E-8C57-3BD36B763F2E"/>
    <w:docVar w:name="LW_COVERPAGE_TYPE" w:val="1"/>
    <w:docVar w:name="LW_CROSSREFERENCE" w:val="&lt;UNUSED&gt;"/>
    <w:docVar w:name="LW_DocType" w:val="COM"/>
    <w:docVar w:name="LW_EMISSION" w:val="15.7.2022"/>
    <w:docVar w:name="LW_EMISSION_ISODATE" w:val="2022-07-15"/>
    <w:docVar w:name="LW_EMISSION_LOCATION" w:val="BRX"/>
    <w:docVar w:name="LW_EMISSION_PREFIX" w:val="Bryssel den "/>
    <w:docVar w:name="LW_EMISSION_SUFFIX" w:val=" "/>
    <w:docVar w:name="LW_ID_DOCMODEL" w:val="SG-057"/>
    <w:docVar w:name="LW_ID_DOCSIGNATURE" w:val="SJ-016"/>
    <w:docVar w:name="LW_ID_DOCSTRUCTURE" w:val="COM/PL/ORG"/>
    <w:docVar w:name="LW_ID_DOCTYPE" w:val="SG-057"/>
    <w:docVar w:name="LW_ID_EXP.MOTIFS.NEW" w:val="EM_PL_"/>
    <w:docVar w:name="LW_ID_STATUT" w:val="SG-057"/>
    <w:docVar w:name="LW_INTERETEEE.CP" w:val="&lt;UNUSED&gt;"/>
    <w:docVar w:name="LW_LANGUE" w:val="SV"/>
    <w:docVar w:name="LW_LEVEL_OF_SENSITIVITY" w:val="Standard treatment"/>
    <w:docVar w:name="LW_NOM.INST" w:val="EUROPEISKA KOMMISSIONEN"/>
    <w:docVar w:name="LW_NOM.INST_JOINTDOC" w:val="UNIONENS HÖGA_x000b_REPRESENTANT FÖR_x000b_ UTRIKES FRÅGOR OCH_x000b_SÄKERHETSPOLITIK"/>
    <w:docVar w:name="LW_PART_NBR" w:val="1"/>
    <w:docVar w:name="LW_PART_NBR_TOTAL" w:val="1"/>
    <w:docVar w:name="LW_REF.II.NEW.CP" w:val="NLE"/>
    <w:docVar w:name="LW_REF.II.NEW.CP_NUMBER" w:val="0224"/>
    <w:docVar w:name="LW_REF.II.NEW.CP_YEAR" w:val="2022"/>
    <w:docVar w:name="LW_REF.INST.NEW" w:val="JOIN"/>
    <w:docVar w:name="LW_REF.INST.NEW_ADOPTED" w:val="final/2          Downgraded on 9.2.2023"/>
    <w:docVar w:name="LW_REF.INST.NEW_TEXT" w:val="(2022) 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Gemensamt förslag till"/>
    <w:docVar w:name="LW_SUPERTITRE" w:val="&lt;UNUSED&gt;"/>
    <w:docVar w:name="LW_TITRE.OBJ.CP" w:val="om ändring av rådets förordning (EU) nr 269/2014 om restriktiva åtgärder med avseende på åtgärder som undergräver eller hotar Ukrainas territoriella integritet, suveränitet och oberoende"/>
    <w:docVar w:name="LW_TYPE.DOC.CP" w:val="RÅDETS FÖRORDNING"/>
    <w:docVar w:name="LwApiVersions" w:val="LW4CoDe 1.23.2.0; LW 8.0, Build 20211117"/>
  </w:docVars>
  <w:rsids>
    <w:rsidRoot w:val="00C05109"/>
    <w:rsid w:val="00001F8A"/>
    <w:rsid w:val="00007033"/>
    <w:rsid w:val="00007BC6"/>
    <w:rsid w:val="0001321C"/>
    <w:rsid w:val="00037E33"/>
    <w:rsid w:val="00044288"/>
    <w:rsid w:val="00050039"/>
    <w:rsid w:val="0005097B"/>
    <w:rsid w:val="00057515"/>
    <w:rsid w:val="00065706"/>
    <w:rsid w:val="000761FB"/>
    <w:rsid w:val="000807E9"/>
    <w:rsid w:val="00080996"/>
    <w:rsid w:val="00081107"/>
    <w:rsid w:val="00081F62"/>
    <w:rsid w:val="00090960"/>
    <w:rsid w:val="000A2243"/>
    <w:rsid w:val="000A2592"/>
    <w:rsid w:val="000A5EA7"/>
    <w:rsid w:val="000A7517"/>
    <w:rsid w:val="000C0893"/>
    <w:rsid w:val="000C16D9"/>
    <w:rsid w:val="000D7FFB"/>
    <w:rsid w:val="000E198E"/>
    <w:rsid w:val="000E24E5"/>
    <w:rsid w:val="000E26C0"/>
    <w:rsid w:val="000E2F8E"/>
    <w:rsid w:val="000E7932"/>
    <w:rsid w:val="000F3DA0"/>
    <w:rsid w:val="001019F1"/>
    <w:rsid w:val="00104594"/>
    <w:rsid w:val="00112801"/>
    <w:rsid w:val="00115E63"/>
    <w:rsid w:val="00115E8C"/>
    <w:rsid w:val="001177DA"/>
    <w:rsid w:val="00121B8A"/>
    <w:rsid w:val="001225E8"/>
    <w:rsid w:val="00132139"/>
    <w:rsid w:val="001471D3"/>
    <w:rsid w:val="00152DAA"/>
    <w:rsid w:val="00163FE2"/>
    <w:rsid w:val="001652EF"/>
    <w:rsid w:val="00180A74"/>
    <w:rsid w:val="00183BD9"/>
    <w:rsid w:val="00185EA6"/>
    <w:rsid w:val="001870BF"/>
    <w:rsid w:val="00192D72"/>
    <w:rsid w:val="001A6256"/>
    <w:rsid w:val="001B0170"/>
    <w:rsid w:val="001B0B83"/>
    <w:rsid w:val="001B1AA4"/>
    <w:rsid w:val="001B4627"/>
    <w:rsid w:val="001C2816"/>
    <w:rsid w:val="001C4301"/>
    <w:rsid w:val="001C5465"/>
    <w:rsid w:val="001D3ED2"/>
    <w:rsid w:val="001D6F39"/>
    <w:rsid w:val="001F1206"/>
    <w:rsid w:val="001F2B32"/>
    <w:rsid w:val="001F3DA5"/>
    <w:rsid w:val="001F3E48"/>
    <w:rsid w:val="001F4121"/>
    <w:rsid w:val="001F5EEE"/>
    <w:rsid w:val="00202D90"/>
    <w:rsid w:val="0020660D"/>
    <w:rsid w:val="00211AD1"/>
    <w:rsid w:val="00213B17"/>
    <w:rsid w:val="00215018"/>
    <w:rsid w:val="00222306"/>
    <w:rsid w:val="002229B0"/>
    <w:rsid w:val="002233DF"/>
    <w:rsid w:val="00223B95"/>
    <w:rsid w:val="002251BC"/>
    <w:rsid w:val="00233894"/>
    <w:rsid w:val="00235E4C"/>
    <w:rsid w:val="00244569"/>
    <w:rsid w:val="00255748"/>
    <w:rsid w:val="00255E0D"/>
    <w:rsid w:val="00262C13"/>
    <w:rsid w:val="0027021E"/>
    <w:rsid w:val="002809BB"/>
    <w:rsid w:val="00283827"/>
    <w:rsid w:val="00285EB2"/>
    <w:rsid w:val="0029027A"/>
    <w:rsid w:val="002A0D9B"/>
    <w:rsid w:val="002A609F"/>
    <w:rsid w:val="002B5FF9"/>
    <w:rsid w:val="002C0E61"/>
    <w:rsid w:val="002C1AB1"/>
    <w:rsid w:val="002C2A50"/>
    <w:rsid w:val="002C59E2"/>
    <w:rsid w:val="002D0830"/>
    <w:rsid w:val="002D6E3D"/>
    <w:rsid w:val="002D738D"/>
    <w:rsid w:val="002E0653"/>
    <w:rsid w:val="002E0BC5"/>
    <w:rsid w:val="002E5109"/>
    <w:rsid w:val="002F3B1C"/>
    <w:rsid w:val="002F797D"/>
    <w:rsid w:val="0031085D"/>
    <w:rsid w:val="003116C8"/>
    <w:rsid w:val="003127E4"/>
    <w:rsid w:val="00327518"/>
    <w:rsid w:val="00343A29"/>
    <w:rsid w:val="003504BD"/>
    <w:rsid w:val="00351869"/>
    <w:rsid w:val="00387BF1"/>
    <w:rsid w:val="00392DE2"/>
    <w:rsid w:val="003B4B31"/>
    <w:rsid w:val="003B5CF3"/>
    <w:rsid w:val="003B7962"/>
    <w:rsid w:val="003D1A90"/>
    <w:rsid w:val="003D2388"/>
    <w:rsid w:val="003D542B"/>
    <w:rsid w:val="003F2BF7"/>
    <w:rsid w:val="003F4626"/>
    <w:rsid w:val="00405D11"/>
    <w:rsid w:val="004120DE"/>
    <w:rsid w:val="00412DBF"/>
    <w:rsid w:val="004139F7"/>
    <w:rsid w:val="00414F24"/>
    <w:rsid w:val="004154DC"/>
    <w:rsid w:val="004163EA"/>
    <w:rsid w:val="00417DCA"/>
    <w:rsid w:val="0042737D"/>
    <w:rsid w:val="00432681"/>
    <w:rsid w:val="0043677B"/>
    <w:rsid w:val="00444061"/>
    <w:rsid w:val="00446BD6"/>
    <w:rsid w:val="00446FB7"/>
    <w:rsid w:val="004627DA"/>
    <w:rsid w:val="00463785"/>
    <w:rsid w:val="00463C5D"/>
    <w:rsid w:val="004657EA"/>
    <w:rsid w:val="00470B56"/>
    <w:rsid w:val="004716A3"/>
    <w:rsid w:val="00481EF6"/>
    <w:rsid w:val="0049682E"/>
    <w:rsid w:val="00497CA6"/>
    <w:rsid w:val="004A1AB4"/>
    <w:rsid w:val="004A4B89"/>
    <w:rsid w:val="004B0426"/>
    <w:rsid w:val="004D3CBC"/>
    <w:rsid w:val="004E0476"/>
    <w:rsid w:val="004F0571"/>
    <w:rsid w:val="004F1B99"/>
    <w:rsid w:val="004F5C0D"/>
    <w:rsid w:val="00501C01"/>
    <w:rsid w:val="005279CD"/>
    <w:rsid w:val="00531D65"/>
    <w:rsid w:val="00532466"/>
    <w:rsid w:val="00533031"/>
    <w:rsid w:val="00533F32"/>
    <w:rsid w:val="005345EF"/>
    <w:rsid w:val="005446E8"/>
    <w:rsid w:val="00546B73"/>
    <w:rsid w:val="005504AB"/>
    <w:rsid w:val="00554EA6"/>
    <w:rsid w:val="00566F1E"/>
    <w:rsid w:val="0056706B"/>
    <w:rsid w:val="005676B5"/>
    <w:rsid w:val="0057326D"/>
    <w:rsid w:val="00580CE6"/>
    <w:rsid w:val="00597987"/>
    <w:rsid w:val="005A6443"/>
    <w:rsid w:val="005B2E5E"/>
    <w:rsid w:val="005C4395"/>
    <w:rsid w:val="005C5962"/>
    <w:rsid w:val="005D29D5"/>
    <w:rsid w:val="005D3688"/>
    <w:rsid w:val="005D4808"/>
    <w:rsid w:val="005E776F"/>
    <w:rsid w:val="005F28D2"/>
    <w:rsid w:val="005F3575"/>
    <w:rsid w:val="005F6B45"/>
    <w:rsid w:val="006012E8"/>
    <w:rsid w:val="00604D8B"/>
    <w:rsid w:val="00606382"/>
    <w:rsid w:val="00610698"/>
    <w:rsid w:val="00614505"/>
    <w:rsid w:val="006237EC"/>
    <w:rsid w:val="0062448B"/>
    <w:rsid w:val="00631013"/>
    <w:rsid w:val="006360F8"/>
    <w:rsid w:val="00636839"/>
    <w:rsid w:val="00644730"/>
    <w:rsid w:val="006455CF"/>
    <w:rsid w:val="006513FC"/>
    <w:rsid w:val="006633BA"/>
    <w:rsid w:val="00671138"/>
    <w:rsid w:val="006852E9"/>
    <w:rsid w:val="00693681"/>
    <w:rsid w:val="00693FF3"/>
    <w:rsid w:val="006A0827"/>
    <w:rsid w:val="006A72C9"/>
    <w:rsid w:val="006A79D5"/>
    <w:rsid w:val="006C3518"/>
    <w:rsid w:val="006C3F74"/>
    <w:rsid w:val="006C5344"/>
    <w:rsid w:val="006D679A"/>
    <w:rsid w:val="006E4C10"/>
    <w:rsid w:val="006E600F"/>
    <w:rsid w:val="006E60F3"/>
    <w:rsid w:val="006E7E06"/>
    <w:rsid w:val="006F455C"/>
    <w:rsid w:val="006F491A"/>
    <w:rsid w:val="0070128F"/>
    <w:rsid w:val="00703F0E"/>
    <w:rsid w:val="007137B0"/>
    <w:rsid w:val="00716857"/>
    <w:rsid w:val="00720FD2"/>
    <w:rsid w:val="007235E6"/>
    <w:rsid w:val="00723AF4"/>
    <w:rsid w:val="0072671E"/>
    <w:rsid w:val="007309E1"/>
    <w:rsid w:val="00733C84"/>
    <w:rsid w:val="00736EA8"/>
    <w:rsid w:val="00737080"/>
    <w:rsid w:val="00743400"/>
    <w:rsid w:val="00743C82"/>
    <w:rsid w:val="00743E38"/>
    <w:rsid w:val="00744F09"/>
    <w:rsid w:val="00751F17"/>
    <w:rsid w:val="00761DBC"/>
    <w:rsid w:val="007633B6"/>
    <w:rsid w:val="007660C6"/>
    <w:rsid w:val="007675CF"/>
    <w:rsid w:val="00771189"/>
    <w:rsid w:val="00772DCB"/>
    <w:rsid w:val="007747CF"/>
    <w:rsid w:val="00775B26"/>
    <w:rsid w:val="00776297"/>
    <w:rsid w:val="007B25BC"/>
    <w:rsid w:val="007B288B"/>
    <w:rsid w:val="007B7317"/>
    <w:rsid w:val="007C06F6"/>
    <w:rsid w:val="007C30AE"/>
    <w:rsid w:val="007C5D4A"/>
    <w:rsid w:val="007D169A"/>
    <w:rsid w:val="007D179B"/>
    <w:rsid w:val="007F4D85"/>
    <w:rsid w:val="008001CC"/>
    <w:rsid w:val="00800364"/>
    <w:rsid w:val="00803EEB"/>
    <w:rsid w:val="008063D9"/>
    <w:rsid w:val="00806F8F"/>
    <w:rsid w:val="008154BE"/>
    <w:rsid w:val="00820F01"/>
    <w:rsid w:val="00833F73"/>
    <w:rsid w:val="00834021"/>
    <w:rsid w:val="008357FC"/>
    <w:rsid w:val="00836338"/>
    <w:rsid w:val="00837D47"/>
    <w:rsid w:val="00845455"/>
    <w:rsid w:val="0085477A"/>
    <w:rsid w:val="008555D9"/>
    <w:rsid w:val="00860DCA"/>
    <w:rsid w:val="00864077"/>
    <w:rsid w:val="00877035"/>
    <w:rsid w:val="00880557"/>
    <w:rsid w:val="00882AF6"/>
    <w:rsid w:val="00884DC8"/>
    <w:rsid w:val="008B4448"/>
    <w:rsid w:val="008B481F"/>
    <w:rsid w:val="008B7BCB"/>
    <w:rsid w:val="008C4932"/>
    <w:rsid w:val="008D3483"/>
    <w:rsid w:val="008E6074"/>
    <w:rsid w:val="008F7187"/>
    <w:rsid w:val="008F75CC"/>
    <w:rsid w:val="00914648"/>
    <w:rsid w:val="009160EE"/>
    <w:rsid w:val="009167F7"/>
    <w:rsid w:val="0092472E"/>
    <w:rsid w:val="009261ED"/>
    <w:rsid w:val="00931D25"/>
    <w:rsid w:val="00934A0E"/>
    <w:rsid w:val="0094487C"/>
    <w:rsid w:val="00945DF8"/>
    <w:rsid w:val="00952644"/>
    <w:rsid w:val="00965509"/>
    <w:rsid w:val="00970A51"/>
    <w:rsid w:val="0098010F"/>
    <w:rsid w:val="00983030"/>
    <w:rsid w:val="00986B33"/>
    <w:rsid w:val="00987AD5"/>
    <w:rsid w:val="00995259"/>
    <w:rsid w:val="009A0688"/>
    <w:rsid w:val="009A0D90"/>
    <w:rsid w:val="009A1B20"/>
    <w:rsid w:val="009A4695"/>
    <w:rsid w:val="009A5158"/>
    <w:rsid w:val="009B1E1E"/>
    <w:rsid w:val="009B2B4D"/>
    <w:rsid w:val="009B2C03"/>
    <w:rsid w:val="009B5AA0"/>
    <w:rsid w:val="009B5BF1"/>
    <w:rsid w:val="009B7138"/>
    <w:rsid w:val="009D409E"/>
    <w:rsid w:val="009D46F5"/>
    <w:rsid w:val="009E39E6"/>
    <w:rsid w:val="009F560D"/>
    <w:rsid w:val="00A04DC3"/>
    <w:rsid w:val="00A15C7D"/>
    <w:rsid w:val="00A216AF"/>
    <w:rsid w:val="00A24F82"/>
    <w:rsid w:val="00A26704"/>
    <w:rsid w:val="00A365F9"/>
    <w:rsid w:val="00A60720"/>
    <w:rsid w:val="00A6188D"/>
    <w:rsid w:val="00A674E3"/>
    <w:rsid w:val="00A67F85"/>
    <w:rsid w:val="00A754CA"/>
    <w:rsid w:val="00A82A24"/>
    <w:rsid w:val="00AB0B03"/>
    <w:rsid w:val="00AB23EC"/>
    <w:rsid w:val="00AC2F72"/>
    <w:rsid w:val="00AC4810"/>
    <w:rsid w:val="00AD7B12"/>
    <w:rsid w:val="00B00F4B"/>
    <w:rsid w:val="00B066E2"/>
    <w:rsid w:val="00B2048F"/>
    <w:rsid w:val="00B23E6C"/>
    <w:rsid w:val="00B323C9"/>
    <w:rsid w:val="00B32D90"/>
    <w:rsid w:val="00B35A6F"/>
    <w:rsid w:val="00B37373"/>
    <w:rsid w:val="00B46DC3"/>
    <w:rsid w:val="00B5108A"/>
    <w:rsid w:val="00B52A46"/>
    <w:rsid w:val="00B54152"/>
    <w:rsid w:val="00B54571"/>
    <w:rsid w:val="00B6024A"/>
    <w:rsid w:val="00B6580D"/>
    <w:rsid w:val="00B71CD6"/>
    <w:rsid w:val="00B7605E"/>
    <w:rsid w:val="00B82220"/>
    <w:rsid w:val="00B935B7"/>
    <w:rsid w:val="00BA058E"/>
    <w:rsid w:val="00BA2DAE"/>
    <w:rsid w:val="00BA4256"/>
    <w:rsid w:val="00BA58DA"/>
    <w:rsid w:val="00BA7737"/>
    <w:rsid w:val="00BB1F42"/>
    <w:rsid w:val="00BB215B"/>
    <w:rsid w:val="00BB5679"/>
    <w:rsid w:val="00BB59CE"/>
    <w:rsid w:val="00BC0E5E"/>
    <w:rsid w:val="00BC316F"/>
    <w:rsid w:val="00BC3A90"/>
    <w:rsid w:val="00BD06BB"/>
    <w:rsid w:val="00BD289F"/>
    <w:rsid w:val="00BD4BE9"/>
    <w:rsid w:val="00BD4D63"/>
    <w:rsid w:val="00BD5C25"/>
    <w:rsid w:val="00BD798F"/>
    <w:rsid w:val="00BE246D"/>
    <w:rsid w:val="00BF17AA"/>
    <w:rsid w:val="00BF71B2"/>
    <w:rsid w:val="00BF7CE6"/>
    <w:rsid w:val="00C02E7E"/>
    <w:rsid w:val="00C034FE"/>
    <w:rsid w:val="00C03663"/>
    <w:rsid w:val="00C05109"/>
    <w:rsid w:val="00C14F33"/>
    <w:rsid w:val="00C15EBE"/>
    <w:rsid w:val="00C20C80"/>
    <w:rsid w:val="00C22525"/>
    <w:rsid w:val="00C23344"/>
    <w:rsid w:val="00C24556"/>
    <w:rsid w:val="00C24D72"/>
    <w:rsid w:val="00C251DF"/>
    <w:rsid w:val="00C43A9D"/>
    <w:rsid w:val="00C52C26"/>
    <w:rsid w:val="00C57BCA"/>
    <w:rsid w:val="00C607DE"/>
    <w:rsid w:val="00C60B4B"/>
    <w:rsid w:val="00C67037"/>
    <w:rsid w:val="00C75DE0"/>
    <w:rsid w:val="00C81F5D"/>
    <w:rsid w:val="00C868B5"/>
    <w:rsid w:val="00C9124E"/>
    <w:rsid w:val="00C920CF"/>
    <w:rsid w:val="00CA0F13"/>
    <w:rsid w:val="00CA538C"/>
    <w:rsid w:val="00CA69AA"/>
    <w:rsid w:val="00CB38D8"/>
    <w:rsid w:val="00CC6465"/>
    <w:rsid w:val="00CD3E0C"/>
    <w:rsid w:val="00CD6CF0"/>
    <w:rsid w:val="00CF2A39"/>
    <w:rsid w:val="00CF76A3"/>
    <w:rsid w:val="00D02B47"/>
    <w:rsid w:val="00D03EC3"/>
    <w:rsid w:val="00D2060F"/>
    <w:rsid w:val="00D20AC4"/>
    <w:rsid w:val="00D2129C"/>
    <w:rsid w:val="00D22720"/>
    <w:rsid w:val="00D24040"/>
    <w:rsid w:val="00D25EEC"/>
    <w:rsid w:val="00D343A1"/>
    <w:rsid w:val="00D356EA"/>
    <w:rsid w:val="00D519F4"/>
    <w:rsid w:val="00D53CEA"/>
    <w:rsid w:val="00D5654B"/>
    <w:rsid w:val="00D633AA"/>
    <w:rsid w:val="00D73E98"/>
    <w:rsid w:val="00D74BD2"/>
    <w:rsid w:val="00D753E6"/>
    <w:rsid w:val="00D7713C"/>
    <w:rsid w:val="00D82347"/>
    <w:rsid w:val="00D85FC2"/>
    <w:rsid w:val="00D861A7"/>
    <w:rsid w:val="00D91F8E"/>
    <w:rsid w:val="00D93AAF"/>
    <w:rsid w:val="00D95548"/>
    <w:rsid w:val="00DA1058"/>
    <w:rsid w:val="00DC2EA7"/>
    <w:rsid w:val="00DE052D"/>
    <w:rsid w:val="00DE5B7D"/>
    <w:rsid w:val="00DE76C1"/>
    <w:rsid w:val="00DE78D2"/>
    <w:rsid w:val="00DF09EA"/>
    <w:rsid w:val="00DF365D"/>
    <w:rsid w:val="00E01A42"/>
    <w:rsid w:val="00E20F03"/>
    <w:rsid w:val="00E248B7"/>
    <w:rsid w:val="00E30522"/>
    <w:rsid w:val="00E306E2"/>
    <w:rsid w:val="00E32250"/>
    <w:rsid w:val="00E32A5D"/>
    <w:rsid w:val="00E3527B"/>
    <w:rsid w:val="00E44F12"/>
    <w:rsid w:val="00E46F27"/>
    <w:rsid w:val="00E50200"/>
    <w:rsid w:val="00E51637"/>
    <w:rsid w:val="00E65F64"/>
    <w:rsid w:val="00E66E15"/>
    <w:rsid w:val="00E803BD"/>
    <w:rsid w:val="00E84E16"/>
    <w:rsid w:val="00E87A72"/>
    <w:rsid w:val="00E95CFF"/>
    <w:rsid w:val="00E97819"/>
    <w:rsid w:val="00EA3FF3"/>
    <w:rsid w:val="00EB0ED1"/>
    <w:rsid w:val="00EB4AC1"/>
    <w:rsid w:val="00ED040D"/>
    <w:rsid w:val="00ED0AC4"/>
    <w:rsid w:val="00ED1E23"/>
    <w:rsid w:val="00ED6FA2"/>
    <w:rsid w:val="00EE22E6"/>
    <w:rsid w:val="00EE53AC"/>
    <w:rsid w:val="00EE6B75"/>
    <w:rsid w:val="00EF0915"/>
    <w:rsid w:val="00EF4CFC"/>
    <w:rsid w:val="00EF6A60"/>
    <w:rsid w:val="00F02CFA"/>
    <w:rsid w:val="00F15B2F"/>
    <w:rsid w:val="00F20062"/>
    <w:rsid w:val="00F27F13"/>
    <w:rsid w:val="00F27FE8"/>
    <w:rsid w:val="00F33DF9"/>
    <w:rsid w:val="00F33E1C"/>
    <w:rsid w:val="00F345A3"/>
    <w:rsid w:val="00F37F24"/>
    <w:rsid w:val="00F476FE"/>
    <w:rsid w:val="00F51873"/>
    <w:rsid w:val="00F60BEF"/>
    <w:rsid w:val="00F6293E"/>
    <w:rsid w:val="00F8516A"/>
    <w:rsid w:val="00F866B8"/>
    <w:rsid w:val="00F87B8B"/>
    <w:rsid w:val="00F90FDF"/>
    <w:rsid w:val="00FA2D51"/>
    <w:rsid w:val="00FB04FF"/>
    <w:rsid w:val="00FB05C1"/>
    <w:rsid w:val="00FB2F54"/>
    <w:rsid w:val="00FB7951"/>
    <w:rsid w:val="00FC40E6"/>
    <w:rsid w:val="00FC5128"/>
    <w:rsid w:val="00FC6BEA"/>
    <w:rsid w:val="00FD4A84"/>
    <w:rsid w:val="00FE1EFB"/>
    <w:rsid w:val="00FE3102"/>
    <w:rsid w:val="00FE6920"/>
    <w:rsid w:val="00FF0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7E319D7F"/>
  <w15:docId w15:val="{DB2FC673-B062-4818-BB4B-3D3A6978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rsid w:val="00517205"/>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2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21"/>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21"/>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2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C05109"/>
    <w:pPr>
      <w:numPr>
        <w:numId w:val="1"/>
      </w:numPr>
      <w:contextualSpacing/>
    </w:pPr>
    <w:rPr>
      <w:rFonts w:eastAsia="Times New Roman"/>
      <w:szCs w:val="24"/>
    </w:rPr>
  </w:style>
  <w:style w:type="paragraph" w:styleId="ListBullet">
    <w:name w:val="List Bullet"/>
    <w:basedOn w:val="Normal"/>
    <w:uiPriority w:val="99"/>
    <w:semiHidden/>
    <w:unhideWhenUsed/>
    <w:rsid w:val="00EF0915"/>
    <w:pPr>
      <w:numPr>
        <w:numId w:val="2"/>
      </w:numPr>
      <w:contextualSpacing/>
    </w:pPr>
  </w:style>
  <w:style w:type="paragraph" w:styleId="ListBullet2">
    <w:name w:val="List Bullet 2"/>
    <w:basedOn w:val="Normal"/>
    <w:uiPriority w:val="99"/>
    <w:semiHidden/>
    <w:unhideWhenUsed/>
    <w:rsid w:val="00EF0915"/>
    <w:pPr>
      <w:numPr>
        <w:numId w:val="3"/>
      </w:numPr>
      <w:contextualSpacing/>
    </w:pPr>
  </w:style>
  <w:style w:type="paragraph" w:styleId="ListBullet3">
    <w:name w:val="List Bullet 3"/>
    <w:basedOn w:val="Normal"/>
    <w:uiPriority w:val="99"/>
    <w:semiHidden/>
    <w:unhideWhenUsed/>
    <w:rsid w:val="00EF0915"/>
    <w:pPr>
      <w:numPr>
        <w:numId w:val="4"/>
      </w:numPr>
      <w:contextualSpacing/>
    </w:pPr>
  </w:style>
  <w:style w:type="paragraph" w:styleId="ListBullet4">
    <w:name w:val="List Bullet 4"/>
    <w:basedOn w:val="Normal"/>
    <w:uiPriority w:val="99"/>
    <w:semiHidden/>
    <w:unhideWhenUsed/>
    <w:rsid w:val="00EF0915"/>
    <w:pPr>
      <w:numPr>
        <w:numId w:val="5"/>
      </w:numPr>
      <w:contextualSpacing/>
    </w:pPr>
  </w:style>
  <w:style w:type="character" w:styleId="Hyperlink">
    <w:name w:val="Hyperlink"/>
    <w:basedOn w:val="DefaultParagraphFont"/>
    <w:uiPriority w:val="99"/>
    <w:rsid w:val="00EF0915"/>
    <w:rPr>
      <w:color w:val="0000FF"/>
      <w:u w:val="none"/>
    </w:rPr>
  </w:style>
  <w:style w:type="paragraph" w:styleId="ListParagraph">
    <w:name w:val="List Paragraph"/>
    <w:basedOn w:val="Normal"/>
    <w:uiPriority w:val="34"/>
    <w:qFormat/>
    <w:rsid w:val="00387BF1"/>
    <w:pPr>
      <w:ind w:left="720"/>
      <w:contextualSpacing/>
    </w:pPr>
  </w:style>
  <w:style w:type="character" w:styleId="CommentReference">
    <w:name w:val="annotation reference"/>
    <w:basedOn w:val="DefaultParagraphFont"/>
    <w:uiPriority w:val="99"/>
    <w:semiHidden/>
    <w:unhideWhenUsed/>
    <w:rsid w:val="001D6F39"/>
    <w:rPr>
      <w:sz w:val="16"/>
      <w:szCs w:val="16"/>
    </w:rPr>
  </w:style>
  <w:style w:type="paragraph" w:styleId="CommentText">
    <w:name w:val="annotation text"/>
    <w:basedOn w:val="Normal"/>
    <w:link w:val="CommentTextChar"/>
    <w:uiPriority w:val="99"/>
    <w:semiHidden/>
    <w:unhideWhenUsed/>
    <w:rsid w:val="001D6F39"/>
    <w:rPr>
      <w:sz w:val="20"/>
      <w:szCs w:val="20"/>
    </w:rPr>
  </w:style>
  <w:style w:type="character" w:customStyle="1" w:styleId="CommentTextChar">
    <w:name w:val="Comment Text Char"/>
    <w:basedOn w:val="DefaultParagraphFont"/>
    <w:link w:val="CommentText"/>
    <w:uiPriority w:val="99"/>
    <w:semiHidden/>
    <w:rsid w:val="001D6F39"/>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1D6F39"/>
    <w:rPr>
      <w:b/>
      <w:bCs/>
    </w:rPr>
  </w:style>
  <w:style w:type="character" w:customStyle="1" w:styleId="CommentSubjectChar">
    <w:name w:val="Comment Subject Char"/>
    <w:basedOn w:val="CommentTextChar"/>
    <w:link w:val="CommentSubject"/>
    <w:uiPriority w:val="99"/>
    <w:semiHidden/>
    <w:rsid w:val="001D6F39"/>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rsid w:val="001D6F3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F39"/>
    <w:rPr>
      <w:rFonts w:ascii="Segoe UI" w:hAnsi="Segoe UI" w:cs="Segoe UI"/>
      <w:sz w:val="18"/>
      <w:szCs w:val="18"/>
      <w:lang w:val="sv-SE"/>
    </w:rPr>
  </w:style>
  <w:style w:type="paragraph" w:styleId="Revision">
    <w:name w:val="Revision"/>
    <w:hidden/>
    <w:uiPriority w:val="99"/>
    <w:semiHidden/>
    <w:rsid w:val="001D6F39"/>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rsid w:val="00803EE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803EEB"/>
    <w:pPr>
      <w:spacing w:after="0"/>
    </w:pPr>
  </w:style>
  <w:style w:type="paragraph" w:styleId="ListNumber2">
    <w:name w:val="List Number 2"/>
    <w:basedOn w:val="Normal"/>
    <w:uiPriority w:val="99"/>
    <w:semiHidden/>
    <w:unhideWhenUsed/>
    <w:rsid w:val="00803EEB"/>
    <w:pPr>
      <w:numPr>
        <w:numId w:val="8"/>
      </w:numPr>
      <w:contextualSpacing/>
    </w:pPr>
  </w:style>
  <w:style w:type="paragraph" w:styleId="ListNumber3">
    <w:name w:val="List Number 3"/>
    <w:basedOn w:val="Normal"/>
    <w:uiPriority w:val="99"/>
    <w:semiHidden/>
    <w:unhideWhenUsed/>
    <w:rsid w:val="00803EEB"/>
    <w:pPr>
      <w:numPr>
        <w:numId w:val="9"/>
      </w:numPr>
      <w:contextualSpacing/>
    </w:pPr>
  </w:style>
  <w:style w:type="paragraph" w:styleId="ListNumber4">
    <w:name w:val="List Number 4"/>
    <w:basedOn w:val="Normal"/>
    <w:uiPriority w:val="99"/>
    <w:semiHidden/>
    <w:unhideWhenUsed/>
    <w:rsid w:val="00803EEB"/>
    <w:pPr>
      <w:numPr>
        <w:numId w:val="10"/>
      </w:numPr>
      <w:contextualSpacing/>
    </w:pPr>
  </w:style>
  <w:style w:type="paragraph" w:customStyle="1" w:styleId="PointDou">
    <w:name w:val="Point Dou"/>
    <w:basedOn w:val="Point1"/>
    <w:rsid w:val="00FE6920"/>
    <w:pPr>
      <w:numPr>
        <w:numId w:val="11"/>
      </w:numPr>
    </w:pPr>
  </w:style>
  <w:style w:type="paragraph" w:customStyle="1" w:styleId="NumPar10">
    <w:name w:val="NumPar1"/>
    <w:basedOn w:val="Point10"/>
    <w:rsid w:val="006A0827"/>
  </w:style>
  <w:style w:type="paragraph" w:customStyle="1" w:styleId="Point10">
    <w:name w:val="Point 1"/>
    <w:basedOn w:val="Normal"/>
    <w:rsid w:val="009B7138"/>
    <w:pPr>
      <w:ind w:left="1417" w:hanging="567"/>
    </w:pPr>
  </w:style>
  <w:style w:type="paragraph" w:styleId="ListNumber5">
    <w:name w:val="List Number 5"/>
    <w:basedOn w:val="Normal"/>
    <w:rsid w:val="009B5BF1"/>
    <w:pPr>
      <w:numPr>
        <w:numId w:val="12"/>
      </w:numPr>
      <w:spacing w:before="0" w:after="240"/>
    </w:pPr>
    <w:rPr>
      <w:rFonts w:eastAsia="Times New Roman"/>
      <w:szCs w:val="20"/>
    </w:rPr>
  </w:style>
  <w:style w:type="paragraph" w:customStyle="1" w:styleId="norm">
    <w:name w:val="norm"/>
    <w:basedOn w:val="Normal"/>
    <w:rsid w:val="00834021"/>
    <w:pPr>
      <w:spacing w:before="100" w:beforeAutospacing="1" w:after="100" w:afterAutospacing="1"/>
      <w:jc w:val="left"/>
    </w:pPr>
    <w:rPr>
      <w:rFonts w:eastAsia="Times New Roman"/>
      <w:szCs w:val="24"/>
      <w:lang w:eastAsia="fr-BE"/>
    </w:rPr>
  </w:style>
  <w:style w:type="character" w:customStyle="1" w:styleId="normaltextrun">
    <w:name w:val="normaltextrun"/>
    <w:basedOn w:val="DefaultParagraphFont"/>
    <w:rsid w:val="00180A74"/>
  </w:style>
  <w:style w:type="paragraph" w:customStyle="1" w:styleId="oj-ti-art">
    <w:name w:val="oj-ti-art"/>
    <w:basedOn w:val="Normal"/>
    <w:rsid w:val="004E0476"/>
    <w:pPr>
      <w:spacing w:before="100" w:beforeAutospacing="1" w:after="100" w:afterAutospacing="1"/>
      <w:jc w:val="left"/>
    </w:pPr>
    <w:rPr>
      <w:rFonts w:eastAsia="Times New Roman"/>
      <w:szCs w:val="24"/>
    </w:rPr>
  </w:style>
  <w:style w:type="paragraph" w:customStyle="1" w:styleId="oj-normal">
    <w:name w:val="oj-normal"/>
    <w:basedOn w:val="Normal"/>
    <w:rsid w:val="004E0476"/>
    <w:pP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rsid w:val="00121B8A"/>
    <w:pPr>
      <w:tabs>
        <w:tab w:val="center" w:pos="4535"/>
        <w:tab w:val="right" w:pos="9071"/>
      </w:tabs>
      <w:spacing w:before="0"/>
    </w:pPr>
  </w:style>
  <w:style w:type="character" w:customStyle="1" w:styleId="HeaderChar">
    <w:name w:val="Header Char"/>
    <w:basedOn w:val="DefaultParagraphFont"/>
    <w:link w:val="Header"/>
    <w:uiPriority w:val="99"/>
    <w:rsid w:val="00121B8A"/>
    <w:rPr>
      <w:rFonts w:ascii="Times New Roman" w:hAnsi="Times New Roman" w:cs="Times New Roman"/>
      <w:sz w:val="24"/>
      <w:lang w:val="sv-SE"/>
    </w:rPr>
  </w:style>
  <w:style w:type="paragraph" w:styleId="Footer">
    <w:name w:val="footer"/>
    <w:basedOn w:val="Normal"/>
    <w:link w:val="FooterChar"/>
    <w:uiPriority w:val="99"/>
    <w:unhideWhenUsed/>
    <w:rsid w:val="00121B8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21B8A"/>
    <w:rPr>
      <w:rFonts w:ascii="Times New Roman" w:hAnsi="Times New Roman" w:cs="Times New Roman"/>
      <w:sz w:val="24"/>
      <w:lang w:val="sv-SE"/>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sv-SE"/>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sv-SE"/>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sv-SE"/>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sv-SE"/>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sv-SE"/>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121B8A"/>
    <w:pPr>
      <w:tabs>
        <w:tab w:val="center" w:pos="7285"/>
        <w:tab w:val="right" w:pos="14003"/>
      </w:tabs>
      <w:spacing w:before="0"/>
    </w:pPr>
  </w:style>
  <w:style w:type="paragraph" w:customStyle="1" w:styleId="FooterLandscape">
    <w:name w:val="FooterLandscape"/>
    <w:basedOn w:val="Normal"/>
    <w:rsid w:val="00121B8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121B8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21B8A"/>
    <w:pPr>
      <w:spacing w:before="0"/>
      <w:jc w:val="right"/>
    </w:pPr>
    <w:rPr>
      <w:sz w:val="28"/>
    </w:rPr>
  </w:style>
  <w:style w:type="paragraph" w:customStyle="1" w:styleId="FooterSensitivity">
    <w:name w:val="Footer Sensitivity"/>
    <w:basedOn w:val="Normal"/>
    <w:rsid w:val="00121B8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14"/>
      </w:numPr>
    </w:pPr>
  </w:style>
  <w:style w:type="paragraph" w:customStyle="1" w:styleId="Tiret1">
    <w:name w:val="Tiret 1"/>
    <w:basedOn w:val="Point1"/>
    <w:rsid w:val="00517205"/>
    <w:pPr>
      <w:numPr>
        <w:numId w:val="15"/>
      </w:numPr>
    </w:pPr>
  </w:style>
  <w:style w:type="paragraph" w:customStyle="1" w:styleId="Tiret2">
    <w:name w:val="Tiret 2"/>
    <w:basedOn w:val="Point2"/>
    <w:rsid w:val="00517205"/>
    <w:pPr>
      <w:numPr>
        <w:numId w:val="16"/>
      </w:numPr>
    </w:pPr>
  </w:style>
  <w:style w:type="paragraph" w:customStyle="1" w:styleId="Tiret3">
    <w:name w:val="Tiret 3"/>
    <w:basedOn w:val="Point3"/>
    <w:rsid w:val="00517205"/>
    <w:pPr>
      <w:numPr>
        <w:numId w:val="17"/>
      </w:numPr>
    </w:pPr>
  </w:style>
  <w:style w:type="paragraph" w:customStyle="1" w:styleId="Tiret4">
    <w:name w:val="Tiret 4"/>
    <w:basedOn w:val="Point4"/>
    <w:rsid w:val="00517205"/>
    <w:pPr>
      <w:numPr>
        <w:numId w:val="18"/>
      </w:numPr>
    </w:pPr>
  </w:style>
  <w:style w:type="paragraph" w:customStyle="1" w:styleId="Tiret5">
    <w:name w:val="Tiret 5"/>
    <w:basedOn w:val="Point5"/>
    <w:rsid w:val="00517205"/>
    <w:pPr>
      <w:numPr>
        <w:numId w:val="19"/>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20"/>
      </w:numPr>
    </w:pPr>
  </w:style>
  <w:style w:type="paragraph" w:customStyle="1" w:styleId="NumPar2">
    <w:name w:val="NumPar 2"/>
    <w:basedOn w:val="Normal"/>
    <w:next w:val="Text1"/>
    <w:rsid w:val="00517205"/>
    <w:pPr>
      <w:numPr>
        <w:ilvl w:val="1"/>
        <w:numId w:val="20"/>
      </w:numPr>
    </w:pPr>
  </w:style>
  <w:style w:type="paragraph" w:customStyle="1" w:styleId="NumPar3">
    <w:name w:val="NumPar 3"/>
    <w:basedOn w:val="Normal"/>
    <w:next w:val="Text1"/>
    <w:rsid w:val="00517205"/>
    <w:pPr>
      <w:numPr>
        <w:ilvl w:val="2"/>
        <w:numId w:val="20"/>
      </w:numPr>
    </w:pPr>
  </w:style>
  <w:style w:type="paragraph" w:customStyle="1" w:styleId="NumPar4">
    <w:name w:val="NumPar 4"/>
    <w:basedOn w:val="Normal"/>
    <w:next w:val="Text1"/>
    <w:rsid w:val="00517205"/>
    <w:pPr>
      <w:numPr>
        <w:ilvl w:val="3"/>
        <w:numId w:val="20"/>
      </w:numPr>
    </w:pPr>
  </w:style>
  <w:style w:type="paragraph" w:customStyle="1" w:styleId="NumPar5">
    <w:name w:val="NumPar 5"/>
    <w:basedOn w:val="Normal"/>
    <w:next w:val="Text2"/>
    <w:rsid w:val="00517205"/>
    <w:pPr>
      <w:numPr>
        <w:ilvl w:val="4"/>
        <w:numId w:val="20"/>
      </w:numPr>
    </w:pPr>
  </w:style>
  <w:style w:type="paragraph" w:customStyle="1" w:styleId="NumPar6">
    <w:name w:val="NumPar 6"/>
    <w:basedOn w:val="Normal"/>
    <w:next w:val="Text2"/>
    <w:rsid w:val="00517205"/>
    <w:pPr>
      <w:numPr>
        <w:ilvl w:val="5"/>
        <w:numId w:val="20"/>
      </w:numPr>
    </w:pPr>
  </w:style>
  <w:style w:type="paragraph" w:customStyle="1" w:styleId="NumPar7">
    <w:name w:val="NumPar 7"/>
    <w:basedOn w:val="Normal"/>
    <w:next w:val="Text2"/>
    <w:rsid w:val="00517205"/>
    <w:pPr>
      <w:numPr>
        <w:ilvl w:val="6"/>
        <w:numId w:val="20"/>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22"/>
      </w:numPr>
    </w:pPr>
  </w:style>
  <w:style w:type="paragraph" w:customStyle="1" w:styleId="Point1number">
    <w:name w:val="Point 1 (number)"/>
    <w:basedOn w:val="Normal"/>
    <w:rsid w:val="00517205"/>
    <w:pPr>
      <w:numPr>
        <w:ilvl w:val="2"/>
        <w:numId w:val="22"/>
      </w:numPr>
    </w:pPr>
  </w:style>
  <w:style w:type="paragraph" w:customStyle="1" w:styleId="Point2number">
    <w:name w:val="Point 2 (number)"/>
    <w:basedOn w:val="Normal"/>
    <w:rsid w:val="00517205"/>
    <w:pPr>
      <w:numPr>
        <w:ilvl w:val="4"/>
        <w:numId w:val="22"/>
      </w:numPr>
    </w:pPr>
  </w:style>
  <w:style w:type="paragraph" w:customStyle="1" w:styleId="Point3number">
    <w:name w:val="Point 3 (number)"/>
    <w:basedOn w:val="Normal"/>
    <w:rsid w:val="00517205"/>
    <w:pPr>
      <w:numPr>
        <w:ilvl w:val="6"/>
        <w:numId w:val="22"/>
      </w:numPr>
    </w:pPr>
  </w:style>
  <w:style w:type="paragraph" w:customStyle="1" w:styleId="Point0letter">
    <w:name w:val="Point 0 (letter)"/>
    <w:basedOn w:val="Normal"/>
    <w:rsid w:val="00517205"/>
    <w:pPr>
      <w:numPr>
        <w:ilvl w:val="1"/>
        <w:numId w:val="22"/>
      </w:numPr>
    </w:pPr>
  </w:style>
  <w:style w:type="paragraph" w:customStyle="1" w:styleId="Point1letter">
    <w:name w:val="Point 1 (letter)"/>
    <w:basedOn w:val="Normal"/>
    <w:rsid w:val="00517205"/>
    <w:pPr>
      <w:numPr>
        <w:ilvl w:val="3"/>
        <w:numId w:val="22"/>
      </w:numPr>
    </w:pPr>
  </w:style>
  <w:style w:type="paragraph" w:customStyle="1" w:styleId="Point2letter">
    <w:name w:val="Point 2 (letter)"/>
    <w:basedOn w:val="Normal"/>
    <w:rsid w:val="00517205"/>
    <w:pPr>
      <w:numPr>
        <w:ilvl w:val="5"/>
        <w:numId w:val="22"/>
      </w:numPr>
    </w:pPr>
  </w:style>
  <w:style w:type="paragraph" w:customStyle="1" w:styleId="Point3letter">
    <w:name w:val="Point 3 (letter)"/>
    <w:basedOn w:val="Normal"/>
    <w:rsid w:val="00517205"/>
    <w:pPr>
      <w:numPr>
        <w:ilvl w:val="7"/>
        <w:numId w:val="22"/>
      </w:numPr>
    </w:pPr>
  </w:style>
  <w:style w:type="paragraph" w:customStyle="1" w:styleId="Point4letter">
    <w:name w:val="Point 4 (letter)"/>
    <w:basedOn w:val="Normal"/>
    <w:rsid w:val="00517205"/>
    <w:pPr>
      <w:numPr>
        <w:ilvl w:val="8"/>
        <w:numId w:val="22"/>
      </w:numPr>
    </w:pPr>
  </w:style>
  <w:style w:type="paragraph" w:customStyle="1" w:styleId="Bullet0">
    <w:name w:val="Bullet 0"/>
    <w:basedOn w:val="Normal"/>
    <w:rsid w:val="00517205"/>
    <w:pPr>
      <w:numPr>
        <w:numId w:val="23"/>
      </w:numPr>
    </w:pPr>
  </w:style>
  <w:style w:type="paragraph" w:customStyle="1" w:styleId="Bullet1">
    <w:name w:val="Bullet 1"/>
    <w:basedOn w:val="Normal"/>
    <w:rsid w:val="00517205"/>
    <w:pPr>
      <w:numPr>
        <w:numId w:val="24"/>
      </w:numPr>
    </w:pPr>
  </w:style>
  <w:style w:type="paragraph" w:customStyle="1" w:styleId="Bullet2">
    <w:name w:val="Bullet 2"/>
    <w:basedOn w:val="Normal"/>
    <w:rsid w:val="00517205"/>
    <w:pPr>
      <w:numPr>
        <w:numId w:val="25"/>
      </w:numPr>
    </w:pPr>
  </w:style>
  <w:style w:type="paragraph" w:customStyle="1" w:styleId="Bullet3">
    <w:name w:val="Bullet 3"/>
    <w:basedOn w:val="Normal"/>
    <w:rsid w:val="00517205"/>
    <w:pPr>
      <w:numPr>
        <w:numId w:val="26"/>
      </w:numPr>
    </w:pPr>
  </w:style>
  <w:style w:type="paragraph" w:customStyle="1" w:styleId="Bullet4">
    <w:name w:val="Bullet 4"/>
    <w:basedOn w:val="Normal"/>
    <w:rsid w:val="00517205"/>
    <w:pPr>
      <w:numPr>
        <w:numId w:val="27"/>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28"/>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3044">
      <w:bodyDiv w:val="1"/>
      <w:marLeft w:val="0"/>
      <w:marRight w:val="0"/>
      <w:marTop w:val="0"/>
      <w:marBottom w:val="0"/>
      <w:divBdr>
        <w:top w:val="none" w:sz="0" w:space="0" w:color="auto"/>
        <w:left w:val="none" w:sz="0" w:space="0" w:color="auto"/>
        <w:bottom w:val="none" w:sz="0" w:space="0" w:color="auto"/>
        <w:right w:val="none" w:sz="0" w:space="0" w:color="auto"/>
      </w:divBdr>
      <w:divsChild>
        <w:div w:id="203107232">
          <w:marLeft w:val="0"/>
          <w:marRight w:val="0"/>
          <w:marTop w:val="120"/>
          <w:marBottom w:val="0"/>
          <w:divBdr>
            <w:top w:val="none" w:sz="0" w:space="0" w:color="auto"/>
            <w:left w:val="none" w:sz="0" w:space="0" w:color="auto"/>
            <w:bottom w:val="none" w:sz="0" w:space="0" w:color="auto"/>
            <w:right w:val="none" w:sz="0" w:space="0" w:color="auto"/>
          </w:divBdr>
        </w:div>
        <w:div w:id="1155150002">
          <w:marLeft w:val="0"/>
          <w:marRight w:val="0"/>
          <w:marTop w:val="0"/>
          <w:marBottom w:val="0"/>
          <w:divBdr>
            <w:top w:val="none" w:sz="0" w:space="0" w:color="auto"/>
            <w:left w:val="none" w:sz="0" w:space="0" w:color="auto"/>
            <w:bottom w:val="none" w:sz="0" w:space="0" w:color="auto"/>
            <w:right w:val="none" w:sz="0" w:space="0" w:color="auto"/>
          </w:divBdr>
          <w:divsChild>
            <w:div w:id="1046834092">
              <w:marLeft w:val="0"/>
              <w:marRight w:val="0"/>
              <w:marTop w:val="120"/>
              <w:marBottom w:val="0"/>
              <w:divBdr>
                <w:top w:val="none" w:sz="0" w:space="0" w:color="auto"/>
                <w:left w:val="none" w:sz="0" w:space="0" w:color="auto"/>
                <w:bottom w:val="none" w:sz="0" w:space="0" w:color="auto"/>
                <w:right w:val="none" w:sz="0" w:space="0" w:color="auto"/>
              </w:divBdr>
            </w:div>
          </w:divsChild>
        </w:div>
        <w:div w:id="1056053821">
          <w:marLeft w:val="0"/>
          <w:marRight w:val="0"/>
          <w:marTop w:val="120"/>
          <w:marBottom w:val="0"/>
          <w:divBdr>
            <w:top w:val="none" w:sz="0" w:space="0" w:color="auto"/>
            <w:left w:val="none" w:sz="0" w:space="0" w:color="auto"/>
            <w:bottom w:val="none" w:sz="0" w:space="0" w:color="auto"/>
            <w:right w:val="none" w:sz="0" w:space="0" w:color="auto"/>
          </w:divBdr>
        </w:div>
        <w:div w:id="835652922">
          <w:marLeft w:val="0"/>
          <w:marRight w:val="0"/>
          <w:marTop w:val="0"/>
          <w:marBottom w:val="0"/>
          <w:divBdr>
            <w:top w:val="none" w:sz="0" w:space="0" w:color="auto"/>
            <w:left w:val="none" w:sz="0" w:space="0" w:color="auto"/>
            <w:bottom w:val="none" w:sz="0" w:space="0" w:color="auto"/>
            <w:right w:val="none" w:sz="0" w:space="0" w:color="auto"/>
          </w:divBdr>
          <w:divsChild>
            <w:div w:id="6800064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68294621">
      <w:bodyDiv w:val="1"/>
      <w:marLeft w:val="0"/>
      <w:marRight w:val="0"/>
      <w:marTop w:val="0"/>
      <w:marBottom w:val="0"/>
      <w:divBdr>
        <w:top w:val="none" w:sz="0" w:space="0" w:color="auto"/>
        <w:left w:val="none" w:sz="0" w:space="0" w:color="auto"/>
        <w:bottom w:val="none" w:sz="0" w:space="0" w:color="auto"/>
        <w:right w:val="none" w:sz="0" w:space="0" w:color="auto"/>
      </w:divBdr>
      <w:divsChild>
        <w:div w:id="1912808421">
          <w:marLeft w:val="0"/>
          <w:marRight w:val="0"/>
          <w:marTop w:val="0"/>
          <w:marBottom w:val="0"/>
          <w:divBdr>
            <w:top w:val="none" w:sz="0" w:space="0" w:color="auto"/>
            <w:left w:val="none" w:sz="0" w:space="0" w:color="auto"/>
            <w:bottom w:val="none" w:sz="0" w:space="0" w:color="auto"/>
            <w:right w:val="none" w:sz="0" w:space="0" w:color="auto"/>
          </w:divBdr>
          <w:divsChild>
            <w:div w:id="1142381460">
              <w:marLeft w:val="0"/>
              <w:marRight w:val="0"/>
              <w:marTop w:val="0"/>
              <w:marBottom w:val="0"/>
              <w:divBdr>
                <w:top w:val="none" w:sz="0" w:space="0" w:color="auto"/>
                <w:left w:val="none" w:sz="0" w:space="0" w:color="auto"/>
                <w:bottom w:val="none" w:sz="0" w:space="0" w:color="auto"/>
                <w:right w:val="none" w:sz="0" w:space="0" w:color="auto"/>
              </w:divBdr>
              <w:divsChild>
                <w:div w:id="1102381844">
                  <w:marLeft w:val="0"/>
                  <w:marRight w:val="0"/>
                  <w:marTop w:val="0"/>
                  <w:marBottom w:val="0"/>
                  <w:divBdr>
                    <w:top w:val="none" w:sz="0" w:space="0" w:color="auto"/>
                    <w:left w:val="none" w:sz="0" w:space="0" w:color="auto"/>
                    <w:bottom w:val="none" w:sz="0" w:space="0" w:color="auto"/>
                    <w:right w:val="none" w:sz="0" w:space="0" w:color="auto"/>
                  </w:divBdr>
                  <w:divsChild>
                    <w:div w:id="1576746099">
                      <w:marLeft w:val="0"/>
                      <w:marRight w:val="0"/>
                      <w:marTop w:val="120"/>
                      <w:marBottom w:val="0"/>
                      <w:divBdr>
                        <w:top w:val="none" w:sz="0" w:space="0" w:color="auto"/>
                        <w:left w:val="none" w:sz="0" w:space="0" w:color="auto"/>
                        <w:bottom w:val="none" w:sz="0" w:space="0" w:color="auto"/>
                        <w:right w:val="none" w:sz="0" w:space="0" w:color="auto"/>
                      </w:divBdr>
                    </w:div>
                    <w:div w:id="484661903">
                      <w:marLeft w:val="0"/>
                      <w:marRight w:val="0"/>
                      <w:marTop w:val="0"/>
                      <w:marBottom w:val="0"/>
                      <w:divBdr>
                        <w:top w:val="none" w:sz="0" w:space="0" w:color="auto"/>
                        <w:left w:val="none" w:sz="0" w:space="0" w:color="auto"/>
                        <w:bottom w:val="none" w:sz="0" w:space="0" w:color="auto"/>
                        <w:right w:val="none" w:sz="0" w:space="0" w:color="auto"/>
                      </w:divBdr>
                    </w:div>
                  </w:divsChild>
                </w:div>
                <w:div w:id="1875268819">
                  <w:marLeft w:val="0"/>
                  <w:marRight w:val="0"/>
                  <w:marTop w:val="0"/>
                  <w:marBottom w:val="0"/>
                  <w:divBdr>
                    <w:top w:val="none" w:sz="0" w:space="0" w:color="auto"/>
                    <w:left w:val="none" w:sz="0" w:space="0" w:color="auto"/>
                    <w:bottom w:val="none" w:sz="0" w:space="0" w:color="auto"/>
                    <w:right w:val="none" w:sz="0" w:space="0" w:color="auto"/>
                  </w:divBdr>
                  <w:divsChild>
                    <w:div w:id="751465482">
                      <w:marLeft w:val="0"/>
                      <w:marRight w:val="0"/>
                      <w:marTop w:val="120"/>
                      <w:marBottom w:val="0"/>
                      <w:divBdr>
                        <w:top w:val="none" w:sz="0" w:space="0" w:color="auto"/>
                        <w:left w:val="none" w:sz="0" w:space="0" w:color="auto"/>
                        <w:bottom w:val="none" w:sz="0" w:space="0" w:color="auto"/>
                        <w:right w:val="none" w:sz="0" w:space="0" w:color="auto"/>
                      </w:divBdr>
                    </w:div>
                    <w:div w:id="13601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67157">
      <w:bodyDiv w:val="1"/>
      <w:marLeft w:val="0"/>
      <w:marRight w:val="0"/>
      <w:marTop w:val="0"/>
      <w:marBottom w:val="0"/>
      <w:divBdr>
        <w:top w:val="none" w:sz="0" w:space="0" w:color="auto"/>
        <w:left w:val="none" w:sz="0" w:space="0" w:color="auto"/>
        <w:bottom w:val="none" w:sz="0" w:space="0" w:color="auto"/>
        <w:right w:val="none" w:sz="0" w:space="0" w:color="auto"/>
      </w:divBdr>
    </w:div>
    <w:div w:id="1890073820">
      <w:bodyDiv w:val="1"/>
      <w:marLeft w:val="0"/>
      <w:marRight w:val="0"/>
      <w:marTop w:val="0"/>
      <w:marBottom w:val="0"/>
      <w:divBdr>
        <w:top w:val="none" w:sz="0" w:space="0" w:color="auto"/>
        <w:left w:val="none" w:sz="0" w:space="0" w:color="auto"/>
        <w:bottom w:val="none" w:sz="0" w:space="0" w:color="auto"/>
        <w:right w:val="none" w:sz="0" w:space="0" w:color="auto"/>
      </w:divBdr>
      <w:divsChild>
        <w:div w:id="637226346">
          <w:marLeft w:val="0"/>
          <w:marRight w:val="0"/>
          <w:marTop w:val="0"/>
          <w:marBottom w:val="0"/>
          <w:divBdr>
            <w:top w:val="none" w:sz="0" w:space="0" w:color="auto"/>
            <w:left w:val="none" w:sz="0" w:space="0" w:color="auto"/>
            <w:bottom w:val="none" w:sz="0" w:space="0" w:color="auto"/>
            <w:right w:val="none" w:sz="0" w:space="0" w:color="auto"/>
          </w:divBdr>
          <w:divsChild>
            <w:div w:id="290986824">
              <w:marLeft w:val="0"/>
              <w:marRight w:val="0"/>
              <w:marTop w:val="0"/>
              <w:marBottom w:val="0"/>
              <w:divBdr>
                <w:top w:val="none" w:sz="0" w:space="0" w:color="auto"/>
                <w:left w:val="none" w:sz="0" w:space="0" w:color="auto"/>
                <w:bottom w:val="none" w:sz="0" w:space="0" w:color="auto"/>
                <w:right w:val="none" w:sz="0" w:space="0" w:color="auto"/>
              </w:divBdr>
            </w:div>
          </w:divsChild>
        </w:div>
        <w:div w:id="1199128503">
          <w:marLeft w:val="0"/>
          <w:marRight w:val="0"/>
          <w:marTop w:val="0"/>
          <w:marBottom w:val="0"/>
          <w:divBdr>
            <w:top w:val="none" w:sz="0" w:space="0" w:color="auto"/>
            <w:left w:val="none" w:sz="0" w:space="0" w:color="auto"/>
            <w:bottom w:val="none" w:sz="0" w:space="0" w:color="auto"/>
            <w:right w:val="none" w:sz="0" w:space="0" w:color="auto"/>
          </w:divBdr>
          <w:divsChild>
            <w:div w:id="19472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4676">
      <w:bodyDiv w:val="1"/>
      <w:marLeft w:val="0"/>
      <w:marRight w:val="0"/>
      <w:marTop w:val="0"/>
      <w:marBottom w:val="0"/>
      <w:divBdr>
        <w:top w:val="none" w:sz="0" w:space="0" w:color="auto"/>
        <w:left w:val="none" w:sz="0" w:space="0" w:color="auto"/>
        <w:bottom w:val="none" w:sz="0" w:space="0" w:color="auto"/>
        <w:right w:val="none" w:sz="0" w:space="0" w:color="auto"/>
      </w:divBdr>
      <w:divsChild>
        <w:div w:id="90049682">
          <w:marLeft w:val="0"/>
          <w:marRight w:val="0"/>
          <w:marTop w:val="120"/>
          <w:marBottom w:val="0"/>
          <w:divBdr>
            <w:top w:val="none" w:sz="0" w:space="0" w:color="auto"/>
            <w:left w:val="none" w:sz="0" w:space="0" w:color="auto"/>
            <w:bottom w:val="none" w:sz="0" w:space="0" w:color="auto"/>
            <w:right w:val="none" w:sz="0" w:space="0" w:color="auto"/>
          </w:divBdr>
        </w:div>
        <w:div w:id="1007949189">
          <w:marLeft w:val="0"/>
          <w:marRight w:val="0"/>
          <w:marTop w:val="0"/>
          <w:marBottom w:val="0"/>
          <w:divBdr>
            <w:top w:val="none" w:sz="0" w:space="0" w:color="auto"/>
            <w:left w:val="none" w:sz="0" w:space="0" w:color="auto"/>
            <w:bottom w:val="none" w:sz="0" w:space="0" w:color="auto"/>
            <w:right w:val="none" w:sz="0" w:space="0" w:color="auto"/>
          </w:divBdr>
        </w:div>
        <w:div w:id="454374904">
          <w:marLeft w:val="0"/>
          <w:marRight w:val="0"/>
          <w:marTop w:val="120"/>
          <w:marBottom w:val="0"/>
          <w:divBdr>
            <w:top w:val="none" w:sz="0" w:space="0" w:color="auto"/>
            <w:left w:val="none" w:sz="0" w:space="0" w:color="auto"/>
            <w:bottom w:val="none" w:sz="0" w:space="0" w:color="auto"/>
            <w:right w:val="none" w:sz="0" w:space="0" w:color="auto"/>
          </w:divBdr>
        </w:div>
        <w:div w:id="1902909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33BC1-43A0-4CBB-BC25-B3617030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9</TotalTime>
  <Pages>6</Pages>
  <Words>1579</Words>
  <Characters>9463</Characters>
  <Application>Microsoft Office Word</Application>
  <DocSecurity>0</DocSecurity>
  <Lines>163</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83</cp:revision>
  <cp:lastPrinted>2022-02-15T11:39:00Z</cp:lastPrinted>
  <dcterms:created xsi:type="dcterms:W3CDTF">2022-07-15T09:52:00Z</dcterms:created>
  <dcterms:modified xsi:type="dcterms:W3CDTF">2023-02-08T07:44:00Z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8.1, Build 20220902</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SG-057</vt:lpwstr>
  </property>
  <property fmtid="{D5CDD505-2E9C-101B-9397-08002B2CF9AE}" pid="10" name="DQCStatus">
    <vt:lpwstr>Yellow (DQC version 03)</vt:lpwstr>
  </property>
  <property fmtid="{D5CDD505-2E9C-101B-9397-08002B2CF9AE}" pid="11" name="MSIP_Label_6bd9ddd1-4d20-43f6-abfa-fc3c07406f94_Enabled">
    <vt:lpwstr>true</vt:lpwstr>
  </property>
  <property fmtid="{D5CDD505-2E9C-101B-9397-08002B2CF9AE}" pid="12" name="MSIP_Label_6bd9ddd1-4d20-43f6-abfa-fc3c07406f94_SetDate">
    <vt:lpwstr>2023-02-08T07:43:14Z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db8964fa-5bf6-4aa7-9199-de9bd4f62c98</vt:lpwstr>
  </property>
  <property fmtid="{D5CDD505-2E9C-101B-9397-08002B2CF9AE}" pid="17" name="MSIP_Label_6bd9ddd1-4d20-43f6-abfa-fc3c07406f94_ContentBits">
    <vt:lpwstr>0</vt:lpwstr>
  </property>
  <property name="OP_sanitized" fmtid="{D5CDD505-2E9C-101B-9397-08002B2CF9AE}" pid="18">
    <vt:lpwstr>True</vt:lpwstr>
  </property>
</Properties>
</file>