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Pagedecouverture"/>
        <w:rPr>
          <w:noProof/>
        </w:rPr>
      </w:pPr>
      <w:bookmarkStart w:id="0" w:name="LW_BM_COVERPAGE"/>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2" type="#_x0000_t75" alt="AB1F611A-B484-4F1B-BF95-0A66E831089C" style="width:451.05pt;height:348.05pt">
            <v:imagedata r:id="rId9" o:title=""/>
          </v:shape>
        </w:pict>
      </w:r>
    </w:p>
    <w:bookmarkEnd w:id="0"/>
    <w:p>
      <w:pPr>
        <w:rPr>
          <w:noProof/>
        </w:rPr>
        <w:sectPr>
          <w:headerReference w:type="even" r:id="rId10"/>
          <w:headerReference w:type="default" r:id="rId11"/>
          <w:footerReference w:type="even" r:id="rId12"/>
          <w:footerReference w:type="default" r:id="rId13"/>
          <w:headerReference w:type="first" r:id="rId14"/>
          <w:footerReference w:type="first" r:id="rId15"/>
          <w:pgSz w:w="11906" w:h="16838"/>
          <w:pgMar w:top="1134" w:right="1417" w:bottom="1134" w:left="1417" w:header="709" w:footer="709" w:gutter="0"/>
          <w:pgNumType w:start="0"/>
          <w:cols w:space="720"/>
          <w:docGrid w:linePitch="360"/>
        </w:sectPr>
      </w:pPr>
    </w:p>
    <w:p>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i/>
          <w:noProof/>
          <w:sz w:val="20"/>
          <w:szCs w:val="20"/>
        </w:rPr>
      </w:pPr>
      <w:bookmarkStart w:id="1" w:name="_GoBack"/>
      <w:bookmarkEnd w:id="1"/>
      <w:r>
        <w:rPr>
          <w:rFonts w:ascii="Times New Roman" w:hAnsi="Times New Roman"/>
          <w:i/>
          <w:noProof/>
          <w:sz w:val="20"/>
          <w:szCs w:val="20"/>
        </w:rPr>
        <w:lastRenderedPageBreak/>
        <w:t>Hol az emberiesség esszenciája, amikor minden egyes nap roma személyeket rekesztenek ki a társadalomból, mások pedig pusztán bőrszínük vagy vallásuk miatt ütköznek korlátokba?</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18"/>
          <w:szCs w:val="18"/>
        </w:rPr>
      </w:pPr>
      <w:r>
        <w:rPr>
          <w:rFonts w:ascii="Times New Roman" w:hAnsi="Times New Roman"/>
          <w:i/>
          <w:noProof/>
          <w:sz w:val="18"/>
          <w:szCs w:val="18"/>
        </w:rPr>
        <w:t>Ursula von der Leyen, a Bizottság elnöke, Az Unió helyzete (2020)</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20"/>
          <w:szCs w:val="20"/>
        </w:rPr>
      </w:pPr>
    </w:p>
    <w:p>
      <w:pPr>
        <w:pBdr>
          <w:top w:val="single" w:sz="4" w:space="1" w:color="auto"/>
          <w:left w:val="single" w:sz="4" w:space="4" w:color="auto"/>
          <w:bottom w:val="single" w:sz="4" w:space="1" w:color="auto"/>
          <w:right w:val="single" w:sz="4" w:space="4" w:color="auto"/>
        </w:pBdr>
        <w:spacing w:after="0" w:line="240" w:lineRule="auto"/>
        <w:jc w:val="both"/>
        <w:rPr>
          <w:rFonts w:ascii="Times New Roman" w:hAnsi="Times New Roman"/>
          <w:i/>
          <w:noProof/>
          <w:sz w:val="20"/>
          <w:szCs w:val="20"/>
        </w:rPr>
      </w:pPr>
      <w:r>
        <w:rPr>
          <w:rFonts w:ascii="Times New Roman" w:hAnsi="Times New Roman"/>
          <w:i/>
          <w:noProof/>
          <w:sz w:val="20"/>
          <w:szCs w:val="20"/>
        </w:rPr>
        <w:t>Európának kötelessége megvédenie a kisebbségeket a rasszizmustól és a hátrányos megkülönböztetéstől. A cigányellenesség helyébe a nyitottságot és az elfogadást, a gyűlöletbeszéd és a gyűlölet-bűncselekmények helyébe a toleranciát és az emberi méltóság tiszteletben tartását, a megfélemlítés helyébe pedig a holokauszttal kapcsolatos oktatást kell állítanunk. Mindenekelőtt a sokféleséget kell előmozdítanunk, mert ez egy csodálatos ajándék, amely Európát erőssé és ellenállóvá teszi. A Bizottság ezért felkér minden tagállamot arra, hogy csatlakozzon a nagy számú roma etnikai kisebbségeinket szembetűnően sújtó rasszizmus és a hátrányos megkülönböztetés felszámolását célzó vállaláshoz. Sürgetjük a tagállamokat, hogy kötelezzék el magukat a romák egyenlőségének, társadalmi befogadásának és részvételének előmozdítását célzó új uniós stratégiai keretrendszer mellett, hogy előmozdítsák a társadalmi méltányosságot és a valamennyi értelemben vett nagyobb egyenlőséget.</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18"/>
          <w:szCs w:val="18"/>
        </w:rPr>
      </w:pPr>
      <w:r>
        <w:rPr>
          <w:rFonts w:ascii="Times New Roman" w:hAnsi="Times New Roman"/>
          <w:i/>
          <w:noProof/>
          <w:sz w:val="18"/>
          <w:szCs w:val="18"/>
        </w:rPr>
        <w:t>Ursula von der Leyen elnök, Vera Jourová alelnök és Helena Dalli biztos nyilatkozata</w:t>
      </w:r>
    </w:p>
    <w:p>
      <w:pPr>
        <w:pBdr>
          <w:top w:val="single" w:sz="4" w:space="1" w:color="auto"/>
          <w:left w:val="single" w:sz="4" w:space="4" w:color="auto"/>
          <w:bottom w:val="single" w:sz="4" w:space="1" w:color="auto"/>
          <w:right w:val="single" w:sz="4" w:space="4" w:color="auto"/>
        </w:pBdr>
        <w:spacing w:after="0" w:line="240" w:lineRule="auto"/>
        <w:jc w:val="right"/>
        <w:rPr>
          <w:rFonts w:ascii="Times New Roman" w:hAnsi="Times New Roman"/>
          <w:i/>
          <w:noProof/>
          <w:sz w:val="18"/>
          <w:szCs w:val="18"/>
        </w:rPr>
      </w:pPr>
      <w:r>
        <w:rPr>
          <w:rFonts w:ascii="Times New Roman" w:hAnsi="Times New Roman"/>
          <w:i/>
          <w:noProof/>
          <w:sz w:val="18"/>
          <w:szCs w:val="18"/>
        </w:rPr>
        <w:t>a 2020. évi roma holokauszt emléknapot megelőzően</w:t>
      </w:r>
    </w:p>
    <w:p>
      <w:pPr>
        <w:spacing w:after="0" w:line="240" w:lineRule="auto"/>
        <w:jc w:val="both"/>
        <w:rPr>
          <w:rFonts w:ascii="Times New Roman" w:hAnsi="Times New Roman"/>
          <w:i/>
          <w:noProof/>
          <w:sz w:val="18"/>
          <w:szCs w:val="18"/>
        </w:rPr>
      </w:pPr>
    </w:p>
    <w:p>
      <w:pPr>
        <w:spacing w:before="360" w:after="240" w:line="240" w:lineRule="auto"/>
        <w:ind w:left="851" w:hanging="851"/>
        <w:jc w:val="both"/>
        <w:rPr>
          <w:rFonts w:ascii="Times New Roman Bold" w:hAnsi="Times New Roman Bold"/>
          <w:b/>
          <w:i/>
          <w:smallCaps/>
          <w:noProof/>
          <w:sz w:val="24"/>
          <w:szCs w:val="24"/>
        </w:rPr>
      </w:pPr>
      <w:r>
        <w:rPr>
          <w:rFonts w:ascii="Times New Roman Bold" w:hAnsi="Times New Roman Bold"/>
          <w:b/>
          <w:i/>
          <w:smallCaps/>
          <w:noProof/>
          <w:sz w:val="24"/>
          <w:szCs w:val="24"/>
        </w:rPr>
        <w:t xml:space="preserve">I. </w:t>
      </w:r>
      <w:r>
        <w:rPr>
          <w:noProof/>
        </w:rPr>
        <w:tab/>
      </w:r>
      <w:r>
        <w:rPr>
          <w:rFonts w:ascii="Times New Roman Bold" w:hAnsi="Times New Roman Bold"/>
          <w:b/>
          <w:i/>
          <w:smallCaps/>
          <w:noProof/>
          <w:sz w:val="24"/>
          <w:szCs w:val="24"/>
        </w:rPr>
        <w:t xml:space="preserve">Bevezetés </w:t>
      </w:r>
    </w:p>
    <w:p>
      <w:pPr>
        <w:spacing w:after="120" w:line="240" w:lineRule="auto"/>
        <w:jc w:val="both"/>
        <w:rPr>
          <w:rFonts w:ascii="Times New Roman" w:hAnsi="Times New Roman" w:cs="Times New Roman"/>
          <w:noProof/>
          <w:sz w:val="24"/>
          <w:szCs w:val="24"/>
        </w:rPr>
      </w:pPr>
      <w:r>
        <w:rPr>
          <w:rFonts w:ascii="Times New Roman" w:hAnsi="Times New Roman"/>
          <w:noProof/>
          <w:sz w:val="24"/>
          <w:szCs w:val="24"/>
        </w:rPr>
        <w:t>Az egyenlőségközpontú Unió építése a Bizottság egyik fő prioritása. Az EU rendelkezik a valódi egyenlőségközpontú Unió kialakításához szükséges jogi eszközökkel és átfogó szakpolitikákkal. Ugyanakkor, amint azt az EU 2020–2025-ös időszakra vonatkozó, rasszizmus elleni cselekvési terve</w:t>
      </w:r>
      <w:r>
        <w:rPr>
          <w:rStyle w:val="FootnoteReference"/>
          <w:rFonts w:ascii="Times New Roman" w:eastAsia="Times New Roman" w:hAnsi="Times New Roman" w:cs="Times New Roman"/>
          <w:noProof/>
          <w:sz w:val="24"/>
          <w:szCs w:val="24"/>
          <w:lang w:eastAsia="en-GB"/>
        </w:rPr>
        <w:footnoteReference w:id="1"/>
      </w:r>
      <w:r>
        <w:rPr>
          <w:rFonts w:ascii="Times New Roman" w:hAnsi="Times New Roman"/>
          <w:noProof/>
          <w:sz w:val="24"/>
          <w:szCs w:val="24"/>
        </w:rPr>
        <w:t xml:space="preserve"> hangsúlyozza, továbbra is tapasztalható faji vagy etnikai származás alapján történő hátrányos megkülönböztetés. Ez különösen igaz a romákra</w:t>
      </w:r>
      <w:r>
        <w:rPr>
          <w:rStyle w:val="FootnoteReference"/>
          <w:rFonts w:ascii="Times New Roman" w:eastAsia="Times New Roman" w:hAnsi="Times New Roman" w:cs="Times New Roman"/>
          <w:noProof/>
          <w:sz w:val="24"/>
          <w:szCs w:val="24"/>
          <w:lang w:eastAsia="en-GB"/>
        </w:rPr>
        <w:footnoteReference w:id="2"/>
      </w:r>
      <w:r>
        <w:rPr>
          <w:rFonts w:ascii="Times New Roman" w:hAnsi="Times New Roman"/>
          <w:noProof/>
          <w:sz w:val="24"/>
          <w:szCs w:val="24"/>
        </w:rPr>
        <w:t>, akik továbbra is gyakran marginalizált helyzetben vannak. A kontinens 10–12 millió főre becsült roma népességéből sokan</w:t>
      </w:r>
      <w:r>
        <w:rPr>
          <w:rFonts w:ascii="Times New Roman" w:eastAsia="Times New Roman" w:hAnsi="Times New Roman" w:cs="Times New Roman"/>
          <w:noProof/>
          <w:sz w:val="24"/>
          <w:szCs w:val="24"/>
          <w:vertAlign w:val="superscript"/>
          <w:lang w:eastAsia="en-GB"/>
        </w:rPr>
        <w:footnoteReference w:id="3"/>
      </w:r>
      <w:r>
        <w:rPr>
          <w:rFonts w:ascii="Times New Roman" w:hAnsi="Times New Roman"/>
          <w:noProof/>
          <w:sz w:val="24"/>
          <w:szCs w:val="24"/>
        </w:rPr>
        <w:t xml:space="preserve"> szenvednek a mindennapokban hátrányos megkülönböztetéstől, cigányellenességtől</w:t>
      </w:r>
      <w:r>
        <w:rPr>
          <w:rStyle w:val="FootnoteReference"/>
          <w:rFonts w:ascii="Times New Roman" w:eastAsia="Times New Roman" w:hAnsi="Times New Roman" w:cs="Times New Roman"/>
          <w:noProof/>
          <w:sz w:val="24"/>
          <w:szCs w:val="24"/>
          <w:lang w:eastAsia="en-GB"/>
        </w:rPr>
        <w:footnoteReference w:id="4"/>
      </w:r>
      <w:r>
        <w:rPr>
          <w:rFonts w:ascii="Times New Roman" w:hAnsi="Times New Roman"/>
          <w:noProof/>
          <w:sz w:val="24"/>
          <w:szCs w:val="24"/>
        </w:rPr>
        <w:t xml:space="preserve"> és társadalmi-gazdasági kirekesztéstől.</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lastRenderedPageBreak/>
        <w:t xml:space="preserve">A Bizottság 2011-ben elfogadta </w:t>
      </w:r>
      <w:r>
        <w:rPr>
          <w:rFonts w:ascii="Times New Roman" w:hAnsi="Times New Roman"/>
          <w:b/>
          <w:noProof/>
          <w:sz w:val="24"/>
          <w:szCs w:val="24"/>
        </w:rPr>
        <w:t>a nemzeti romaintegrációs stratégiák 2020-ig tartó időszakra szóló uniós keretrendszerét</w:t>
      </w:r>
      <w:r>
        <w:rPr>
          <w:rFonts w:ascii="Times New Roman" w:eastAsia="Times New Roman" w:hAnsi="Times New Roman" w:cs="Times New Roman"/>
          <w:noProof/>
          <w:sz w:val="24"/>
          <w:szCs w:val="24"/>
          <w:vertAlign w:val="superscript"/>
          <w:lang w:eastAsia="en-GB"/>
        </w:rPr>
        <w:footnoteReference w:id="5"/>
      </w:r>
      <w:r>
        <w:rPr>
          <w:rFonts w:ascii="Times New Roman" w:hAnsi="Times New Roman"/>
          <w:noProof/>
          <w:sz w:val="24"/>
          <w:szCs w:val="24"/>
        </w:rPr>
        <w:t>. Ez elsősorban a romák unióbeli és bővítési országokbeli társadalmi-gazdasági kirekesztésének kezelését célozza az oktatáshoz, a foglalkoztatáshoz, az egészséghez és a lakhatáshoz való egyenlő hozzáférés előmozdítása révén. Felkérte a tagállamokat, hogy dolgozzanak ki nemzeti romaintegrációs stratégiákat, jelöljenek ki nemzeti roma kapcsolattartó pontokat</w:t>
      </w:r>
      <w:r>
        <w:rPr>
          <w:rStyle w:val="FootnoteReference"/>
          <w:rFonts w:ascii="Times New Roman" w:eastAsia="Times New Roman" w:hAnsi="Times New Roman" w:cs="Times New Roman"/>
          <w:noProof/>
          <w:sz w:val="24"/>
          <w:szCs w:val="24"/>
          <w:lang w:eastAsia="en-GB"/>
        </w:rPr>
        <w:footnoteReference w:id="6"/>
      </w:r>
      <w:r>
        <w:rPr>
          <w:rFonts w:ascii="Times New Roman" w:hAnsi="Times New Roman"/>
          <w:noProof/>
          <w:sz w:val="24"/>
          <w:szCs w:val="24"/>
        </w:rPr>
        <w:t xml:space="preserve"> és határozzanak meg nemzeti szintű célokat. Két évvel később a Tanács a romák integrációját célzó hatékony tagállami intézkedésekről szóló ajánlást fogadott el, amely útmutatást nyújtott a tagállamoknak arra vonatkozóan, hogyan erősítsék meg nemzeti stratégiáik végrehajtását</w:t>
      </w:r>
      <w:r>
        <w:rPr>
          <w:rFonts w:ascii="Times New Roman" w:eastAsia="Times New Roman" w:hAnsi="Times New Roman" w:cs="Times New Roman"/>
          <w:noProof/>
          <w:sz w:val="24"/>
          <w:szCs w:val="24"/>
          <w:vertAlign w:val="superscript"/>
          <w:lang w:eastAsia="en-GB"/>
        </w:rPr>
        <w:footnoteReference w:id="7"/>
      </w:r>
      <w:r>
        <w:rPr>
          <w:rFonts w:ascii="Times New Roman" w:hAnsi="Times New Roman"/>
          <w:noProof/>
          <w:sz w:val="24"/>
          <w:szCs w:val="24"/>
        </w:rPr>
        <w:t>. A nyugat-balkáni régió önkéntesen vállalta, hogy megfelel a 2020-ig tartó időszakra szóló nemzeti romaintegrációs stratégiák uniós keretrendszerének.</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Ez a két eszköz fontos volt</w:t>
      </w:r>
      <w:r>
        <w:rPr>
          <w:rFonts w:ascii="Times New Roman" w:eastAsia="Times New Roman" w:hAnsi="Times New Roman" w:cs="Times New Roman"/>
          <w:noProof/>
          <w:sz w:val="24"/>
          <w:szCs w:val="24"/>
          <w:vertAlign w:val="superscript"/>
          <w:lang w:eastAsia="en-GB"/>
        </w:rPr>
        <w:footnoteReference w:id="8"/>
      </w:r>
      <w:r>
        <w:rPr>
          <w:rFonts w:ascii="Times New Roman" w:hAnsi="Times New Roman"/>
          <w:noProof/>
          <w:sz w:val="24"/>
          <w:szCs w:val="24"/>
        </w:rPr>
        <w:t xml:space="preserve"> a tekintetben, hogy kiemelt helyet biztosított a romák társadalmi befogadásának az uniós és nemzeti programokban, valamint mobilizálta az uniós szakpolitikai, jogi és finanszírozási eszközöket. Azonban </w:t>
      </w:r>
      <w:r>
        <w:rPr>
          <w:rFonts w:ascii="Times New Roman" w:hAnsi="Times New Roman"/>
          <w:b/>
          <w:noProof/>
          <w:sz w:val="24"/>
          <w:szCs w:val="24"/>
        </w:rPr>
        <w:t>a roma integráció terén elért haladás az elmúlt 10 évben korlátozott volt</w:t>
      </w:r>
      <w:r>
        <w:rPr>
          <w:rFonts w:ascii="Times New Roman" w:hAnsi="Times New Roman"/>
          <w:noProof/>
          <w:sz w:val="24"/>
          <w:szCs w:val="24"/>
        </w:rPr>
        <w:t>, még akkor is, ha jelentős különbségek vannak a szakpolitikai területek és az országok között</w:t>
      </w:r>
      <w:r>
        <w:rPr>
          <w:rFonts w:ascii="Times New Roman" w:eastAsia="Times New Roman" w:hAnsi="Times New Roman" w:cs="Times New Roman"/>
          <w:noProof/>
          <w:sz w:val="24"/>
          <w:szCs w:val="24"/>
          <w:vertAlign w:val="superscript"/>
          <w:lang w:eastAsia="en-GB"/>
        </w:rPr>
        <w:footnoteReference w:id="9"/>
      </w:r>
      <w:r>
        <w:rPr>
          <w:rFonts w:ascii="Times New Roman" w:hAnsi="Times New Roman"/>
          <w:noProof/>
          <w:sz w:val="24"/>
          <w:szCs w:val="24"/>
        </w:rPr>
        <w:t>. A legjelentősebb haladást az oktatás terén sikerült elérni, különösen a korai iskolaelhagyás csökkentésének, valamint a kisgyermekkori nevelésben és gondozásban és a kötelező nevelés-oktatásban való részvétel növelésének köszönhetően. Ugyanakkor nőtt a roma tanulók oktatási szegregációjával kapcsolatos esetek száma</w:t>
      </w:r>
      <w:r>
        <w:rPr>
          <w:rStyle w:val="FootnoteReference"/>
          <w:rFonts w:ascii="Times New Roman" w:eastAsia="Times New Roman" w:hAnsi="Times New Roman" w:cs="Times New Roman"/>
          <w:noProof/>
          <w:sz w:val="24"/>
          <w:szCs w:val="24"/>
          <w:lang w:eastAsia="en-GB"/>
        </w:rPr>
        <w:footnoteReference w:id="10"/>
      </w:r>
      <w:r>
        <w:rPr>
          <w:rFonts w:ascii="Times New Roman" w:hAnsi="Times New Roman"/>
          <w:noProof/>
          <w:sz w:val="24"/>
          <w:szCs w:val="24"/>
        </w:rPr>
        <w:t>. A romák szegénység kockázatának való kitettsége és saját megítélésük szerinti egészségi állapota javult, de orvosi ellátásuk továbbra is korlátozott. A munkaerőpiacra való belépés nem javult, és a nem foglalkoztatott, oktatásban és képzésben nem részesülő fiatal romák aránya még nőtt is. A lakhatási helyzet továbbra is nehéz, különösen a nem megfelelő és szegregált lakhatás miatt. Úgy tűnik, hogy némileg csökkent a romák hátrányos megkülönböztetéssel kapcsolatos tapasztalatainak száma, és javult a romák általános népesség általi elfogadottsága. Azonban a cigányellenesség, a gyűlölet-bűncselekmények, a romákat, különösen a nőket és gyermekeket érintő emberkereskedelem továbbra is komoly aggodalomra ad okot</w:t>
      </w:r>
      <w:r>
        <w:rPr>
          <w:rFonts w:ascii="Times New Roman" w:eastAsia="Times New Roman" w:hAnsi="Times New Roman" w:cs="Times New Roman"/>
          <w:noProof/>
          <w:sz w:val="24"/>
          <w:szCs w:val="24"/>
          <w:vertAlign w:val="superscript"/>
          <w:lang w:eastAsia="en-GB"/>
        </w:rPr>
        <w:footnoteReference w:id="11"/>
      </w:r>
      <w:r>
        <w:rPr>
          <w:rFonts w:ascii="Times New Roman" w:hAnsi="Times New Roman"/>
          <w:noProof/>
          <w:sz w:val="24"/>
          <w:szCs w:val="24"/>
        </w:rPr>
        <w:t xml:space="preserve">. </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A nemzeti romaintegrációs stratégiák uniós keretrendszerének következtetései lehetőséget nyújtanak e tartós hiányosság kezelésére irányuló fellépések megerősítésére. Ez annál is inkább fontos, hogy a Covid19-világjárvány rávilágított arra, hogy a </w:t>
      </w:r>
      <w:r>
        <w:rPr>
          <w:rFonts w:ascii="Times New Roman" w:hAnsi="Times New Roman"/>
          <w:b/>
          <w:noProof/>
          <w:sz w:val="24"/>
          <w:szCs w:val="24"/>
        </w:rPr>
        <w:t>kirekesztett és marginalizált roma közösségek rendkívüli kitettek a negatív egészségügyi és társadalmi-gazdasági hatásoknak</w:t>
      </w:r>
      <w:r>
        <w:rPr>
          <w:rFonts w:ascii="Times New Roman" w:hAnsi="Times New Roman"/>
          <w:noProof/>
          <w:sz w:val="24"/>
          <w:szCs w:val="24"/>
        </w:rPr>
        <w:t>.</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Ez a közlemény a nagyobb és gyorsabb előrehaladás érdekében új uniós romastratégiai keretet határoz meg, és előremozdítja az </w:t>
      </w:r>
      <w:r>
        <w:rPr>
          <w:rFonts w:ascii="Times New Roman" w:hAnsi="Times New Roman"/>
          <w:b/>
          <w:noProof/>
          <w:sz w:val="24"/>
          <w:szCs w:val="24"/>
        </w:rPr>
        <w:t>egyenlőséget</w:t>
      </w:r>
      <w:r>
        <w:rPr>
          <w:rFonts w:ascii="Times New Roman" w:hAnsi="Times New Roman"/>
          <w:noProof/>
          <w:sz w:val="24"/>
          <w:szCs w:val="24"/>
        </w:rPr>
        <w:t xml:space="preserve">, a társadalmi-gazdasági </w:t>
      </w:r>
      <w:r>
        <w:rPr>
          <w:rFonts w:ascii="Times New Roman" w:hAnsi="Times New Roman"/>
          <w:b/>
          <w:noProof/>
          <w:sz w:val="24"/>
          <w:szCs w:val="24"/>
        </w:rPr>
        <w:t>befogadást</w:t>
      </w:r>
      <w:r>
        <w:rPr>
          <w:rFonts w:ascii="Times New Roman" w:hAnsi="Times New Roman"/>
          <w:noProof/>
          <w:sz w:val="24"/>
          <w:szCs w:val="24"/>
        </w:rPr>
        <w:t xml:space="preserve"> és a romák hathatós </w:t>
      </w:r>
      <w:r>
        <w:rPr>
          <w:rFonts w:ascii="Times New Roman" w:hAnsi="Times New Roman"/>
          <w:b/>
          <w:noProof/>
          <w:sz w:val="24"/>
          <w:szCs w:val="24"/>
        </w:rPr>
        <w:t>részvételét</w:t>
      </w:r>
      <w:r>
        <w:rPr>
          <w:rFonts w:ascii="Times New Roman" w:hAnsi="Times New Roman"/>
          <w:noProof/>
          <w:sz w:val="24"/>
          <w:szCs w:val="24"/>
        </w:rPr>
        <w:t>. Miközben a tagállamok a frontvonalon küzdenek azért, hogy valódi változást érjenek el a romák helyzetében, ami erőteljesebb politikai elkötelezettséget követel meg, az EU abban segítheti őket, hogy hatékony megközelítést dolgozzanak ki, és biztosíthatja számukra a megfelelő eszközöket. Ez a stratégiai keretrendszer az előző keretrendszer értékelésének megállapításaiból, a széles körű konzultációkból</w:t>
      </w:r>
      <w:r>
        <w:rPr>
          <w:rFonts w:ascii="Times New Roman" w:eastAsia="Times New Roman" w:hAnsi="Times New Roman" w:cs="Times New Roman"/>
          <w:noProof/>
          <w:sz w:val="24"/>
          <w:szCs w:val="24"/>
          <w:vertAlign w:val="superscript"/>
          <w:lang w:eastAsia="en-GB"/>
        </w:rPr>
        <w:footnoteReference w:id="12"/>
      </w:r>
      <w:r>
        <w:rPr>
          <w:rFonts w:ascii="Times New Roman" w:hAnsi="Times New Roman"/>
          <w:noProof/>
          <w:sz w:val="24"/>
          <w:szCs w:val="24"/>
        </w:rPr>
        <w:t>, a nemzeti stratégiák végrehajtásának éves értékeléseiből</w:t>
      </w:r>
      <w:r>
        <w:rPr>
          <w:rFonts w:ascii="Times New Roman" w:eastAsia="Times New Roman" w:hAnsi="Times New Roman" w:cs="Times New Roman"/>
          <w:noProof/>
          <w:sz w:val="24"/>
          <w:szCs w:val="24"/>
          <w:vertAlign w:val="superscript"/>
          <w:lang w:eastAsia="en-GB"/>
        </w:rPr>
        <w:footnoteReference w:id="13"/>
      </w:r>
      <w:r>
        <w:rPr>
          <w:rFonts w:ascii="Times New Roman" w:hAnsi="Times New Roman"/>
          <w:noProof/>
          <w:sz w:val="24"/>
          <w:szCs w:val="24"/>
        </w:rPr>
        <w:t>, valamint a korábbi intézkedések korlátozott hatékonysága okainak elemzéséből</w:t>
      </w:r>
      <w:r>
        <w:rPr>
          <w:rFonts w:ascii="Times New Roman" w:eastAsia="Times New Roman" w:hAnsi="Times New Roman" w:cs="Times New Roman"/>
          <w:noProof/>
          <w:sz w:val="24"/>
          <w:szCs w:val="24"/>
          <w:vertAlign w:val="superscript"/>
          <w:lang w:eastAsia="en-GB"/>
        </w:rPr>
        <w:footnoteReference w:id="14"/>
      </w:r>
      <w:r>
        <w:rPr>
          <w:rFonts w:ascii="Times New Roman" w:hAnsi="Times New Roman"/>
          <w:noProof/>
          <w:sz w:val="24"/>
          <w:szCs w:val="24"/>
        </w:rPr>
        <w:t xml:space="preserve"> merít. Választ ad az Európai Parlament, a Tanács és a civil társadalom megerősített, 2020 utáni időszakra vonatkozó uniós kezdeményezésekre</w:t>
      </w:r>
      <w:r>
        <w:rPr>
          <w:rFonts w:ascii="Times New Roman" w:eastAsia="Times New Roman" w:hAnsi="Times New Roman" w:cs="Times New Roman"/>
          <w:noProof/>
          <w:sz w:val="24"/>
          <w:szCs w:val="24"/>
          <w:vertAlign w:val="superscript"/>
          <w:lang w:eastAsia="en-GB"/>
        </w:rPr>
        <w:footnoteReference w:id="15"/>
      </w:r>
      <w:r>
        <w:rPr>
          <w:rFonts w:ascii="Times New Roman" w:hAnsi="Times New Roman"/>
          <w:noProof/>
          <w:sz w:val="24"/>
          <w:szCs w:val="24"/>
        </w:rPr>
        <w:t xml:space="preserve"> irányuló felhívásaira. Felismeri, hogy nem minden romát érint a társadalmi kirekesztés, de valamennyien szenvedhetnek a hátrányos megkülönböztetéstől és a társadalmi szerepvállalás lehetőségének hiányától. Interszekcionális megközelítést alkalmaz, amely érzékeny az etnikai származásnak az identitás más aspektusaival való kombinációjára és azokra a módokra, amelyeken e metszéspontok hozzájárulnak a hátrányos megkülönböztetés egyedi tapasztalataihoz</w:t>
      </w:r>
      <w:r>
        <w:rPr>
          <w:rStyle w:val="FootnoteReference"/>
          <w:rFonts w:ascii="Times New Roman" w:eastAsia="Times New Roman" w:hAnsi="Times New Roman" w:cs="Times New Roman"/>
          <w:noProof/>
          <w:sz w:val="24"/>
          <w:szCs w:val="24"/>
          <w:lang w:eastAsia="en-GB"/>
        </w:rPr>
        <w:footnoteReference w:id="16"/>
      </w:r>
      <w:r>
        <w:rPr>
          <w:rFonts w:ascii="Times New Roman" w:hAnsi="Times New Roman"/>
          <w:noProof/>
          <w:sz w:val="24"/>
          <w:szCs w:val="24"/>
        </w:rPr>
        <w:t xml:space="preserve">. </w:t>
      </w:r>
    </w:p>
    <w:p>
      <w:pPr>
        <w:spacing w:after="120" w:line="240" w:lineRule="auto"/>
        <w:jc w:val="both"/>
        <w:rPr>
          <w:rFonts w:ascii="Times New Roman" w:hAnsi="Times New Roman"/>
          <w:noProof/>
          <w:sz w:val="24"/>
          <w:szCs w:val="24"/>
        </w:rPr>
      </w:pPr>
      <w:r>
        <w:rPr>
          <w:rFonts w:ascii="Times New Roman" w:hAnsi="Times New Roman"/>
          <w:noProof/>
          <w:sz w:val="24"/>
          <w:szCs w:val="24"/>
        </w:rPr>
        <w:t>Ez az uniós romastratégiai keret több más kezdeményezéshez is hozzájárul. Közvetlenül hozzájárul a rasszizmus elleni uniós cselekvési tervhez, a szociális jogok európai pilléréhez</w:t>
      </w:r>
      <w:r>
        <w:rPr>
          <w:rStyle w:val="FootnoteReference"/>
          <w:rFonts w:ascii="Times New Roman" w:hAnsi="Times New Roman" w:cs="Times New Roman"/>
          <w:noProof/>
          <w:sz w:val="24"/>
          <w:szCs w:val="24"/>
        </w:rPr>
        <w:footnoteReference w:id="17"/>
      </w:r>
      <w:r>
        <w:rPr>
          <w:rFonts w:ascii="Times New Roman" w:hAnsi="Times New Roman"/>
          <w:noProof/>
          <w:sz w:val="24"/>
          <w:szCs w:val="24"/>
        </w:rPr>
        <w:t>, valamint az ENSZ 2030-ig tartó időszakra szóló menetrendjéhez és a fenntartható fejlődési célokhoz</w:t>
      </w:r>
      <w:r>
        <w:rPr>
          <w:rStyle w:val="FootnoteReference"/>
          <w:rFonts w:ascii="Times New Roman" w:hAnsi="Times New Roman" w:cs="Times New Roman"/>
          <w:noProof/>
          <w:sz w:val="24"/>
          <w:szCs w:val="24"/>
        </w:rPr>
        <w:footnoteReference w:id="18"/>
      </w:r>
      <w:r>
        <w:rPr>
          <w:rFonts w:ascii="Times New Roman" w:hAnsi="Times New Roman"/>
          <w:noProof/>
          <w:sz w:val="24"/>
          <w:szCs w:val="24"/>
        </w:rPr>
        <w:t>.</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 méltányosság és a befogadás megvalósítása az erőforrások nagyobb mértékű felhasználását és jobb elosztását, valamint a roma közösségek, valamennyi kormányzati szint, ágazat és érdekelt fél (nemzeti kormányok, uniós intézmények, nemzetközi szervezetek, civil társadalom, valamint az ipar és a tudományos élet) </w:t>
      </w:r>
      <w:r>
        <w:rPr>
          <w:rFonts w:ascii="Times New Roman" w:hAnsi="Times New Roman"/>
          <w:b/>
          <w:noProof/>
          <w:sz w:val="24"/>
          <w:szCs w:val="24"/>
        </w:rPr>
        <w:t>bevonását és partnerségét</w:t>
      </w:r>
      <w:r>
        <w:rPr>
          <w:rFonts w:ascii="Times New Roman" w:hAnsi="Times New Roman"/>
          <w:noProof/>
          <w:sz w:val="24"/>
          <w:szCs w:val="24"/>
        </w:rPr>
        <w:t xml:space="preserve"> követeli meg. Különösen fontos az európai és a nemzeti szint közötti szoros együttműködés. Uniós szinten ez a stratégiai keret ambiciózus közös célkitűzéseket és célokat határoz meg. Nemzeti szinten a kormányoknak erős romastratégiai kereteket kell kidolgozniuk, hosszú távú kötelezettségvállalásokat kell tenniük, és szorosan együtt kell dolgozniuk az uniós intézményekkel a romák egyenlősége, társadalmi befogadása és részvétele terén. A 2016-os tanácsi következtetésekben</w:t>
      </w:r>
      <w:r>
        <w:rPr>
          <w:rStyle w:val="FootnoteReference"/>
          <w:rFonts w:ascii="Times New Roman" w:hAnsi="Times New Roman"/>
          <w:noProof/>
          <w:sz w:val="24"/>
          <w:szCs w:val="24"/>
        </w:rPr>
        <w:footnoteReference w:id="19"/>
      </w:r>
      <w:r>
        <w:rPr>
          <w:rFonts w:ascii="Times New Roman" w:hAnsi="Times New Roman"/>
          <w:noProof/>
          <w:sz w:val="24"/>
          <w:szCs w:val="24"/>
        </w:rPr>
        <w:t xml:space="preserve"> javasoltaknak megfelelően a Bizottság a </w:t>
      </w:r>
      <w:r>
        <w:rPr>
          <w:rFonts w:ascii="Times New Roman" w:hAnsi="Times New Roman"/>
          <w:b/>
          <w:noProof/>
          <w:sz w:val="24"/>
          <w:szCs w:val="24"/>
        </w:rPr>
        <w:t>2013-as tanácsi ajánlás felülvizsgálatát és felváltását célzó javaslatot</w:t>
      </w:r>
      <w:r>
        <w:rPr>
          <w:rFonts w:ascii="Times New Roman" w:hAnsi="Times New Roman"/>
          <w:noProof/>
          <w:sz w:val="24"/>
          <w:szCs w:val="24"/>
        </w:rPr>
        <w:t xml:space="preserve"> fogad el.</w:t>
      </w:r>
    </w:p>
    <w:p>
      <w:pPr>
        <w:spacing w:before="360" w:after="240" w:line="240" w:lineRule="auto"/>
        <w:jc w:val="both"/>
        <w:rPr>
          <w:rFonts w:ascii="Times New Roman Bold" w:hAnsi="Times New Roman Bold"/>
          <w:b/>
          <w:i/>
          <w:smallCaps/>
          <w:noProof/>
          <w:sz w:val="24"/>
          <w:szCs w:val="24"/>
        </w:rPr>
      </w:pPr>
      <w:r>
        <w:rPr>
          <w:rFonts w:ascii="Times New Roman Bold" w:hAnsi="Times New Roman Bold"/>
          <w:b/>
          <w:i/>
          <w:smallCaps/>
          <w:noProof/>
          <w:sz w:val="24"/>
          <w:szCs w:val="24"/>
        </w:rPr>
        <w:t xml:space="preserve">II. </w:t>
      </w:r>
      <w:r>
        <w:rPr>
          <w:noProof/>
        </w:rPr>
        <w:tab/>
      </w:r>
      <w:r>
        <w:rPr>
          <w:rFonts w:ascii="Times New Roman Bold" w:hAnsi="Times New Roman Bold"/>
          <w:b/>
          <w:i/>
          <w:smallCaps/>
          <w:noProof/>
          <w:sz w:val="24"/>
          <w:szCs w:val="24"/>
        </w:rPr>
        <w:t xml:space="preserve">A romák egyenlőségének, társadalmi befogadásának és részvételének előmozdítását célzó közös célkitűzések </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A jelenlegi keretrendszer értékelése, valamint az abból az Európai Parlament, a Tanács, továbbá több európai és nemzeti civil szervezet által levont következtetések</w:t>
      </w:r>
      <w:r>
        <w:rPr>
          <w:rFonts w:ascii="Times New Roman" w:eastAsia="Times New Roman" w:hAnsi="Times New Roman" w:cs="Times New Roman"/>
          <w:noProof/>
          <w:sz w:val="24"/>
          <w:szCs w:val="24"/>
          <w:vertAlign w:val="superscript"/>
        </w:rPr>
        <w:footnoteReference w:id="20"/>
      </w:r>
      <w:r>
        <w:rPr>
          <w:rFonts w:ascii="Times New Roman" w:hAnsi="Times New Roman"/>
          <w:noProof/>
          <w:sz w:val="24"/>
          <w:szCs w:val="24"/>
        </w:rPr>
        <w:t xml:space="preserve"> </w:t>
      </w:r>
      <w:r>
        <w:rPr>
          <w:rFonts w:ascii="Times New Roman" w:hAnsi="Times New Roman"/>
          <w:b/>
          <w:noProof/>
          <w:sz w:val="24"/>
          <w:szCs w:val="24"/>
        </w:rPr>
        <w:t>rámutattak a romák egyenlőségének, társadalmi befogadásának és részvételének előmozdítását célzó kötelezettségvállalás</w:t>
      </w:r>
      <w:r>
        <w:rPr>
          <w:rFonts w:ascii="Times New Roman" w:hAnsi="Times New Roman"/>
          <w:noProof/>
          <w:sz w:val="24"/>
          <w:szCs w:val="24"/>
        </w:rPr>
        <w:t xml:space="preserve"> mind uniós, mind nemzeti szintű </w:t>
      </w:r>
      <w:r>
        <w:rPr>
          <w:rFonts w:ascii="Times New Roman" w:hAnsi="Times New Roman"/>
          <w:b/>
          <w:noProof/>
          <w:sz w:val="24"/>
          <w:szCs w:val="24"/>
        </w:rPr>
        <w:t xml:space="preserve">megújításának és megerősítésének szükségességére. </w:t>
      </w:r>
      <w:r>
        <w:rPr>
          <w:rFonts w:ascii="Times New Roman" w:hAnsi="Times New Roman"/>
          <w:noProof/>
          <w:sz w:val="24"/>
          <w:szCs w:val="24"/>
        </w:rPr>
        <w:t>Megerősített kötelezettségvállalás szükséges a hátrányos megkülönböztetés – ezen belül a cigányellenesség – leküzdése, valamint a romák oktatás, foglalkoztatás, egészségügy és lakhatás terén megvalósuló befogadásának javítása érdekében</w:t>
      </w:r>
      <w:r>
        <w:rPr>
          <w:rFonts w:ascii="Times New Roman" w:eastAsia="Times New Roman" w:hAnsi="Times New Roman" w:cs="Times New Roman"/>
          <w:noProof/>
          <w:sz w:val="24"/>
          <w:szCs w:val="24"/>
          <w:vertAlign w:val="superscript"/>
        </w:rPr>
        <w:footnoteReference w:id="21"/>
      </w:r>
      <w:r>
        <w:rPr>
          <w:rFonts w:ascii="Times New Roman" w:hAnsi="Times New Roman"/>
          <w:noProof/>
          <w:sz w:val="24"/>
          <w:szCs w:val="24"/>
        </w:rPr>
        <w:t xml:space="preserve">. A romákat be kell vonni, az intézkedések tervezésétől azok végrehajtásáig. A fellépésnek egyúttal el kell ismernie a roma népességet alkotó egyes csoportok sokféleségét és azt, hogy szükségleteik sem azonosak. </w:t>
      </w:r>
    </w:p>
    <w:p>
      <w:pPr>
        <w:spacing w:after="0" w:line="240" w:lineRule="auto"/>
        <w:jc w:val="both"/>
        <w:rPr>
          <w:rStyle w:val="CommentReference"/>
          <w:noProof/>
        </w:rPr>
      </w:pPr>
      <w:r>
        <w:rPr>
          <w:rFonts w:ascii="Times New Roman" w:hAnsi="Times New Roman"/>
          <w:noProof/>
          <w:sz w:val="24"/>
          <w:szCs w:val="24"/>
        </w:rPr>
        <w:t xml:space="preserve">Ezért a Bizottság </w:t>
      </w:r>
      <w:r>
        <w:rPr>
          <w:rFonts w:ascii="Times New Roman" w:hAnsi="Times New Roman"/>
          <w:b/>
          <w:noProof/>
          <w:sz w:val="24"/>
          <w:szCs w:val="24"/>
        </w:rPr>
        <w:t>hét célkitűzést</w:t>
      </w:r>
      <w:r>
        <w:rPr>
          <w:rFonts w:ascii="Times New Roman" w:hAnsi="Times New Roman"/>
          <w:noProof/>
          <w:sz w:val="24"/>
          <w:szCs w:val="24"/>
        </w:rPr>
        <w:t xml:space="preserve"> határoz meg uniós szinten a 2030-ig terjedő időszakra. Közülük három célkitűzés horizontális az egyenlőség, a társadalmi befogadás és a részvétel terén. A többi négy célkitűzés ágazati jellegű, és az oktatás, a foglalkoztatás, a lakhatás és az egészségügy területét érinti. E célkitűzések hatékony megvalósítása érdekében biztosítani kell, hogy haladás mérhető legyen. Ezért, és most először, a Bizottság </w:t>
      </w:r>
      <w:r>
        <w:rPr>
          <w:rFonts w:ascii="Times New Roman" w:hAnsi="Times New Roman"/>
          <w:b/>
          <w:noProof/>
          <w:sz w:val="24"/>
          <w:szCs w:val="24"/>
        </w:rPr>
        <w:t>kiemelt</w:t>
      </w:r>
      <w:r>
        <w:rPr>
          <w:rFonts w:ascii="Times New Roman" w:hAnsi="Times New Roman"/>
          <w:noProof/>
          <w:sz w:val="24"/>
          <w:szCs w:val="24"/>
        </w:rPr>
        <w:t xml:space="preserve"> mennyiségi uniós </w:t>
      </w:r>
      <w:r>
        <w:rPr>
          <w:rFonts w:ascii="Times New Roman" w:hAnsi="Times New Roman"/>
          <w:b/>
          <w:noProof/>
          <w:sz w:val="24"/>
          <w:szCs w:val="24"/>
        </w:rPr>
        <w:t>célokat</w:t>
      </w:r>
      <w:r>
        <w:rPr>
          <w:rFonts w:ascii="Times New Roman" w:hAnsi="Times New Roman"/>
          <w:noProof/>
          <w:sz w:val="24"/>
          <w:szCs w:val="24"/>
        </w:rPr>
        <w:t xml:space="preserve"> javasol e célkitűzések elérésének nyomon követésére. Bár ezek a célok 2030-ra minimálisan elérendő előrehaladást határozzák meg, </w:t>
      </w:r>
      <w:r>
        <w:rPr>
          <w:rFonts w:ascii="Times New Roman" w:hAnsi="Times New Roman"/>
          <w:b/>
          <w:noProof/>
          <w:sz w:val="24"/>
          <w:szCs w:val="24"/>
        </w:rPr>
        <w:t>a hosszú távú cél továbbra is a tényleges egyenlőség biztosítása, valamint a romák és az általános népesség közötti különbségek megszüntetése marad.</w:t>
      </w:r>
      <w:r>
        <w:rPr>
          <w:rFonts w:ascii="Times New Roman" w:hAnsi="Times New Roman"/>
          <w:noProof/>
          <w:sz w:val="24"/>
          <w:szCs w:val="24"/>
        </w:rPr>
        <w:t xml:space="preserve"> Ezek a célok a roma közösségekben végzett felmérések tapasztalatainak gyümölcsei, és egy, az Európai Unió Alapjogi Ügynökségét (FRA), a tagállamokat, valamint a roma és a romákat támogató civil szervezeteket bevonó, részletes konzultációból erednek</w:t>
      </w:r>
      <w:r>
        <w:rPr>
          <w:rStyle w:val="FootnoteReference"/>
          <w:rFonts w:ascii="Times New Roman" w:eastAsia="Times New Roman" w:hAnsi="Times New Roman" w:cs="Times New Roman"/>
          <w:noProof/>
          <w:sz w:val="24"/>
          <w:szCs w:val="24"/>
        </w:rPr>
        <w:footnoteReference w:id="22"/>
      </w:r>
      <w:r>
        <w:rPr>
          <w:rFonts w:ascii="Times New Roman" w:hAnsi="Times New Roman"/>
          <w:noProof/>
          <w:sz w:val="24"/>
          <w:szCs w:val="24"/>
        </w:rPr>
        <w:t>. Az alábbi ábrák a hét célkitűzést, az uniós szintű célértékeket, az elérendő haladást és a jelenlegi helyzetet mutatják be</w:t>
      </w:r>
      <w:r>
        <w:rPr>
          <w:rStyle w:val="FootnoteReference"/>
          <w:rFonts w:ascii="Times New Roman" w:hAnsi="Times New Roman"/>
          <w:b/>
          <w:i/>
          <w:noProof/>
          <w:sz w:val="21"/>
          <w:szCs w:val="21"/>
        </w:rPr>
        <w:footnoteReference w:id="23"/>
      </w:r>
      <w:r>
        <w:rPr>
          <w:noProof/>
        </w:rPr>
        <w:t xml:space="preserve">. </w:t>
      </w:r>
    </w:p>
    <w:p>
      <w:pPr>
        <w:spacing w:after="0" w:line="240" w:lineRule="auto"/>
        <w:jc w:val="both"/>
        <w:rPr>
          <w:rStyle w:val="CommentReference"/>
          <w:noProof/>
        </w:rPr>
      </w:pPr>
      <w:r>
        <w:rPr>
          <w:rFonts w:ascii="Times New Roman" w:hAnsi="Times New Roman"/>
          <w:noProof/>
          <w:sz w:val="24"/>
          <w:szCs w:val="24"/>
          <w:lang w:val="en-GB" w:eastAsia="en-GB"/>
        </w:rPr>
        <mc:AlternateContent>
          <mc:Choice Requires="wpg">
            <w:drawing>
              <wp:anchor distT="0" distB="0" distL="114300" distR="114300" simplePos="0" relativeHeight="252191232" behindDoc="0" locked="0" layoutInCell="1" allowOverlap="1">
                <wp:simplePos x="0" y="0"/>
                <wp:positionH relativeFrom="margin">
                  <wp:posOffset>51435</wp:posOffset>
                </wp:positionH>
                <wp:positionV relativeFrom="paragraph">
                  <wp:posOffset>-422910</wp:posOffset>
                </wp:positionV>
                <wp:extent cx="5996305" cy="8962390"/>
                <wp:effectExtent l="0" t="0" r="23495" b="10160"/>
                <wp:wrapTopAndBottom/>
                <wp:docPr id="1" name="Group 1"/>
                <wp:cNvGraphicFramePr/>
                <a:graphic xmlns:a="http://schemas.openxmlformats.org/drawingml/2006/main">
                  <a:graphicData uri="http://schemas.microsoft.com/office/word/2010/wordprocessingGroup">
                    <wpg:wgp>
                      <wpg:cNvGrpSpPr/>
                      <wpg:grpSpPr>
                        <a:xfrm>
                          <a:off x="0" y="0"/>
                          <a:ext cx="5996305" cy="8962390"/>
                          <a:chOff x="72472" y="96030"/>
                          <a:chExt cx="4571466" cy="5767199"/>
                        </a:xfrm>
                      </wpg:grpSpPr>
                      <wps:wsp>
                        <wps:cNvPr id="3" name="Téglalap 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B06E6CC-9EE4-499F-880E-972D98319E10}"/>
                            </a:ext>
                          </a:extLst>
                        </wps:cNvPr>
                        <wps:cNvSpPr/>
                        <wps:spPr>
                          <a:xfrm>
                            <a:off x="164161" y="96030"/>
                            <a:ext cx="4465630" cy="814042"/>
                          </a:xfrm>
                          <a:prstGeom prst="rect">
                            <a:avLst/>
                          </a:prstGeom>
                        </wps:spPr>
                        <wps:txbx>
                          <w:txbxContent>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Tényleges egyenlőség, társadalmi befogadás és részvétel biztosítása</w:t>
                              </w:r>
                            </w:p>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Horizontális célkitűzések és célok 2030-ig</w:t>
                              </w:r>
                            </w:p>
                            <w:p>
                              <w:pPr>
                                <w:pStyle w:val="NormalWeb"/>
                                <w:spacing w:before="0" w:beforeAutospacing="0" w:after="0" w:afterAutospacing="0"/>
                                <w:jc w:val="center"/>
                                <w:rPr>
                                  <w:color w:val="FF0000"/>
                                  <w:sz w:val="16"/>
                                  <w:szCs w:val="18"/>
                                </w:rPr>
                              </w:pPr>
                              <w:r>
                                <w:rPr>
                                  <w:rFonts w:asciiTheme="minorHAnsi" w:hAnsi="Calibri"/>
                                  <w:bCs/>
                                  <w:color w:val="FF0000"/>
                                  <w:sz w:val="16"/>
                                  <w:szCs w:val="18"/>
                                </w:rPr>
                                <w:t>Vörös: 2030-ig minimálisan elérendő, haladásra vonatkozó uniós szintű cél</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bCs/>
                                  <w:color w:val="00B050"/>
                                  <w:sz w:val="16"/>
                                  <w:szCs w:val="19"/>
                                </w:rPr>
                                <w:t>Zöld:</w:t>
                              </w:r>
                              <w:r>
                                <w:rPr>
                                  <w:sz w:val="20"/>
                                </w:rPr>
                                <w:t xml:space="preserve"> </w:t>
                              </w:r>
                              <w:r>
                                <w:rPr>
                                  <w:rFonts w:asciiTheme="minorHAnsi" w:hAnsi="Calibri"/>
                                  <w:bCs/>
                                  <w:color w:val="00B050"/>
                                  <w:sz w:val="16"/>
                                  <w:szCs w:val="19"/>
                                </w:rPr>
                                <w:t>2030-ra a romák tekintetében elérendő, minimális haladás</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i/>
                                  <w:iCs/>
                                  <w:color w:val="4F81BD" w:themeColor="accent1"/>
                                  <w:sz w:val="16"/>
                                  <w:szCs w:val="18"/>
                                </w:rPr>
                                <w:t>Kék: Rendelkezésre álló legfrissebb adat, amely alapján a haladás mérhető</w:t>
                              </w:r>
                            </w:p>
                            <w:p>
                              <w:pPr>
                                <w:pStyle w:val="NormalWeb"/>
                                <w:spacing w:before="0" w:beforeAutospacing="0" w:after="0" w:afterAutospacing="0"/>
                                <w:rPr>
                                  <w:rFonts w:eastAsia="Calibri" w:cstheme="minorBidi"/>
                                  <w:b/>
                                  <w:bCs/>
                                  <w:smallCaps/>
                                  <w:color w:val="4F81BD" w:themeColor="accent1"/>
                                  <w:kern w:val="24"/>
                                  <w:szCs w:val="28"/>
                                </w:rPr>
                              </w:pPr>
                            </w:p>
                          </w:txbxContent>
                        </wps:txbx>
                        <wps:bodyPr wrap="square">
                          <a:noAutofit/>
                        </wps:bodyPr>
                      </wps:wsp>
                      <wps:wsp>
                        <wps:cNvPr id="6" name="Téglalap: lekerekített 7">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6EA7608-54D3-4E22-939F-C927A8825621}"/>
                            </a:ext>
                          </a:extLst>
                        </wps:cNvPr>
                        <wps:cNvSpPr/>
                        <wps:spPr>
                          <a:xfrm>
                            <a:off x="89084" y="626052"/>
                            <a:ext cx="4530225" cy="1457205"/>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pPr>
                              <w:r>
                                <w:rPr>
                                  <w:rFonts w:asciiTheme="minorHAnsi" w:hAnsi="Calibri"/>
                                  <w:b/>
                                  <w:bCs/>
                                  <w:i/>
                                  <w:iCs/>
                                  <w:color w:val="4F81BD" w:themeColor="accent1"/>
                                </w:rPr>
                                <w:t>1.  A cigányellenesség és hátrányos megkülönböztetés elleni küzdelem és megelőzésük</w:t>
                              </w:r>
                            </w:p>
                          </w:txbxContent>
                        </wps:txbx>
                        <wps:bodyPr wrap="square" tIns="0" bIns="36000" rtlCol="0" anchor="t" anchorCtr="0">
                          <a:noAutofit/>
                        </wps:bodyPr>
                      </wps:wsp>
                      <wps:wsp>
                        <wps:cNvPr id="7" name="Téglalap: lekerekített 9">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0E2ECE6-A4E1-43FB-BE27-BE345B4E5FBC}"/>
                            </a:ext>
                          </a:extLst>
                        </wps:cNvPr>
                        <wps:cNvSpPr/>
                        <wps:spPr>
                          <a:xfrm>
                            <a:off x="112224" y="910072"/>
                            <a:ext cx="2042496" cy="109547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A hátrányos megkülönböztetést elszenvedő romák arányát legalább a felére kell csökkenteni</w:t>
                              </w:r>
                            </w:p>
                            <w:p>
                              <w:pPr>
                                <w:pStyle w:val="NormalWeb"/>
                                <w:numPr>
                                  <w:ilvl w:val="0"/>
                                  <w:numId w:val="61"/>
                                </w:numPr>
                                <w:spacing w:before="0" w:beforeAutospacing="0" w:after="0" w:afterAutospacing="0"/>
                                <w:ind w:left="142" w:hanging="142"/>
                                <w:jc w:val="both"/>
                                <w:rPr>
                                  <w:rFonts w:asciiTheme="minorHAnsi" w:hAnsi="Calibri" w:cstheme="minorBidi"/>
                                  <w:i/>
                                  <w:iCs/>
                                  <w:color w:val="00B050"/>
                                  <w:kern w:val="24"/>
                                  <w:sz w:val="19"/>
                                  <w:szCs w:val="19"/>
                                </w:rPr>
                              </w:pPr>
                              <w:r>
                                <w:rPr>
                                  <w:rFonts w:asciiTheme="minorHAnsi" w:hAnsi="Calibri"/>
                                  <w:bCs/>
                                  <w:color w:val="00B050"/>
                                  <w:sz w:val="19"/>
                                  <w:szCs w:val="19"/>
                                </w:rPr>
                                <w:t>annak biztosítása érdekében, hogy 2030-ra a romák kevesebb mint 13 %-a tapasztaljon hátrányos megkülönböztetést</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20"/>
                                  <w:szCs w:val="18"/>
                                </w:rPr>
                                <w:t xml:space="preserve">a romák hátrányos megkülönböztetést tapasztalt aránya: </w:t>
                              </w:r>
                            </w:p>
                            <w:p>
                              <w:pPr>
                                <w:pStyle w:val="NormalWeb"/>
                                <w:spacing w:before="0" w:beforeAutospacing="0" w:after="0" w:afterAutospacing="0"/>
                                <w:jc w:val="center"/>
                                <w:rPr>
                                  <w:sz w:val="20"/>
                                  <w:szCs w:val="18"/>
                                </w:rPr>
                              </w:pPr>
                              <w:r>
                                <w:rPr>
                                  <w:rFonts w:asciiTheme="minorHAnsi" w:hAnsi="Calibri"/>
                                  <w:i/>
                                  <w:iCs/>
                                  <w:color w:val="4F81BD" w:themeColor="accent1"/>
                                  <w:sz w:val="20"/>
                                  <w:szCs w:val="18"/>
                                </w:rPr>
                                <w:t>26 % (elmúlt 12 hónap), 41 % (elmúlt 5 év)</w:t>
                              </w:r>
                            </w:p>
                          </w:txbxContent>
                        </wps:txbx>
                        <wps:bodyPr wrap="square" tIns="0" bIns="0" rtlCol="0" anchor="t" anchorCtr="0">
                          <a:noAutofit/>
                        </wps:bodyPr>
                      </wps:wsp>
                      <wps:wsp>
                        <wps:cNvPr id="9" name="Téglalap: lekerekített 12">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83EA9BE-55BF-4267-AECD-1A849B84E7D6}"/>
                            </a:ext>
                          </a:extLst>
                        </wps:cNvPr>
                        <wps:cNvSpPr/>
                        <wps:spPr>
                          <a:xfrm>
                            <a:off x="2220482" y="910072"/>
                            <a:ext cx="2332047" cy="109547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40" w:afterAutospacing="0"/>
                                <w:ind w:left="-68" w:right="-79"/>
                                <w:jc w:val="center"/>
                                <w:rPr>
                                  <w:rFonts w:asciiTheme="minorHAnsi" w:hAnsi="Calibri" w:cstheme="minorBidi"/>
                                  <w:b/>
                                  <w:bCs/>
                                  <w:color w:val="FF0000"/>
                                  <w:kern w:val="24"/>
                                  <w:sz w:val="20"/>
                                  <w:szCs w:val="18"/>
                                </w:rPr>
                              </w:pPr>
                              <w:r>
                                <w:rPr>
                                  <w:rFonts w:asciiTheme="minorHAnsi" w:hAnsi="Calibri"/>
                                  <w:b/>
                                  <w:bCs/>
                                  <w:color w:val="FF0000"/>
                                  <w:sz w:val="20"/>
                                  <w:szCs w:val="18"/>
                                </w:rPr>
                                <w:t>Az általános népesség azon arányának legalább egyharmaddal csökkentése, amely kényelmetlenül érzi magát, ha roma szomszédai vannak</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annak biztosítása érdekében, hogy 2030-ra az általános népesség kevesebb mint 30 %-a érezze kényelmetlenül magát, ha roma szomszédja van</w:t>
                              </w:r>
                            </w:p>
                            <w:p>
                              <w:pPr>
                                <w:pStyle w:val="NormalWeb"/>
                                <w:numPr>
                                  <w:ilvl w:val="0"/>
                                  <w:numId w:val="61"/>
                                </w:numPr>
                                <w:spacing w:before="0" w:beforeAutospacing="0" w:after="0" w:afterAutospacing="0"/>
                                <w:ind w:left="142" w:hanging="142"/>
                                <w:jc w:val="both"/>
                                <w:rPr>
                                  <w:rFonts w:asciiTheme="minorHAnsi" w:hAnsi="Calibri" w:cstheme="minorBidi"/>
                                  <w:bCs/>
                                  <w:color w:val="4F81BD" w:themeColor="accent1"/>
                                  <w:kern w:val="24"/>
                                  <w:sz w:val="19"/>
                                  <w:szCs w:val="19"/>
                                </w:rPr>
                              </w:pPr>
                              <w:r>
                                <w:rPr>
                                  <w:rFonts w:asciiTheme="minorHAnsi" w:hAnsi="Calibri"/>
                                  <w:bCs/>
                                  <w:color w:val="4F81BD" w:themeColor="accent1"/>
                                  <w:sz w:val="19"/>
                                  <w:szCs w:val="19"/>
                                </w:rPr>
                                <w:t>az általános népesség azon aránya,</w:t>
                              </w:r>
                              <w:r>
                                <w:rPr>
                                  <w:rFonts w:asciiTheme="minorHAnsi" w:hAnsi="Calibri"/>
                                  <w:i/>
                                  <w:iCs/>
                                  <w:color w:val="4F81BD" w:themeColor="accent1"/>
                                  <w:sz w:val="20"/>
                                  <w:szCs w:val="18"/>
                                </w:rPr>
                                <w:t xml:space="preserve"> amely kényelmetlenül érzi magát, ha roma szomszédai vannak: 46 %</w:t>
                              </w:r>
                            </w:p>
                          </w:txbxContent>
                        </wps:txbx>
                        <wps:bodyPr wrap="square" lIns="36000" tIns="0" rIns="36000" bIns="0" rtlCol="0" anchor="t" anchorCtr="0">
                          <a:noAutofit/>
                        </wps:bodyPr>
                      </wps:wsp>
                      <wps:wsp>
                        <wps:cNvPr id="11" name="Téglalap: lekerekített 1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EC99626-67C6-437C-B15D-53125CBD19C3}"/>
                            </a:ext>
                          </a:extLst>
                        </wps:cNvPr>
                        <wps:cNvSpPr/>
                        <wps:spPr>
                          <a:xfrm>
                            <a:off x="112224" y="2134310"/>
                            <a:ext cx="4531714" cy="1390283"/>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i/>
                                  <w:iCs/>
                                  <w:color w:val="4F81BD" w:themeColor="accent1"/>
                                  <w:kern w:val="24"/>
                                </w:rPr>
                              </w:pPr>
                              <w:r>
                                <w:rPr>
                                  <w:rFonts w:asciiTheme="minorHAnsi" w:hAnsi="Calibri"/>
                                  <w:b/>
                                  <w:bCs/>
                                  <w:i/>
                                  <w:iCs/>
                                  <w:color w:val="4F81BD" w:themeColor="accent1"/>
                                </w:rPr>
                                <w:t xml:space="preserve">2.  A szegénység és a társadalmi kirekesztés csökkentése a romák és az általános népesség közötti </w:t>
                              </w:r>
                            </w:p>
                            <w:p>
                              <w:pPr>
                                <w:pStyle w:val="NormalWeb"/>
                                <w:spacing w:before="0" w:beforeAutospacing="0" w:after="0" w:afterAutospacing="0"/>
                                <w:jc w:val="center"/>
                              </w:pPr>
                              <w:r>
                                <w:rPr>
                                  <w:rFonts w:asciiTheme="minorHAnsi" w:hAnsi="Calibri"/>
                                  <w:b/>
                                  <w:bCs/>
                                  <w:i/>
                                  <w:iCs/>
                                  <w:color w:val="4F81BD" w:themeColor="accent1"/>
                                </w:rPr>
                                <w:t>társadalmi-gazdasági különbségek enyhítése érdekében</w:t>
                              </w:r>
                            </w:p>
                          </w:txbxContent>
                        </wps:txbx>
                        <wps:bodyPr rot="0" spcFirstLastPara="0" vert="horz" wrap="square" lIns="91440" tIns="0" rIns="91440" bIns="45720" numCol="1" spcCol="0" rtlCol="0" fromWordArt="0" anchor="t" anchorCtr="0" forceAA="0" compatLnSpc="1">
                          <a:prstTxWarp prst="textNoShape">
                            <a:avLst/>
                          </a:prstTxWarp>
                          <a:noAutofit/>
                        </wps:bodyPr>
                      </wps:wsp>
                      <wps:wsp>
                        <wps:cNvPr id="12" name="Téglalap: lekerekített 1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3BE9DB23-DAB2-4302-AB77-D8AF8BE9F452}"/>
                            </a:ext>
                          </a:extLst>
                        </wps:cNvPr>
                        <wps:cNvSpPr/>
                        <wps:spPr>
                          <a:xfrm>
                            <a:off x="147261" y="2597777"/>
                            <a:ext cx="2194422" cy="82880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A romák és az általános népesség közötti szegénységi rés legalább felére szűkítése</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annak biztosítása érdekében, hogy 2030-ra a romák többsége kikerüljön a szegénységből</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 xml:space="preserve"> „a szegénység kockázatának kitettek” aránya: romák: 80 %; általános népesség: 16,8 % (eltérés: 63,2 százalékpont)</w:t>
                              </w:r>
                            </w:p>
                          </w:txbxContent>
                        </wps:txbx>
                        <wps:bodyPr wrap="square" tIns="0" bIns="0" rtlCol="0" anchor="t" anchorCtr="0">
                          <a:noAutofit/>
                        </wps:bodyPr>
                      </wps:wsp>
                      <wps:wsp>
                        <wps:cNvPr id="17" name="Téglalap: lekerekített 15">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34F9B31-C470-4D25-9AC4-F07F2CAFE832}"/>
                            </a:ext>
                          </a:extLst>
                        </wps:cNvPr>
                        <wps:cNvSpPr/>
                        <wps:spPr>
                          <a:xfrm>
                            <a:off x="2363465" y="2597777"/>
                            <a:ext cx="2159125" cy="82880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A roma gyermekek és más gyermekek közötti szegénységi rés legalább felére szűkítése</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annak biztosítása érdekében, hogy 2030-ra a roma gyermekek többsége kikerüljön a szegénységből</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bCs/>
                                  <w:color w:val="4F81BD" w:themeColor="accent1"/>
                                  <w:sz w:val="19"/>
                                  <w:szCs w:val="19"/>
                                </w:rPr>
                                <w:t>roma gyermekek: 85 %; gyermekek</w:t>
                              </w:r>
                              <w:r>
                                <w:rPr>
                                  <w:rFonts w:asciiTheme="minorHAnsi" w:hAnsi="Calibri"/>
                                  <w:i/>
                                  <w:iCs/>
                                  <w:color w:val="4F81BD" w:themeColor="accent1"/>
                                  <w:sz w:val="19"/>
                                  <w:szCs w:val="19"/>
                                </w:rPr>
                                <w:t xml:space="preserve"> általában</w:t>
                              </w:r>
                              <w:r>
                                <w:rPr>
                                  <w:rFonts w:asciiTheme="minorHAnsi" w:hAnsi="Calibri"/>
                                  <w:color w:val="4F81BD" w:themeColor="accent1"/>
                                  <w:sz w:val="19"/>
                                  <w:szCs w:val="19"/>
                                </w:rPr>
                                <w:t>:</w:t>
                              </w:r>
                              <w:r>
                                <w:rPr>
                                  <w:rFonts w:asciiTheme="minorHAnsi" w:hAnsi="Calibri"/>
                                  <w:i/>
                                  <w:iCs/>
                                  <w:color w:val="4F81BD" w:themeColor="accent1"/>
                                  <w:sz w:val="19"/>
                                  <w:szCs w:val="19"/>
                                </w:rPr>
                                <w:t xml:space="preserve"> 19,6 % (eltérés: 65,4 százalékpont)</w:t>
                              </w:r>
                            </w:p>
                          </w:txbxContent>
                        </wps:txbx>
                        <wps:bodyPr wrap="square" tIns="0" bIns="0" rtlCol="0" anchor="t" anchorCtr="0">
                          <a:noAutofit/>
                        </wps:bodyPr>
                      </wps:wsp>
                      <wps:wsp>
                        <wps:cNvPr id="18" name="Téglalap: lekerekített 2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A0A831C-EC51-4F29-BA89-24CBA1034625}"/>
                            </a:ext>
                          </a:extLst>
                        </wps:cNvPr>
                        <wps:cNvSpPr/>
                        <wps:spPr>
                          <a:xfrm>
                            <a:off x="72472" y="3626411"/>
                            <a:ext cx="4522763" cy="2236818"/>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pPr>
                              <w:r>
                                <w:rPr>
                                  <w:rFonts w:asciiTheme="minorHAnsi" w:hAnsi="Calibri"/>
                                  <w:b/>
                                  <w:bCs/>
                                  <w:i/>
                                  <w:iCs/>
                                  <w:color w:val="4F81BD" w:themeColor="accent1"/>
                                </w:rPr>
                                <w:t>3.  A részvétel előmozdítása a társadalmi szerepvállalás lehetővé tétele, együttműködés és bizalom révén</w:t>
                              </w:r>
                            </w:p>
                          </w:txbxContent>
                        </wps:txbx>
                        <wps:bodyPr rot="0" spcFirstLastPara="0" vert="horz" wrap="square" lIns="91440" tIns="0" rIns="91440" bIns="45720" numCol="1" spcCol="0" rtlCol="0" fromWordArt="0" anchor="t" anchorCtr="0" forceAA="0" compatLnSpc="1">
                          <a:prstTxWarp prst="textNoShape">
                            <a:avLst/>
                          </a:prstTxWarp>
                          <a:noAutofit/>
                        </wps:bodyPr>
                      </wps:wsp>
                      <wps:wsp>
                        <wps:cNvPr id="19" name="Téglalap: lekerekített 22">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07C4240-354D-4408-8FF7-3F5CF3B9F0C4}"/>
                            </a:ext>
                          </a:extLst>
                        </wps:cNvPr>
                        <wps:cNvSpPr/>
                        <wps:spPr>
                          <a:xfrm>
                            <a:off x="112140" y="4148489"/>
                            <a:ext cx="2186940" cy="583028"/>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Legalább 90 NGO bevonása és alkalmassá tétele a roma civil társadalom koordinált, uniós szintű nyomon követésébe</w:t>
                              </w:r>
                            </w:p>
                            <w:p>
                              <w:pPr>
                                <w:pStyle w:val="NormalWeb"/>
                                <w:numPr>
                                  <w:ilvl w:val="0"/>
                                  <w:numId w:val="61"/>
                                </w:numPr>
                                <w:spacing w:before="0" w:beforeAutospacing="0" w:after="0" w:afterAutospacing="0"/>
                                <w:ind w:left="142" w:hanging="142"/>
                                <w:jc w:val="both"/>
                                <w:rPr>
                                  <w:color w:val="4F81BD" w:themeColor="accent1"/>
                                  <w:sz w:val="19"/>
                                  <w:szCs w:val="19"/>
                                </w:rPr>
                              </w:pPr>
                              <w:r>
                                <w:rPr>
                                  <w:rFonts w:asciiTheme="minorHAnsi" w:hAnsi="Calibri"/>
                                  <w:i/>
                                  <w:iCs/>
                                  <w:color w:val="4F81BD" w:themeColor="accent1"/>
                                  <w:sz w:val="19"/>
                                  <w:szCs w:val="19"/>
                                </w:rPr>
                                <w:t>A Roma civil társadalmi ellenőrzés projektbe bevont NGO-k száma 85</w:t>
                              </w:r>
                            </w:p>
                          </w:txbxContent>
                        </wps:txbx>
                        <wps:bodyPr wrap="square" lIns="0" tIns="0" rIns="0" bIns="0" rtlCol="0" anchor="t" anchorCtr="0">
                          <a:noAutofit/>
                        </wps:bodyPr>
                      </wps:wsp>
                      <wps:wsp>
                        <wps:cNvPr id="20" name="Téglalap: lekerekített 2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E4307DA-A4ED-4A36-8A1B-2D6884ED3CB9}"/>
                            </a:ext>
                          </a:extLst>
                        </wps:cNvPr>
                        <wps:cNvSpPr/>
                        <wps:spPr>
                          <a:xfrm>
                            <a:off x="2363465" y="4148489"/>
                            <a:ext cx="2160593" cy="60897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A roma NGO-k, mint a nemzeti monitoringbizottságok teljes jogú tagjai </w:t>
                              </w:r>
                            </w:p>
                            <w:p>
                              <w:pPr>
                                <w:pStyle w:val="NormalWeb"/>
                                <w:spacing w:before="0" w:beforeAutospacing="0" w:after="0" w:afterAutospacing="0"/>
                                <w:jc w:val="center"/>
                                <w:rPr>
                                  <w:rFonts w:asciiTheme="minorHAnsi" w:hAnsi="Calibri" w:cstheme="minorBidi"/>
                                  <w:bCs/>
                                  <w:color w:val="4F81BD" w:themeColor="accent1"/>
                                  <w:kern w:val="24"/>
                                  <w:sz w:val="20"/>
                                  <w:szCs w:val="18"/>
                                </w:rPr>
                              </w:pPr>
                              <w:r>
                                <w:rPr>
                                  <w:rFonts w:asciiTheme="minorHAnsi" w:hAnsi="Calibri"/>
                                  <w:b/>
                                  <w:bCs/>
                                  <w:color w:val="FF0000"/>
                                  <w:sz w:val="20"/>
                                  <w:szCs w:val="18"/>
                                </w:rPr>
                                <w:t>részvételének biztosítása</w:t>
                              </w:r>
                              <w:r>
                                <w:rPr>
                                  <w:rFonts w:asciiTheme="minorHAnsi" w:hAnsi="Calibri"/>
                                  <w:b/>
                                  <w:bCs/>
                                  <w:color w:val="4F81BD" w:themeColor="accent1"/>
                                  <w:sz w:val="20"/>
                                  <w:szCs w:val="18"/>
                                </w:rPr>
                                <w:t xml:space="preserve"> </w:t>
                              </w:r>
                              <w:r>
                                <w:rPr>
                                  <w:rFonts w:asciiTheme="minorHAnsi" w:hAnsi="Calibri"/>
                                  <w:bCs/>
                                  <w:color w:val="4F81BD" w:themeColor="accent1"/>
                                  <w:sz w:val="20"/>
                                  <w:szCs w:val="18"/>
                                </w:rPr>
                                <w:t xml:space="preserve">a roma közösségek szükségleteit </w:t>
                              </w:r>
                            </w:p>
                            <w:p>
                              <w:pPr>
                                <w:pStyle w:val="NormalWeb"/>
                                <w:spacing w:before="0" w:beforeAutospacing="0" w:after="0" w:afterAutospacing="0"/>
                                <w:jc w:val="center"/>
                                <w:rPr>
                                  <w:sz w:val="20"/>
                                  <w:szCs w:val="18"/>
                                </w:rPr>
                              </w:pPr>
                              <w:r>
                                <w:rPr>
                                  <w:rFonts w:asciiTheme="minorHAnsi" w:hAnsi="Calibri"/>
                                  <w:bCs/>
                                  <w:color w:val="4F81BD" w:themeColor="accent1"/>
                                  <w:sz w:val="20"/>
                                  <w:szCs w:val="18"/>
                                </w:rPr>
                                <w:t>kezelő összes programban</w:t>
                              </w:r>
                            </w:p>
                          </w:txbxContent>
                        </wps:txbx>
                        <wps:bodyPr wrap="square" tIns="0" bIns="0" rtlCol="0" anchor="t" anchorCtr="0">
                          <a:noAutofit/>
                        </wps:bodyPr>
                      </wps:wsp>
                      <wps:wsp>
                        <wps:cNvPr id="21" name="Téglalap: lekerekített 2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137F931-C869-4F62-BB0D-D6F8AD375D21}"/>
                            </a:ext>
                          </a:extLst>
                        </wps:cNvPr>
                        <wps:cNvSpPr/>
                        <wps:spPr>
                          <a:xfrm>
                            <a:off x="147261" y="4789257"/>
                            <a:ext cx="2186855" cy="1007561"/>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Azon romák arányának megkétszerezése, akik bejelentést tesznek, ha hátrányos megkülönböztetést tapasztalnak </w:t>
                              </w:r>
                            </w:p>
                            <w:p>
                              <w:pPr>
                                <w:pStyle w:val="NormalWeb"/>
                                <w:numPr>
                                  <w:ilvl w:val="0"/>
                                  <w:numId w:val="65"/>
                                </w:numPr>
                                <w:spacing w:before="0" w:beforeAutospacing="0" w:after="0" w:afterAutospacing="0"/>
                                <w:ind w:left="142" w:hanging="142"/>
                                <w:contextualSpacing/>
                                <w:rPr>
                                  <w:rFonts w:asciiTheme="minorHAnsi" w:hAnsi="Calibri" w:cstheme="minorBidi"/>
                                  <w:iCs/>
                                  <w:color w:val="00B050"/>
                                  <w:kern w:val="24"/>
                                  <w:sz w:val="19"/>
                                  <w:szCs w:val="19"/>
                                </w:rPr>
                              </w:pPr>
                              <w:r>
                                <w:rPr>
                                  <w:rFonts w:asciiTheme="minorHAnsi" w:hAnsi="Calibri"/>
                                  <w:iCs/>
                                  <w:color w:val="00B050"/>
                                  <w:sz w:val="19"/>
                                  <w:szCs w:val="19"/>
                                </w:rPr>
                                <w:t>annak biztosítása érdekében, hogy 2030-ra a roma áldozatok legalább 30 %-a jelentse a hátrányos megkülönböztetést</w:t>
                              </w:r>
                            </w:p>
                            <w:p>
                              <w:pPr>
                                <w:pStyle w:val="NormalWeb"/>
                                <w:numPr>
                                  <w:ilvl w:val="0"/>
                                  <w:numId w:val="65"/>
                                </w:numPr>
                                <w:spacing w:before="0" w:beforeAutospacing="0" w:after="0" w:afterAutospacing="0"/>
                                <w:ind w:left="142" w:hanging="142"/>
                                <w:contextualSpacing/>
                                <w:rPr>
                                  <w:rFonts w:asciiTheme="minorHAnsi" w:hAnsi="Calibri" w:cstheme="minorBidi"/>
                                  <w:iCs/>
                                  <w:color w:val="4F81BD" w:themeColor="accent1"/>
                                  <w:kern w:val="24"/>
                                  <w:sz w:val="19"/>
                                  <w:szCs w:val="19"/>
                                </w:rPr>
                              </w:pPr>
                              <w:r>
                                <w:rPr>
                                  <w:rFonts w:asciiTheme="minorHAnsi" w:hAnsi="Calibri"/>
                                  <w:i/>
                                  <w:iCs/>
                                  <w:color w:val="4F81BD" w:themeColor="accent1"/>
                                  <w:sz w:val="19"/>
                                  <w:szCs w:val="19"/>
                                </w:rPr>
                                <w:t>azok aránya, akik jelentették az általuk legutóbb tapasztalt hátrányos megkülönböztetési esetet (bármely téren) az elmúlt 5 évben: 16 %</w:t>
                              </w:r>
                            </w:p>
                          </w:txbxContent>
                        </wps:txbx>
                        <wps:bodyPr wrap="square" lIns="0" tIns="0" rIns="0" bIns="0" rtlCol="0" anchor="t" anchorCtr="0"/>
                      </wps:wsp>
                      <wps:wsp>
                        <wps:cNvPr id="26" name="Téglalap: lekerekített 2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7E4307DA-A4ED-4A36-8A1B-2D6884ED3CB9}"/>
                            </a:ext>
                          </a:extLst>
                        </wps:cNvPr>
                        <wps:cNvSpPr/>
                        <wps:spPr>
                          <a:xfrm>
                            <a:off x="2363639" y="4789272"/>
                            <a:ext cx="2160419" cy="893364"/>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A romák helyi, regionális, nemzeti és uniós szintű </w:t>
                              </w:r>
                            </w:p>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politikai életben való részvételének ösztönzése </w:t>
                              </w:r>
                            </w:p>
                            <w:p>
                              <w:pPr>
                                <w:pStyle w:val="NormalWeb"/>
                                <w:spacing w:before="0" w:beforeAutospacing="0" w:after="0" w:afterAutospacing="0"/>
                                <w:jc w:val="center"/>
                                <w:rPr>
                                  <w:sz w:val="20"/>
                                  <w:szCs w:val="18"/>
                                </w:rPr>
                              </w:pPr>
                              <w:r>
                                <w:rPr>
                                  <w:rFonts w:asciiTheme="minorHAnsi" w:hAnsi="Calibri"/>
                                  <w:bCs/>
                                  <w:color w:val="4F81BD" w:themeColor="accent1"/>
                                  <w:sz w:val="19"/>
                                  <w:szCs w:val="19"/>
                                </w:rPr>
                                <w:t>(a jelentős roma népességgel rendelkező tagállamokban)</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annak biztosítása érdekében, hogy szavazóként nyilvántartásba vetessék magukat, szavazzanak, és jelöltként induljanak</w:t>
                              </w:r>
                            </w:p>
                            <w:p>
                              <w:pPr>
                                <w:pStyle w:val="NormalWeb"/>
                                <w:spacing w:before="0" w:beforeAutospacing="0" w:after="0" w:afterAutospacing="0"/>
                                <w:jc w:val="center"/>
                                <w:rPr>
                                  <w:sz w:val="20"/>
                                  <w:szCs w:val="18"/>
                                </w:rPr>
                              </w:pPr>
                            </w:p>
                          </w:txbxContent>
                        </wps:txbx>
                        <wps:bodyPr wrap="square" lIns="0" tIns="0" rIns="0" bIns="0" rtlCol="0" anchor="t" anchorCtr="0">
                          <a:noAutofit/>
                        </wps:bodyPr>
                      </wps:wsp>
                    </wpg:wgp>
                  </a:graphicData>
                </a:graphic>
                <wp14:sizeRelH relativeFrom="margin">
                  <wp14:pctWidth>0</wp14:pctWidth>
                </wp14:sizeRelH>
                <wp14:sizeRelV relativeFrom="margin">
                  <wp14:pctHeight>0</wp14:pctHeight>
                </wp14:sizeRelV>
              </wp:anchor>
            </w:drawing>
          </mc:Choice>
          <mc:Fallback>
            <w:pict>
              <v:group id="Group 1" o:spid="_x0000_s1026" style="position:absolute;left:0;text-align:left;margin-left:4.05pt;margin-top:-33.3pt;width:472.15pt;height:705.7pt;z-index:252191232;mso-position-horizontal-relative:margin;mso-width-relative:margin;mso-height-relative:margin" coordorigin="724,960" coordsize="45714,57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">
                <v:rect id="Téglalap 4" o:spid="_x0000_s1027" style="position:absolute;left:1641;top:960;width:44656;height:81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v:textbox>
                    <w:txbxContent>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Tényleges egyenlőség, társadalmi befogadás és részvétel biztosítása</w:t>
                        </w:r>
                      </w:p>
                      <w:p>
                        <w:pPr>
                          <w:pStyle w:val="NormalWeb"/>
                          <w:spacing w:before="0" w:beforeAutospacing="0" w:after="0" w:afterAutospacing="0"/>
                          <w:jc w:val="center"/>
                          <w:rPr>
                            <w:rFonts w:eastAsia="Calibri" w:cstheme="minorBidi"/>
                            <w:b/>
                            <w:bCs/>
                            <w:smallCaps/>
                            <w:color w:val="4F81BD" w:themeColor="accent1"/>
                            <w:kern w:val="24"/>
                            <w:szCs w:val="28"/>
                          </w:rPr>
                        </w:pPr>
                        <w:r>
                          <w:rPr>
                            <w:b/>
                            <w:bCs/>
                            <w:smallCaps/>
                            <w:color w:val="4F81BD" w:themeColor="accent1"/>
                            <w:szCs w:val="28"/>
                          </w:rPr>
                          <w:t>Horizontális célkitűzések és célok 2030-ig</w:t>
                        </w:r>
                      </w:p>
                      <w:p>
                        <w:pPr>
                          <w:pStyle w:val="NormalWeb"/>
                          <w:spacing w:before="0" w:beforeAutospacing="0" w:after="0" w:afterAutospacing="0"/>
                          <w:jc w:val="center"/>
                          <w:rPr>
                            <w:color w:val="FF0000"/>
                            <w:sz w:val="16"/>
                            <w:szCs w:val="18"/>
                          </w:rPr>
                        </w:pPr>
                        <w:r>
                          <w:rPr>
                            <w:rFonts w:asciiTheme="minorHAnsi" w:hAnsi="Calibri"/>
                            <w:bCs/>
                            <w:color w:val="FF0000"/>
                            <w:sz w:val="16"/>
                            <w:szCs w:val="18"/>
                          </w:rPr>
                          <w:t>Vörös: 2030-ig minimálisan elérendő, haladásra vonatkozó uniós szintű cél</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bCs/>
                            <w:color w:val="00B050"/>
                            <w:sz w:val="16"/>
                            <w:szCs w:val="19"/>
                          </w:rPr>
                          <w:t>Zöld:</w:t>
                        </w:r>
                        <w:r>
                          <w:rPr>
                            <w:sz w:val="20"/>
                          </w:rPr>
                          <w:t xml:space="preserve"> </w:t>
                        </w:r>
                        <w:r>
                          <w:rPr>
                            <w:rFonts w:asciiTheme="minorHAnsi" w:hAnsi="Calibri"/>
                            <w:bCs/>
                            <w:color w:val="00B050"/>
                            <w:sz w:val="16"/>
                            <w:szCs w:val="19"/>
                          </w:rPr>
                          <w:t>2030-ra a romák tekintetében elérendő, minimális haladás</w:t>
                        </w:r>
                      </w:p>
                      <w:p>
                        <w:pPr>
                          <w:pStyle w:val="NormalWeb"/>
                          <w:spacing w:before="0" w:beforeAutospacing="0" w:after="0" w:afterAutospacing="0"/>
                          <w:jc w:val="center"/>
                          <w:rPr>
                            <w:rFonts w:asciiTheme="minorHAnsi" w:hAnsi="Calibri" w:cstheme="minorBidi"/>
                            <w:i/>
                            <w:iCs/>
                            <w:color w:val="4F81BD" w:themeColor="accent1"/>
                            <w:kern w:val="24"/>
                            <w:sz w:val="16"/>
                            <w:szCs w:val="19"/>
                          </w:rPr>
                        </w:pPr>
                        <w:r>
                          <w:rPr>
                            <w:rFonts w:asciiTheme="minorHAnsi" w:hAnsi="Calibri"/>
                            <w:i/>
                            <w:iCs/>
                            <w:color w:val="4F81BD" w:themeColor="accent1"/>
                            <w:sz w:val="16"/>
                            <w:szCs w:val="18"/>
                          </w:rPr>
                          <w:t>Kék: Rendelkezésre álló legfrissebb adat, amely alapján a haladás mérhető</w:t>
                        </w:r>
                      </w:p>
                      <w:p>
                        <w:pPr>
                          <w:pStyle w:val="NormalWeb"/>
                          <w:spacing w:before="0" w:beforeAutospacing="0" w:after="0" w:afterAutospacing="0"/>
                          <w:rPr>
                            <w:rFonts w:eastAsia="Calibri" w:cstheme="minorBidi"/>
                            <w:b/>
                            <w:bCs/>
                            <w:smallCaps/>
                            <w:color w:val="4F81BD" w:themeColor="accent1"/>
                            <w:kern w:val="24"/>
                            <w:szCs w:val="28"/>
                          </w:rPr>
                        </w:pPr>
                      </w:p>
                    </w:txbxContent>
                  </v:textbox>
                </v:rect>
                <v:roundrect id="Téglalap: lekerekített 7" o:spid="_x0000_s1028" style="position:absolute;left:890;top:6260;width:45303;height:1457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nJs8QA&#10;AADaAAAADwAAAGRycy9kb3ducmV2LnhtbESPQWvCQBSE70L/w/IKvZlNPaiNrlJKpaG1lEYFj4/s&#10;a7I0+zZkV43/3hUEj8PMfMPMl71txJE6bxwreE5SEMSl04YrBdvNajgF4QOyxsYxKTiTh+XiYTDH&#10;TLsT/9KxCJWIEPYZKqhDaDMpfVmTRZ+4ljh6f66zGKLsKqk7PEW4beQoTcfSouG4UGNLbzWV/8XB&#10;KqAi/843+cvPen9+/zC7z8nEHL6UenrsX2cgAvXhHr61c61gDNcr8QbI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pybPEAAAA2gAAAA8AAAAAAAAAAAAAAAAAmAIAAGRycy9k&#10;b3ducmV2LnhtbFBLBQYAAAAABAAEAPUAAACJAwAAAAA=&#10;" fillcolor="#e4e4e4" strokecolor="#243f60 [1604]" strokeweight="2pt">
                  <v:textbox inset=",0,,1mm">
                    <w:txbxContent>
                      <w:p>
                        <w:pPr>
                          <w:pStyle w:val="NormalWeb"/>
                          <w:spacing w:before="0" w:beforeAutospacing="0" w:after="0" w:afterAutospacing="0"/>
                          <w:jc w:val="center"/>
                        </w:pPr>
                        <w:r>
                          <w:rPr>
                            <w:rFonts w:asciiTheme="minorHAnsi" w:hAnsi="Calibri"/>
                            <w:b/>
                            <w:bCs/>
                            <w:i/>
                            <w:iCs/>
                            <w:color w:val="4F81BD" w:themeColor="accent1"/>
                          </w:rPr>
                          <w:t>1.  A cigányellenesség és hátrányos megkülönböztetés elleni küzdelem és megelőzésük</w:t>
                        </w:r>
                      </w:p>
                    </w:txbxContent>
                  </v:textbox>
                </v:roundrect>
                <v:roundrect id="Téglalap: lekerekített 9" o:spid="_x0000_s1029" style="position:absolute;left:1122;top:9100;width:20425;height:1095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RWdH8QA&#10;AADaAAAADwAAAGRycy9kb3ducmV2LnhtbESPT2vCQBTE74LfYXmCN7PRgy1pVhFBbHso1BTS4yP7&#10;mgSzb2N286f99N1CweMwM79h0v1kGjFQ52rLCtZRDIK4sLrmUsFHdlo9gnAeWWNjmRR8k4P9bj5L&#10;MdF25HcaLr4UAcIuQQWV920ipSsqMugi2xIH78t2Bn2QXSl1h2OAm0Zu4ngrDdYcFips6VhRcb30&#10;RgH9vJ6zW/+y+cThzbZ5zYeMc6WWi+nwBMLT5O/h//azVvAAf1fCDZC7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EVnR/EAAAA2gAAAA8AAAAAAAAAAAAAAAAAmAIAAGRycy9k&#10;b3ducmV2LnhtbFBLBQYAAAAABAAEAPUAAACJAwAAAAA=&#10;" fillcolor="white [3212]" strokecolor="#243f60 [1604]" strokeweight="2pt">
                  <v:textbox inset=",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A hátrányos megkülönböztetést elszenvedő romák arányát legalább a felére kell csökkenteni</w:t>
                        </w:r>
                      </w:p>
                      <w:p>
                        <w:pPr>
                          <w:pStyle w:val="NormalWeb"/>
                          <w:numPr>
                            <w:ilvl w:val="0"/>
                            <w:numId w:val="61"/>
                          </w:numPr>
                          <w:spacing w:before="0" w:beforeAutospacing="0" w:after="0" w:afterAutospacing="0"/>
                          <w:ind w:left="142" w:hanging="142"/>
                          <w:jc w:val="both"/>
                          <w:rPr>
                            <w:rFonts w:asciiTheme="minorHAnsi" w:hAnsi="Calibri" w:cstheme="minorBidi"/>
                            <w:i/>
                            <w:iCs/>
                            <w:color w:val="00B050"/>
                            <w:kern w:val="24"/>
                            <w:sz w:val="19"/>
                            <w:szCs w:val="19"/>
                          </w:rPr>
                        </w:pPr>
                        <w:r>
                          <w:rPr>
                            <w:rFonts w:asciiTheme="minorHAnsi" w:hAnsi="Calibri"/>
                            <w:bCs/>
                            <w:color w:val="00B050"/>
                            <w:sz w:val="19"/>
                            <w:szCs w:val="19"/>
                          </w:rPr>
                          <w:t>annak biztosítása érdekében, hogy 2030-ra a romák kevesebb mint 13 %-a tapasztaljon hátrányos megkülönböztetést</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20"/>
                            <w:szCs w:val="18"/>
                          </w:rPr>
                          <w:t xml:space="preserve">a romák hátrányos megkülönböztetést tapasztalt aránya: </w:t>
                        </w:r>
                      </w:p>
                      <w:p>
                        <w:pPr>
                          <w:pStyle w:val="NormalWeb"/>
                          <w:spacing w:before="0" w:beforeAutospacing="0" w:after="0" w:afterAutospacing="0"/>
                          <w:jc w:val="center"/>
                          <w:rPr>
                            <w:sz w:val="20"/>
                            <w:szCs w:val="18"/>
                          </w:rPr>
                        </w:pPr>
                        <w:r>
                          <w:rPr>
                            <w:rFonts w:asciiTheme="minorHAnsi" w:hAnsi="Calibri"/>
                            <w:i/>
                            <w:iCs/>
                            <w:color w:val="4F81BD" w:themeColor="accent1"/>
                            <w:sz w:val="20"/>
                            <w:szCs w:val="18"/>
                          </w:rPr>
                          <w:t>26 % (elmúlt 12 hónap), 41 % (elmúlt 5 év)</w:t>
                        </w:r>
                      </w:p>
                    </w:txbxContent>
                  </v:textbox>
                </v:roundrect>
                <v:roundrect id="Téglalap: lekerekített 12" o:spid="_x0000_s1030" style="position:absolute;left:22204;top:9100;width:23321;height:1095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EuZsIA&#10;AADaAAAADwAAAGRycy9kb3ducmV2LnhtbESPT4vCMBTE7wt+h/AEb2uqB1mrqYiuIN78g3h8NM+2&#10;tHkpTdbGb2+EBY/DzPyGWa6CacSDOldZVjAZJyCIc6srLhRczrvvHxDOI2tsLJOCJzlYZYOvJaba&#10;9nykx8kXIkLYpaig9L5NpXR5SQbd2LbE0bvbzqCPsiuk7rCPcNPIaZLMpMGK40KJLW1KyuvTn1Gw&#10;O9w34dpPn+dLuE221/x3fdS1UqNhWC9AeAr+E/5v77WCObyvxBsgs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kS5mwgAAANoAAAAPAAAAAAAAAAAAAAAAAJgCAABkcnMvZG93&#10;bnJldi54bWxQSwUGAAAAAAQABAD1AAAAhwMAAAAA&#10;" fillcolor="white [3212]" strokecolor="#243f60 [1604]" strokeweight="2pt">
                  <v:textbox inset="1mm,0,1mm,0">
                    <w:txbxContent>
                      <w:p>
                        <w:pPr>
                          <w:pStyle w:val="NormalWeb"/>
                          <w:spacing w:before="0" w:beforeAutospacing="0" w:after="40" w:afterAutospacing="0"/>
                          <w:ind w:left="-68" w:right="-79"/>
                          <w:jc w:val="center"/>
                          <w:rPr>
                            <w:rFonts w:asciiTheme="minorHAnsi" w:hAnsi="Calibri" w:cstheme="minorBidi"/>
                            <w:b/>
                            <w:bCs/>
                            <w:color w:val="FF0000"/>
                            <w:kern w:val="24"/>
                            <w:sz w:val="20"/>
                            <w:szCs w:val="18"/>
                          </w:rPr>
                        </w:pPr>
                        <w:r>
                          <w:rPr>
                            <w:rFonts w:asciiTheme="minorHAnsi" w:hAnsi="Calibri"/>
                            <w:b/>
                            <w:bCs/>
                            <w:color w:val="FF0000"/>
                            <w:sz w:val="20"/>
                            <w:szCs w:val="18"/>
                          </w:rPr>
                          <w:t>Az általános népesség azon arányának legalább egyharmaddal csökkentése, amely kényelmetlenül érzi magát, ha roma szomszédai vannak</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annak biztosítása érdekében, hogy 2030-ra az általános népesség kevesebb mint 30 %-a érezze kényelmetlenül magát, ha roma szomszédja van</w:t>
                        </w:r>
                      </w:p>
                      <w:p>
                        <w:pPr>
                          <w:pStyle w:val="NormalWeb"/>
                          <w:numPr>
                            <w:ilvl w:val="0"/>
                            <w:numId w:val="61"/>
                          </w:numPr>
                          <w:spacing w:before="0" w:beforeAutospacing="0" w:after="0" w:afterAutospacing="0"/>
                          <w:ind w:left="142" w:hanging="142"/>
                          <w:jc w:val="both"/>
                          <w:rPr>
                            <w:rFonts w:asciiTheme="minorHAnsi" w:hAnsi="Calibri" w:cstheme="minorBidi"/>
                            <w:bCs/>
                            <w:color w:val="4F81BD" w:themeColor="accent1"/>
                            <w:kern w:val="24"/>
                            <w:sz w:val="19"/>
                            <w:szCs w:val="19"/>
                          </w:rPr>
                        </w:pPr>
                        <w:r>
                          <w:rPr>
                            <w:rFonts w:asciiTheme="minorHAnsi" w:hAnsi="Calibri"/>
                            <w:bCs/>
                            <w:color w:val="4F81BD" w:themeColor="accent1"/>
                            <w:sz w:val="19"/>
                            <w:szCs w:val="19"/>
                          </w:rPr>
                          <w:t>az általános népesség azon aránya,</w:t>
                        </w:r>
                        <w:r>
                          <w:rPr>
                            <w:rFonts w:asciiTheme="minorHAnsi" w:hAnsi="Calibri"/>
                            <w:i/>
                            <w:iCs/>
                            <w:color w:val="4F81BD" w:themeColor="accent1"/>
                            <w:sz w:val="20"/>
                            <w:szCs w:val="18"/>
                          </w:rPr>
                          <w:t xml:space="preserve"> amely kényelmetlenül érzi magát, ha roma szomszédai vannak: 46 %</w:t>
                        </w:r>
                      </w:p>
                    </w:txbxContent>
                  </v:textbox>
                </v:roundrect>
                <v:roundrect id="Téglalap: lekerekített 13" o:spid="_x0000_s1031" style="position:absolute;left:1122;top:21343;width:45317;height:1390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TsacEA&#10;AADbAAAADwAAAGRycy9kb3ducmV2LnhtbERPTWsCMRC9F/ofwgi9FM1usa2sRimFpTkVaqXncTPu&#10;LiaTJUl1++9NQfA2j/c5q83orDhRiL1nBeWsAEHceNNzq2D3XU8XIGJCNmg9k4I/irBZ39+tsDL+&#10;zF902qZW5BCOFSroUhoqKWPTkcM48wNx5g4+OEwZhlaagOcc7qx8KooX6bDn3NDhQO8dNcftr1Ow&#10;1/2P3pX60z4+1x/Bvs4PstZKPUzGtyWIRGO6ia9ubfL8Ev5/yQfI9Q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a07GnBAAAA2wAAAA8AAAAAAAAAAAAAAAAAmAIAAGRycy9kb3du&#10;cmV2LnhtbFBLBQYAAAAABAAEAPUAAACGAwAAAAA=&#10;" fillcolor="#e4e4e4" strokecolor="#243f60 [1604]" strokeweight="2pt">
                  <v:textbox inset=",0">
                    <w:txbxContent>
                      <w:p>
                        <w:pPr>
                          <w:pStyle w:val="NormalWeb"/>
                          <w:spacing w:before="0" w:beforeAutospacing="0" w:after="0" w:afterAutospacing="0"/>
                          <w:jc w:val="center"/>
                          <w:rPr>
                            <w:rFonts w:asciiTheme="minorHAnsi" w:hAnsi="Calibri" w:cstheme="minorBidi"/>
                            <w:b/>
                            <w:bCs/>
                            <w:i/>
                            <w:iCs/>
                            <w:color w:val="4F81BD" w:themeColor="accent1"/>
                            <w:kern w:val="24"/>
                          </w:rPr>
                        </w:pPr>
                        <w:r>
                          <w:rPr>
                            <w:rFonts w:asciiTheme="minorHAnsi" w:hAnsi="Calibri"/>
                            <w:b/>
                            <w:bCs/>
                            <w:i/>
                            <w:iCs/>
                            <w:color w:val="4F81BD" w:themeColor="accent1"/>
                          </w:rPr>
                          <w:t xml:space="preserve">2.  A szegénység és a társadalmi kirekesztés csökkentése a romák és az általános népesség közötti </w:t>
                        </w:r>
                      </w:p>
                      <w:p>
                        <w:pPr>
                          <w:pStyle w:val="NormalWeb"/>
                          <w:spacing w:before="0" w:beforeAutospacing="0" w:after="0" w:afterAutospacing="0"/>
                          <w:jc w:val="center"/>
                        </w:pPr>
                        <w:r>
                          <w:rPr>
                            <w:rFonts w:asciiTheme="minorHAnsi" w:hAnsi="Calibri"/>
                            <w:b/>
                            <w:bCs/>
                            <w:i/>
                            <w:iCs/>
                            <w:color w:val="4F81BD" w:themeColor="accent1"/>
                          </w:rPr>
                          <w:t>társadalmi-gazdasági különbségek enyhítése érdekében</w:t>
                        </w:r>
                      </w:p>
                    </w:txbxContent>
                  </v:textbox>
                </v:roundrect>
                <v:roundrect id="Téglalap: lekerekített 14" o:spid="_x0000_s1032" style="position:absolute;left:1472;top:25977;width:21944;height:828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mRKpMAA&#10;AADbAAAADwAAAGRycy9kb3ducmV2LnhtbERPS4vCMBC+L/gfwgje1tQeRKpRRBAfh4W1gh6HZmyL&#10;zaQ2sdb99RtB8DYf33Nmi85UoqXGlZYVjIYRCOLM6pJzBcd0/T0B4TyyxsoyKXiSg8W89zXDRNsH&#10;/1J78LkIIewSVFB4XydSuqwgg25oa+LAXWxj0AfY5FI3+AjhppJxFI2lwZJDQ4E1rQrKroe7UUB/&#10;+016u+/iM7Y/tj6VvEz5pNSg3y2nIDx1/iN+u7c6zI/h9Us4QM7/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mRKpMAAAADbAAAADwAAAAAAAAAAAAAAAACYAgAAZHJzL2Rvd25y&#10;ZXYueG1sUEsFBgAAAAAEAAQA9QAAAIUDAAAAAA==&#10;" fillcolor="white [3212]" strokecolor="#243f60 [1604]" strokeweight="2pt">
                  <v:textbox inset=",0,,0">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A romák és az általános népesség közötti szegénységi rés legalább felére szűkítése</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annak biztosítása érdekében, hogy 2030-ra a romák többsége kikerüljön a szegénységből</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i/>
                            <w:iCs/>
                            <w:color w:val="4F81BD" w:themeColor="accent1"/>
                            <w:sz w:val="19"/>
                            <w:szCs w:val="19"/>
                          </w:rPr>
                          <w:t xml:space="preserve"> „a szegénység kockázatának kitettek” aránya: romák: 80 %; általános népesség: 16,8 % (eltérés: 63,2 százalékpont)</w:t>
                        </w:r>
                      </w:p>
                    </w:txbxContent>
                  </v:textbox>
                </v:roundrect>
                <v:roundrect id="Téglalap: lekerekített 15" o:spid="_x0000_s1033" style="position:absolute;left:23634;top:25977;width:21591;height:828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PpPMAA&#10;AADbAAAADwAAAGRycy9kb3ducmV2LnhtbERPTYvCMBC9L/gfwgh7W1M9rFKNIoKsehC0gh6HZmyL&#10;zaTbxFr99UYQvM3jfc5k1ppSNFS7wrKCfi8CQZxaXXCm4JAsf0YgnEfWWFomBXdyMJt2viYYa3vj&#10;HTV7n4kQwi5GBbn3VSylS3My6Hq2Ig7c2dYGfYB1JnWNtxBuSjmIol9psODQkGNFi5zSy/5qFNBj&#10;85f8X9eDEzZbWx0Lnid8VOq7287HIDy1/iN+u1c6zB/C65dwgJw+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hPpPMAAAADbAAAADwAAAAAAAAAAAAAAAACYAgAAZHJzL2Rvd25y&#10;ZXYueG1sUEsFBgAAAAAEAAQA9QAAAIUDAAAAAA==&#10;" fillcolor="white [3212]" strokecolor="#243f60 [1604]" strokeweight="2pt">
                  <v:textbox inset=",0,,0">
                    <w:txbxContent>
                      <w:p>
                        <w:pPr>
                          <w:pStyle w:val="NormalWeb"/>
                          <w:spacing w:before="0" w:beforeAutospacing="0" w:after="40" w:afterAutospacing="0"/>
                          <w:jc w:val="center"/>
                          <w:rPr>
                            <w:color w:val="FF0000"/>
                            <w:sz w:val="20"/>
                            <w:szCs w:val="18"/>
                          </w:rPr>
                        </w:pPr>
                        <w:r>
                          <w:rPr>
                            <w:rFonts w:asciiTheme="minorHAnsi" w:hAnsi="Calibri"/>
                            <w:b/>
                            <w:bCs/>
                            <w:color w:val="FF0000"/>
                            <w:sz w:val="20"/>
                            <w:szCs w:val="18"/>
                          </w:rPr>
                          <w:t>A roma gyermekek és más gyermekek közötti szegénységi rés legalább felére szűkítése</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annak biztosítása érdekében, hogy 2030-ra a roma gyermekek többsége kikerüljön a szegénységből</w:t>
                        </w:r>
                      </w:p>
                      <w:p>
                        <w:pPr>
                          <w:pStyle w:val="NormalWeb"/>
                          <w:numPr>
                            <w:ilvl w:val="0"/>
                            <w:numId w:val="61"/>
                          </w:numPr>
                          <w:spacing w:before="0" w:beforeAutospacing="0" w:after="0" w:afterAutospacing="0"/>
                          <w:ind w:left="142" w:hanging="142"/>
                          <w:jc w:val="both"/>
                          <w:rPr>
                            <w:rFonts w:asciiTheme="minorHAnsi" w:hAnsi="Calibri" w:cstheme="minorBidi"/>
                            <w:i/>
                            <w:iCs/>
                            <w:color w:val="4F81BD" w:themeColor="accent1"/>
                            <w:kern w:val="24"/>
                            <w:sz w:val="19"/>
                            <w:szCs w:val="19"/>
                          </w:rPr>
                        </w:pPr>
                        <w:r>
                          <w:rPr>
                            <w:rFonts w:asciiTheme="minorHAnsi" w:hAnsi="Calibri"/>
                            <w:bCs/>
                            <w:color w:val="4F81BD" w:themeColor="accent1"/>
                            <w:sz w:val="19"/>
                            <w:szCs w:val="19"/>
                          </w:rPr>
                          <w:t>roma gyermekek: 85 %; gyermekek</w:t>
                        </w:r>
                        <w:r>
                          <w:rPr>
                            <w:rFonts w:asciiTheme="minorHAnsi" w:hAnsi="Calibri"/>
                            <w:i/>
                            <w:iCs/>
                            <w:color w:val="4F81BD" w:themeColor="accent1"/>
                            <w:sz w:val="19"/>
                            <w:szCs w:val="19"/>
                          </w:rPr>
                          <w:t xml:space="preserve"> általában</w:t>
                        </w:r>
                        <w:r>
                          <w:rPr>
                            <w:rFonts w:asciiTheme="minorHAnsi" w:hAnsi="Calibri"/>
                            <w:color w:val="4F81BD" w:themeColor="accent1"/>
                            <w:sz w:val="19"/>
                            <w:szCs w:val="19"/>
                          </w:rPr>
                          <w:t>:</w:t>
                        </w:r>
                        <w:r>
                          <w:rPr>
                            <w:rFonts w:asciiTheme="minorHAnsi" w:hAnsi="Calibri"/>
                            <w:i/>
                            <w:iCs/>
                            <w:color w:val="4F81BD" w:themeColor="accent1"/>
                            <w:sz w:val="19"/>
                            <w:szCs w:val="19"/>
                          </w:rPr>
                          <w:t xml:space="preserve"> 19,6 % (eltérés: 65,4 százalékpont)</w:t>
                        </w:r>
                      </w:p>
                    </w:txbxContent>
                  </v:textbox>
                </v:roundrect>
                <v:roundrect id="Téglalap: lekerekített 21" o:spid="_x0000_s1034" style="position:absolute;left:724;top:36264;width:45228;height:22368;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45F9MQA&#10;AADbAAAADwAAAGRycy9kb3ducmV2LnhtbESPT2vDMAzF74N+B6PCLmN1OvaPrG4phTCfBmvLzlqs&#10;JmG2HGyvzb79dBjsJvGe3vtptZmCV2dKeYhsYLmoQBG30Q3cGTgemttnULkgO/SRycAPZdisZ1cr&#10;rF288Dud96VTEsK5RgN9KWOtdW57CpgXcSQW7RRTwCJr6rRLeJHw4PVdVT3qgANLQ48j7Xpqv/bf&#10;wcCnHT7scWnf/M1D85r80/1JN9aY6/m0fQFVaCr/5r9r6wRfYOUXGUCv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ORfTEAAAA2wAAAA8AAAAAAAAAAAAAAAAAmAIAAGRycy9k&#10;b3ducmV2LnhtbFBLBQYAAAAABAAEAPUAAACJAwAAAAA=&#10;" fillcolor="#e4e4e4" strokecolor="#243f60 [1604]" strokeweight="2pt">
                  <v:textbox inset=",0">
                    <w:txbxContent>
                      <w:p>
                        <w:pPr>
                          <w:pStyle w:val="NormalWeb"/>
                          <w:spacing w:before="0" w:beforeAutospacing="0" w:after="0" w:afterAutospacing="0"/>
                          <w:jc w:val="center"/>
                        </w:pPr>
                        <w:r>
                          <w:rPr>
                            <w:rFonts w:asciiTheme="minorHAnsi" w:hAnsi="Calibri"/>
                            <w:b/>
                            <w:bCs/>
                            <w:i/>
                            <w:iCs/>
                            <w:color w:val="4F81BD" w:themeColor="accent1"/>
                          </w:rPr>
                          <w:t>3.  A részvétel előmozdítása a társadalmi szerepvállalás lehetővé tétele, együttműködés és bizalom révén</w:t>
                        </w:r>
                      </w:p>
                    </w:txbxContent>
                  </v:textbox>
                </v:roundrect>
                <v:roundrect id="Téglalap: lekerekített 22" o:spid="_x0000_s1035" style="position:absolute;left:1121;top:41484;width:21869;height:5831;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YQLiMAA&#10;AADbAAAADwAAAGRycy9kb3ducmV2LnhtbERPS2vCQBC+F/wPywi9FN0oVEx0E0QReq314m3MTh6Y&#10;nY3ZzaP/vlso9DYf33P22WQaMVDnassKVssIBHFudc2lguvXebEF4TyyxsYyKfgmB1k6e9ljou3I&#10;nzRcfClCCLsEFVTet4mULq/IoFvaljhwhe0M+gC7UuoOxxBuGrmOoo00WHNoqLClY0X549IbBXE5&#10;Fjj09/fb2zE/NX2EuBmeSr3Op8MOhKfJ/4v/3B86zI/h95dwgE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YQLiMAAAADbAAAADwAAAAAAAAAAAAAAAACYAgAAZHJzL2Rvd25y&#10;ZXYueG1sUEsFBgAAAAAEAAQA9QAAAIUDAAAAAA==&#10;" fillcolor="white [3212]" strokecolor="#243f60 [1604]" strokeweight="2pt">
                  <v:textbox inset="0,0,0,0">
                    <w:txbxContent>
                      <w:p>
                        <w:pPr>
                          <w:pStyle w:val="NormalWeb"/>
                          <w:spacing w:before="0" w:beforeAutospacing="0" w:after="0" w:afterAutospacing="0"/>
                          <w:jc w:val="center"/>
                          <w:rPr>
                            <w:color w:val="FF0000"/>
                            <w:sz w:val="20"/>
                            <w:szCs w:val="18"/>
                          </w:rPr>
                        </w:pPr>
                        <w:r>
                          <w:rPr>
                            <w:rFonts w:asciiTheme="minorHAnsi" w:hAnsi="Calibri"/>
                            <w:b/>
                            <w:bCs/>
                            <w:color w:val="FF0000"/>
                            <w:sz w:val="20"/>
                            <w:szCs w:val="18"/>
                          </w:rPr>
                          <w:t>Legalább 90 NGO bevonása és alkalmassá tétele a roma civil társadalom koordinált, uniós szintű nyomon követésébe</w:t>
                        </w:r>
                      </w:p>
                      <w:p>
                        <w:pPr>
                          <w:pStyle w:val="NormalWeb"/>
                          <w:numPr>
                            <w:ilvl w:val="0"/>
                            <w:numId w:val="61"/>
                          </w:numPr>
                          <w:spacing w:before="0" w:beforeAutospacing="0" w:after="0" w:afterAutospacing="0"/>
                          <w:ind w:left="142" w:hanging="142"/>
                          <w:jc w:val="both"/>
                          <w:rPr>
                            <w:color w:val="4F81BD" w:themeColor="accent1"/>
                            <w:sz w:val="19"/>
                            <w:szCs w:val="19"/>
                          </w:rPr>
                        </w:pPr>
                        <w:r>
                          <w:rPr>
                            <w:rFonts w:asciiTheme="minorHAnsi" w:hAnsi="Calibri"/>
                            <w:i/>
                            <w:iCs/>
                            <w:color w:val="4F81BD" w:themeColor="accent1"/>
                            <w:sz w:val="19"/>
                            <w:szCs w:val="19"/>
                          </w:rPr>
                          <w:t>A Roma civil társadalmi ellenőrzés projektbe bevont NGO-k száma 85</w:t>
                        </w:r>
                      </w:p>
                    </w:txbxContent>
                  </v:textbox>
                </v:roundrect>
                <v:roundrect id="Téglalap: lekerekített 23" o:spid="_x0000_s1036" style="position:absolute;left:23634;top:41484;width:21606;height:609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a79b8A&#10;AADbAAAADwAAAGRycy9kb3ducmV2LnhtbERPTYvCMBC9C/6HMII3Te1BpBpFBNnVg6AV9Dg0Y1ts&#10;JrWJte6v3xwEj4/3vVh1phItNa60rGAyjkAQZ1aXnCs4p9vRDITzyBory6TgTQ5Wy35vgYm2Lz5S&#10;e/K5CCHsElRQeF8nUrqsIINubGviwN1sY9AH2ORSN/gK4aaScRRNpcGSQ0OBNW0Kyu6np1FAf/uf&#10;9PHcxVdsD7a+lLxO+aLUcNCt5yA8df4r/rh/tYI4rA9fwg+Qy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Hlrv1vwAAANsAAAAPAAAAAAAAAAAAAAAAAJgCAABkcnMvZG93bnJl&#10;di54bWxQSwUGAAAAAAQABAD1AAAAhAMAAAAA&#10;" fillcolor="white [3212]" strokecolor="#243f60 [1604]" strokeweight="2pt">
                  <v:textbox inset=",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A roma NGO-k, mint a nemzeti monitoringbizottságok teljes jogú tagjai </w:t>
                        </w:r>
                      </w:p>
                      <w:p>
                        <w:pPr>
                          <w:pStyle w:val="NormalWeb"/>
                          <w:spacing w:before="0" w:beforeAutospacing="0" w:after="0" w:afterAutospacing="0"/>
                          <w:jc w:val="center"/>
                          <w:rPr>
                            <w:rFonts w:asciiTheme="minorHAnsi" w:hAnsi="Calibri" w:cstheme="minorBidi"/>
                            <w:bCs/>
                            <w:color w:val="4F81BD" w:themeColor="accent1"/>
                            <w:kern w:val="24"/>
                            <w:sz w:val="20"/>
                            <w:szCs w:val="18"/>
                          </w:rPr>
                        </w:pPr>
                        <w:r>
                          <w:rPr>
                            <w:rFonts w:asciiTheme="minorHAnsi" w:hAnsi="Calibri"/>
                            <w:b/>
                            <w:bCs/>
                            <w:color w:val="FF0000"/>
                            <w:sz w:val="20"/>
                            <w:szCs w:val="18"/>
                          </w:rPr>
                          <w:t>részvételének biztosítása</w:t>
                        </w:r>
                        <w:r>
                          <w:rPr>
                            <w:rFonts w:asciiTheme="minorHAnsi" w:hAnsi="Calibri"/>
                            <w:b/>
                            <w:bCs/>
                            <w:color w:val="4F81BD" w:themeColor="accent1"/>
                            <w:sz w:val="20"/>
                            <w:szCs w:val="18"/>
                          </w:rPr>
                          <w:t xml:space="preserve"> </w:t>
                        </w:r>
                        <w:r>
                          <w:rPr>
                            <w:rFonts w:asciiTheme="minorHAnsi" w:hAnsi="Calibri"/>
                            <w:bCs/>
                            <w:color w:val="4F81BD" w:themeColor="accent1"/>
                            <w:sz w:val="20"/>
                            <w:szCs w:val="18"/>
                          </w:rPr>
                          <w:t xml:space="preserve">a roma közösségek szükségleteit </w:t>
                        </w:r>
                      </w:p>
                      <w:p>
                        <w:pPr>
                          <w:pStyle w:val="NormalWeb"/>
                          <w:spacing w:before="0" w:beforeAutospacing="0" w:after="0" w:afterAutospacing="0"/>
                          <w:jc w:val="center"/>
                          <w:rPr>
                            <w:sz w:val="20"/>
                            <w:szCs w:val="18"/>
                          </w:rPr>
                        </w:pPr>
                        <w:r>
                          <w:rPr>
                            <w:rFonts w:asciiTheme="minorHAnsi" w:hAnsi="Calibri"/>
                            <w:bCs/>
                            <w:color w:val="4F81BD" w:themeColor="accent1"/>
                            <w:sz w:val="20"/>
                            <w:szCs w:val="18"/>
                          </w:rPr>
                          <w:t>kezelő összes programban</w:t>
                        </w:r>
                      </w:p>
                    </w:txbxContent>
                  </v:textbox>
                </v:roundrect>
                <v:roundrect id="Téglalap: lekerekített 24" o:spid="_x0000_s1037" style="position:absolute;left:1472;top:47892;width:21869;height:10076;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7NM8MA&#10;AADbAAAADwAAAGRycy9kb3ducmV2LnhtbESPS2vDMBCE74H+B7GFXEItx9DQOpZDcSnk2jSX3LbW&#10;+kGslWvJj/z7qFDocZiZb5jssJhOTDS41rKCbRSDIC6tbrlWcP76eHoB4Tyyxs4yKbiRg0P+sMow&#10;1XbmT5pOvhYBwi5FBY33fSqlKxsy6CLbEwevsoNBH+RQSz3gHOCmk0kc76TBlsNCgz0VDZXX02gU&#10;vNZzhdP4/XzZFOV7N8aIu+lHqfXj8rYH4Wnx/+G/9lErSLbw+yX8AJn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7NM8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Azon romák arányának megkétszerezése, akik bejelentést tesznek, ha hátrányos megkülönböztetést tapasztalnak </w:t>
                        </w:r>
                      </w:p>
                      <w:p>
                        <w:pPr>
                          <w:pStyle w:val="NormalWeb"/>
                          <w:numPr>
                            <w:ilvl w:val="0"/>
                            <w:numId w:val="65"/>
                          </w:numPr>
                          <w:spacing w:before="0" w:beforeAutospacing="0" w:after="0" w:afterAutospacing="0"/>
                          <w:ind w:left="142" w:hanging="142"/>
                          <w:contextualSpacing/>
                          <w:rPr>
                            <w:rFonts w:asciiTheme="minorHAnsi" w:hAnsi="Calibri" w:cstheme="minorBidi"/>
                            <w:iCs/>
                            <w:color w:val="00B050"/>
                            <w:kern w:val="24"/>
                            <w:sz w:val="19"/>
                            <w:szCs w:val="19"/>
                          </w:rPr>
                        </w:pPr>
                        <w:r>
                          <w:rPr>
                            <w:rFonts w:asciiTheme="minorHAnsi" w:hAnsi="Calibri"/>
                            <w:iCs/>
                            <w:color w:val="00B050"/>
                            <w:sz w:val="19"/>
                            <w:szCs w:val="19"/>
                          </w:rPr>
                          <w:t>annak biztosítása érdekében, hogy 2030-ra a roma áldozatok legalább 30 %-a jelentse a hátrányos megkülönböztetést</w:t>
                        </w:r>
                      </w:p>
                      <w:p>
                        <w:pPr>
                          <w:pStyle w:val="NormalWeb"/>
                          <w:numPr>
                            <w:ilvl w:val="0"/>
                            <w:numId w:val="65"/>
                          </w:numPr>
                          <w:spacing w:before="0" w:beforeAutospacing="0" w:after="0" w:afterAutospacing="0"/>
                          <w:ind w:left="142" w:hanging="142"/>
                          <w:contextualSpacing/>
                          <w:rPr>
                            <w:rFonts w:asciiTheme="minorHAnsi" w:hAnsi="Calibri" w:cstheme="minorBidi"/>
                            <w:iCs/>
                            <w:color w:val="4F81BD" w:themeColor="accent1"/>
                            <w:kern w:val="24"/>
                            <w:sz w:val="19"/>
                            <w:szCs w:val="19"/>
                          </w:rPr>
                        </w:pPr>
                        <w:r>
                          <w:rPr>
                            <w:rFonts w:asciiTheme="minorHAnsi" w:hAnsi="Calibri"/>
                            <w:i/>
                            <w:iCs/>
                            <w:color w:val="4F81BD" w:themeColor="accent1"/>
                            <w:sz w:val="19"/>
                            <w:szCs w:val="19"/>
                          </w:rPr>
                          <w:t>azok aránya, akik jelentették az általuk legutóbb tapasztalt hátrányos megkülönböztetési esetet (bármely téren) az elmúlt 5 évben: 16 %</w:t>
                        </w:r>
                      </w:p>
                    </w:txbxContent>
                  </v:textbox>
                </v:roundrect>
                <v:roundrect id="Téglalap: lekerekített 23" o:spid="_x0000_s1038" style="position:absolute;left:23636;top:47892;width:21604;height:893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dVR8IA&#10;AADbAAAADwAAAGRycy9kb3ducmV2LnhtbESPS4vCQBCE74L/YegFL7JOFAyadRRxWdirj4u3NtN5&#10;sJmemJk8/Pc7guCxqKqvqM1uMJXoqHGlZQXzWQSCOLW65FzB5fzzuQLhPLLGyjIpeJCD3XY82mCi&#10;bc9H6k4+FwHCLkEFhfd1IqVLCzLoZrYmDl5mG4M+yCaXusE+wE0lF1EUS4Mlh4UCazoUlP6dWqNg&#10;nfcZdu1teZ0e0u+qjRDj7q7U5GPYf4HwNPh3+NX+1QoWMTy/hB8g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Od1VHwgAAANsAAAAPAAAAAAAAAAAAAAAAAJgCAABkcnMvZG93&#10;bnJldi54bWxQSwUGAAAAAAQABAD1AAAAhwM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A romák helyi, regionális, nemzeti és uniós szintű </w:t>
                        </w:r>
                      </w:p>
                      <w:p>
                        <w:pPr>
                          <w:pStyle w:val="NormalWeb"/>
                          <w:spacing w:before="0" w:beforeAutospacing="0" w:after="0" w:afterAutospacing="0"/>
                          <w:jc w:val="center"/>
                          <w:rPr>
                            <w:rFonts w:asciiTheme="minorHAnsi" w:hAnsi="Calibri" w:cstheme="minorBidi"/>
                            <w:b/>
                            <w:bCs/>
                            <w:color w:val="FF0000"/>
                            <w:kern w:val="24"/>
                            <w:sz w:val="20"/>
                            <w:szCs w:val="18"/>
                          </w:rPr>
                        </w:pPr>
                        <w:r>
                          <w:rPr>
                            <w:rFonts w:asciiTheme="minorHAnsi" w:hAnsi="Calibri"/>
                            <w:b/>
                            <w:bCs/>
                            <w:color w:val="FF0000"/>
                            <w:sz w:val="20"/>
                            <w:szCs w:val="18"/>
                          </w:rPr>
                          <w:t xml:space="preserve">politikai életben való részvételének ösztönzése </w:t>
                        </w:r>
                      </w:p>
                      <w:p>
                        <w:pPr>
                          <w:pStyle w:val="NormalWeb"/>
                          <w:spacing w:before="0" w:beforeAutospacing="0" w:after="0" w:afterAutospacing="0"/>
                          <w:jc w:val="center"/>
                          <w:rPr>
                            <w:sz w:val="20"/>
                            <w:szCs w:val="18"/>
                          </w:rPr>
                        </w:pPr>
                        <w:r>
                          <w:rPr>
                            <w:rFonts w:asciiTheme="minorHAnsi" w:hAnsi="Calibri"/>
                            <w:bCs/>
                            <w:color w:val="4F81BD" w:themeColor="accent1"/>
                            <w:sz w:val="19"/>
                            <w:szCs w:val="19"/>
                          </w:rPr>
                          <w:t>(a jelentős roma népességgel rendelkező tagállamokban)</w:t>
                        </w:r>
                      </w:p>
                      <w:p>
                        <w:pPr>
                          <w:pStyle w:val="NormalWeb"/>
                          <w:numPr>
                            <w:ilvl w:val="0"/>
                            <w:numId w:val="61"/>
                          </w:numPr>
                          <w:spacing w:before="0" w:beforeAutospacing="0" w:after="0" w:afterAutospacing="0"/>
                          <w:ind w:left="142" w:hanging="142"/>
                          <w:jc w:val="both"/>
                          <w:rPr>
                            <w:rFonts w:asciiTheme="minorHAnsi" w:hAnsi="Calibri" w:cstheme="minorBidi"/>
                            <w:bCs/>
                            <w:color w:val="00B050"/>
                            <w:kern w:val="24"/>
                            <w:sz w:val="19"/>
                            <w:szCs w:val="19"/>
                          </w:rPr>
                        </w:pPr>
                        <w:r>
                          <w:rPr>
                            <w:rFonts w:asciiTheme="minorHAnsi" w:hAnsi="Calibri"/>
                            <w:bCs/>
                            <w:color w:val="00B050"/>
                            <w:sz w:val="19"/>
                            <w:szCs w:val="19"/>
                          </w:rPr>
                          <w:t>annak biztosítása érdekében, hogy szavazóként nyilvántartásba vetessék magukat, szavazzanak, és jelöltként induljanak</w:t>
                        </w:r>
                      </w:p>
                      <w:p>
                        <w:pPr>
                          <w:pStyle w:val="NormalWeb"/>
                          <w:spacing w:before="0" w:beforeAutospacing="0" w:after="0" w:afterAutospacing="0"/>
                          <w:jc w:val="center"/>
                          <w:rPr>
                            <w:sz w:val="20"/>
                            <w:szCs w:val="18"/>
                          </w:rPr>
                        </w:pPr>
                      </w:p>
                    </w:txbxContent>
                  </v:textbox>
                </v:roundrect>
                <w10:wrap type="topAndBottom" anchorx="margin"/>
              </v:group>
            </w:pict>
          </mc:Fallback>
        </mc:AlternateContent>
      </w:r>
    </w:p>
    <w:p>
      <w:pPr>
        <w:ind w:left="5760" w:hanging="120"/>
        <w:rPr>
          <w:rFonts w:ascii="Times New Roman" w:eastAsia="Times New Roman" w:hAnsi="Times New Roman" w:cs="Times New Roman"/>
          <w:noProof/>
          <w:sz w:val="20"/>
          <w:szCs w:val="20"/>
        </w:rPr>
      </w:pPr>
      <w:r>
        <w:rPr>
          <w:rFonts w:ascii="Times New Roman" w:hAnsi="Times New Roman"/>
          <w:noProof/>
          <w:sz w:val="24"/>
          <w:szCs w:val="24"/>
          <w:lang w:val="en-GB" w:eastAsia="en-GB"/>
        </w:rPr>
        <mc:AlternateContent>
          <mc:Choice Requires="wpg">
            <w:drawing>
              <wp:anchor distT="0" distB="0" distL="114300" distR="114300" simplePos="0" relativeHeight="252189184" behindDoc="0" locked="0" layoutInCell="1" allowOverlap="1">
                <wp:simplePos x="0" y="0"/>
                <wp:positionH relativeFrom="margin">
                  <wp:posOffset>0</wp:posOffset>
                </wp:positionH>
                <wp:positionV relativeFrom="paragraph">
                  <wp:posOffset>-328295</wp:posOffset>
                </wp:positionV>
                <wp:extent cx="6248400" cy="8884920"/>
                <wp:effectExtent l="0" t="0" r="0" b="11430"/>
                <wp:wrapTopAndBottom/>
                <wp:docPr id="45" name="Group 45"/>
                <wp:cNvGraphicFramePr/>
                <a:graphic xmlns:a="http://schemas.openxmlformats.org/drawingml/2006/main">
                  <a:graphicData uri="http://schemas.microsoft.com/office/word/2010/wordprocessingGroup">
                    <wpg:wgp>
                      <wpg:cNvGrpSpPr/>
                      <wpg:grpSpPr>
                        <a:xfrm>
                          <a:off x="0" y="0"/>
                          <a:ext cx="6248400" cy="8884920"/>
                          <a:chOff x="0" y="0"/>
                          <a:chExt cx="6248400" cy="7890195"/>
                        </a:xfrm>
                      </wpg:grpSpPr>
                      <wpg:grpSp>
                        <wpg:cNvPr id="46" name="Group 46"/>
                        <wpg:cNvGrpSpPr/>
                        <wpg:grpSpPr>
                          <a:xfrm>
                            <a:off x="51162" y="272554"/>
                            <a:ext cx="6117228" cy="7617641"/>
                            <a:chOff x="-24304" y="-109251"/>
                            <a:chExt cx="4552489" cy="5990490"/>
                          </a:xfrm>
                        </wpg:grpSpPr>
                        <wps:wsp>
                          <wps:cNvPr id="47" name="Téglalap: lekerekített 7">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6EA7608-54D3-4E22-939F-C927A8825621}"/>
                              </a:ext>
                            </a:extLst>
                          </wps:cNvPr>
                          <wps:cNvSpPr/>
                          <wps:spPr>
                            <a:xfrm>
                              <a:off x="0" y="3459550"/>
                              <a:ext cx="4528185" cy="825302"/>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 w:val="18"/>
                                  </w:rPr>
                                </w:pPr>
                                <w:r>
                                  <w:rPr>
                                    <w:rFonts w:asciiTheme="minorHAnsi" w:hAnsi="Calibri"/>
                                    <w:b/>
                                    <w:bCs/>
                                    <w:i/>
                                    <w:iCs/>
                                    <w:color w:val="4F81BD" w:themeColor="accent1"/>
                                    <w:sz w:val="22"/>
                                    <w:szCs w:val="32"/>
                                  </w:rPr>
                                  <w:t>6. A romák egészségének javítása és a színvonalas egészségügyi ellátáshoz és szociális szolgáltatásokhoz való tényleges, egyenlő hozzáférés javítása</w:t>
                                </w:r>
                              </w:p>
                            </w:txbxContent>
                          </wps:txbx>
                          <wps:bodyPr lIns="0" tIns="0" rIns="0" bIns="0" rtlCol="0" anchor="t" anchorCtr="0">
                            <a:noAutofit/>
                          </wps:bodyPr>
                        </wps:wsp>
                        <wps:wsp>
                          <wps:cNvPr id="48" name="Téglalap: lekerekített 9">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90E2ECE6-A4E1-43FB-BE27-BE345B4E5FBC}"/>
                              </a:ext>
                            </a:extLst>
                          </wps:cNvPr>
                          <wps:cNvSpPr/>
                          <wps:spPr>
                            <a:xfrm>
                              <a:off x="97971" y="3748707"/>
                              <a:ext cx="4299379" cy="50000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18"/>
                                    <w:szCs w:val="18"/>
                                  </w:rPr>
                                </w:pPr>
                                <w:r>
                                  <w:rPr>
                                    <w:rFonts w:asciiTheme="minorHAnsi" w:hAnsi="Calibri"/>
                                    <w:b/>
                                    <w:bCs/>
                                    <w:color w:val="FF0000"/>
                                    <w:sz w:val="18"/>
                                    <w:szCs w:val="18"/>
                                  </w:rPr>
                                  <w:t>A várható élettartam terén tapasztalható különbség legalább felére csökkentése</w:t>
                                </w:r>
                              </w:p>
                              <w:p>
                                <w:pPr>
                                  <w:pStyle w:val="NormalWeb"/>
                                  <w:numPr>
                                    <w:ilvl w:val="0"/>
                                    <w:numId w:val="73"/>
                                  </w:numPr>
                                  <w:spacing w:before="0" w:beforeAutospacing="0" w:after="0" w:afterAutospacing="0"/>
                                  <w:ind w:left="142" w:hanging="142"/>
                                  <w:rPr>
                                    <w:color w:val="00B050"/>
                                    <w:sz w:val="18"/>
                                    <w:szCs w:val="18"/>
                                  </w:rPr>
                                </w:pPr>
                                <w:r>
                                  <w:rPr>
                                    <w:sz w:val="18"/>
                                    <w:szCs w:val="18"/>
                                  </w:rPr>
                                  <w:t xml:space="preserve"> </w:t>
                                </w:r>
                                <w:r>
                                  <w:rPr>
                                    <w:color w:val="00B050"/>
                                    <w:sz w:val="18"/>
                                    <w:szCs w:val="18"/>
                                  </w:rPr>
                                  <w:t>annak biztosítása érdekében, hogy 2030-ra a roma nők és férfiak 5 évvel tovább éljenek</w:t>
                                </w:r>
                              </w:p>
                              <w:p>
                                <w:pPr>
                                  <w:pStyle w:val="NormalWeb"/>
                                  <w:numPr>
                                    <w:ilvl w:val="0"/>
                                    <w:numId w:val="73"/>
                                  </w:numPr>
                                  <w:spacing w:before="0" w:beforeAutospacing="0" w:after="0" w:afterAutospacing="0"/>
                                  <w:ind w:left="142" w:hanging="142"/>
                                  <w:rPr>
                                    <w:color w:val="4F81BD" w:themeColor="accent1"/>
                                    <w:sz w:val="18"/>
                                    <w:szCs w:val="18"/>
                                  </w:rPr>
                                </w:pPr>
                                <w:r>
                                  <w:rPr>
                                    <w:rFonts w:asciiTheme="minorHAnsi" w:hAnsi="Calibri"/>
                                    <w:i/>
                                    <w:iCs/>
                                    <w:color w:val="4F81BD" w:themeColor="accent1"/>
                                    <w:sz w:val="18"/>
                                    <w:szCs w:val="18"/>
                                  </w:rPr>
                                  <w:t>a születéskor várható élettartam terén meglévő különbség (általános népesség és romák között): roma nők: 10,4 év; roma férfiak: 10,2 év</w:t>
                                </w:r>
                              </w:p>
                            </w:txbxContent>
                          </wps:txbx>
                          <wps:bodyPr lIns="0" tIns="0" rIns="0" bIns="0" rtlCol="0" anchor="t" anchorCtr="0">
                            <a:noAutofit/>
                          </wps:bodyPr>
                        </wps:wsp>
                        <wps:wsp>
                          <wps:cNvPr id="50" name="Téglalap: lekerekített 13">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EC99626-67C6-437C-B15D-53125CBD19C3}"/>
                              </a:ext>
                            </a:extLst>
                          </wps:cNvPr>
                          <wps:cNvSpPr/>
                          <wps:spPr>
                            <a:xfrm>
                              <a:off x="0" y="1869187"/>
                              <a:ext cx="4528185" cy="1554218"/>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 w:val="22"/>
                                    <w:szCs w:val="22"/>
                                  </w:rPr>
                                </w:pPr>
                                <w:r>
                                  <w:rPr>
                                    <w:rFonts w:asciiTheme="minorHAnsi" w:hAnsi="Calibri"/>
                                    <w:b/>
                                    <w:bCs/>
                                    <w:i/>
                                    <w:iCs/>
                                    <w:color w:val="4F81BD" w:themeColor="accent1"/>
                                    <w:sz w:val="22"/>
                                    <w:szCs w:val="22"/>
                                  </w:rPr>
                                  <w:t>5. A színvonalas és fenntartható foglalkoztatáshoz való tényleges egyenlő hozzáférés növelése</w:t>
                                </w:r>
                              </w:p>
                            </w:txbxContent>
                          </wps:txbx>
                          <wps:bodyPr rot="0" spcFirstLastPara="0" vert="horz" wrap="square" lIns="0" tIns="0" rIns="0" bIns="0" numCol="1" spcCol="0" rtlCol="0" fromWordArt="0" anchor="t" anchorCtr="0" forceAA="0" compatLnSpc="1">
                            <a:prstTxWarp prst="textNoShape">
                              <a:avLst/>
                            </a:prstTxWarp>
                            <a:noAutofit/>
                          </wps:bodyPr>
                        </wps:wsp>
                        <wps:wsp>
                          <wps:cNvPr id="51" name="Téglalap: lekerekített 1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3BE9DB23-DAB2-4302-AB77-D8AF8BE9F452}"/>
                              </a:ext>
                            </a:extLst>
                          </wps:cNvPr>
                          <wps:cNvSpPr/>
                          <wps:spPr>
                            <a:xfrm>
                              <a:off x="71391" y="2092079"/>
                              <a:ext cx="1737615" cy="861986"/>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18"/>
                                    <w:szCs w:val="18"/>
                                  </w:rPr>
                                </w:pPr>
                                <w:r>
                                  <w:rPr>
                                    <w:rFonts w:asciiTheme="minorHAnsi" w:hAnsi="Calibri"/>
                                    <w:b/>
                                    <w:bCs/>
                                    <w:color w:val="FF0000"/>
                                    <w:sz w:val="18"/>
                                    <w:szCs w:val="18"/>
                                  </w:rPr>
                                  <w:t>A foglalkoztatási különbség legalább felére csökkentése</w:t>
                                </w:r>
                              </w:p>
                              <w:p>
                                <w:pPr>
                                  <w:pStyle w:val="NormalWeb"/>
                                  <w:numPr>
                                    <w:ilvl w:val="0"/>
                                    <w:numId w:val="70"/>
                                  </w:numPr>
                                  <w:spacing w:before="0" w:beforeAutospacing="0" w:after="0" w:afterAutospacing="0"/>
                                  <w:ind w:left="142" w:hanging="142"/>
                                  <w:rPr>
                                    <w:color w:val="00B050"/>
                                    <w:sz w:val="18"/>
                                    <w:szCs w:val="19"/>
                                  </w:rPr>
                                </w:pPr>
                                <w:r>
                                  <w:rPr>
                                    <w:color w:val="00B050"/>
                                    <w:sz w:val="18"/>
                                    <w:szCs w:val="19"/>
                                  </w:rPr>
                                  <w:t>annak biztosítása érdekében, hogy 2030-ra a romák legalább 60 %-a rendelkezzen fizetett munkával</w:t>
                                </w:r>
                              </w:p>
                              <w:p>
                                <w:pPr>
                                  <w:pStyle w:val="NormalWeb"/>
                                  <w:numPr>
                                    <w:ilvl w:val="0"/>
                                    <w:numId w:val="70"/>
                                  </w:numPr>
                                  <w:spacing w:before="0" w:beforeAutospacing="0" w:after="0" w:afterAutospacing="0"/>
                                  <w:ind w:left="142" w:hanging="142"/>
                                  <w:rPr>
                                    <w:color w:val="4F81BD" w:themeColor="accent1"/>
                                    <w:sz w:val="18"/>
                                    <w:szCs w:val="19"/>
                                  </w:rPr>
                                </w:pPr>
                                <w:r>
                                  <w:rPr>
                                    <w:rFonts w:asciiTheme="minorHAnsi" w:hAnsi="Calibri"/>
                                    <w:i/>
                                    <w:iCs/>
                                    <w:color w:val="4F81BD" w:themeColor="accent1"/>
                                    <w:sz w:val="18"/>
                                    <w:szCs w:val="19"/>
                                  </w:rPr>
                                  <w:t>fizetett foglalkoztatás: romák: 43 %; általános népesség: 73,1 % (eltérés: 30,1 százalékpont)</w:t>
                                </w:r>
                              </w:p>
                            </w:txbxContent>
                          </wps:txbx>
                          <wps:bodyPr lIns="0" tIns="0" rIns="0" bIns="0" rtlCol="0" anchor="t" anchorCtr="0">
                            <a:noAutofit/>
                          </wps:bodyPr>
                        </wps:wsp>
                        <wps:wsp>
                          <wps:cNvPr id="52" name="Téglalap: lekerekített 15">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234F9B31-C470-4D25-9AC4-F07F2CAFE832}"/>
                              </a:ext>
                            </a:extLst>
                          </wps:cNvPr>
                          <wps:cNvSpPr/>
                          <wps:spPr>
                            <a:xfrm>
                              <a:off x="1848703" y="2092080"/>
                              <a:ext cx="2655176" cy="861986"/>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18"/>
                                    <w:szCs w:val="18"/>
                                  </w:rPr>
                                </w:pPr>
                                <w:r>
                                  <w:rPr>
                                    <w:rFonts w:asciiTheme="minorHAnsi" w:hAnsi="Calibri"/>
                                    <w:b/>
                                    <w:bCs/>
                                    <w:color w:val="FF0000"/>
                                    <w:sz w:val="18"/>
                                    <w:szCs w:val="18"/>
                                  </w:rPr>
                                  <w:t xml:space="preserve">A nemek közötti foglalkoztatási különbség legalább felére csökkentése a romák körében </w:t>
                                </w:r>
                              </w:p>
                              <w:p>
                                <w:pPr>
                                  <w:pStyle w:val="NormalWeb"/>
                                  <w:numPr>
                                    <w:ilvl w:val="0"/>
                                    <w:numId w:val="71"/>
                                  </w:numPr>
                                  <w:spacing w:before="0" w:beforeAutospacing="0" w:after="0" w:afterAutospacing="0"/>
                                  <w:ind w:left="142" w:hanging="142"/>
                                  <w:rPr>
                                    <w:color w:val="00B050"/>
                                    <w:sz w:val="18"/>
                                    <w:szCs w:val="19"/>
                                  </w:rPr>
                                </w:pPr>
                                <w:r>
                                  <w:rPr>
                                    <w:color w:val="00B050"/>
                                    <w:sz w:val="18"/>
                                    <w:szCs w:val="19"/>
                                  </w:rPr>
                                  <w:t>annak biztosítása érdekében, hogy 2030-ra a roma nők legalább 45 %-a rendelkezzen fizetett munkával</w:t>
                                </w:r>
                              </w:p>
                              <w:p>
                                <w:pPr>
                                  <w:pStyle w:val="NormalWeb"/>
                                  <w:numPr>
                                    <w:ilvl w:val="0"/>
                                    <w:numId w:val="71"/>
                                  </w:numPr>
                                  <w:spacing w:before="0" w:beforeAutospacing="0" w:after="0" w:afterAutospacing="0"/>
                                  <w:ind w:left="142" w:hanging="142"/>
                                  <w:rPr>
                                    <w:color w:val="4F81BD" w:themeColor="accent1"/>
                                    <w:sz w:val="18"/>
                                    <w:szCs w:val="19"/>
                                  </w:rPr>
                                </w:pPr>
                                <w:r>
                                  <w:rPr>
                                    <w:rFonts w:asciiTheme="minorHAnsi" w:hAnsi="Calibri"/>
                                    <w:i/>
                                    <w:iCs/>
                                    <w:color w:val="4F81BD" w:themeColor="accent1"/>
                                    <w:sz w:val="18"/>
                                    <w:szCs w:val="19"/>
                                  </w:rPr>
                                  <w:t>nemek közötti foglalkoztatási különbség – romák: 27 százalékpont (nők: 29 %, férfiak: 56 %); nemek közötti foglalkoztatási különbség az általános népesség körében: 11,7 százalékpont (nők: 67,2 %, férfiak: 78,9 %)</w:t>
                                </w:r>
                              </w:p>
                            </w:txbxContent>
                          </wps:txbx>
                          <wps:bodyPr wrap="square" lIns="0" tIns="0" rIns="0" bIns="0" rtlCol="0" anchor="t" anchorCtr="0">
                            <a:noAutofit/>
                          </wps:bodyPr>
                        </wps:wsp>
                        <wps:wsp>
                          <wps:cNvPr id="53" name="Téglalap: lekerekített 16">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559FADA-57F1-463B-ABB7-CEB05123EB7C}"/>
                              </a:ext>
                            </a:extLst>
                          </wps:cNvPr>
                          <wps:cNvSpPr/>
                          <wps:spPr>
                            <a:xfrm>
                              <a:off x="357264" y="2977177"/>
                              <a:ext cx="3980947" cy="446228"/>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18"/>
                                    <w:szCs w:val="18"/>
                                  </w:rPr>
                                </w:pPr>
                                <w:r>
                                  <w:rPr>
                                    <w:rFonts w:asciiTheme="minorHAnsi" w:hAnsi="Calibri"/>
                                    <w:b/>
                                    <w:bCs/>
                                    <w:color w:val="FF0000"/>
                                    <w:sz w:val="18"/>
                                    <w:szCs w:val="18"/>
                                  </w:rPr>
                                  <w:t xml:space="preserve">A NEET-arány legalább felére csökkentése </w:t>
                                </w:r>
                              </w:p>
                              <w:p>
                                <w:pPr>
                                  <w:pStyle w:val="NormalWeb"/>
                                  <w:numPr>
                                    <w:ilvl w:val="0"/>
                                    <w:numId w:val="72"/>
                                  </w:numPr>
                                  <w:spacing w:before="0" w:beforeAutospacing="0" w:after="0" w:afterAutospacing="0"/>
                                  <w:ind w:left="142" w:hanging="142"/>
                                  <w:rPr>
                                    <w:color w:val="00B050"/>
                                    <w:sz w:val="18"/>
                                    <w:szCs w:val="19"/>
                                  </w:rPr>
                                </w:pPr>
                                <w:r>
                                  <w:rPr>
                                    <w:color w:val="00B050"/>
                                    <w:sz w:val="18"/>
                                    <w:szCs w:val="19"/>
                                  </w:rPr>
                                  <w:t>annak biztosítása érdekében, hogy 2030-ra háromból kevesebb mint egy roma fiatal tartozzon a foglalkoztatásban, oktatásban vagy képzésben részt nem vevők közé</w:t>
                                </w:r>
                              </w:p>
                              <w:p>
                                <w:pPr>
                                  <w:pStyle w:val="NormalWeb"/>
                                  <w:numPr>
                                    <w:ilvl w:val="0"/>
                                    <w:numId w:val="72"/>
                                  </w:numPr>
                                  <w:spacing w:before="0" w:beforeAutospacing="0" w:after="0" w:afterAutospacing="0"/>
                                  <w:ind w:left="142" w:hanging="142"/>
                                  <w:rPr>
                                    <w:color w:val="4F81BD" w:themeColor="accent1"/>
                                    <w:sz w:val="18"/>
                                    <w:szCs w:val="19"/>
                                  </w:rPr>
                                </w:pPr>
                                <w:r>
                                  <w:rPr>
                                    <w:rFonts w:asciiTheme="minorHAnsi" w:hAnsi="Calibri"/>
                                    <w:i/>
                                    <w:iCs/>
                                    <w:color w:val="4F81BD" w:themeColor="accent1"/>
                                    <w:sz w:val="18"/>
                                    <w:szCs w:val="19"/>
                                  </w:rPr>
                                  <w:t>NEET-arány (16–24 évesek): romák: 62 %; általános népesség: 10,1 % (eltérés: 51,9 százalékpont)</w:t>
                                </w:r>
                              </w:p>
                            </w:txbxContent>
                          </wps:txbx>
                          <wps:bodyPr wrap="square" lIns="0" tIns="0" rIns="0" bIns="0" rtlCol="0" anchor="t" anchorCtr="0">
                            <a:noAutofit/>
                          </wps:bodyPr>
                        </wps:wsp>
                        <wps:wsp>
                          <wps:cNvPr id="54" name="Téglalap: lekerekített 21">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A0A831C-EC51-4F29-BA89-24CBA1034625}"/>
                              </a:ext>
                            </a:extLst>
                          </wps:cNvPr>
                          <wps:cNvSpPr/>
                          <wps:spPr>
                            <a:xfrm>
                              <a:off x="-24304" y="4327021"/>
                              <a:ext cx="4528185" cy="1554218"/>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4F81BD" w:themeColor="accent1"/>
                                    <w:sz w:val="22"/>
                                    <w:szCs w:val="22"/>
                                  </w:rPr>
                                </w:pPr>
                                <w:r>
                                  <w:rPr>
                                    <w:rFonts w:asciiTheme="minorHAnsi" w:hAnsi="Calibri"/>
                                    <w:b/>
                                    <w:bCs/>
                                    <w:i/>
                                    <w:iCs/>
                                    <w:color w:val="4F81BD" w:themeColor="accent1"/>
                                    <w:sz w:val="22"/>
                                    <w:szCs w:val="22"/>
                                  </w:rPr>
                                  <w:t>7. A megfelelő deszegregált lakhatáshoz és alapvető szolgáltatásokhoz való tényleges, egyenlő hozzáférés növelése</w:t>
                                </w:r>
                              </w:p>
                            </w:txbxContent>
                          </wps:txbx>
                          <wps:bodyPr rot="0" spcFirstLastPara="0" vert="horz" wrap="square" lIns="0" tIns="0" rIns="0" bIns="0" numCol="1" spcCol="0" rtlCol="0" fromWordArt="0" anchor="t" anchorCtr="0" forceAA="0" compatLnSpc="1">
                            <a:prstTxWarp prst="textNoShape">
                              <a:avLst/>
                            </a:prstTxWarp>
                            <a:noAutofit/>
                          </wps:bodyPr>
                        </wps:wsp>
                        <wps:wsp>
                          <wps:cNvPr id="55" name="Téglalap: lekerekített 22">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07C4240-354D-4408-8FF7-3F5CF3B9F0C4}"/>
                              </a:ext>
                            </a:extLst>
                          </wps:cNvPr>
                          <wps:cNvSpPr/>
                          <wps:spPr>
                            <a:xfrm>
                              <a:off x="38988" y="4670395"/>
                              <a:ext cx="2304699" cy="710843"/>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18"/>
                                    <w:szCs w:val="18"/>
                                  </w:rPr>
                                </w:pPr>
                                <w:r>
                                  <w:rPr>
                                    <w:rFonts w:asciiTheme="minorHAnsi" w:hAnsi="Calibri"/>
                                    <w:b/>
                                    <w:bCs/>
                                    <w:color w:val="FF0000"/>
                                    <w:sz w:val="18"/>
                                    <w:szCs w:val="18"/>
                                  </w:rPr>
                                  <w:t xml:space="preserve">Az elégtelen lakáskörülmények terén meglévő különbség legalább harmadával csökkentése </w:t>
                                </w:r>
                              </w:p>
                              <w:p>
                                <w:pPr>
                                  <w:pStyle w:val="NormalWeb"/>
                                  <w:numPr>
                                    <w:ilvl w:val="0"/>
                                    <w:numId w:val="73"/>
                                  </w:numPr>
                                  <w:spacing w:before="0" w:beforeAutospacing="0" w:after="0" w:afterAutospacing="0"/>
                                  <w:ind w:left="142" w:hanging="142"/>
                                  <w:rPr>
                                    <w:color w:val="00B050"/>
                                    <w:sz w:val="18"/>
                                    <w:szCs w:val="19"/>
                                  </w:rPr>
                                </w:pPr>
                                <w:r>
                                  <w:rPr>
                                    <w:color w:val="00B050"/>
                                    <w:sz w:val="18"/>
                                    <w:szCs w:val="19"/>
                                  </w:rPr>
                                  <w:t>annak biztosítása érdekében, hogy 2030-ra a romák többsége ne szembesüljön elégtelen lakáskörülményekkel</w:t>
                                </w:r>
                              </w:p>
                              <w:p>
                                <w:pPr>
                                  <w:pStyle w:val="NormalWeb"/>
                                  <w:numPr>
                                    <w:ilvl w:val="0"/>
                                    <w:numId w:val="73"/>
                                  </w:numPr>
                                  <w:spacing w:before="0" w:beforeAutospacing="0" w:after="0" w:afterAutospacing="0"/>
                                  <w:ind w:left="142" w:hanging="142"/>
                                  <w:rPr>
                                    <w:color w:val="4F81BD" w:themeColor="accent1"/>
                                    <w:sz w:val="18"/>
                                    <w:szCs w:val="19"/>
                                  </w:rPr>
                                </w:pPr>
                                <w:r>
                                  <w:rPr>
                                    <w:rFonts w:asciiTheme="minorHAnsi" w:hAnsi="Calibri"/>
                                    <w:i/>
                                    <w:iCs/>
                                    <w:color w:val="4F81BD" w:themeColor="accent1"/>
                                    <w:sz w:val="18"/>
                                    <w:szCs w:val="19"/>
                                  </w:rPr>
                                  <w:t>elégtelen lakáskörülmények: romák: 61 %; általános népesség: 17,9 % (különbség: 43,1 százalékpont)</w:t>
                                </w:r>
                              </w:p>
                            </w:txbxContent>
                          </wps:txbx>
                          <wps:bodyPr lIns="0" tIns="0" rIns="0" bIns="0" rtlCol="0" anchor="t" anchorCtr="0">
                            <a:noAutofit/>
                          </wps:bodyPr>
                        </wps:wsp>
                        <wps:wsp>
                          <wps:cNvPr id="56" name="Téglalap: lekerekített 25">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F937739A-7077-4267-A845-43ACD5EC1C71}"/>
                              </a:ext>
                            </a:extLst>
                          </wps:cNvPr>
                          <wps:cNvSpPr/>
                          <wps:spPr>
                            <a:xfrm>
                              <a:off x="0" y="-109251"/>
                              <a:ext cx="4528185" cy="1936269"/>
                            </a:xfrm>
                            <a:prstGeom prst="roundRect">
                              <a:avLst/>
                            </a:prstGeom>
                            <a:solidFill>
                              <a:srgbClr val="E4E4E4"/>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 w:val="22"/>
                                    <w:szCs w:val="22"/>
                                  </w:rPr>
                                </w:pPr>
                                <w:r>
                                  <w:rPr>
                                    <w:rFonts w:asciiTheme="minorHAnsi" w:hAnsi="Calibri"/>
                                    <w:b/>
                                    <w:bCs/>
                                    <w:i/>
                                    <w:iCs/>
                                    <w:color w:val="4F81BD" w:themeColor="accent1"/>
                                    <w:sz w:val="22"/>
                                    <w:szCs w:val="22"/>
                                  </w:rPr>
                                  <w:t>4</w:t>
                                </w:r>
                                <w:r>
                                  <w:rPr>
                                    <w:rFonts w:asciiTheme="minorHAnsi" w:hAnsi="Calibri"/>
                                    <w:b/>
                                    <w:bCs/>
                                    <w:i/>
                                    <w:iCs/>
                                    <w:color w:val="4F81BD" w:themeColor="accent1"/>
                                    <w:sz w:val="20"/>
                                    <w:szCs w:val="22"/>
                                  </w:rPr>
                                  <w:t xml:space="preserve">.  </w:t>
                                </w:r>
                                <w:r>
                                  <w:rPr>
                                    <w:rFonts w:asciiTheme="minorHAnsi" w:hAnsi="Calibri"/>
                                    <w:b/>
                                    <w:bCs/>
                                    <w:i/>
                                    <w:iCs/>
                                    <w:color w:val="4F81BD" w:themeColor="accent1"/>
                                    <w:sz w:val="22"/>
                                    <w:szCs w:val="22"/>
                                  </w:rPr>
                                  <w:t>A színvonalas, inkluzív többségi oktatáshoz való ténylegesen egyenlő hozzáférés javítása</w:t>
                                </w:r>
                              </w:p>
                            </w:txbxContent>
                          </wps:txbx>
                          <wps:bodyPr rot="0" spcFirstLastPara="0" vert="horz" wrap="square" lIns="0" tIns="0" rIns="0" bIns="0" numCol="1" spcCol="0" rtlCol="0" fromWordArt="0" anchor="t" anchorCtr="0" forceAA="0" compatLnSpc="1">
                            <a:prstTxWarp prst="textNoShape">
                              <a:avLst/>
                            </a:prstTxWarp>
                            <a:noAutofit/>
                          </wps:bodyPr>
                        </wps:wsp>
                        <wps:wsp>
                          <wps:cNvPr id="57" name="Téglalap: lekerekített 2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137F931-C869-4F62-BB0D-D6F8AD375D21}"/>
                              </a:ext>
                            </a:extLst>
                          </wps:cNvPr>
                          <wps:cNvSpPr/>
                          <wps:spPr>
                            <a:xfrm>
                              <a:off x="881002" y="5440589"/>
                              <a:ext cx="2969515" cy="37331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color w:val="FF0000"/>
                                    <w:sz w:val="18"/>
                                    <w:szCs w:val="18"/>
                                  </w:rPr>
                                </w:pPr>
                                <w:r>
                                  <w:rPr>
                                    <w:rFonts w:asciiTheme="minorHAnsi" w:hAnsi="Calibri"/>
                                    <w:b/>
                                    <w:bCs/>
                                    <w:color w:val="FF0000"/>
                                    <w:sz w:val="18"/>
                                    <w:szCs w:val="18"/>
                                  </w:rPr>
                                  <w:t>Annak biztosítása, hogy a romák legalább 95 %-a hozzáférjen vezetékes vízhez</w:t>
                                </w:r>
                              </w:p>
                              <w:p>
                                <w:pPr>
                                  <w:pStyle w:val="NormalWeb"/>
                                  <w:numPr>
                                    <w:ilvl w:val="0"/>
                                    <w:numId w:val="72"/>
                                  </w:numPr>
                                  <w:spacing w:before="0" w:beforeAutospacing="0" w:after="0" w:afterAutospacing="0"/>
                                  <w:ind w:left="142" w:hanging="142"/>
                                  <w:rPr>
                                    <w:sz w:val="18"/>
                                    <w:szCs w:val="19"/>
                                  </w:rPr>
                                </w:pPr>
                                <w:r>
                                  <w:rPr>
                                    <w:rFonts w:asciiTheme="minorHAnsi" w:hAnsi="Calibri"/>
                                    <w:i/>
                                    <w:iCs/>
                                    <w:color w:val="4F81BD" w:themeColor="accent1"/>
                                    <w:sz w:val="18"/>
                                    <w:szCs w:val="19"/>
                                  </w:rPr>
                                  <w:t>vezetékes vízhez való hozzáférés a lakásban: romák: 70 %, általános népesség: 97,7 %</w:t>
                                </w:r>
                              </w:p>
                            </w:txbxContent>
                          </wps:txbx>
                          <wps:bodyPr wrap="square" lIns="0" tIns="0" rIns="0" bIns="0" rtlCol="0" anchor="t" anchorCtr="0">
                            <a:noAutofit/>
                          </wps:bodyPr>
                        </wps:wsp>
                        <wps:wsp>
                          <wps:cNvPr id="58" name="Téglalap: lekerekített 26">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B1E117D4-3B55-4FA7-A5C0-AAD4293C5AF7}"/>
                              </a:ext>
                            </a:extLst>
                          </wps:cNvPr>
                          <wps:cNvSpPr/>
                          <wps:spPr>
                            <a:xfrm>
                              <a:off x="38988" y="212252"/>
                              <a:ext cx="2215104" cy="93041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4F81BD" w:themeColor="accent1"/>
                                    <w:kern w:val="24"/>
                                    <w:sz w:val="18"/>
                                    <w:szCs w:val="18"/>
                                  </w:rPr>
                                </w:pPr>
                                <w:r>
                                  <w:rPr>
                                    <w:rFonts w:asciiTheme="minorHAnsi" w:hAnsi="Calibri"/>
                                    <w:b/>
                                    <w:bCs/>
                                    <w:color w:val="FF0000"/>
                                    <w:sz w:val="18"/>
                                    <w:szCs w:val="18"/>
                                  </w:rPr>
                                  <w:t xml:space="preserve">A kisgyermekkori nevelésben és gondozásban való részvétel terén meglévő különbségek legalább felére csökkentése </w:t>
                                </w:r>
                              </w:p>
                              <w:p>
                                <w:pPr>
                                  <w:pStyle w:val="NormalWeb"/>
                                  <w:numPr>
                                    <w:ilvl w:val="0"/>
                                    <w:numId w:val="67"/>
                                  </w:numPr>
                                  <w:spacing w:before="0" w:beforeAutospacing="0" w:after="0" w:afterAutospacing="0"/>
                                  <w:ind w:left="142" w:hanging="142"/>
                                  <w:rPr>
                                    <w:rFonts w:asciiTheme="minorHAnsi" w:hAnsi="Calibri" w:cstheme="minorBidi"/>
                                    <w:bCs/>
                                    <w:color w:val="00B050"/>
                                    <w:kern w:val="24"/>
                                    <w:sz w:val="18"/>
                                    <w:szCs w:val="19"/>
                                  </w:rPr>
                                </w:pPr>
                                <w:r>
                                  <w:rPr>
                                    <w:rFonts w:asciiTheme="minorHAnsi" w:hAnsi="Calibri"/>
                                    <w:bCs/>
                                    <w:color w:val="00B050"/>
                                    <w:sz w:val="18"/>
                                    <w:szCs w:val="19"/>
                                  </w:rPr>
                                  <w:t>annak biztosítása érdekében, hogy 2030-ra a roma gyermekek legalább 70 %-a részt vegyen az iskola előtti nevelésben</w:t>
                                </w:r>
                              </w:p>
                              <w:p>
                                <w:pPr>
                                  <w:pStyle w:val="NormalWeb"/>
                                  <w:numPr>
                                    <w:ilvl w:val="0"/>
                                    <w:numId w:val="67"/>
                                  </w:numPr>
                                  <w:spacing w:before="0" w:beforeAutospacing="0" w:after="0" w:afterAutospacing="0"/>
                                  <w:ind w:left="142" w:hanging="142"/>
                                  <w:rPr>
                                    <w:rFonts w:asciiTheme="minorHAnsi" w:hAnsi="Calibri" w:cstheme="minorBidi"/>
                                    <w:bCs/>
                                    <w:color w:val="4F81BD" w:themeColor="accent1"/>
                                    <w:kern w:val="24"/>
                                    <w:sz w:val="18"/>
                                    <w:szCs w:val="19"/>
                                  </w:rPr>
                                </w:pPr>
                                <w:r>
                                  <w:rPr>
                                    <w:rFonts w:asciiTheme="minorHAnsi" w:hAnsi="Calibri"/>
                                    <w:i/>
                                    <w:iCs/>
                                    <w:color w:val="4F81BD" w:themeColor="accent1"/>
                                    <w:sz w:val="18"/>
                                    <w:szCs w:val="19"/>
                                  </w:rPr>
                                  <w:t>Kisgyermekkori nevelés és gondozás (3+): romák: 42 %; teljes népesség: 92,2 % (eltérés: 50,2 százalékpont)</w:t>
                                </w:r>
                              </w:p>
                            </w:txbxContent>
                          </wps:txbx>
                          <wps:bodyPr lIns="0" tIns="0" rIns="0" bIns="0" rtlCol="0" anchor="t" anchorCtr="0">
                            <a:noAutofit/>
                          </wps:bodyPr>
                        </wps:wsp>
                        <wps:wsp>
                          <wps:cNvPr id="59" name="Téglalap: lekerekített 28">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5EDA4507-D961-4E8D-BA9B-663A58705356}"/>
                              </a:ext>
                            </a:extLst>
                          </wps:cNvPr>
                          <wps:cNvSpPr/>
                          <wps:spPr>
                            <a:xfrm>
                              <a:off x="172557" y="1191376"/>
                              <a:ext cx="4262100" cy="581426"/>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sz w:val="18"/>
                                    <w:szCs w:val="18"/>
                                  </w:rPr>
                                </w:pPr>
                                <w:r>
                                  <w:rPr>
                                    <w:rFonts w:asciiTheme="minorHAnsi" w:hAnsi="Calibri"/>
                                    <w:b/>
                                    <w:bCs/>
                                    <w:color w:val="FF0000"/>
                                    <w:sz w:val="18"/>
                                    <w:szCs w:val="18"/>
                                  </w:rPr>
                                  <w:t xml:space="preserve">A szegregáció felszámolása érdekében tett erőfeszítések a szegregált általános iskolákba járó roma gyermekek számának legalább felére való csökkentése révén </w:t>
                                </w:r>
                                <w:r>
                                  <w:rPr>
                                    <w:rFonts w:asciiTheme="minorHAnsi" w:hAnsi="Calibri"/>
                                    <w:bCs/>
                                    <w:color w:val="4F81BD" w:themeColor="accent1"/>
                                    <w:sz w:val="18"/>
                                    <w:szCs w:val="18"/>
                                  </w:rPr>
                                  <w:t>(a jelentős roma népességgel rendelkező tagállamokban)</w:t>
                                </w:r>
                              </w:p>
                              <w:p>
                                <w:pPr>
                                  <w:pStyle w:val="NormalWeb"/>
                                  <w:numPr>
                                    <w:ilvl w:val="0"/>
                                    <w:numId w:val="69"/>
                                  </w:numPr>
                                  <w:spacing w:before="0" w:beforeAutospacing="0" w:after="0" w:afterAutospacing="0"/>
                                  <w:ind w:left="142" w:hanging="142"/>
                                  <w:rPr>
                                    <w:rFonts w:asciiTheme="minorHAnsi" w:hAnsi="Calibri" w:cstheme="minorBidi"/>
                                    <w:iCs/>
                                    <w:color w:val="00B050"/>
                                    <w:kern w:val="24"/>
                                    <w:sz w:val="18"/>
                                    <w:szCs w:val="19"/>
                                  </w:rPr>
                                </w:pPr>
                                <w:r>
                                  <w:rPr>
                                    <w:rFonts w:asciiTheme="minorHAnsi" w:hAnsi="Calibri"/>
                                    <w:iCs/>
                                    <w:color w:val="00B050"/>
                                    <w:sz w:val="18"/>
                                    <w:szCs w:val="19"/>
                                  </w:rPr>
                                  <w:t>annak biztosítása érdekében, hogy 2030-ra ötből kevesebb mint egy roma gyermek járjon olyan iskolába, ahol a gyermekek többsége vagy valamennyi gyermek</w:t>
                                </w:r>
                                <w:r>
                                  <w:rPr>
                                    <w:color w:val="00B050"/>
                                    <w:sz w:val="18"/>
                                    <w:szCs w:val="19"/>
                                  </w:rPr>
                                  <w:t xml:space="preserve"> </w:t>
                                </w:r>
                                <w:r>
                                  <w:rPr>
                                    <w:rFonts w:asciiTheme="minorHAnsi" w:hAnsi="Calibri"/>
                                    <w:iCs/>
                                    <w:color w:val="00B050"/>
                                    <w:sz w:val="18"/>
                                    <w:szCs w:val="19"/>
                                  </w:rPr>
                                  <w:t>roma</w:t>
                                </w:r>
                              </w:p>
                              <w:p>
                                <w:pPr>
                                  <w:pStyle w:val="NormalWeb"/>
                                  <w:numPr>
                                    <w:ilvl w:val="0"/>
                                    <w:numId w:val="69"/>
                                  </w:numPr>
                                  <w:spacing w:before="0" w:beforeAutospacing="0" w:after="0" w:afterAutospacing="0"/>
                                  <w:ind w:left="142" w:hanging="142"/>
                                  <w:rPr>
                                    <w:rFonts w:asciiTheme="minorHAnsi" w:hAnsi="Calibri" w:cstheme="minorBidi"/>
                                    <w:iCs/>
                                    <w:color w:val="4F81BD" w:themeColor="accent1"/>
                                    <w:kern w:val="24"/>
                                    <w:sz w:val="18"/>
                                    <w:szCs w:val="19"/>
                                  </w:rPr>
                                </w:pPr>
                                <w:r>
                                  <w:rPr>
                                    <w:rFonts w:asciiTheme="minorHAnsi" w:hAnsi="Calibri"/>
                                    <w:i/>
                                    <w:iCs/>
                                    <w:color w:val="4F81BD" w:themeColor="accent1"/>
                                    <w:sz w:val="18"/>
                                    <w:szCs w:val="19"/>
                                  </w:rPr>
                                  <w:t>Olyan iskolába járó roma gyermekek aránya, ahol a gyermekek többsége vagy valamennyi gyermek roma: 44 %</w:t>
                                </w:r>
                              </w:p>
                            </w:txbxContent>
                          </wps:txbx>
                          <wps:bodyPr wrap="square" lIns="0" tIns="0" rIns="0" bIns="0" rtlCol="0" anchor="t" anchorCtr="0">
                            <a:noAutofit/>
                          </wps:bodyPr>
                        </wps:wsp>
                        <wps:wsp>
                          <wps:cNvPr id="60" name="Téglalap: lekerekített 29">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1A9B402D-0E17-46CA-94F4-392597DED615}"/>
                              </a:ext>
                            </a:extLst>
                          </wps:cNvPr>
                          <wps:cNvSpPr/>
                          <wps:spPr>
                            <a:xfrm>
                              <a:off x="2296632" y="212252"/>
                              <a:ext cx="2181723" cy="930410"/>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18"/>
                                    <w:szCs w:val="18"/>
                                  </w:rPr>
                                </w:pPr>
                                <w:r>
                                  <w:rPr>
                                    <w:rFonts w:asciiTheme="minorHAnsi" w:hAnsi="Calibri"/>
                                    <w:b/>
                                    <w:bCs/>
                                    <w:color w:val="FF0000"/>
                                    <w:sz w:val="18"/>
                                    <w:szCs w:val="18"/>
                                  </w:rPr>
                                  <w:t>A felső középfokú végzettségek terén meglévő különbségek</w:t>
                                </w:r>
                                <w:r>
                                  <w:rPr>
                                    <w:sz w:val="22"/>
                                  </w:rPr>
                                  <w:t xml:space="preserve"> </w:t>
                                </w:r>
                                <w:r>
                                  <w:rPr>
                                    <w:rFonts w:asciiTheme="minorHAnsi" w:hAnsi="Calibri"/>
                                    <w:b/>
                                    <w:bCs/>
                                    <w:color w:val="FF0000"/>
                                    <w:sz w:val="18"/>
                                    <w:szCs w:val="18"/>
                                  </w:rPr>
                                  <w:t>legalább egyharmaddal való csökkentése</w:t>
                                </w:r>
                              </w:p>
                              <w:p>
                                <w:pPr>
                                  <w:pStyle w:val="NormalWeb"/>
                                  <w:numPr>
                                    <w:ilvl w:val="0"/>
                                    <w:numId w:val="67"/>
                                  </w:numPr>
                                  <w:spacing w:before="0" w:beforeAutospacing="0" w:after="0" w:afterAutospacing="0"/>
                                  <w:ind w:left="142" w:hanging="142"/>
                                  <w:rPr>
                                    <w:rFonts w:asciiTheme="minorHAnsi" w:hAnsi="Calibri" w:cstheme="minorBidi"/>
                                    <w:iCs/>
                                    <w:color w:val="00B050"/>
                                    <w:kern w:val="24"/>
                                    <w:sz w:val="18"/>
                                    <w:szCs w:val="19"/>
                                  </w:rPr>
                                </w:pPr>
                                <w:r>
                                  <w:rPr>
                                    <w:rFonts w:asciiTheme="minorHAnsi" w:hAnsi="Calibri"/>
                                    <w:iCs/>
                                    <w:color w:val="00B050"/>
                                    <w:sz w:val="18"/>
                                    <w:szCs w:val="19"/>
                                  </w:rPr>
                                  <w:t>annak biztosítása érdekében, hogy 2030-ra a roma fiatalok többsége legalább felső középfokú végzettséget szerezzen</w:t>
                                </w:r>
                              </w:p>
                              <w:p>
                                <w:pPr>
                                  <w:pStyle w:val="NormalWeb"/>
                                  <w:numPr>
                                    <w:ilvl w:val="0"/>
                                    <w:numId w:val="68"/>
                                  </w:numPr>
                                  <w:spacing w:before="0" w:beforeAutospacing="0" w:after="0" w:afterAutospacing="0"/>
                                  <w:ind w:left="142" w:hanging="142"/>
                                  <w:rPr>
                                    <w:rFonts w:asciiTheme="minorHAnsi" w:hAnsi="Calibri" w:cstheme="minorBidi"/>
                                    <w:i/>
                                    <w:iCs/>
                                    <w:color w:val="4F81BD" w:themeColor="accent1"/>
                                    <w:kern w:val="24"/>
                                    <w:sz w:val="18"/>
                                    <w:szCs w:val="19"/>
                                  </w:rPr>
                                </w:pPr>
                                <w:r>
                                  <w:rPr>
                                    <w:rFonts w:asciiTheme="minorHAnsi" w:hAnsi="Calibri"/>
                                    <w:i/>
                                    <w:iCs/>
                                    <w:color w:val="4F81BD" w:themeColor="accent1"/>
                                    <w:sz w:val="18"/>
                                    <w:szCs w:val="19"/>
                                  </w:rPr>
                                  <w:t xml:space="preserve">felső középfokú vagy annál magasabb végzettség megszerzése: romák: 28 %; teljes népesség: 83,5 % (eltérés: 55,5 százalékpont) </w:t>
                                </w:r>
                              </w:p>
                            </w:txbxContent>
                          </wps:txbx>
                          <wps:bodyPr lIns="0" tIns="0" rIns="0" bIns="0" rtlCol="0" anchor="t" anchorCtr="0">
                            <a:noAutofit/>
                          </wps:bodyPr>
                        </wps:wsp>
                        <wps:wsp>
                          <wps:cNvPr id="61" name="Téglalap: lekerekített 30">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DB07D791-3AD4-41EC-B399-D79128044621}"/>
                              </a:ext>
                            </a:extLst>
                          </wps:cNvPr>
                          <wps:cNvSpPr/>
                          <wps:spPr>
                            <a:xfrm>
                              <a:off x="2380143" y="4670395"/>
                              <a:ext cx="2054514" cy="710843"/>
                            </a:xfrm>
                            <a:prstGeom prst="round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txbx>
                            <w:txbxContent>
                              <w:p>
                                <w:pPr>
                                  <w:pStyle w:val="NormalWeb"/>
                                  <w:spacing w:before="0" w:beforeAutospacing="0" w:after="0" w:afterAutospacing="0"/>
                                  <w:jc w:val="center"/>
                                  <w:rPr>
                                    <w:rFonts w:asciiTheme="minorHAnsi" w:hAnsi="Calibri" w:cstheme="minorBidi"/>
                                    <w:b/>
                                    <w:bCs/>
                                    <w:color w:val="FF0000"/>
                                    <w:kern w:val="24"/>
                                    <w:sz w:val="18"/>
                                    <w:szCs w:val="18"/>
                                  </w:rPr>
                                </w:pPr>
                                <w:r>
                                  <w:rPr>
                                    <w:rFonts w:asciiTheme="minorHAnsi" w:hAnsi="Calibri"/>
                                    <w:b/>
                                    <w:bCs/>
                                    <w:color w:val="FF0000"/>
                                    <w:sz w:val="18"/>
                                    <w:szCs w:val="18"/>
                                  </w:rPr>
                                  <w:t>A szűk lakásban élők aránya terén meglévő különbség legalább felére csökkentése</w:t>
                                </w:r>
                              </w:p>
                              <w:p>
                                <w:pPr>
                                  <w:pStyle w:val="NormalWeb"/>
                                  <w:numPr>
                                    <w:ilvl w:val="0"/>
                                    <w:numId w:val="75"/>
                                  </w:numPr>
                                  <w:spacing w:before="0" w:beforeAutospacing="0" w:after="0" w:afterAutospacing="0"/>
                                  <w:ind w:left="142" w:hanging="142"/>
                                  <w:rPr>
                                    <w:rFonts w:asciiTheme="minorHAnsi" w:hAnsi="Calibri" w:cstheme="minorBidi"/>
                                    <w:i/>
                                    <w:iCs/>
                                    <w:color w:val="00B050"/>
                                    <w:kern w:val="24"/>
                                    <w:sz w:val="18"/>
                                    <w:szCs w:val="19"/>
                                  </w:rPr>
                                </w:pPr>
                                <w:r>
                                  <w:rPr>
                                    <w:rFonts w:asciiTheme="minorHAnsi" w:hAnsi="Calibri"/>
                                    <w:bCs/>
                                    <w:color w:val="00B050"/>
                                    <w:sz w:val="18"/>
                                    <w:szCs w:val="19"/>
                                  </w:rPr>
                                  <w:t>annak biztosítása érdekében, hogy 2030-ra a romák többsége ne lakjon túlzsúfolt háztartásokban</w:t>
                                </w:r>
                              </w:p>
                              <w:p>
                                <w:pPr>
                                  <w:pStyle w:val="NormalWeb"/>
                                  <w:numPr>
                                    <w:ilvl w:val="0"/>
                                    <w:numId w:val="75"/>
                                  </w:numPr>
                                  <w:spacing w:before="0" w:beforeAutospacing="0" w:after="0" w:afterAutospacing="0"/>
                                  <w:ind w:left="142" w:hanging="142"/>
                                  <w:rPr>
                                    <w:rFonts w:asciiTheme="minorHAnsi" w:hAnsi="Calibri" w:cstheme="minorBidi"/>
                                    <w:i/>
                                    <w:iCs/>
                                    <w:color w:val="4F81BD" w:themeColor="accent1"/>
                                    <w:kern w:val="24"/>
                                    <w:sz w:val="18"/>
                                    <w:szCs w:val="19"/>
                                  </w:rPr>
                                </w:pPr>
                                <w:r>
                                  <w:rPr>
                                    <w:rFonts w:asciiTheme="minorHAnsi" w:hAnsi="Calibri"/>
                                    <w:i/>
                                    <w:iCs/>
                                    <w:color w:val="4F81BD" w:themeColor="accent1"/>
                                    <w:sz w:val="18"/>
                                    <w:szCs w:val="19"/>
                                  </w:rPr>
                                  <w:t>szűk lakásban élők aránya: romák: 78 %; általános népesség: 17,1 % (eltérés: 60,9 százalékpont)</w:t>
                                </w:r>
                              </w:p>
                            </w:txbxContent>
                          </wps:txbx>
                          <wps:bodyPr wrap="square" lIns="0" tIns="0" rIns="0" bIns="0" rtlCol="0" anchor="t" anchorCtr="0">
                            <a:noAutofit/>
                          </wps:bodyPr>
                        </wps:wsp>
                      </wpg:grpSp>
                      <wps:wsp>
                        <wps:cNvPr id="62" name="Téglalap 4">
                          <a:extLst>
                            <a:ext uri="{FF2B5EF4-FFF2-40B4-BE49-F238E27FC236}">
                              <a16:creationId xmlns:a16="http://schemas.microsoft.com/office/drawing/2014/main" xmlns:w16se="http://schemas.microsoft.com/office/word/2015/wordml/symex" xmlns:w15="http://schemas.microsoft.com/office/word/2012/wordml" xmlns:w="http://schemas.openxmlformats.org/wordprocessingml/2006/main" xmlns:w10="urn:schemas-microsoft-com:office:word" xmlns:v="urn:schemas-microsoft-com:vml" xmlns:o="urn:schemas-microsoft-com:office:office" xmlns:cx1="http://schemas.microsoft.com/office/drawing/2015/9/8/chartex" xmlns:cx="http://schemas.microsoft.com/office/drawing/2014/chartex" xmlns="" id="{4B06E6CC-9EE4-499F-880E-972D98319E10}"/>
                            </a:ext>
                          </a:extLst>
                        </wps:cNvPr>
                        <wps:cNvSpPr/>
                        <wps:spPr>
                          <a:xfrm>
                            <a:off x="0" y="0"/>
                            <a:ext cx="6248400" cy="365760"/>
                          </a:xfrm>
                          <a:prstGeom prst="rect">
                            <a:avLst/>
                          </a:prstGeom>
                        </wps:spPr>
                        <wps:txbx>
                          <w:txbxContent>
                            <w:p>
                              <w:pPr>
                                <w:pStyle w:val="NormalWeb"/>
                                <w:spacing w:before="0" w:beforeAutospacing="0" w:after="0" w:afterAutospacing="0"/>
                                <w:jc w:val="center"/>
                                <w:rPr>
                                  <w:rFonts w:eastAsia="Calibri" w:cstheme="minorBidi"/>
                                  <w:bCs/>
                                  <w:smallCaps/>
                                  <w:color w:val="4F81BD" w:themeColor="accent1"/>
                                  <w:kern w:val="24"/>
                                  <w:szCs w:val="28"/>
                                </w:rPr>
                              </w:pPr>
                              <w:r>
                                <w:rPr>
                                  <w:b/>
                                  <w:bCs/>
                                  <w:smallCaps/>
                                  <w:color w:val="4F81BD" w:themeColor="accent1"/>
                                  <w:szCs w:val="28"/>
                                </w:rPr>
                                <w:t xml:space="preserve">Ágazati célkitűzések </w:t>
                              </w:r>
                            </w:p>
                          </w:txbxContent>
                        </wps:txbx>
                        <wps:bodyPr wrap="square">
                          <a:noAutofit/>
                        </wps:bodyPr>
                      </wps:wsp>
                    </wpg:wgp>
                  </a:graphicData>
                </a:graphic>
                <wp14:sizeRelV relativeFrom="margin">
                  <wp14:pctHeight>0</wp14:pctHeight>
                </wp14:sizeRelV>
              </wp:anchor>
            </w:drawing>
          </mc:Choice>
          <mc:Fallback>
            <w:pict>
              <v:group id="Group 45" o:spid="_x0000_s1039" style="position:absolute;left:0;text-align:left;margin-left:0;margin-top:-25.85pt;width:492pt;height:699.6pt;z-index:252189184;mso-position-horizontal-relative:margin;mso-height-relative:margin" coordsize="62484,789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">
                <v:group id="Group 46" o:spid="_x0000_s1040" style="position:absolute;left:511;top:2725;width:61172;height:76176" coordorigin="-243,-1092" coordsize="45524,5990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ivQ6MQAAADbAAAA&#10;DwAAAAAAAAAAAAAAAACqAgAAZHJzL2Rvd25yZXYueG1sUEsFBgAAAAAEAAQA+gAAAJsDAAAAAA==&#10;">
                  <v:roundrect id="Téglalap: lekerekített 7" o:spid="_x0000_s1041" style="position:absolute;top:34595;width:45281;height:825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9bJ8UA&#10;AADbAAAADwAAAGRycy9kb3ducmV2LnhtbESPT2sCMRTE7wW/Q3iCt5pVi8pqFC0t9NTiv4O3x+a5&#10;Wd28LEnqbvvpm0Khx2FmfsMs152txZ18qBwrGA0zEMSF0xWXCo6H18c5iBCRNdaOScEXBViveg9L&#10;zLVreUf3fSxFgnDIUYGJscmlDIUhi2HoGuLkXZy3GJP0pdQe2wS3tRxn2VRarDgtGGzo2VBx239a&#10;Bddwnn6YduLP75t5dTp0u+z7ZavUoN9tFiAidfE//Nd+0wqeZvD7Jf0Aufo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5n1snxQAAANsAAAAPAAAAAAAAAAAAAAAAAJgCAABkcnMv&#10;ZG93bnJldi54bWxQSwUGAAAAAAQABAD1AAAAigMAAAAA&#10;" fillcolor="#e4e4e4" strokecolor="#243f60 [1604]" strokeweight="2pt">
                    <v:textbox inset="0,0,0,0">
                      <w:txbxContent>
                        <w:p>
                          <w:pPr>
                            <w:pStyle w:val="NormalWeb"/>
                            <w:spacing w:before="0" w:beforeAutospacing="0" w:after="0" w:afterAutospacing="0"/>
                            <w:jc w:val="center"/>
                            <w:rPr>
                              <w:sz w:val="18"/>
                            </w:rPr>
                          </w:pPr>
                          <w:r>
                            <w:rPr>
                              <w:rFonts w:asciiTheme="minorHAnsi" w:hAnsi="Calibri"/>
                              <w:b/>
                              <w:bCs/>
                              <w:i/>
                              <w:iCs/>
                              <w:color w:val="4F81BD" w:themeColor="accent1"/>
                              <w:sz w:val="22"/>
                              <w:szCs w:val="32"/>
                            </w:rPr>
                            <w:t>6. A romák egészségének javítása és a színvonalas egészségügyi ellátáshoz és szociális szolgáltatásokhoz való tényleges, egyenlő hozzáférés javítása</w:t>
                          </w:r>
                        </w:p>
                      </w:txbxContent>
                    </v:textbox>
                  </v:roundrect>
                  <v:roundrect id="Téglalap: lekerekített 9" o:spid="_x0000_s1042" style="position:absolute;left:979;top:37487;width:42994;height:500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uBDsAA&#10;AADbAAAADwAAAGRycy9kb3ducmV2LnhtbERPyWrDMBC9B/oPYgK9hFpOSU3qWjYhpZBr0l5ym1rj&#10;hVgj15KX/n11CPT4eHtWLKYTEw2utaxgG8UgiEurW64VfH1+PO1BOI+ssbNMCn7JQZE/rDJMtZ35&#10;TNPF1yKEsEtRQeN9n0rpyoYMusj2xIGr7GDQBzjUUg84h3DTyec4TqTBlkNDgz0dGypvl9EoeK3n&#10;Cqfx++W6OZbv3RgjJtOPUo/r5fAGwtPi/8V390kr2IWx4Uv4ATL/A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XuBDsAAAADbAAAADwAAAAAAAAAAAAAAAACYAgAAZHJzL2Rvd25y&#10;ZXYueG1sUEsFBgAAAAAEAAQA9QAAAIUDAAAAAA==&#10;" fillcolor="white [3212]" strokecolor="#243f60 [1604]" strokeweight="2pt">
                    <v:textbox inset="0,0,0,0">
                      <w:txbxContent>
                        <w:p>
                          <w:pPr>
                            <w:pStyle w:val="NormalWeb"/>
                            <w:spacing w:before="0" w:beforeAutospacing="0" w:after="0" w:afterAutospacing="0"/>
                            <w:jc w:val="center"/>
                            <w:rPr>
                              <w:color w:val="FF0000"/>
                              <w:sz w:val="18"/>
                              <w:szCs w:val="18"/>
                            </w:rPr>
                          </w:pPr>
                          <w:r>
                            <w:rPr>
                              <w:rFonts w:asciiTheme="minorHAnsi" w:hAnsi="Calibri"/>
                              <w:b/>
                              <w:bCs/>
                              <w:color w:val="FF0000"/>
                              <w:sz w:val="18"/>
                              <w:szCs w:val="18"/>
                            </w:rPr>
                            <w:t>A várható élettartam terén tapasztalható különbség legalább felére csökkentése</w:t>
                          </w:r>
                        </w:p>
                        <w:p>
                          <w:pPr>
                            <w:pStyle w:val="NormalWeb"/>
                            <w:numPr>
                              <w:ilvl w:val="0"/>
                              <w:numId w:val="73"/>
                            </w:numPr>
                            <w:spacing w:before="0" w:beforeAutospacing="0" w:after="0" w:afterAutospacing="0"/>
                            <w:ind w:left="142" w:hanging="142"/>
                            <w:rPr>
                              <w:color w:val="00B050"/>
                              <w:sz w:val="18"/>
                              <w:szCs w:val="18"/>
                            </w:rPr>
                          </w:pPr>
                          <w:r>
                            <w:rPr>
                              <w:sz w:val="18"/>
                              <w:szCs w:val="18"/>
                            </w:rPr>
                            <w:t xml:space="preserve"> </w:t>
                          </w:r>
                          <w:r>
                            <w:rPr>
                              <w:color w:val="00B050"/>
                              <w:sz w:val="18"/>
                              <w:szCs w:val="18"/>
                            </w:rPr>
                            <w:t>annak biztosítása érdekében, hogy 2030-ra a roma nők és férfiak 5 évvel tovább éljenek</w:t>
                          </w:r>
                        </w:p>
                        <w:p>
                          <w:pPr>
                            <w:pStyle w:val="NormalWeb"/>
                            <w:numPr>
                              <w:ilvl w:val="0"/>
                              <w:numId w:val="73"/>
                            </w:numPr>
                            <w:spacing w:before="0" w:beforeAutospacing="0" w:after="0" w:afterAutospacing="0"/>
                            <w:ind w:left="142" w:hanging="142"/>
                            <w:rPr>
                              <w:color w:val="4F81BD" w:themeColor="accent1"/>
                              <w:sz w:val="18"/>
                              <w:szCs w:val="18"/>
                            </w:rPr>
                          </w:pPr>
                          <w:r>
                            <w:rPr>
                              <w:rFonts w:asciiTheme="minorHAnsi" w:hAnsi="Calibri"/>
                              <w:i/>
                              <w:iCs/>
                              <w:color w:val="4F81BD" w:themeColor="accent1"/>
                              <w:sz w:val="18"/>
                              <w:szCs w:val="18"/>
                            </w:rPr>
                            <w:t>a születéskor várható élettartam terén meglévő különbség (általános népesség és romák között): roma nők: 10,4 év; roma férfiak: 10,2 év</w:t>
                          </w:r>
                        </w:p>
                      </w:txbxContent>
                    </v:textbox>
                  </v:roundrect>
                  <v:roundrect id="Téglalap: lekerekített 13" o:spid="_x0000_s1043" style="position:absolute;top:18691;width:45281;height:1554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69VjsMA&#10;AADbAAAADwAAAGRycy9kb3ducmV2LnhtbERPTWvCMBi+C/6H8AreNJ2iSNdU3HCwk8OPHby9NO+a&#10;bs2bkmS2269fDgOPD893sR1sK27kQ+NYwcM8A0FcOd1wreByfpltQISIrLF1TAp+KMC2HI8KzLXr&#10;+Ui3U6xFCuGQowITY5dLGSpDFsPcdcSJ+3DeYkzQ11J77FO4beUiy9bSYsOpwWBHz4aqr9O3VfAZ&#10;rus30y/99bDbNO/n4Zj97p+Umk6G3SOISEO8i//dr1rBKq1PX9IPkO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69VjsMAAADbAAAADwAAAAAAAAAAAAAAAACYAgAAZHJzL2Rv&#10;d25yZXYueG1sUEsFBgAAAAAEAAQA9QAAAIgDAAAAAA==&#10;" fillcolor="#e4e4e4" strokecolor="#243f60 [1604]" strokeweight="2pt">
                    <v:textbox inset="0,0,0,0">
                      <w:txbxContent>
                        <w:p>
                          <w:pPr>
                            <w:pStyle w:val="NormalWeb"/>
                            <w:spacing w:before="0" w:beforeAutospacing="0" w:after="0" w:afterAutospacing="0"/>
                            <w:jc w:val="center"/>
                            <w:rPr>
                              <w:sz w:val="22"/>
                              <w:szCs w:val="22"/>
                            </w:rPr>
                          </w:pPr>
                          <w:r>
                            <w:rPr>
                              <w:rFonts w:asciiTheme="minorHAnsi" w:hAnsi="Calibri"/>
                              <w:b/>
                              <w:bCs/>
                              <w:i/>
                              <w:iCs/>
                              <w:color w:val="4F81BD" w:themeColor="accent1"/>
                              <w:sz w:val="22"/>
                              <w:szCs w:val="22"/>
                            </w:rPr>
                            <w:t>5. A színvonalas és fenntartható foglalkoztatáshoz való tényleges egyenlő hozzáférés növelése</w:t>
                          </w:r>
                        </w:p>
                      </w:txbxContent>
                    </v:textbox>
                  </v:roundrect>
                  <v:roundrect id="Téglalap: lekerekített 14" o:spid="_x0000_s1044" style="position:absolute;left:713;top:20920;width:17377;height:86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Zi+TsMA&#10;AADbAAAADwAAAGRycy9kb3ducmV2LnhtbESPT2vCQBTE7wW/w/KEXopuUjBodA2iCF6b9tLbM/tM&#10;gtm3Mbv547fvFgo9DjPzG2aXTaYRA3WutqwgXkYgiAuray4VfH2eF2sQziNrbCyTgic5yPazlx2m&#10;2o78QUPuSxEg7FJUUHnfplK6oiKDbmlb4uDdbGfQB9mVUnc4Brhp5HsUJdJgzWGhwpaOFRX3vDcK&#10;NuV4w6G/rr7fjsWp6SPEZHgo9TqfDlsQnib/H/5rX7SCVQy/X8IPkP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Zi+Ts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18"/>
                              <w:szCs w:val="18"/>
                            </w:rPr>
                          </w:pPr>
                          <w:r>
                            <w:rPr>
                              <w:rFonts w:asciiTheme="minorHAnsi" w:hAnsi="Calibri"/>
                              <w:b/>
                              <w:bCs/>
                              <w:color w:val="FF0000"/>
                              <w:sz w:val="18"/>
                              <w:szCs w:val="18"/>
                            </w:rPr>
                            <w:t>A foglalkoztatási különbség legalább felére csökkentése</w:t>
                          </w:r>
                        </w:p>
                        <w:p>
                          <w:pPr>
                            <w:pStyle w:val="NormalWeb"/>
                            <w:numPr>
                              <w:ilvl w:val="0"/>
                              <w:numId w:val="70"/>
                            </w:numPr>
                            <w:spacing w:before="0" w:beforeAutospacing="0" w:after="0" w:afterAutospacing="0"/>
                            <w:ind w:left="142" w:hanging="142"/>
                            <w:rPr>
                              <w:color w:val="00B050"/>
                              <w:sz w:val="18"/>
                              <w:szCs w:val="19"/>
                            </w:rPr>
                          </w:pPr>
                          <w:r>
                            <w:rPr>
                              <w:color w:val="00B050"/>
                              <w:sz w:val="18"/>
                              <w:szCs w:val="19"/>
                            </w:rPr>
                            <w:t>annak biztosítása érdekében, hogy 2030-ra a romák legalább 60 %-a rendelkezzen fizetett munkával</w:t>
                          </w:r>
                        </w:p>
                        <w:p>
                          <w:pPr>
                            <w:pStyle w:val="NormalWeb"/>
                            <w:numPr>
                              <w:ilvl w:val="0"/>
                              <w:numId w:val="70"/>
                            </w:numPr>
                            <w:spacing w:before="0" w:beforeAutospacing="0" w:after="0" w:afterAutospacing="0"/>
                            <w:ind w:left="142" w:hanging="142"/>
                            <w:rPr>
                              <w:color w:val="4F81BD" w:themeColor="accent1"/>
                              <w:sz w:val="18"/>
                              <w:szCs w:val="19"/>
                            </w:rPr>
                          </w:pPr>
                          <w:r>
                            <w:rPr>
                              <w:rFonts w:asciiTheme="minorHAnsi" w:hAnsi="Calibri"/>
                              <w:i/>
                              <w:iCs/>
                              <w:color w:val="4F81BD" w:themeColor="accent1"/>
                              <w:sz w:val="18"/>
                              <w:szCs w:val="19"/>
                            </w:rPr>
                            <w:t>fizetett foglalkoztatás: romák: 43 %; általános népesség: 73,1 % (eltérés: 30,1 százalékpont)</w:t>
                          </w:r>
                        </w:p>
                      </w:txbxContent>
                    </v:textbox>
                  </v:roundrect>
                  <v:roundrect id="Téglalap: lekerekített 15" o:spid="_x0000_s1045" style="position:absolute;left:18487;top:20920;width:26551;height:8620;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UogOcMA&#10;AADbAAAADwAAAGRycy9kb3ducmV2LnhtbESPS2vDMBCE74H+B7GFXEIt1+DQOpZDSQnkmrSX3rbW&#10;+kGslWvJj/z7qFDocZiZb5h8v5hOTDS41rKC5ygGQVxa3XKt4PPj+PQCwnlkjZ1lUnAjB/viYZVj&#10;pu3MZ5ouvhYBwi5DBY33fSalKxsy6CLbEwevsoNBH+RQSz3gHOCmk0kcb6XBlsNCgz0dGiqvl9Eo&#10;eK3nCqfxO/3aHMr3bowRt9OPUuvH5W0HwtPi/8N/7ZNWkCbw+yX8AFn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UogOc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18"/>
                              <w:szCs w:val="18"/>
                            </w:rPr>
                          </w:pPr>
                          <w:r>
                            <w:rPr>
                              <w:rFonts w:asciiTheme="minorHAnsi" w:hAnsi="Calibri"/>
                              <w:b/>
                              <w:bCs/>
                              <w:color w:val="FF0000"/>
                              <w:sz w:val="18"/>
                              <w:szCs w:val="18"/>
                            </w:rPr>
                            <w:t xml:space="preserve">A nemek közötti foglalkoztatási különbség legalább felére csökkentése a romák körében </w:t>
                          </w:r>
                        </w:p>
                        <w:p>
                          <w:pPr>
                            <w:pStyle w:val="NormalWeb"/>
                            <w:numPr>
                              <w:ilvl w:val="0"/>
                              <w:numId w:val="71"/>
                            </w:numPr>
                            <w:spacing w:before="0" w:beforeAutospacing="0" w:after="0" w:afterAutospacing="0"/>
                            <w:ind w:left="142" w:hanging="142"/>
                            <w:rPr>
                              <w:color w:val="00B050"/>
                              <w:sz w:val="18"/>
                              <w:szCs w:val="19"/>
                            </w:rPr>
                          </w:pPr>
                          <w:r>
                            <w:rPr>
                              <w:color w:val="00B050"/>
                              <w:sz w:val="18"/>
                              <w:szCs w:val="19"/>
                            </w:rPr>
                            <w:t>annak biztosítása érdekében, hogy 2030-ra a roma nők legalább 45 %-a rendelkezzen fizetett munkával</w:t>
                          </w:r>
                        </w:p>
                        <w:p>
                          <w:pPr>
                            <w:pStyle w:val="NormalWeb"/>
                            <w:numPr>
                              <w:ilvl w:val="0"/>
                              <w:numId w:val="71"/>
                            </w:numPr>
                            <w:spacing w:before="0" w:beforeAutospacing="0" w:after="0" w:afterAutospacing="0"/>
                            <w:ind w:left="142" w:hanging="142"/>
                            <w:rPr>
                              <w:color w:val="4F81BD" w:themeColor="accent1"/>
                              <w:sz w:val="18"/>
                              <w:szCs w:val="19"/>
                            </w:rPr>
                          </w:pPr>
                          <w:r>
                            <w:rPr>
                              <w:rFonts w:asciiTheme="minorHAnsi" w:hAnsi="Calibri"/>
                              <w:i/>
                              <w:iCs/>
                              <w:color w:val="4F81BD" w:themeColor="accent1"/>
                              <w:sz w:val="18"/>
                              <w:szCs w:val="19"/>
                            </w:rPr>
                            <w:t>nemek közötti foglalkoztatási különbség – romák: 27 százalékpont (nők: 29 %, férfiak: 56 %); nemek közötti foglalkoztatási különbség az általános népesség körében: 11,7 százalékpont (nők: 67,2 %, férfiak: 78,9 %)</w:t>
                          </w:r>
                        </w:p>
                      </w:txbxContent>
                    </v:textbox>
                  </v:roundrect>
                  <v:roundrect id="Téglalap: lekerekített 16" o:spid="_x0000_s1046" style="position:absolute;left:3572;top:29771;width:39810;height:446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aFosMA&#10;AADbAAAADwAAAGRycy9kb3ducmV2LnhtbESPT2vCQBTE7wW/w/IEL0U3tUQ0uoYSEXpt2ou3Z/aZ&#10;BLNvY3bzp9++Wyj0OMzMb5hDOplGDNS52rKCl1UEgriwuuZSwdfnebkF4TyyxsYyKfgmB+lx9nTA&#10;RNuRP2jIfSkChF2CCirv20RKV1Rk0K1sSxy8m+0M+iC7UuoOxwA3jVxH0UYarDksVNhSVlFxz3uj&#10;YFeONxz6a3x5zopT00eIm+Gh1GI+ve1BeJr8f/iv/a4VxK/w+yX8AH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gaFos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18"/>
                              <w:szCs w:val="18"/>
                            </w:rPr>
                          </w:pPr>
                          <w:r>
                            <w:rPr>
                              <w:rFonts w:asciiTheme="minorHAnsi" w:hAnsi="Calibri"/>
                              <w:b/>
                              <w:bCs/>
                              <w:color w:val="FF0000"/>
                              <w:sz w:val="18"/>
                              <w:szCs w:val="18"/>
                            </w:rPr>
                            <w:t xml:space="preserve">A NEET-arány legalább felére csökkentése </w:t>
                          </w:r>
                        </w:p>
                        <w:p>
                          <w:pPr>
                            <w:pStyle w:val="NormalWeb"/>
                            <w:numPr>
                              <w:ilvl w:val="0"/>
                              <w:numId w:val="72"/>
                            </w:numPr>
                            <w:spacing w:before="0" w:beforeAutospacing="0" w:after="0" w:afterAutospacing="0"/>
                            <w:ind w:left="142" w:hanging="142"/>
                            <w:rPr>
                              <w:color w:val="00B050"/>
                              <w:sz w:val="18"/>
                              <w:szCs w:val="19"/>
                            </w:rPr>
                          </w:pPr>
                          <w:r>
                            <w:rPr>
                              <w:color w:val="00B050"/>
                              <w:sz w:val="18"/>
                              <w:szCs w:val="19"/>
                            </w:rPr>
                            <w:t>annak biztosítása érdekében, hogy 2030-ra háromból kevesebb mint egy roma fiatal tartozzon a foglalkoztatásban, oktatásban vagy képzésben részt nem vevők közé</w:t>
                          </w:r>
                        </w:p>
                        <w:p>
                          <w:pPr>
                            <w:pStyle w:val="NormalWeb"/>
                            <w:numPr>
                              <w:ilvl w:val="0"/>
                              <w:numId w:val="72"/>
                            </w:numPr>
                            <w:spacing w:before="0" w:beforeAutospacing="0" w:after="0" w:afterAutospacing="0"/>
                            <w:ind w:left="142" w:hanging="142"/>
                            <w:rPr>
                              <w:color w:val="4F81BD" w:themeColor="accent1"/>
                              <w:sz w:val="18"/>
                              <w:szCs w:val="19"/>
                            </w:rPr>
                          </w:pPr>
                          <w:r>
                            <w:rPr>
                              <w:rFonts w:asciiTheme="minorHAnsi" w:hAnsi="Calibri"/>
                              <w:i/>
                              <w:iCs/>
                              <w:color w:val="4F81BD" w:themeColor="accent1"/>
                              <w:sz w:val="18"/>
                              <w:szCs w:val="19"/>
                            </w:rPr>
                            <w:t>NEET-arány (16–24 évesek): romák: 62 %; általános népesség: 10,1 % (eltérés: 51,9 százalékpont)</w:t>
                          </w:r>
                        </w:p>
                      </w:txbxContent>
                    </v:textbox>
                  </v:roundrect>
                  <v:roundrect id="Téglalap: lekerekített 21" o:spid="_x0000_s1047" style="position:absolute;left:-243;top:43270;width:45281;height:1554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RTjcUA&#10;AADbAAAADwAAAGRycy9kb3ducmV2LnhtbESPQWsCMRSE7wX/Q3hCbzWrrSKrUVQqeKqo7cHbY/Pc&#10;bLt5WZLU3fbXG6HQ4zAz3zDzZWdrcSUfKscKhoMMBHHhdMWlgvfT9mkKIkRkjbVjUvBDAZaL3sMc&#10;c+1aPtD1GEuRIBxyVGBibHIpQ2HIYhi4hjh5F+ctxiR9KbXHNsFtLUdZNpEWK04LBhvaGCq+jt9W&#10;wWc4T/amffbnt9W0+jh1h+z3da3UY79bzUBE6uJ/+K+90wrGL3D/kn6AXNw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lFONxQAAANsAAAAPAAAAAAAAAAAAAAAAAJgCAABkcnMv&#10;ZG93bnJldi54bWxQSwUGAAAAAAQABAD1AAAAigMAAAAA&#10;" fillcolor="#e4e4e4" strokecolor="#243f60 [1604]" strokeweight="2pt">
                    <v:textbox inset="0,0,0,0">
                      <w:txbxContent>
                        <w:p>
                          <w:pPr>
                            <w:pStyle w:val="NormalWeb"/>
                            <w:spacing w:before="0" w:beforeAutospacing="0" w:after="0" w:afterAutospacing="0"/>
                            <w:jc w:val="center"/>
                            <w:rPr>
                              <w:color w:val="4F81BD" w:themeColor="accent1"/>
                              <w:sz w:val="22"/>
                              <w:szCs w:val="22"/>
                            </w:rPr>
                          </w:pPr>
                          <w:r>
                            <w:rPr>
                              <w:rFonts w:asciiTheme="minorHAnsi" w:hAnsi="Calibri"/>
                              <w:b/>
                              <w:bCs/>
                              <w:i/>
                              <w:iCs/>
                              <w:color w:val="4F81BD" w:themeColor="accent1"/>
                              <w:sz w:val="22"/>
                              <w:szCs w:val="22"/>
                            </w:rPr>
                            <w:t>7. A megfelelő deszegregált lakhatáshoz és alapvető szolgáltatásokhoz való tényleges, egyenlő hozzáférés növelése</w:t>
                          </w:r>
                        </w:p>
                      </w:txbxContent>
                    </v:textbox>
                  </v:roundrect>
                  <v:roundrect id="Téglalap: lekerekített 22" o:spid="_x0000_s1048" style="position:absolute;left:389;top:46703;width:23047;height:710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qO4TcMA&#10;AADbAAAADwAAAGRycy9kb3ducmV2LnhtbESPT2vCQBTE70K/w/IKXqTZVIjYNKsURfCq9eLtNfvc&#10;hGbfptnNH7+9Wyj0OMzMb5hiO9lGDNT52rGC1yQFQVw6XbNRcPk8vKxB+ICssXFMCu7kYbt5mhWY&#10;azfyiYZzMCJC2OeooAqhzaX0ZUUWfeJa4ujdXGcxRNkZqTscI9w2cpmmK2mx5rhQYUu7isrvc28V&#10;vJnxhkP/lV0Xu3Lf9CniavhRav48fbyDCDSF//Bf+6gVZBn8fok/QG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qO4Tc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18"/>
                              <w:szCs w:val="18"/>
                            </w:rPr>
                          </w:pPr>
                          <w:r>
                            <w:rPr>
                              <w:rFonts w:asciiTheme="minorHAnsi" w:hAnsi="Calibri"/>
                              <w:b/>
                              <w:bCs/>
                              <w:color w:val="FF0000"/>
                              <w:sz w:val="18"/>
                              <w:szCs w:val="18"/>
                            </w:rPr>
                            <w:t xml:space="preserve">Az elégtelen lakáskörülmények terén meglévő különbség legalább harmadával csökkentése </w:t>
                          </w:r>
                        </w:p>
                        <w:p>
                          <w:pPr>
                            <w:pStyle w:val="NormalWeb"/>
                            <w:numPr>
                              <w:ilvl w:val="0"/>
                              <w:numId w:val="73"/>
                            </w:numPr>
                            <w:spacing w:before="0" w:beforeAutospacing="0" w:after="0" w:afterAutospacing="0"/>
                            <w:ind w:left="142" w:hanging="142"/>
                            <w:rPr>
                              <w:color w:val="00B050"/>
                              <w:sz w:val="18"/>
                              <w:szCs w:val="19"/>
                            </w:rPr>
                          </w:pPr>
                          <w:r>
                            <w:rPr>
                              <w:color w:val="00B050"/>
                              <w:sz w:val="18"/>
                              <w:szCs w:val="19"/>
                            </w:rPr>
                            <w:t>annak biztosítása érdekében, hogy 2030-ra a romák többsége ne szembesüljön elégtelen lakáskörülményekkel</w:t>
                          </w:r>
                        </w:p>
                        <w:p>
                          <w:pPr>
                            <w:pStyle w:val="NormalWeb"/>
                            <w:numPr>
                              <w:ilvl w:val="0"/>
                              <w:numId w:val="73"/>
                            </w:numPr>
                            <w:spacing w:before="0" w:beforeAutospacing="0" w:after="0" w:afterAutospacing="0"/>
                            <w:ind w:left="142" w:hanging="142"/>
                            <w:rPr>
                              <w:color w:val="4F81BD" w:themeColor="accent1"/>
                              <w:sz w:val="18"/>
                              <w:szCs w:val="19"/>
                            </w:rPr>
                          </w:pPr>
                          <w:r>
                            <w:rPr>
                              <w:rFonts w:asciiTheme="minorHAnsi" w:hAnsi="Calibri"/>
                              <w:i/>
                              <w:iCs/>
                              <w:color w:val="4F81BD" w:themeColor="accent1"/>
                              <w:sz w:val="18"/>
                              <w:szCs w:val="19"/>
                            </w:rPr>
                            <w:t>elégtelen lakáskörülmények: romák: 61 %; általános népesség: 17,9 % (különbség: 43,1 százalékpont)</w:t>
                          </w:r>
                        </w:p>
                      </w:txbxContent>
                    </v:textbox>
                  </v:roundrect>
                  <v:roundrect id="Téglalap: lekerekített 25" o:spid="_x0000_s1049" style="position:absolute;top:-1092;width:45281;height:19362;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poYcUA&#10;AADbAAAADwAAAGRycy9kb3ducmV2LnhtbESPT2sCMRTE74LfITyhN83a0kW2RlGp0FOLf3rw9ti8&#10;brZuXpYkutt++qYgeBxm5jfMfNnbRlzJh9qxgukkA0FcOl1zpeB42I5nIEJE1tg4JgU/FGC5GA7m&#10;WGjX8Y6u+1iJBOFQoAITY1tIGUpDFsPEtcTJ+3LeYkzSV1J77BLcNvIxy3Jpsea0YLCljaHyvL9Y&#10;Bd/hlH+Y7smf3lez+vPQ77Lf17VSD6N+9QIiUh/v4Vv7TSt4zuH/S/oBcvE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CmhhxQAAANsAAAAPAAAAAAAAAAAAAAAAAJgCAABkcnMv&#10;ZG93bnJldi54bWxQSwUGAAAAAAQABAD1AAAAigMAAAAA&#10;" fillcolor="#e4e4e4" strokecolor="#243f60 [1604]" strokeweight="2pt">
                    <v:textbox inset="0,0,0,0">
                      <w:txbxContent>
                        <w:p>
                          <w:pPr>
                            <w:pStyle w:val="NormalWeb"/>
                            <w:spacing w:before="0" w:beforeAutospacing="0" w:after="0" w:afterAutospacing="0"/>
                            <w:jc w:val="center"/>
                            <w:rPr>
                              <w:sz w:val="22"/>
                              <w:szCs w:val="22"/>
                            </w:rPr>
                          </w:pPr>
                          <w:r>
                            <w:rPr>
                              <w:rFonts w:asciiTheme="minorHAnsi" w:hAnsi="Calibri"/>
                              <w:b/>
                              <w:bCs/>
                              <w:i/>
                              <w:iCs/>
                              <w:color w:val="4F81BD" w:themeColor="accent1"/>
                              <w:sz w:val="22"/>
                              <w:szCs w:val="22"/>
                            </w:rPr>
                            <w:t>4</w:t>
                          </w:r>
                          <w:r>
                            <w:rPr>
                              <w:rFonts w:asciiTheme="minorHAnsi" w:hAnsi="Calibri"/>
                              <w:b/>
                              <w:bCs/>
                              <w:i/>
                              <w:iCs/>
                              <w:color w:val="4F81BD" w:themeColor="accent1"/>
                              <w:sz w:val="20"/>
                              <w:szCs w:val="22"/>
                            </w:rPr>
                            <w:t xml:space="preserve">.  </w:t>
                          </w:r>
                          <w:r>
                            <w:rPr>
                              <w:rFonts w:asciiTheme="minorHAnsi" w:hAnsi="Calibri"/>
                              <w:b/>
                              <w:bCs/>
                              <w:i/>
                              <w:iCs/>
                              <w:color w:val="4F81BD" w:themeColor="accent1"/>
                              <w:sz w:val="22"/>
                              <w:szCs w:val="22"/>
                            </w:rPr>
                            <w:t>A színvonalas, inkluzív többségi oktatáshoz való ténylegesen egyenlő hozzáférés javítása</w:t>
                          </w:r>
                        </w:p>
                      </w:txbxContent>
                    </v:textbox>
                  </v:roundrect>
                  <v:roundrect id="Téglalap: lekerekített 24" o:spid="_x0000_s1050" style="position:absolute;left:8810;top:54405;width:29695;height:3733;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2DocMA&#10;AADbAAAADwAAAGRycy9kb3ducmV2LnhtbESPzWvCQBTE74L/w/IEL1I3CrE1zSolIvRa9dLbM/vy&#10;QbNv0+zmw/++Wyj0OMzMb5j0OJlGDNS52rKCzToCQZxbXXOp4HY9P72AcB5ZY2OZFDzIwfEwn6WY&#10;aDvyBw0XX4oAYZeggsr7NpHS5RUZdGvbEgevsJ1BH2RXSt3hGOCmkdso2kmDNYeFClvKKsq/Lr1R&#10;sC/HAof+Hn+usvzU9BHibvhWarmY3l5BeJr8f/iv/a4VxM/w+yX8AHn4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T2DocMAAADbAAAADwAAAAAAAAAAAAAAAACYAgAAZHJzL2Rv&#10;d25yZXYueG1sUEsFBgAAAAAEAAQA9QAAAIgDAAAAAA==&#10;" fillcolor="white [3212]" strokecolor="#243f60 [1604]" strokeweight="2pt">
                    <v:textbox inset="0,0,0,0">
                      <w:txbxContent>
                        <w:p>
                          <w:pPr>
                            <w:pStyle w:val="NormalWeb"/>
                            <w:spacing w:before="0" w:beforeAutospacing="0" w:after="0" w:afterAutospacing="0"/>
                            <w:jc w:val="center"/>
                            <w:rPr>
                              <w:color w:val="FF0000"/>
                              <w:sz w:val="18"/>
                              <w:szCs w:val="18"/>
                            </w:rPr>
                          </w:pPr>
                          <w:r>
                            <w:rPr>
                              <w:rFonts w:asciiTheme="minorHAnsi" w:hAnsi="Calibri"/>
                              <w:b/>
                              <w:bCs/>
                              <w:color w:val="FF0000"/>
                              <w:sz w:val="18"/>
                              <w:szCs w:val="18"/>
                            </w:rPr>
                            <w:t>Annak biztosítása, hogy a romák legalább 95 %-a hozzáférjen vezetékes vízhez</w:t>
                          </w:r>
                        </w:p>
                        <w:p>
                          <w:pPr>
                            <w:pStyle w:val="NormalWeb"/>
                            <w:numPr>
                              <w:ilvl w:val="0"/>
                              <w:numId w:val="72"/>
                            </w:numPr>
                            <w:spacing w:before="0" w:beforeAutospacing="0" w:after="0" w:afterAutospacing="0"/>
                            <w:ind w:left="142" w:hanging="142"/>
                            <w:rPr>
                              <w:sz w:val="18"/>
                              <w:szCs w:val="19"/>
                            </w:rPr>
                          </w:pPr>
                          <w:r>
                            <w:rPr>
                              <w:rFonts w:asciiTheme="minorHAnsi" w:hAnsi="Calibri"/>
                              <w:i/>
                              <w:iCs/>
                              <w:color w:val="4F81BD" w:themeColor="accent1"/>
                              <w:sz w:val="18"/>
                              <w:szCs w:val="19"/>
                            </w:rPr>
                            <w:t>vezetékes vízhez való hozzáférés a lakásban: romák: 70 %, általános népesség: 97,7 %</w:t>
                          </w:r>
                        </w:p>
                      </w:txbxContent>
                    </v:textbox>
                  </v:roundrect>
                  <v:roundrect id="Téglalap: lekerekített 26" o:spid="_x0000_s1051" style="position:absolute;left:389;top:2122;width:22151;height:930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IX074A&#10;AADbAAAADwAAAGRycy9kb3ducmV2LnhtbERPyYoCMRC9C/5DKMGLaHoERVujiIMwV5eLt7JTvWCn&#10;0nbSi38/OQgeH2/f7ntTipZqV1hW8DOLQBAnVhecKbhdT9MVCOeRNZaWScGbHOx3w8EWY207PlN7&#10;8ZkIIexiVJB7X8VSuiQng25mK+LApbY26AOsM6lr7EK4KeU8ipbSYMGhIceKjjklz0tjFKyzLsW2&#10;eSzuk2PyWzYR4rJ9KTUe9YcNCE+9/4o/7j+tYBHGhi/hB8jd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AiiF9O+AAAA2wAAAA8AAAAAAAAAAAAAAAAAmAIAAGRycy9kb3ducmV2&#10;LnhtbFBLBQYAAAAABAAEAPUAAACDAw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4F81BD" w:themeColor="accent1"/>
                              <w:kern w:val="24"/>
                              <w:sz w:val="18"/>
                              <w:szCs w:val="18"/>
                            </w:rPr>
                          </w:pPr>
                          <w:r>
                            <w:rPr>
                              <w:rFonts w:asciiTheme="minorHAnsi" w:hAnsi="Calibri"/>
                              <w:b/>
                              <w:bCs/>
                              <w:color w:val="FF0000"/>
                              <w:sz w:val="18"/>
                              <w:szCs w:val="18"/>
                            </w:rPr>
                            <w:t xml:space="preserve">A kisgyermekkori nevelésben és gondozásban való részvétel terén meglévő különbségek legalább felére csökkentése </w:t>
                          </w:r>
                        </w:p>
                        <w:p>
                          <w:pPr>
                            <w:pStyle w:val="NormalWeb"/>
                            <w:numPr>
                              <w:ilvl w:val="0"/>
                              <w:numId w:val="67"/>
                            </w:numPr>
                            <w:spacing w:before="0" w:beforeAutospacing="0" w:after="0" w:afterAutospacing="0"/>
                            <w:ind w:left="142" w:hanging="142"/>
                            <w:rPr>
                              <w:rFonts w:asciiTheme="minorHAnsi" w:hAnsi="Calibri" w:cstheme="minorBidi"/>
                              <w:bCs/>
                              <w:color w:val="00B050"/>
                              <w:kern w:val="24"/>
                              <w:sz w:val="18"/>
                              <w:szCs w:val="19"/>
                            </w:rPr>
                          </w:pPr>
                          <w:r>
                            <w:rPr>
                              <w:rFonts w:asciiTheme="minorHAnsi" w:hAnsi="Calibri"/>
                              <w:bCs/>
                              <w:color w:val="00B050"/>
                              <w:sz w:val="18"/>
                              <w:szCs w:val="19"/>
                            </w:rPr>
                            <w:t>annak biztosítása érdekében, hogy 2030-ra a roma gyermekek legalább 70 %-a részt vegyen az iskola előtti nevelésben</w:t>
                          </w:r>
                        </w:p>
                        <w:p>
                          <w:pPr>
                            <w:pStyle w:val="NormalWeb"/>
                            <w:numPr>
                              <w:ilvl w:val="0"/>
                              <w:numId w:val="67"/>
                            </w:numPr>
                            <w:spacing w:before="0" w:beforeAutospacing="0" w:after="0" w:afterAutospacing="0"/>
                            <w:ind w:left="142" w:hanging="142"/>
                            <w:rPr>
                              <w:rFonts w:asciiTheme="minorHAnsi" w:hAnsi="Calibri" w:cstheme="minorBidi"/>
                              <w:bCs/>
                              <w:color w:val="4F81BD" w:themeColor="accent1"/>
                              <w:kern w:val="24"/>
                              <w:sz w:val="18"/>
                              <w:szCs w:val="19"/>
                            </w:rPr>
                          </w:pPr>
                          <w:r>
                            <w:rPr>
                              <w:rFonts w:asciiTheme="minorHAnsi" w:hAnsi="Calibri"/>
                              <w:i/>
                              <w:iCs/>
                              <w:color w:val="4F81BD" w:themeColor="accent1"/>
                              <w:sz w:val="18"/>
                              <w:szCs w:val="19"/>
                            </w:rPr>
                            <w:t>Kisgyermekkori nevelés és gondozás (3+): romák: 42 %; teljes népesség: 92,2 % (eltérés: 50,2 százalékpont)</w:t>
                          </w:r>
                        </w:p>
                      </w:txbxContent>
                    </v:textbox>
                  </v:roundrect>
                  <v:roundrect id="Téglalap: lekerekített 28" o:spid="_x0000_s1052" style="position:absolute;left:1725;top:11913;width:42621;height:5815;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6ySMEA&#10;AADbAAAADwAAAGRycy9kb3ducmV2LnhtbESPS6vCMBSE94L/IRzBjWiqoGg1ini5cLc+Nu6OzbEt&#10;Nie1SR/33xtBcDnMzDfMZteZQjRUudyygukkAkGcWJ1zquBy/h0vQTiPrLGwTAr+ycFu2+9tMNa2&#10;5SM1J5+KAGEXo4LM+zKW0iUZGXQTWxIH724rgz7IKpW6wjbATSFnUbSQBnMOCxmWdMgoeZxqo2CV&#10;tnds6tv8OjokP0UdIS6ap1LDQbdfg/DU+W/40/7TCuYreH8JP0Bu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fuskjBAAAA2wAAAA8AAAAAAAAAAAAAAAAAmAIAAGRycy9kb3du&#10;cmV2LnhtbFBLBQYAAAAABAAEAPUAAACGAwAAAAA=&#10;" fillcolor="white [3212]" strokecolor="#243f60 [1604]" strokeweight="2pt">
                    <v:textbox inset="0,0,0,0">
                      <w:txbxContent>
                        <w:p>
                          <w:pPr>
                            <w:pStyle w:val="NormalWeb"/>
                            <w:spacing w:before="0" w:beforeAutospacing="0" w:after="0" w:afterAutospacing="0"/>
                            <w:jc w:val="center"/>
                            <w:rPr>
                              <w:sz w:val="18"/>
                              <w:szCs w:val="18"/>
                            </w:rPr>
                          </w:pPr>
                          <w:r>
                            <w:rPr>
                              <w:rFonts w:asciiTheme="minorHAnsi" w:hAnsi="Calibri"/>
                              <w:b/>
                              <w:bCs/>
                              <w:color w:val="FF0000"/>
                              <w:sz w:val="18"/>
                              <w:szCs w:val="18"/>
                            </w:rPr>
                            <w:t xml:space="preserve">A szegregáció felszámolása érdekében tett erőfeszítések a szegregált általános iskolákba járó roma gyermekek számának legalább felére való csökkentése révén </w:t>
                          </w:r>
                          <w:r>
                            <w:rPr>
                              <w:rFonts w:asciiTheme="minorHAnsi" w:hAnsi="Calibri"/>
                              <w:bCs/>
                              <w:color w:val="4F81BD" w:themeColor="accent1"/>
                              <w:sz w:val="18"/>
                              <w:szCs w:val="18"/>
                            </w:rPr>
                            <w:t>(a jelentős roma népességgel rendelkező tagállamokban)</w:t>
                          </w:r>
                        </w:p>
                        <w:p>
                          <w:pPr>
                            <w:pStyle w:val="NormalWeb"/>
                            <w:numPr>
                              <w:ilvl w:val="0"/>
                              <w:numId w:val="69"/>
                            </w:numPr>
                            <w:spacing w:before="0" w:beforeAutospacing="0" w:after="0" w:afterAutospacing="0"/>
                            <w:ind w:left="142" w:hanging="142"/>
                            <w:rPr>
                              <w:rFonts w:asciiTheme="minorHAnsi" w:hAnsi="Calibri" w:cstheme="minorBidi"/>
                              <w:iCs/>
                              <w:color w:val="00B050"/>
                              <w:kern w:val="24"/>
                              <w:sz w:val="18"/>
                              <w:szCs w:val="19"/>
                            </w:rPr>
                          </w:pPr>
                          <w:r>
                            <w:rPr>
                              <w:rFonts w:asciiTheme="minorHAnsi" w:hAnsi="Calibri"/>
                              <w:iCs/>
                              <w:color w:val="00B050"/>
                              <w:sz w:val="18"/>
                              <w:szCs w:val="19"/>
                            </w:rPr>
                            <w:t>annak biztosítása érdekében, hogy 2030-ra ötből kevesebb mint egy roma gyermek járjon olyan iskolába, ahol a gyermekek többsége vagy valamennyi gyermek</w:t>
                          </w:r>
                          <w:r>
                            <w:rPr>
                              <w:color w:val="00B050"/>
                              <w:sz w:val="18"/>
                              <w:szCs w:val="19"/>
                            </w:rPr>
                            <w:t xml:space="preserve"> </w:t>
                          </w:r>
                          <w:r>
                            <w:rPr>
                              <w:rFonts w:asciiTheme="minorHAnsi" w:hAnsi="Calibri"/>
                              <w:iCs/>
                              <w:color w:val="00B050"/>
                              <w:sz w:val="18"/>
                              <w:szCs w:val="19"/>
                            </w:rPr>
                            <w:t>roma</w:t>
                          </w:r>
                        </w:p>
                        <w:p>
                          <w:pPr>
                            <w:pStyle w:val="NormalWeb"/>
                            <w:numPr>
                              <w:ilvl w:val="0"/>
                              <w:numId w:val="69"/>
                            </w:numPr>
                            <w:spacing w:before="0" w:beforeAutospacing="0" w:after="0" w:afterAutospacing="0"/>
                            <w:ind w:left="142" w:hanging="142"/>
                            <w:rPr>
                              <w:rFonts w:asciiTheme="minorHAnsi" w:hAnsi="Calibri" w:cstheme="minorBidi"/>
                              <w:iCs/>
                              <w:color w:val="4F81BD" w:themeColor="accent1"/>
                              <w:kern w:val="24"/>
                              <w:sz w:val="18"/>
                              <w:szCs w:val="19"/>
                            </w:rPr>
                          </w:pPr>
                          <w:r>
                            <w:rPr>
                              <w:rFonts w:asciiTheme="minorHAnsi" w:hAnsi="Calibri"/>
                              <w:i/>
                              <w:iCs/>
                              <w:color w:val="4F81BD" w:themeColor="accent1"/>
                              <w:sz w:val="18"/>
                              <w:szCs w:val="19"/>
                            </w:rPr>
                            <w:t>Olyan iskolába járó roma gyermekek aránya, ahol a gyermekek többsége vagy valamennyi gyermek roma: 44 %</w:t>
                          </w:r>
                        </w:p>
                      </w:txbxContent>
                    </v:textbox>
                  </v:roundrect>
                  <v:roundrect id="Téglalap: lekerekített 29" o:spid="_x0000_s1053" style="position:absolute;left:22966;top:2122;width:21817;height:9304;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LjRaL4A&#10;AADbAAAADwAAAGRycy9kb3ducmV2LnhtbERPy4rCMBTdC/5DuIIb0XQEi1ajDIrgdtSNu2tzbYvN&#10;TW3Sh38/WQguD+e92fWmFC3VrrCs4GcWgSBOrS44U3C9HKdLEM4jaywtk4I3Odhth4MNJtp2/Eft&#10;2WcihLBLUEHufZVI6dKcDLqZrYgD97C1QR9gnUldYxfCTSnnURRLgwWHhhwr2ueUPs+NUbDKuge2&#10;zX1xm+zTQ9lEiHH7Umo86n/XIDz1/iv+uE9aQRzWhy/hB8jtP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Di40Wi+AAAA2wAAAA8AAAAAAAAAAAAAAAAAmAIAAGRycy9kb3ducmV2&#10;LnhtbFBLBQYAAAAABAAEAPUAAACDAw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18"/>
                              <w:szCs w:val="18"/>
                            </w:rPr>
                          </w:pPr>
                          <w:r>
                            <w:rPr>
                              <w:rFonts w:asciiTheme="minorHAnsi" w:hAnsi="Calibri"/>
                              <w:b/>
                              <w:bCs/>
                              <w:color w:val="FF0000"/>
                              <w:sz w:val="18"/>
                              <w:szCs w:val="18"/>
                            </w:rPr>
                            <w:t>A felső középfokú végzettségek terén meglévő különbségek</w:t>
                          </w:r>
                          <w:r>
                            <w:rPr>
                              <w:sz w:val="22"/>
                            </w:rPr>
                            <w:t xml:space="preserve"> </w:t>
                          </w:r>
                          <w:r>
                            <w:rPr>
                              <w:rFonts w:asciiTheme="minorHAnsi" w:hAnsi="Calibri"/>
                              <w:b/>
                              <w:bCs/>
                              <w:color w:val="FF0000"/>
                              <w:sz w:val="18"/>
                              <w:szCs w:val="18"/>
                            </w:rPr>
                            <w:t>legalább egyharmaddal való csökkentése</w:t>
                          </w:r>
                        </w:p>
                        <w:p>
                          <w:pPr>
                            <w:pStyle w:val="NormalWeb"/>
                            <w:numPr>
                              <w:ilvl w:val="0"/>
                              <w:numId w:val="67"/>
                            </w:numPr>
                            <w:spacing w:before="0" w:beforeAutospacing="0" w:after="0" w:afterAutospacing="0"/>
                            <w:ind w:left="142" w:hanging="142"/>
                            <w:rPr>
                              <w:rFonts w:asciiTheme="minorHAnsi" w:hAnsi="Calibri" w:cstheme="minorBidi"/>
                              <w:iCs/>
                              <w:color w:val="00B050"/>
                              <w:kern w:val="24"/>
                              <w:sz w:val="18"/>
                              <w:szCs w:val="19"/>
                            </w:rPr>
                          </w:pPr>
                          <w:r>
                            <w:rPr>
                              <w:rFonts w:asciiTheme="minorHAnsi" w:hAnsi="Calibri"/>
                              <w:iCs/>
                              <w:color w:val="00B050"/>
                              <w:sz w:val="18"/>
                              <w:szCs w:val="19"/>
                            </w:rPr>
                            <w:t>annak biztosítása érdekében, hogy 2030-ra a roma fiatalok többsége legalább felső középfokú végzettséget szerezzen</w:t>
                          </w:r>
                        </w:p>
                        <w:p>
                          <w:pPr>
                            <w:pStyle w:val="NormalWeb"/>
                            <w:numPr>
                              <w:ilvl w:val="0"/>
                              <w:numId w:val="68"/>
                            </w:numPr>
                            <w:spacing w:before="0" w:beforeAutospacing="0" w:after="0" w:afterAutospacing="0"/>
                            <w:ind w:left="142" w:hanging="142"/>
                            <w:rPr>
                              <w:rFonts w:asciiTheme="minorHAnsi" w:hAnsi="Calibri" w:cstheme="minorBidi"/>
                              <w:i/>
                              <w:iCs/>
                              <w:color w:val="4F81BD" w:themeColor="accent1"/>
                              <w:kern w:val="24"/>
                              <w:sz w:val="18"/>
                              <w:szCs w:val="19"/>
                            </w:rPr>
                          </w:pPr>
                          <w:r>
                            <w:rPr>
                              <w:rFonts w:asciiTheme="minorHAnsi" w:hAnsi="Calibri"/>
                              <w:i/>
                              <w:iCs/>
                              <w:color w:val="4F81BD" w:themeColor="accent1"/>
                              <w:sz w:val="18"/>
                              <w:szCs w:val="19"/>
                            </w:rPr>
                            <w:t xml:space="preserve">felső középfokú vagy annál magasabb végzettség megszerzése: romák: 28 %; teljes népesség: 83,5 % (eltérés: 55,5 százalékpont) </w:t>
                          </w:r>
                        </w:p>
                      </w:txbxContent>
                    </v:textbox>
                  </v:roundrect>
                  <v:roundrect id="Téglalap: lekerekített 30" o:spid="_x0000_s1054" style="position:absolute;left:23801;top:46703;width:20545;height:7109;visibility:visible;mso-wrap-style:square;v-text-anchor:top"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R088EA&#10;AADbAAAADwAAAGRycy9kb3ducmV2LnhtbESPT4vCMBTE7wt+h/AEL4umClu0GmVxEbyuevH2bJ5t&#10;sXmpTfrHb28EweMwM79hVpvelKKl2hWWFUwnEQji1OqCMwWn4248B+E8ssbSMil4kIPNevC1wkTb&#10;jv+pPfhMBAi7BBXk3leJlC7NyaCb2Io4eFdbG/RB1pnUNXYBbko5i6JYGiw4LORY0Tan9HZojIJF&#10;1l2xbS4/5+9t+lc2EWLc3pUaDfvfJQhPvf+E3+29VhBP4fUl/AC5f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f0dPPBAAAA2wAAAA8AAAAAAAAAAAAAAAAAmAIAAGRycy9kb3du&#10;cmV2LnhtbFBLBQYAAAAABAAEAPUAAACGAwAAAAA=&#10;" fillcolor="white [3212]" strokecolor="#243f60 [1604]" strokeweight="2pt">
                    <v:textbox inset="0,0,0,0">
                      <w:txbxContent>
                        <w:p>
                          <w:pPr>
                            <w:pStyle w:val="NormalWeb"/>
                            <w:spacing w:before="0" w:beforeAutospacing="0" w:after="0" w:afterAutospacing="0"/>
                            <w:jc w:val="center"/>
                            <w:rPr>
                              <w:rFonts w:asciiTheme="minorHAnsi" w:hAnsi="Calibri" w:cstheme="minorBidi"/>
                              <w:b/>
                              <w:bCs/>
                              <w:color w:val="FF0000"/>
                              <w:kern w:val="24"/>
                              <w:sz w:val="18"/>
                              <w:szCs w:val="18"/>
                            </w:rPr>
                          </w:pPr>
                          <w:r>
                            <w:rPr>
                              <w:rFonts w:asciiTheme="minorHAnsi" w:hAnsi="Calibri"/>
                              <w:b/>
                              <w:bCs/>
                              <w:color w:val="FF0000"/>
                              <w:sz w:val="18"/>
                              <w:szCs w:val="18"/>
                            </w:rPr>
                            <w:t>A szűk lakásban élők aránya terén meglévő különbség legalább felére csökkentése</w:t>
                          </w:r>
                        </w:p>
                        <w:p>
                          <w:pPr>
                            <w:pStyle w:val="NormalWeb"/>
                            <w:numPr>
                              <w:ilvl w:val="0"/>
                              <w:numId w:val="75"/>
                            </w:numPr>
                            <w:spacing w:before="0" w:beforeAutospacing="0" w:after="0" w:afterAutospacing="0"/>
                            <w:ind w:left="142" w:hanging="142"/>
                            <w:rPr>
                              <w:rFonts w:asciiTheme="minorHAnsi" w:hAnsi="Calibri" w:cstheme="minorBidi"/>
                              <w:i/>
                              <w:iCs/>
                              <w:color w:val="00B050"/>
                              <w:kern w:val="24"/>
                              <w:sz w:val="18"/>
                              <w:szCs w:val="19"/>
                            </w:rPr>
                          </w:pPr>
                          <w:r>
                            <w:rPr>
                              <w:rFonts w:asciiTheme="minorHAnsi" w:hAnsi="Calibri"/>
                              <w:bCs/>
                              <w:color w:val="00B050"/>
                              <w:sz w:val="18"/>
                              <w:szCs w:val="19"/>
                            </w:rPr>
                            <w:t>annak biztosítása érdekében, hogy 2030-ra a romák többsége ne lakjon túlzsúfolt háztartásokban</w:t>
                          </w:r>
                        </w:p>
                        <w:p>
                          <w:pPr>
                            <w:pStyle w:val="NormalWeb"/>
                            <w:numPr>
                              <w:ilvl w:val="0"/>
                              <w:numId w:val="75"/>
                            </w:numPr>
                            <w:spacing w:before="0" w:beforeAutospacing="0" w:after="0" w:afterAutospacing="0"/>
                            <w:ind w:left="142" w:hanging="142"/>
                            <w:rPr>
                              <w:rFonts w:asciiTheme="minorHAnsi" w:hAnsi="Calibri" w:cstheme="minorBidi"/>
                              <w:i/>
                              <w:iCs/>
                              <w:color w:val="4F81BD" w:themeColor="accent1"/>
                              <w:kern w:val="24"/>
                              <w:sz w:val="18"/>
                              <w:szCs w:val="19"/>
                            </w:rPr>
                          </w:pPr>
                          <w:r>
                            <w:rPr>
                              <w:rFonts w:asciiTheme="minorHAnsi" w:hAnsi="Calibri"/>
                              <w:i/>
                              <w:iCs/>
                              <w:color w:val="4F81BD" w:themeColor="accent1"/>
                              <w:sz w:val="18"/>
                              <w:szCs w:val="19"/>
                            </w:rPr>
                            <w:t>szűk lakásban élők aránya: romák: 78 %; általános népesség: 17,1 % (eltérés: 60,9 százalékpont)</w:t>
                          </w:r>
                        </w:p>
                      </w:txbxContent>
                    </v:textbox>
                  </v:roundrect>
                </v:group>
                <v:rect id="Téglalap 4" o:spid="_x0000_s1055" style="position:absolute;width:62484;height:365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S/jsQA&#10;AADbAAAADwAAAGRycy9kb3ducmV2LnhtbESPQWuDQBSE74X8h+UFcinN2hxCMdmEIoRIKIRq4vnh&#10;vqrUfavuVu2/7xYKPQ4z8w2zP86mFSMNrrGs4HkdgSAurW64UnDLT08vIJxH1thaJgXf5OB4WDzs&#10;MdZ24ncaM1+JAGEXo4La+y6W0pU1GXRr2xEH78MOBn2QQyX1gFOAm1ZuomgrDTYcFmrsKKmp/My+&#10;jIKpvI5F/naW18citdynfZLdL0qtlvPrDoSn2f+H/9qpVrDdwO+X8APk4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Uv47EAAAA2wAAAA8AAAAAAAAAAAAAAAAAmAIAAGRycy9k&#10;b3ducmV2LnhtbFBLBQYAAAAABAAEAPUAAACJAwAAAAA=&#10;" filled="f" stroked="f">
                  <v:textbox>
                    <w:txbxContent>
                      <w:p>
                        <w:pPr>
                          <w:pStyle w:val="NormalWeb"/>
                          <w:spacing w:before="0" w:beforeAutospacing="0" w:after="0" w:afterAutospacing="0"/>
                          <w:jc w:val="center"/>
                          <w:rPr>
                            <w:rFonts w:eastAsia="Calibri" w:cstheme="minorBidi"/>
                            <w:bCs/>
                            <w:smallCaps/>
                            <w:color w:val="4F81BD" w:themeColor="accent1"/>
                            <w:kern w:val="24"/>
                            <w:szCs w:val="28"/>
                          </w:rPr>
                        </w:pPr>
                        <w:r>
                          <w:rPr>
                            <w:b/>
                            <w:bCs/>
                            <w:smallCaps/>
                            <w:color w:val="4F81BD" w:themeColor="accent1"/>
                            <w:szCs w:val="28"/>
                          </w:rPr>
                          <w:t xml:space="preserve">Ágazati célkitűzések </w:t>
                        </w:r>
                      </w:p>
                    </w:txbxContent>
                  </v:textbox>
                </v:rect>
                <w10:wrap type="topAndBottom" anchorx="margin"/>
              </v:group>
            </w:pict>
          </mc:Fallback>
        </mc:AlternateContent>
      </w:r>
      <w:r>
        <w:rPr>
          <w:rFonts w:ascii="Times New Roman" w:hAnsi="Times New Roman"/>
          <w:noProof/>
          <w:sz w:val="20"/>
          <w:szCs w:val="20"/>
        </w:rPr>
        <w:t>További mutatók állnak feltérképezés alatt</w:t>
      </w:r>
      <w:r>
        <w:rPr>
          <w:rStyle w:val="FootnoteReference"/>
          <w:rFonts w:ascii="Times New Roman" w:eastAsia="Times New Roman" w:hAnsi="Times New Roman" w:cs="Times New Roman"/>
          <w:noProof/>
          <w:sz w:val="20"/>
          <w:szCs w:val="20"/>
        </w:rPr>
        <w:footnoteReference w:id="24"/>
      </w:r>
      <w:r>
        <w:rPr>
          <w:rFonts w:ascii="Times New Roman" w:hAnsi="Times New Roman"/>
          <w:noProof/>
          <w:sz w:val="20"/>
          <w:szCs w:val="20"/>
        </w:rPr>
        <w:t>.</w:t>
      </w:r>
      <w:r>
        <w:rPr>
          <w:noProof/>
        </w:rPr>
        <w:br w:type="page"/>
      </w:r>
    </w:p>
    <w:p>
      <w:pPr>
        <w:spacing w:before="360" w:after="240" w:line="240" w:lineRule="auto"/>
        <w:ind w:left="567" w:hanging="567"/>
        <w:jc w:val="both"/>
        <w:rPr>
          <w:rFonts w:ascii="Times New Roman Bold" w:hAnsi="Times New Roman Bold"/>
          <w:b/>
          <w:i/>
          <w:smallCaps/>
          <w:noProof/>
          <w:sz w:val="24"/>
          <w:szCs w:val="24"/>
        </w:rPr>
      </w:pPr>
      <w:r>
        <w:rPr>
          <w:rFonts w:ascii="Times New Roman Bold" w:hAnsi="Times New Roman Bold"/>
          <w:b/>
          <w:i/>
          <w:smallCaps/>
          <w:noProof/>
          <w:sz w:val="24"/>
          <w:szCs w:val="24"/>
        </w:rPr>
        <w:t xml:space="preserve">III. </w:t>
      </w:r>
      <w:r>
        <w:rPr>
          <w:noProof/>
        </w:rPr>
        <w:tab/>
      </w:r>
      <w:r>
        <w:rPr>
          <w:rFonts w:ascii="Times New Roman Bold" w:hAnsi="Times New Roman Bold"/>
          <w:b/>
          <w:i/>
          <w:smallCaps/>
          <w:noProof/>
          <w:sz w:val="24"/>
          <w:szCs w:val="24"/>
        </w:rPr>
        <w:t>Megújult és megerősített nemzeti fellépés az egyenlőség, a társadalmi befogadás és részvétel érdekében</w:t>
      </w:r>
    </w:p>
    <w:p>
      <w:pPr>
        <w:spacing w:after="120" w:line="240" w:lineRule="auto"/>
        <w:jc w:val="both"/>
        <w:rPr>
          <w:rFonts w:ascii="Times New Roman" w:hAnsi="Times New Roman"/>
          <w:b/>
          <w:noProof/>
          <w:sz w:val="24"/>
          <w:szCs w:val="24"/>
        </w:rPr>
      </w:pPr>
      <w:r>
        <w:rPr>
          <w:rFonts w:ascii="Times New Roman" w:hAnsi="Times New Roman"/>
          <w:noProof/>
          <w:sz w:val="24"/>
          <w:szCs w:val="24"/>
        </w:rPr>
        <w:t>E stratégiai keret célkitűzéseinek eléréséhez mind uniós, mind pedig nemzeti szintű fellépésre szükség van. Ez az egymást kiegészítő megközelítés az egyetlen módja annak, hogy tényleges változást lehessen előidézni. Nagyrészt a tagállamok hatáskörébe tartoznak az e keret által érintett területek, és strukturált megközelítésre van szükség. Bár a romák helyzete országonként eltérő, nemzeti szinten növelni kell az elkötelezettséget és a kiszámíthatóságot, hogy valódi változást lehessen elérni a romák mindennapi életében. Ez magában foglalja a civil társadalom és az összes érdekelt fél bevonását a nemzeti romastratégiai keretek kialakításába.</w:t>
      </w:r>
    </w:p>
    <w:tbl>
      <w:tblPr>
        <w:tblStyle w:val="TableGrid"/>
        <w:tblW w:w="0" w:type="auto"/>
        <w:tblLook w:val="04A0" w:firstRow="1" w:lastRow="0" w:firstColumn="1" w:lastColumn="0" w:noHBand="0" w:noVBand="1"/>
      </w:tblPr>
      <w:tblGrid>
        <w:gridCol w:w="9323"/>
      </w:tblGrid>
      <w:tr>
        <w:tc>
          <w:tcPr>
            <w:tcW w:w="9323" w:type="dxa"/>
          </w:tcPr>
          <w:p>
            <w:pPr>
              <w:spacing w:after="120"/>
              <w:jc w:val="both"/>
              <w:rPr>
                <w:rFonts w:ascii="Times New Roman" w:hAnsi="Times New Roman"/>
                <w:b/>
                <w:i/>
                <w:noProof/>
                <w:sz w:val="24"/>
                <w:szCs w:val="24"/>
              </w:rPr>
            </w:pPr>
            <w:r>
              <w:rPr>
                <w:rFonts w:ascii="Times New Roman" w:hAnsi="Times New Roman"/>
                <w:b/>
                <w:i/>
                <w:noProof/>
                <w:sz w:val="24"/>
                <w:szCs w:val="24"/>
              </w:rPr>
              <w:t>A nemzeti szintű fellépés előmozdítása a nemzeti romastratégiai kereteken keresztül</w:t>
            </w:r>
          </w:p>
          <w:p>
            <w:pPr>
              <w:spacing w:after="120"/>
              <w:jc w:val="both"/>
              <w:rPr>
                <w:rFonts w:ascii="Times New Roman" w:hAnsi="Times New Roman"/>
                <w:noProof/>
                <w:sz w:val="24"/>
                <w:szCs w:val="24"/>
              </w:rPr>
            </w:pPr>
            <w:r>
              <w:rPr>
                <w:rFonts w:ascii="Times New Roman" w:hAnsi="Times New Roman"/>
                <w:noProof/>
                <w:sz w:val="24"/>
                <w:szCs w:val="24"/>
              </w:rPr>
              <w:t>A tagállamoknak nemzeti romastratégiai kereteket kell kialakítaniuk, elfogadniuk és végrehajtaniuk, amelyeknek az alábbiakat kell tartalmazniuk:</w:t>
            </w:r>
          </w:p>
          <w:p>
            <w:pPr>
              <w:pStyle w:val="ListParagraph"/>
              <w:numPr>
                <w:ilvl w:val="1"/>
                <w:numId w:val="36"/>
              </w:numPr>
              <w:spacing w:after="0" w:line="240" w:lineRule="auto"/>
              <w:ind w:left="589"/>
              <w:contextualSpacing w:val="0"/>
              <w:rPr>
                <w:rFonts w:ascii="Times New Roman" w:hAnsi="Times New Roman"/>
                <w:noProof/>
                <w:sz w:val="24"/>
                <w:szCs w:val="24"/>
              </w:rPr>
            </w:pPr>
            <w:r>
              <w:rPr>
                <w:rFonts w:ascii="Times New Roman" w:hAnsi="Times New Roman"/>
                <w:noProof/>
                <w:sz w:val="24"/>
                <w:szCs w:val="24"/>
              </w:rPr>
              <w:t xml:space="preserve">közös vonások </w:t>
            </w:r>
          </w:p>
          <w:p>
            <w:pPr>
              <w:pStyle w:val="ListParagraph"/>
              <w:numPr>
                <w:ilvl w:val="1"/>
                <w:numId w:val="36"/>
              </w:numPr>
              <w:spacing w:after="0" w:line="240" w:lineRule="auto"/>
              <w:ind w:left="589"/>
              <w:contextualSpacing w:val="0"/>
              <w:rPr>
                <w:rFonts w:ascii="Times New Roman" w:hAnsi="Times New Roman"/>
                <w:noProof/>
                <w:sz w:val="24"/>
                <w:szCs w:val="24"/>
              </w:rPr>
            </w:pPr>
            <w:r>
              <w:rPr>
                <w:rFonts w:ascii="Times New Roman" w:hAnsi="Times New Roman"/>
                <w:noProof/>
                <w:sz w:val="24"/>
                <w:szCs w:val="24"/>
              </w:rPr>
              <w:t>minimális kötelezettségvállalások, amelyek mindenkire alkalmazandók</w:t>
            </w:r>
          </w:p>
          <w:p>
            <w:pPr>
              <w:pStyle w:val="ListParagraph"/>
              <w:numPr>
                <w:ilvl w:val="1"/>
                <w:numId w:val="36"/>
              </w:numPr>
              <w:spacing w:after="0" w:line="240" w:lineRule="auto"/>
              <w:ind w:left="589"/>
              <w:contextualSpacing w:val="0"/>
              <w:rPr>
                <w:rFonts w:ascii="Times New Roman" w:hAnsi="Times New Roman"/>
                <w:noProof/>
                <w:sz w:val="24"/>
                <w:szCs w:val="24"/>
              </w:rPr>
            </w:pPr>
            <w:r>
              <w:rPr>
                <w:rFonts w:ascii="Times New Roman" w:hAnsi="Times New Roman"/>
                <w:noProof/>
                <w:sz w:val="24"/>
                <w:szCs w:val="24"/>
              </w:rPr>
              <w:t>lehetséges további kötelezettségvállalások a nemzeti helyzettől függően</w:t>
            </w:r>
          </w:p>
          <w:p>
            <w:pPr>
              <w:pStyle w:val="ListParagraph"/>
              <w:numPr>
                <w:ilvl w:val="1"/>
                <w:numId w:val="36"/>
              </w:numPr>
              <w:spacing w:line="240" w:lineRule="auto"/>
              <w:ind w:left="584" w:hanging="357"/>
              <w:contextualSpacing w:val="0"/>
              <w:rPr>
                <w:rFonts w:ascii="Times New Roman" w:hAnsi="Times New Roman"/>
                <w:noProof/>
                <w:sz w:val="24"/>
                <w:szCs w:val="24"/>
              </w:rPr>
            </w:pPr>
            <w:r>
              <w:rPr>
                <w:rFonts w:ascii="Times New Roman" w:hAnsi="Times New Roman"/>
                <w:noProof/>
                <w:sz w:val="24"/>
                <w:szCs w:val="24"/>
              </w:rPr>
              <w:t>ambiciózusabb kötelezettségvállalások azon tagállamok esetében, ahol nagy roma közösségek élnek</w:t>
            </w:r>
          </w:p>
          <w:p>
            <w:pPr>
              <w:ind w:left="22"/>
              <w:jc w:val="both"/>
              <w:rPr>
                <w:rFonts w:ascii="Times New Roman" w:hAnsi="Times New Roman"/>
                <w:noProof/>
                <w:sz w:val="24"/>
                <w:szCs w:val="24"/>
              </w:rPr>
            </w:pPr>
            <w:r>
              <w:rPr>
                <w:rFonts w:ascii="Times New Roman" w:hAnsi="Times New Roman"/>
                <w:noProof/>
                <w:sz w:val="24"/>
                <w:szCs w:val="24"/>
              </w:rPr>
              <w:t xml:space="preserve">Az e tételekre vonatkozó javaslatok az alábbiakban láthatók. Ahol lehetséges, konkrét nemzeti célszámokat kell meghatározni. A Bizottság minden szükséges iránymutatással segíteni fogja ezt a folyamatot. Ezenkívül támogatja </w:t>
            </w:r>
          </w:p>
          <w:p>
            <w:pPr>
              <w:spacing w:after="120"/>
              <w:ind w:left="23"/>
              <w:jc w:val="both"/>
              <w:rPr>
                <w:rFonts w:ascii="Times New Roman" w:hAnsi="Times New Roman"/>
                <w:noProof/>
                <w:sz w:val="24"/>
                <w:szCs w:val="24"/>
              </w:rPr>
            </w:pPr>
            <w:r>
              <w:rPr>
                <w:rFonts w:ascii="Times New Roman" w:hAnsi="Times New Roman"/>
                <w:noProof/>
                <w:sz w:val="24"/>
                <w:szCs w:val="24"/>
              </w:rPr>
              <w:t>a nemzeti intézkedéseket, beleértve az egyenlőségről szóló jogszabályok végrehajtását, a romák egyenlőségének általános érvényesítését, az integrációt és az uniós szakpolitikai kezdeményezésekben való részvételt, valamint a romáknak szóló és a cigányellenességgel szembeni küzdelmet segítő uniós források mozgósítását.</w:t>
            </w:r>
          </w:p>
          <w:p>
            <w:pPr>
              <w:ind w:left="22"/>
              <w:jc w:val="both"/>
              <w:rPr>
                <w:rFonts w:ascii="Times New Roman" w:hAnsi="Times New Roman"/>
                <w:b/>
                <w:i/>
                <w:noProof/>
                <w:sz w:val="24"/>
                <w:szCs w:val="24"/>
              </w:rPr>
            </w:pPr>
            <w:r>
              <w:rPr>
                <w:rFonts w:ascii="Times New Roman" w:hAnsi="Times New Roman"/>
                <w:noProof/>
                <w:sz w:val="24"/>
                <w:szCs w:val="24"/>
              </w:rPr>
              <w:t>A tagállamoknak 2021 szeptemberéig kell befejezniük e nemzeti keretek kidolgozását, és megosztaniuk azokat a Bizottsággal.</w:t>
            </w:r>
          </w:p>
        </w:tc>
      </w:tr>
    </w:tbl>
    <w:p>
      <w:pPr>
        <w:spacing w:after="0" w:line="240" w:lineRule="auto"/>
        <w:jc w:val="both"/>
        <w:rPr>
          <w:rFonts w:ascii="Times New Roman" w:hAnsi="Times New Roman"/>
          <w:b/>
          <w:noProof/>
          <w:sz w:val="24"/>
          <w:szCs w:val="24"/>
        </w:rPr>
      </w:pP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E közleménnyel együtt a Bizottság elfogadja a romák egyenlőségéről, társadalmi befogadásáról és részvételéről szóló </w:t>
      </w:r>
      <w:r>
        <w:rPr>
          <w:rFonts w:ascii="Times New Roman" w:hAnsi="Times New Roman"/>
          <w:b/>
          <w:noProof/>
          <w:sz w:val="24"/>
          <w:szCs w:val="24"/>
        </w:rPr>
        <w:t>tanácsi ajánlásra</w:t>
      </w:r>
      <w:r>
        <w:rPr>
          <w:rFonts w:ascii="Times New Roman" w:hAnsi="Times New Roman"/>
          <w:noProof/>
          <w:sz w:val="24"/>
          <w:szCs w:val="24"/>
        </w:rPr>
        <w:t xml:space="preserve"> irányuló javaslatot, amely meghatározza a tagállamok által az uniós célkitűzések elérése érdekében bevezetendő konkrét intézkedések jegyzékét. A kettő tehát kiegészíti egymást. A javasolt ajánlás segíti az érdekelt felek kapacitásépítését és a köztük lévő partnerséget, beleértve a roma kapcsolattartó pontokat, az egyenlőséggel foglalkozó szervezeteket, a civil társadalmat, valamint a regionális és helyi szereplőket. Továbbá iránymutatást nyújt az uniós és nemzeti források hatékonyabb felhasználásának biztosításához, valamint a nemzeti romastratégiai keretek hatékony nemzeti nyomon követéséhez, jelentéséhez és értékeléséhez.</w:t>
      </w:r>
    </w:p>
    <w:p>
      <w:pPr>
        <w:spacing w:before="240" w:after="240" w:line="240" w:lineRule="auto"/>
        <w:jc w:val="both"/>
        <w:rPr>
          <w:rFonts w:ascii="Times New Roman" w:hAnsi="Times New Roman"/>
          <w:b/>
          <w:i/>
          <w:noProof/>
          <w:sz w:val="24"/>
          <w:szCs w:val="24"/>
        </w:rPr>
      </w:pPr>
      <w:r>
        <w:rPr>
          <w:rFonts w:ascii="Times New Roman" w:hAnsi="Times New Roman"/>
          <w:b/>
          <w:i/>
          <w:noProof/>
          <w:sz w:val="24"/>
          <w:szCs w:val="24"/>
        </w:rPr>
        <w:t>III.1. Iránymutatás a közös, de differenciált megközelítést követő nemzeti</w:t>
      </w:r>
      <w:r>
        <w:rPr>
          <w:rFonts w:ascii="Times New Roman Bold" w:hAnsi="Times New Roman Bold"/>
          <w:b/>
          <w:i/>
          <w:smallCaps/>
          <w:noProof/>
          <w:sz w:val="24"/>
          <w:szCs w:val="24"/>
        </w:rPr>
        <w:t xml:space="preserve"> </w:t>
      </w:r>
      <w:r>
        <w:rPr>
          <w:rFonts w:ascii="Times New Roman" w:hAnsi="Times New Roman"/>
          <w:b/>
          <w:i/>
          <w:noProof/>
          <w:sz w:val="24"/>
          <w:szCs w:val="24"/>
        </w:rPr>
        <w:t>fellépésről</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Annak érdekében, hogy segíteni lehessen a tagállamoknak az érdemi és hatékony nemzeti romastratégiai keretek kialakításában, a Bizottság számos közös vonást, valamint minimális kötelezettségvállalást javasol az összes nemzeti romastratégiai keret tekintetében. Ezenkívül mivel a romák aránya, valamint helyzetük tagállamonként jelentősen eltérő, a Bizottság további és még inkább célzott kötelezettségvállalásokat javasol. Elismeri a tagállamokban fennálló helyzetek sokszínűségét, és lehetővé teszi a közös, mégis differenciált megközelítést. </w:t>
      </w:r>
    </w:p>
    <w:p>
      <w:pPr>
        <w:keepNext/>
        <w:keepLines/>
        <w:spacing w:after="120" w:line="240" w:lineRule="auto"/>
        <w:jc w:val="both"/>
        <w:rPr>
          <w:rFonts w:ascii="Times New Roman" w:hAnsi="Times New Roman" w:cs="Times New Roman"/>
          <w:noProof/>
          <w:sz w:val="24"/>
          <w:szCs w:val="24"/>
        </w:rPr>
      </w:pPr>
      <w:r>
        <w:rPr>
          <w:rFonts w:ascii="Times New Roman" w:hAnsi="Times New Roman"/>
          <w:noProof/>
          <w:sz w:val="24"/>
          <w:szCs w:val="24"/>
        </w:rPr>
        <w:t xml:space="preserve">A Bizottság </w:t>
      </w:r>
      <w:r>
        <w:rPr>
          <w:rFonts w:ascii="Times New Roman" w:hAnsi="Times New Roman"/>
          <w:b/>
          <w:noProof/>
          <w:sz w:val="24"/>
          <w:szCs w:val="24"/>
        </w:rPr>
        <w:t>egyrészt</w:t>
      </w:r>
      <w:r>
        <w:rPr>
          <w:rFonts w:ascii="Times New Roman" w:hAnsi="Times New Roman"/>
          <w:noProof/>
          <w:sz w:val="24"/>
          <w:szCs w:val="24"/>
        </w:rPr>
        <w:t xml:space="preserve"> azt javasolja, hogy </w:t>
      </w:r>
      <w:r>
        <w:rPr>
          <w:rFonts w:ascii="Times New Roman" w:hAnsi="Times New Roman"/>
          <w:b/>
          <w:noProof/>
          <w:sz w:val="24"/>
          <w:szCs w:val="24"/>
        </w:rPr>
        <w:t>minden nemzeti romastratégiai keret rendelkezzen az alábbi közös vonásokkal</w:t>
      </w:r>
      <w:r>
        <w:rPr>
          <w:rFonts w:ascii="Times New Roman" w:hAnsi="Times New Roman"/>
          <w:noProof/>
          <w:sz w:val="24"/>
          <w:szCs w:val="24"/>
        </w:rPr>
        <w:t>:</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Az egyenlőségre helyezett hangsúly megerősítése a társadalmi befogadás szempontú megközelítés kiegészítése érdekében:</w:t>
      </w:r>
      <w:r>
        <w:rPr>
          <w:rFonts w:ascii="Times New Roman" w:hAnsi="Times New Roman"/>
          <w:noProof/>
          <w:sz w:val="24"/>
          <w:szCs w:val="24"/>
        </w:rPr>
        <w:t xml:space="preserve"> Továbbra is kulcsfontosságú a romák társadalmi befogadása szempontjából, hogy integrált megközelítést alkalmazva foglalkozzanak a négy szakpolitikai területtel (oktatás, foglalkoztatás, egészségügy és lakhatás), azonban egyértelmű hangsúlyt kell helyezni az egyenlőségre is. Különösen a hátrányos megkülönböztetéssel és a cigányellenességgel szembeni küzdelmet kell fő célkitűzésként és átfogó prioritásként kezelni az egyes szakpolitikai területeken, kiegészítve ezzel a társadalmi befogadás szempontú megközelítést. A közös hangsúlynak biztosítania kell, hogy a romák ténylegesen hozzáférjenek a gazdasági és társadalmi igazságossághoz és az esélyegyenlőséghez.</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A részvétel előmozdítása a társadalmi szerepvállalás lehetővé tételén, az együttműködésen és a bizalmon keresztül</w:t>
      </w:r>
      <w:r>
        <w:rPr>
          <w:rFonts w:ascii="Times New Roman" w:hAnsi="Times New Roman"/>
          <w:noProof/>
          <w:sz w:val="24"/>
          <w:szCs w:val="24"/>
        </w:rPr>
        <w:t>: A romák érdemi részvételét a szakpolitikai döntéshozatal valamennyi szintjén biztosítani kell. Elő kell mozdítani a romák politikai, gazdasági és kulturális szerepvállalását, hogy a társadalom teljes jogú tagjainak érezhessék magukat. Biztosítani kell a társadalmi szerepvállalás elősegítését és a romák, a civil társadalom és a nemzeti hatóságok kapacitásépítését, valamint együttműködést és bizalmat kell kialakítani az érdekelt felek, továbbá a roma és nem roma közösségek között.</w:t>
      </w:r>
    </w:p>
    <w:p>
      <w:pPr>
        <w:pStyle w:val="ListParagraph"/>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 xml:space="preserve">A romák közötti sokszínűség tükrözése: </w:t>
      </w:r>
      <w:r>
        <w:rPr>
          <w:rFonts w:ascii="Times New Roman" w:hAnsi="Times New Roman"/>
          <w:noProof/>
          <w:sz w:val="24"/>
          <w:szCs w:val="24"/>
        </w:rPr>
        <w:t xml:space="preserve">A tagállamoknak biztosítaniuk kell, hogy stratégiai kereteik kiterjedjenek a területükön élő valamennyi romára, és az interszekcionális megközelítés révén tükrözzék a különböző csoportok szükségleteit. Nem szabad megfeledkezniük arról, hogy az identitás különböző aspektusai összeadódva miként fokozhatják a hátrányos megkülönböztetést. Mennyiségi és/vagy minőségi célokat kell meghatározniuk annak érdekében, hogy az életkorral, társadalmi nemmel, szexuális irányultsággal, mobilitással és egyéb személyes jellemzőkkel kapcsolatos sokszínűség tükröződjön. </w:t>
      </w:r>
    </w:p>
    <w:p>
      <w:pPr>
        <w:pStyle w:val="ListParagraph"/>
        <w:keepNext/>
        <w:keepLines/>
        <w:numPr>
          <w:ilvl w:val="0"/>
          <w:numId w:val="43"/>
        </w:numPr>
        <w:spacing w:after="60" w:line="240" w:lineRule="auto"/>
        <w:ind w:left="357" w:hanging="357"/>
        <w:contextualSpacing w:val="0"/>
        <w:rPr>
          <w:rFonts w:ascii="Times New Roman" w:hAnsi="Times New Roman"/>
          <w:noProof/>
          <w:sz w:val="24"/>
          <w:szCs w:val="24"/>
        </w:rPr>
      </w:pPr>
      <w:r>
        <w:rPr>
          <w:rFonts w:ascii="Times New Roman" w:hAnsi="Times New Roman"/>
          <w:i/>
          <w:noProof/>
          <w:sz w:val="24"/>
          <w:szCs w:val="24"/>
        </w:rPr>
        <w:t>A horizontális kezelés, valamint a romák kifejezett, de nem kizárólagos megcélzásának összehangolása</w:t>
      </w:r>
      <w:r>
        <w:rPr>
          <w:rStyle w:val="FootnoteReference"/>
          <w:rFonts w:ascii="Times New Roman" w:hAnsi="Times New Roman"/>
          <w:i/>
          <w:noProof/>
          <w:sz w:val="24"/>
          <w:szCs w:val="24"/>
        </w:rPr>
        <w:footnoteReference w:id="25"/>
      </w:r>
      <w:r>
        <w:rPr>
          <w:rFonts w:ascii="Times New Roman" w:hAnsi="Times New Roman"/>
          <w:i/>
          <w:noProof/>
          <w:sz w:val="24"/>
          <w:szCs w:val="24"/>
        </w:rPr>
        <w:t xml:space="preserve">: </w:t>
      </w:r>
      <w:r>
        <w:rPr>
          <w:rFonts w:ascii="Times New Roman" w:hAnsi="Times New Roman"/>
          <w:noProof/>
          <w:sz w:val="24"/>
          <w:szCs w:val="24"/>
        </w:rPr>
        <w:t>A nemzeti romastratégiai kereteknek össze</w:t>
      </w:r>
      <w:r>
        <w:rPr>
          <w:rFonts w:ascii="Times New Roman" w:hAnsi="Times New Roman"/>
          <w:i/>
          <w:noProof/>
          <w:sz w:val="24"/>
          <w:szCs w:val="24"/>
        </w:rPr>
        <w:t xml:space="preserve"> </w:t>
      </w:r>
      <w:r>
        <w:rPr>
          <w:rFonts w:ascii="Times New Roman" w:hAnsi="Times New Roman"/>
          <w:noProof/>
          <w:sz w:val="24"/>
          <w:szCs w:val="24"/>
        </w:rPr>
        <w:t xml:space="preserve">kell hangolniuk a horizontális kezelést, valamint a kifejezett, de nem kizárólagos célzottságot, ezáltal biztosítva, hogy a teljes népességnek nyújtott szolgáltatások inkluzívak legyenek, és további célzott támogatást kell biztosítaniuk ahhoz, hogy a romák ténylegesen egyenlő módon férjenek hozzá a különböző jogokhoz és szolgáltatásokhoz. A nemzeti kereteknek tervezési eszközökként kell szolgálniuk, amelyek segítik a nemzeti és uniós források felhasználását a romákat célzó fellépés és az inkluzív általános érvényesítési reform céljaira. </w:t>
      </w:r>
    </w:p>
    <w:p>
      <w:pPr>
        <w:pStyle w:val="ListParagraph"/>
        <w:numPr>
          <w:ilvl w:val="0"/>
          <w:numId w:val="43"/>
        </w:numPr>
        <w:spacing w:line="240" w:lineRule="auto"/>
        <w:ind w:left="357" w:hanging="357"/>
        <w:rPr>
          <w:rFonts w:ascii="Times New Roman" w:hAnsi="Times New Roman"/>
          <w:noProof/>
          <w:sz w:val="24"/>
          <w:szCs w:val="24"/>
        </w:rPr>
      </w:pPr>
      <w:r>
        <w:rPr>
          <w:rFonts w:ascii="Times New Roman" w:hAnsi="Times New Roman"/>
          <w:i/>
          <w:noProof/>
          <w:sz w:val="24"/>
          <w:szCs w:val="24"/>
        </w:rPr>
        <w:t>A célmeghatározás, az adatgyűjtés, a nyomon követés és a jelentéstétel javítása:</w:t>
      </w:r>
      <w:r>
        <w:rPr>
          <w:rFonts w:ascii="Times New Roman" w:hAnsi="Times New Roman"/>
          <w:noProof/>
          <w:sz w:val="24"/>
          <w:szCs w:val="24"/>
        </w:rPr>
        <w:t xml:space="preserve"> Az uniós szintű kiemelt célok és a vonatkozó mennyiségi és/vagy minőségi nemzeti célok elérésére irányuló munka valós előrehaladást idézhet elő a romák egyenlősége, társadalmi befogadása és részvétele terén. Az adatokat rendszeresen kell gyűjteni, hogy be lehessen őket építeni a jelentéstételbe és a nyomon követésbe, fejleszteni lehessen az átláthatóságot és a kiszámíthatóságot, valamint elő lehessen mozdítani a szakpolitikai ismeretek átadását és a tanulást</w:t>
      </w:r>
      <w:r>
        <w:rPr>
          <w:rStyle w:val="FootnoteReference"/>
          <w:rFonts w:ascii="Times New Roman" w:hAnsi="Times New Roman"/>
          <w:noProof/>
          <w:sz w:val="24"/>
          <w:szCs w:val="24"/>
        </w:rPr>
        <w:footnoteReference w:id="26"/>
      </w:r>
      <w:r>
        <w:rPr>
          <w:rFonts w:ascii="Times New Roman" w:hAnsi="Times New Roman"/>
          <w:noProof/>
          <w:sz w:val="24"/>
          <w:szCs w:val="24"/>
        </w:rPr>
        <w:t>.</w:t>
      </w:r>
    </w:p>
    <w:p>
      <w:pPr>
        <w:spacing w:after="120" w:line="240" w:lineRule="auto"/>
        <w:jc w:val="both"/>
        <w:rPr>
          <w:rFonts w:ascii="Times New Roman" w:hAnsi="Times New Roman" w:cs="Times New Roman"/>
          <w:b/>
          <w:noProof/>
          <w:sz w:val="24"/>
          <w:szCs w:val="24"/>
        </w:rPr>
      </w:pPr>
      <w:r>
        <w:rPr>
          <w:rFonts w:ascii="Times New Roman" w:hAnsi="Times New Roman"/>
          <w:b/>
          <w:noProof/>
          <w:sz w:val="24"/>
          <w:szCs w:val="24"/>
        </w:rPr>
        <w:t xml:space="preserve">Másrészt </w:t>
      </w:r>
      <w:r>
        <w:rPr>
          <w:rFonts w:ascii="Times New Roman" w:hAnsi="Times New Roman"/>
          <w:noProof/>
          <w:sz w:val="24"/>
          <w:szCs w:val="24"/>
        </w:rPr>
        <w:t>a közös vonásoknak minősülő kérdések gyakorlatban való kezelésével és a jelenlegi kerettel kapcsolatos tapasztalatokra és az elmúlt két évben széles körben végzett konzultációkra</w:t>
      </w:r>
      <w:r>
        <w:rPr>
          <w:rStyle w:val="FootnoteReference"/>
          <w:rFonts w:ascii="Times New Roman" w:hAnsi="Times New Roman" w:cs="Times New Roman"/>
          <w:noProof/>
          <w:sz w:val="24"/>
          <w:szCs w:val="24"/>
        </w:rPr>
        <w:footnoteReference w:id="27"/>
      </w:r>
      <w:r>
        <w:rPr>
          <w:rFonts w:ascii="Times New Roman" w:hAnsi="Times New Roman"/>
          <w:noProof/>
          <w:sz w:val="24"/>
          <w:szCs w:val="24"/>
        </w:rPr>
        <w:t xml:space="preserve"> építve a Bizottság minden tagállamot felkér arra, hogy </w:t>
      </w:r>
      <w:r>
        <w:rPr>
          <w:rFonts w:ascii="Times New Roman" w:hAnsi="Times New Roman"/>
          <w:b/>
          <w:noProof/>
          <w:sz w:val="24"/>
          <w:szCs w:val="24"/>
        </w:rPr>
        <w:t>legalább az alábbi kötelezettségvállalásokat építse be a nemzeti romastratégiai keretébe</w:t>
      </w:r>
      <w:r>
        <w:rPr>
          <w:rFonts w:ascii="Times New Roman" w:hAnsi="Times New Roman"/>
          <w:noProof/>
          <w:sz w:val="24"/>
          <w:szCs w:val="24"/>
        </w:rPr>
        <w:t>:</w:t>
      </w:r>
    </w:p>
    <w:tbl>
      <w:tblPr>
        <w:tblW w:w="9464" w:type="dxa"/>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Layout w:type="fixed"/>
        <w:tblLook w:val="04A0" w:firstRow="1" w:lastRow="0" w:firstColumn="1" w:lastColumn="0" w:noHBand="0" w:noVBand="1"/>
      </w:tblPr>
      <w:tblGrid>
        <w:gridCol w:w="9464"/>
      </w:tblGrid>
      <w:tr>
        <w:tc>
          <w:tcPr>
            <w:tcW w:w="9464" w:type="dxa"/>
            <w:shd w:val="clear" w:color="auto" w:fill="C7E2FA"/>
          </w:tcPr>
          <w:p>
            <w:pPr>
              <w:keepNext/>
              <w:keepLines/>
              <w:spacing w:before="60" w:after="0" w:line="240" w:lineRule="auto"/>
              <w:rPr>
                <w:rFonts w:ascii="Times New Roman" w:eastAsia="MS Mincho" w:hAnsi="Times New Roman"/>
                <w:noProof/>
                <w:sz w:val="24"/>
                <w:szCs w:val="24"/>
              </w:rPr>
            </w:pPr>
            <w:r>
              <w:rPr>
                <w:rFonts w:ascii="Times New Roman" w:hAnsi="Times New Roman"/>
                <w:noProof/>
                <w:sz w:val="24"/>
                <w:szCs w:val="24"/>
              </w:rPr>
              <w:t xml:space="preserve">A </w:t>
            </w:r>
            <w:r>
              <w:rPr>
                <w:rFonts w:ascii="Times New Roman" w:hAnsi="Times New Roman"/>
                <w:b/>
                <w:noProof/>
                <w:sz w:val="24"/>
                <w:szCs w:val="24"/>
              </w:rPr>
              <w:t>nemzeti stratégiai keretnek</w:t>
            </w:r>
            <w:r>
              <w:rPr>
                <w:rFonts w:ascii="Times New Roman" w:hAnsi="Times New Roman"/>
                <w:noProof/>
                <w:sz w:val="24"/>
                <w:szCs w:val="24"/>
              </w:rPr>
              <w:t xml:space="preserve"> meg kell határoznia az alábbiakat:</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nemzeti kiindulási és célértékek az uniós célkitűzések és célok elérése érdekében, átfogó igényfelmérés alapján;</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az egyes csoportokra (roma gyermekek, nők, fiatalok, idősebb romák vagy fogyatékossággal élő romák, mobilis uniós polgárok, nem uniós polgárok, hontalan romák) vonatkozó célok és intézkedések, hogy tükröződjön a romák közötti sokszínűség, beleértve a nemek közötti egyenlőség szempontját érvényesítő és a gyermekeket/életkort figyelembe vevő intézkedéseket;</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a cigányellenességgel és a hátrányos megkülönböztetéssel szembeni intézkedések (pl. nemzeti rasszizmus elleni Ftervek révén);</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a marginalizált romák gazdasági-társadalmi integrációját biztosító intézkedések, különösen az oktatás, a foglalkoztatás, az egészségügy és a lakhatás terén;</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a célzott és általános intézkedések együttes alkalmazása, figyelembe véve a konkrét helyi kihívásokat, és kifejezetten azokra az akadályokra összpontosítva, amelyek megfosztják a romákat a többségi szakpolitikákhoz való egyenlő hozzáféréstől</w:t>
            </w:r>
            <w:r>
              <w:rPr>
                <w:rStyle w:val="FootnoteReference"/>
                <w:rFonts w:ascii="Times New Roman" w:eastAsia="MS Mincho" w:hAnsi="Times New Roman"/>
                <w:noProof/>
                <w:sz w:val="24"/>
                <w:szCs w:val="24"/>
              </w:rPr>
              <w:footnoteReference w:id="28"/>
            </w:r>
            <w:r>
              <w:rPr>
                <w:rFonts w:ascii="Times New Roman" w:hAnsi="Times New Roman"/>
                <w:noProof/>
                <w:sz w:val="24"/>
                <w:szCs w:val="24"/>
              </w:rPr>
              <w:t>;</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a szociális innovációt és a magántőkét teljes mértékben kiaknázó, külön költségvetés a végrehajtásra és a nyomon követésre</w:t>
            </w:r>
            <w:r>
              <w:rPr>
                <w:rStyle w:val="FootnoteReference"/>
                <w:rFonts w:ascii="Times New Roman" w:eastAsia="MS Mincho" w:hAnsi="Times New Roman"/>
                <w:noProof/>
                <w:sz w:val="24"/>
                <w:szCs w:val="24"/>
              </w:rPr>
              <w:footnoteReference w:id="29"/>
            </w:r>
            <w:r>
              <w:rPr>
                <w:rFonts w:ascii="Times New Roman" w:hAnsi="Times New Roman"/>
                <w:noProof/>
                <w:sz w:val="24"/>
                <w:szCs w:val="24"/>
              </w:rPr>
              <w:t>;</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mechanizmusok a meghatározott célok érdekében elért előrehaladásra vonatkozó jelentéstétellel, az előrehaladás nyomon követésével és értékelésével kapcsolatban;</w:t>
            </w:r>
          </w:p>
          <w:p>
            <w:pPr>
              <w:pStyle w:val="ListParagraph"/>
              <w:keepNext/>
              <w:keepLines/>
              <w:numPr>
                <w:ilvl w:val="0"/>
                <w:numId w:val="83"/>
              </w:numPr>
              <w:spacing w:after="0" w:line="240" w:lineRule="auto"/>
              <w:ind w:left="735" w:hanging="451"/>
              <w:rPr>
                <w:rFonts w:ascii="Times New Roman" w:eastAsia="MS Mincho" w:hAnsi="Times New Roman"/>
                <w:noProof/>
                <w:sz w:val="24"/>
                <w:szCs w:val="24"/>
              </w:rPr>
            </w:pPr>
            <w:r>
              <w:rPr>
                <w:rFonts w:ascii="Times New Roman" w:hAnsi="Times New Roman"/>
                <w:noProof/>
                <w:sz w:val="24"/>
                <w:szCs w:val="24"/>
              </w:rPr>
              <w:t>szakpolitikai szempontból releváns konzultáció és együttműködés rendszere a romákkal és a romákat támogató civil társadalommal, az ágazati minisztériumokkal, az egyenlőséggel foglalkozó szervekkel, egyéb nemzeti emberi jogi intézményekkel és más érdekelt felekkel; valamint</w:t>
            </w:r>
          </w:p>
          <w:p>
            <w:pPr>
              <w:pStyle w:val="ListParagraph"/>
              <w:keepNext/>
              <w:keepLines/>
              <w:numPr>
                <w:ilvl w:val="0"/>
                <w:numId w:val="83"/>
              </w:numPr>
              <w:spacing w:before="60" w:after="60" w:line="240" w:lineRule="auto"/>
              <w:ind w:left="735" w:hanging="451"/>
              <w:rPr>
                <w:rFonts w:ascii="Times New Roman" w:eastAsia="MS Mincho" w:hAnsi="Times New Roman"/>
                <w:noProof/>
                <w:sz w:val="24"/>
                <w:szCs w:val="24"/>
              </w:rPr>
            </w:pPr>
            <w:r>
              <w:rPr>
                <w:rFonts w:ascii="Times New Roman" w:hAnsi="Times New Roman"/>
                <w:noProof/>
                <w:sz w:val="24"/>
                <w:szCs w:val="24"/>
              </w:rPr>
              <w:t>kapacitásépítés a civil társadalomnak a szakpolitikai döntéshozatal valamennyi szakaszában való aktív részvételének előmozdítása, valamint a nemzeti és uniós platformok folyamataiba való bevonásának biztosítása érdekében</w:t>
            </w:r>
            <w:r>
              <w:rPr>
                <w:rStyle w:val="FootnoteReference"/>
                <w:rFonts w:ascii="Times New Roman" w:eastAsia="MS Mincho" w:hAnsi="Times New Roman"/>
                <w:noProof/>
                <w:sz w:val="24"/>
                <w:szCs w:val="24"/>
              </w:rPr>
              <w:footnoteReference w:id="30"/>
            </w:r>
            <w:r>
              <w:rPr>
                <w:rFonts w:ascii="Times New Roman" w:hAnsi="Times New Roman"/>
                <w:noProof/>
                <w:sz w:val="24"/>
                <w:szCs w:val="24"/>
              </w:rPr>
              <w:t>.</w:t>
            </w:r>
          </w:p>
          <w:p>
            <w:pPr>
              <w:keepNext/>
              <w:keepLines/>
              <w:spacing w:before="60" w:after="0" w:line="240" w:lineRule="auto"/>
              <w:rPr>
                <w:rFonts w:ascii="Times New Roman" w:eastAsia="MS Mincho" w:hAnsi="Times New Roman" w:cs="Times New Roman"/>
                <w:noProof/>
                <w:sz w:val="24"/>
                <w:szCs w:val="24"/>
              </w:rPr>
            </w:pPr>
            <w:r>
              <w:rPr>
                <w:rFonts w:ascii="Times New Roman" w:hAnsi="Times New Roman"/>
                <w:noProof/>
                <w:sz w:val="24"/>
                <w:szCs w:val="24"/>
              </w:rPr>
              <w:t xml:space="preserve">A </w:t>
            </w:r>
            <w:r>
              <w:rPr>
                <w:rFonts w:ascii="Times New Roman" w:hAnsi="Times New Roman"/>
                <w:b/>
                <w:noProof/>
                <w:sz w:val="24"/>
                <w:szCs w:val="24"/>
              </w:rPr>
              <w:t>nemzeti romaintegrációs kapcsolattartó pontoknak</w:t>
            </w:r>
            <w:r>
              <w:rPr>
                <w:rFonts w:ascii="Times New Roman" w:hAnsi="Times New Roman"/>
                <w:noProof/>
                <w:sz w:val="24"/>
                <w:szCs w:val="24"/>
              </w:rPr>
              <w:t>:</w:t>
            </w:r>
          </w:p>
          <w:p>
            <w:pPr>
              <w:pStyle w:val="ListParagraph"/>
              <w:keepNext/>
              <w:keepLines/>
              <w:numPr>
                <w:ilvl w:val="0"/>
                <w:numId w:val="84"/>
              </w:numPr>
              <w:spacing w:after="0" w:line="240" w:lineRule="auto"/>
              <w:ind w:left="735" w:hanging="425"/>
              <w:rPr>
                <w:rFonts w:ascii="Times New Roman" w:eastAsia="MS Mincho" w:hAnsi="Times New Roman"/>
                <w:noProof/>
                <w:sz w:val="24"/>
                <w:szCs w:val="24"/>
              </w:rPr>
            </w:pPr>
            <w:r>
              <w:rPr>
                <w:rFonts w:ascii="Times New Roman" w:hAnsi="Times New Roman"/>
                <w:noProof/>
                <w:sz w:val="24"/>
                <w:szCs w:val="24"/>
              </w:rPr>
              <w:t>biztosítani kell a szükséges jogkört, elegendő erőforrást és személyzetet annak érdekében, hogy garantálni tudják a folyamatos koordinációt és nyomon követést; valamint</w:t>
            </w:r>
          </w:p>
          <w:p>
            <w:pPr>
              <w:pStyle w:val="ListParagraph"/>
              <w:keepNext/>
              <w:keepLines/>
              <w:numPr>
                <w:ilvl w:val="0"/>
                <w:numId w:val="84"/>
              </w:numPr>
              <w:spacing w:after="60" w:line="240" w:lineRule="auto"/>
              <w:ind w:left="737" w:hanging="425"/>
              <w:rPr>
                <w:rFonts w:ascii="Times New Roman" w:eastAsia="MS Mincho" w:hAnsi="Times New Roman"/>
                <w:noProof/>
                <w:sz w:val="22"/>
                <w:szCs w:val="22"/>
              </w:rPr>
            </w:pPr>
            <w:r>
              <w:rPr>
                <w:rFonts w:ascii="Times New Roman" w:hAnsi="Times New Roman"/>
                <w:noProof/>
                <w:sz w:val="24"/>
                <w:szCs w:val="24"/>
              </w:rPr>
              <w:t>rendszeresen előrehaladási jelentést kell benyújtaniuk és részt kell venniük a nemzeti romaintegrációs kapcsolattartó pontok Bizottság által vezetett hálózatának fő tevékenységeiben</w:t>
            </w:r>
            <w:r>
              <w:rPr>
                <w:rStyle w:val="FootnoteReference"/>
                <w:rFonts w:ascii="Times New Roman" w:eastAsia="MS Mincho" w:hAnsi="Times New Roman"/>
                <w:noProof/>
                <w:sz w:val="24"/>
                <w:szCs w:val="24"/>
              </w:rPr>
              <w:footnoteReference w:id="31"/>
            </w:r>
            <w:r>
              <w:rPr>
                <w:rFonts w:ascii="Times New Roman" w:hAnsi="Times New Roman"/>
                <w:noProof/>
                <w:sz w:val="24"/>
                <w:szCs w:val="24"/>
              </w:rPr>
              <w:t>.</w:t>
            </w:r>
          </w:p>
        </w:tc>
      </w:tr>
    </w:tbl>
    <w:p>
      <w:pPr>
        <w:spacing w:before="240" w:after="120" w:line="240" w:lineRule="auto"/>
        <w:jc w:val="both"/>
        <w:rPr>
          <w:rFonts w:ascii="Times New Roman" w:hAnsi="Times New Roman" w:cs="Times New Roman"/>
          <w:b/>
          <w:noProof/>
          <w:sz w:val="24"/>
          <w:szCs w:val="24"/>
        </w:rPr>
      </w:pPr>
      <w:r>
        <w:rPr>
          <w:rFonts w:ascii="Times New Roman" w:hAnsi="Times New Roman"/>
          <w:b/>
          <w:noProof/>
          <w:sz w:val="24"/>
          <w:szCs w:val="24"/>
        </w:rPr>
        <w:t>Harmadrészt</w:t>
      </w:r>
      <w:r>
        <w:rPr>
          <w:rFonts w:ascii="Times New Roman" w:hAnsi="Times New Roman"/>
          <w:noProof/>
          <w:sz w:val="24"/>
          <w:szCs w:val="24"/>
        </w:rPr>
        <w:t xml:space="preserve"> e közös vonások és minimális kötelezettségvállalások mellett fontosak lehetnek az </w:t>
      </w:r>
      <w:r>
        <w:rPr>
          <w:rFonts w:ascii="Times New Roman" w:hAnsi="Times New Roman"/>
          <w:b/>
          <w:noProof/>
          <w:sz w:val="24"/>
          <w:szCs w:val="24"/>
        </w:rPr>
        <w:t>adott nemzeti környezethez</w:t>
      </w:r>
      <w:r>
        <w:rPr>
          <w:rFonts w:ascii="Times New Roman" w:hAnsi="Times New Roman"/>
          <w:noProof/>
          <w:sz w:val="24"/>
          <w:szCs w:val="24"/>
        </w:rPr>
        <w:t xml:space="preserve"> igazodó további nemzeti erőfeszítések. A romák egyenlőségével, társadalmi befogadásával és részvételével kapcsolatos kihívások jelentős mértékben eltérnek az egyes tagállamok között a roma lakosság méretétől és teljes lakosságon belüli arányától, a szélesebb gazdasági kontextustól, valamint a kirekesztés és hátrányos megkülönböztetés hagyományától függően. Ezenkívül attól is függnek, hogy a romák hol és miként élnek (vidéki, városi környezetben, mobilis módon, szegregált területen), továbbá olyan konkrét szempontoktól, mint a nemzetközi mobilitás, migráció vagy az állampolgári dokumentációval kapcsolatos kérdések. Ezeket a különböző kihívásokat lehet tükrözni a nemzeti romastratégiai keretekben a differenciált célkitűzések, a beruházás szintjei és a szakpolitikai megoldások típusai révén. A nemzeti körülmények függvényében (mint például az adatgyűjtési lehetőségek, a célzott vagy többségi uniós finanszírozás használata, a roma lakosság relatív mérete és különleges szükségletei) a Bizottság felszólítja a tagállamokat, hogy az alábbiak szerint </w:t>
      </w:r>
      <w:r>
        <w:rPr>
          <w:rFonts w:ascii="Times New Roman" w:hAnsi="Times New Roman"/>
          <w:b/>
          <w:noProof/>
          <w:sz w:val="24"/>
          <w:szCs w:val="24"/>
        </w:rPr>
        <w:t>tegyenek további kötelezettségvállalásokat</w:t>
      </w:r>
      <w:r>
        <w:rPr>
          <w:rFonts w:ascii="Times New Roman" w:hAnsi="Times New Roman"/>
          <w:noProof/>
          <w:sz w:val="24"/>
          <w:szCs w:val="24"/>
        </w:rPr>
        <w:t>:</w:t>
      </w:r>
    </w:p>
    <w:tbl>
      <w:tblPr>
        <w:tblW w:w="9464" w:type="dxa"/>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Layout w:type="fixed"/>
        <w:tblLook w:val="04A0" w:firstRow="1" w:lastRow="0" w:firstColumn="1" w:lastColumn="0" w:noHBand="0" w:noVBand="1"/>
      </w:tblPr>
      <w:tblGrid>
        <w:gridCol w:w="9464"/>
      </w:tblGrid>
      <w:tr>
        <w:tc>
          <w:tcPr>
            <w:tcW w:w="9464" w:type="dxa"/>
            <w:shd w:val="clear" w:color="auto" w:fill="C7E2FA"/>
          </w:tcPr>
          <w:p>
            <w:pPr>
              <w:keepNext/>
              <w:spacing w:before="60" w:after="0" w:line="240" w:lineRule="auto"/>
              <w:rPr>
                <w:rFonts w:ascii="Times New Roman" w:eastAsia="MS Mincho" w:hAnsi="Times New Roman" w:cs="Times New Roman"/>
                <w:noProof/>
                <w:sz w:val="24"/>
                <w:szCs w:val="24"/>
              </w:rPr>
            </w:pPr>
            <w:r>
              <w:rPr>
                <w:rFonts w:ascii="Times New Roman" w:hAnsi="Times New Roman"/>
                <w:noProof/>
                <w:sz w:val="24"/>
                <w:szCs w:val="24"/>
              </w:rPr>
              <w:t xml:space="preserve">A </w:t>
            </w:r>
            <w:r>
              <w:rPr>
                <w:rFonts w:ascii="Times New Roman" w:hAnsi="Times New Roman"/>
                <w:b/>
                <w:noProof/>
                <w:sz w:val="24"/>
                <w:szCs w:val="24"/>
              </w:rPr>
              <w:t>nemzeti stratégiai keretnek</w:t>
            </w:r>
            <w:r>
              <w:rPr>
                <w:rFonts w:ascii="Times New Roman" w:hAnsi="Times New Roman"/>
                <w:noProof/>
                <w:sz w:val="24"/>
                <w:szCs w:val="24"/>
              </w:rPr>
              <w:t xml:space="preserve"> meg kell határoznia továbbá az alábbiakat:</w:t>
            </w:r>
          </w:p>
          <w:p>
            <w:pPr>
              <w:pStyle w:val="ListParagraph"/>
              <w:keepNext/>
              <w:keepLines/>
              <w:numPr>
                <w:ilvl w:val="0"/>
                <w:numId w:val="85"/>
              </w:numPr>
              <w:spacing w:after="0" w:line="240" w:lineRule="auto"/>
              <w:rPr>
                <w:rFonts w:ascii="Times New Roman" w:eastAsia="MS Mincho" w:hAnsi="Times New Roman"/>
                <w:noProof/>
                <w:sz w:val="24"/>
                <w:szCs w:val="24"/>
              </w:rPr>
            </w:pPr>
            <w:r>
              <w:rPr>
                <w:rFonts w:ascii="Times New Roman" w:hAnsi="Times New Roman"/>
                <w:noProof/>
                <w:sz w:val="24"/>
                <w:szCs w:val="24"/>
              </w:rPr>
              <w:t>nemzeti mennyiségi és minőségi célok mind a hét uniós célkitűzés és a kapcsolódó célértékek tekintetében (az adatok rendelkezésre állásától függően);</w:t>
            </w:r>
          </w:p>
          <w:p>
            <w:pPr>
              <w:pStyle w:val="ListParagraph"/>
              <w:keepNext/>
              <w:keepLines/>
              <w:numPr>
                <w:ilvl w:val="0"/>
                <w:numId w:val="85"/>
              </w:numPr>
              <w:spacing w:after="0" w:line="240" w:lineRule="auto"/>
              <w:rPr>
                <w:rFonts w:ascii="Times New Roman" w:eastAsia="MS Mincho" w:hAnsi="Times New Roman"/>
                <w:noProof/>
                <w:sz w:val="24"/>
                <w:szCs w:val="24"/>
              </w:rPr>
            </w:pPr>
            <w:r>
              <w:rPr>
                <w:rFonts w:ascii="Times New Roman" w:hAnsi="Times New Roman"/>
                <w:noProof/>
                <w:sz w:val="24"/>
                <w:szCs w:val="24"/>
              </w:rPr>
              <w:t>hogyan fogják az uniós és nemzeti forrásokat és pénzügyi eszközöket a romák érdekében felhasználni; valamint</w:t>
            </w:r>
          </w:p>
          <w:p>
            <w:pPr>
              <w:pStyle w:val="ListParagraph"/>
              <w:keepNext/>
              <w:keepLines/>
              <w:numPr>
                <w:ilvl w:val="0"/>
                <w:numId w:val="85"/>
              </w:numPr>
              <w:spacing w:after="60" w:line="240" w:lineRule="auto"/>
              <w:rPr>
                <w:rFonts w:ascii="Times New Roman" w:eastAsia="MS Mincho" w:hAnsi="Times New Roman"/>
                <w:noProof/>
                <w:sz w:val="24"/>
                <w:szCs w:val="24"/>
              </w:rPr>
            </w:pPr>
            <w:r>
              <w:rPr>
                <w:rFonts w:ascii="Times New Roman" w:hAnsi="Times New Roman"/>
                <w:noProof/>
                <w:sz w:val="24"/>
                <w:szCs w:val="24"/>
              </w:rPr>
              <w:t>hogyan járulnak hozzá az egyenlőséghez és az integrációhoz az intézményi vagy közigazgatási reformok.</w:t>
            </w:r>
          </w:p>
          <w:p>
            <w:pPr>
              <w:keepNext/>
              <w:spacing w:before="60" w:after="60" w:line="240" w:lineRule="auto"/>
              <w:rPr>
                <w:rFonts w:ascii="Times New Roman" w:hAnsi="Times New Roman"/>
                <w:noProof/>
              </w:rPr>
            </w:pPr>
            <w:r>
              <w:rPr>
                <w:rFonts w:ascii="Times New Roman" w:hAnsi="Times New Roman"/>
                <w:noProof/>
                <w:sz w:val="24"/>
                <w:szCs w:val="24"/>
              </w:rPr>
              <w:t xml:space="preserve">A </w:t>
            </w:r>
            <w:r>
              <w:rPr>
                <w:rFonts w:ascii="Times New Roman" w:hAnsi="Times New Roman"/>
                <w:b/>
                <w:noProof/>
                <w:sz w:val="24"/>
                <w:szCs w:val="24"/>
              </w:rPr>
              <w:t xml:space="preserve">nemzeti romaintegrációs kapcsolattartó pontoknak </w:t>
            </w:r>
            <w:r>
              <w:rPr>
                <w:rFonts w:ascii="Times New Roman" w:hAnsi="Times New Roman"/>
                <w:noProof/>
                <w:sz w:val="24"/>
                <w:szCs w:val="24"/>
              </w:rPr>
              <w:t>félidős értékelést is kell végezniük, és felül kell vizsgálniuk a nemzeti stratégiai keretet.</w:t>
            </w:r>
          </w:p>
        </w:tc>
      </w:tr>
    </w:tbl>
    <w:p>
      <w:pPr>
        <w:keepNext/>
        <w:keepLines/>
        <w:spacing w:before="240" w:after="120" w:line="240" w:lineRule="auto"/>
        <w:jc w:val="both"/>
        <w:rPr>
          <w:rFonts w:ascii="Times New Roman" w:eastAsia="Times New Roman" w:hAnsi="Times New Roman" w:cs="Times New Roman"/>
          <w:noProof/>
          <w:sz w:val="24"/>
          <w:szCs w:val="24"/>
        </w:rPr>
      </w:pPr>
      <w:r>
        <w:rPr>
          <w:rFonts w:ascii="Times New Roman" w:hAnsi="Times New Roman"/>
          <w:b/>
          <w:noProof/>
          <w:sz w:val="24"/>
          <w:szCs w:val="24"/>
        </w:rPr>
        <w:t>Negyedrészt</w:t>
      </w:r>
      <w:r>
        <w:rPr>
          <w:rFonts w:ascii="Times New Roman" w:hAnsi="Times New Roman"/>
          <w:noProof/>
          <w:sz w:val="24"/>
          <w:szCs w:val="24"/>
        </w:rPr>
        <w:t>, ahol a romák a lakosság jelentős részét teszik ki (jóval 1 % fölött)</w:t>
      </w:r>
      <w:r>
        <w:rPr>
          <w:rStyle w:val="FootnoteReference"/>
          <w:rFonts w:ascii="Times New Roman" w:eastAsia="Times New Roman" w:hAnsi="Times New Roman" w:cs="Times New Roman"/>
          <w:noProof/>
          <w:sz w:val="24"/>
          <w:szCs w:val="24"/>
        </w:rPr>
        <w:footnoteReference w:id="32"/>
      </w:r>
      <w:r>
        <w:rPr>
          <w:rFonts w:ascii="Times New Roman" w:hAnsi="Times New Roman"/>
          <w:noProof/>
          <w:sz w:val="24"/>
          <w:szCs w:val="24"/>
        </w:rPr>
        <w:t xml:space="preserve">, az egyenlőségük és integrációjuk előmozdítása nem csupán az alapvető jogok tekintetében fontos, hanem egyértelmű gazdasági jelentősége is van. Azokban az országokban, ahol a roma lakosság aránya nagyobb, ez a csoport az iskoláskorú népesség és a jövőbeli munkaerő egyre nagyobb arányát teszi ki. Hátrányos demográfiai fejlemények idején a romák társadalmi-gazdasági integrációja terén elért haladással  lehetőség nyílik a munkaerőpiaci és szakképzési hiányosságok, valamint a szociális kiadások csökkentésére. A jobb oktatásba és a korábban kirekesztett munkaerő továbbképzésébe való beruházás kedvezően hathat a termelékenység növekedésére. Annak biztosítása, hogy a romák ki tudják aknázni a gazdasághoz és társadalomhoz való általános hozzájárulás terén bennük rejlő potenciált, mindenki számára jobb társadalmi és gazdasági eredményekhez vezet. </w:t>
      </w:r>
    </w:p>
    <w:p>
      <w:pPr>
        <w:keepNext/>
        <w:keepLines/>
        <w:spacing w:before="120"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Ez igazolja az intenzívebb kötelezettségvállalások és uniós támogatás szükségességét, különösen az uniós forrásoknak a célzott fellépés és az inkluzív többségi reformok terén történő felhasználása tekintetében. Ezzel kapcsolatban a jelentős roma lakossággal rendelkező tagállamokat arra ösztönözzük, hogy teljes mértékben használják ki az ESZA+-nak az olyan marginalizált közösségek, mint a romák társadalmi-gazdasági integrációjának előmozdításáról szóló, javasolt egyedi célkitűzését. Ezenkívül célszerű többet tenniük annak biztosítása érdekében, hogy a rendelkezésre álló finanszírozást valóban a romákra fordítsák. A szakpolitikai tervezés, nyomon követés és felülvizsgálat támogatása érdekében szükség van a nemek és etnikai hovatartozás szerinti felbontásban történő adatgyűjtésre is.</w:t>
      </w:r>
    </w:p>
    <w:p>
      <w:pPr>
        <w:keepNext/>
        <w:keepLines/>
        <w:spacing w:before="120" w:after="120" w:line="240" w:lineRule="auto"/>
        <w:jc w:val="both"/>
        <w:rPr>
          <w:rFonts w:ascii="Times New Roman" w:eastAsia="Times New Roman" w:hAnsi="Times New Roman" w:cs="Times New Roman"/>
          <w:b/>
          <w:noProof/>
          <w:sz w:val="24"/>
          <w:szCs w:val="24"/>
        </w:rPr>
      </w:pPr>
      <w:r>
        <w:rPr>
          <w:rFonts w:ascii="Times New Roman" w:hAnsi="Times New Roman"/>
          <w:noProof/>
          <w:sz w:val="24"/>
          <w:szCs w:val="24"/>
        </w:rPr>
        <w:t xml:space="preserve">A minimális kötelezettségvállalások, valamint a nemzeti körülményekből eredő kötelezettségvállalások mellett a Bizottság ezért felszólítja </w:t>
      </w:r>
      <w:r>
        <w:rPr>
          <w:rFonts w:ascii="Times New Roman" w:hAnsi="Times New Roman"/>
          <w:b/>
          <w:noProof/>
          <w:sz w:val="24"/>
          <w:szCs w:val="24"/>
        </w:rPr>
        <w:t>a jelentős roma lakossággal rendelkező tagállamokat arra, hogy nemzeti romastratégiai keretükbe ambiciózusabb kötelezettségvállalásokat is építsenek be</w:t>
      </w:r>
      <w:r>
        <w:rPr>
          <w:rFonts w:ascii="Times New Roman" w:hAnsi="Times New Roman"/>
          <w:noProof/>
          <w:sz w:val="24"/>
          <w:szCs w:val="24"/>
        </w:rPr>
        <w:t xml:space="preserve"> az alábbiak szerint</w:t>
      </w:r>
      <w:r>
        <w:rPr>
          <w:rFonts w:ascii="Times New Roman" w:hAnsi="Times New Roman"/>
          <w:b/>
          <w:noProof/>
          <w:sz w:val="24"/>
          <w:szCs w:val="24"/>
        </w:rPr>
        <w:t>:</w:t>
      </w:r>
    </w:p>
    <w:tbl>
      <w:tblPr>
        <w:tblW w:w="9464" w:type="dxa"/>
        <w:tblBorders>
          <w:top w:val="single" w:sz="4" w:space="0" w:color="59A9F2"/>
          <w:left w:val="single" w:sz="4" w:space="0" w:color="59A9F2"/>
          <w:bottom w:val="single" w:sz="4" w:space="0" w:color="59A9F2"/>
          <w:right w:val="single" w:sz="4" w:space="0" w:color="59A9F2"/>
          <w:insideH w:val="single" w:sz="4" w:space="0" w:color="59A9F2"/>
          <w:insideV w:val="single" w:sz="4" w:space="0" w:color="59A9F2"/>
        </w:tblBorders>
        <w:tblLayout w:type="fixed"/>
        <w:tblLook w:val="04A0" w:firstRow="1" w:lastRow="0" w:firstColumn="1" w:lastColumn="0" w:noHBand="0" w:noVBand="1"/>
      </w:tblPr>
      <w:tblGrid>
        <w:gridCol w:w="9464"/>
      </w:tblGrid>
      <w:tr>
        <w:tc>
          <w:tcPr>
            <w:tcW w:w="9464" w:type="dxa"/>
            <w:shd w:val="clear" w:color="auto" w:fill="C7E2FA"/>
          </w:tcPr>
          <w:p>
            <w:pPr>
              <w:spacing w:before="60" w:after="0" w:line="240" w:lineRule="auto"/>
              <w:jc w:val="both"/>
              <w:rPr>
                <w:rFonts w:ascii="Times New Roman" w:eastAsia="MS Mincho" w:hAnsi="Times New Roman" w:cs="Times New Roman"/>
                <w:noProof/>
                <w:sz w:val="24"/>
                <w:szCs w:val="24"/>
              </w:rPr>
            </w:pPr>
            <w:r>
              <w:rPr>
                <w:rFonts w:ascii="Times New Roman" w:hAnsi="Times New Roman"/>
                <w:noProof/>
                <w:sz w:val="24"/>
                <w:szCs w:val="24"/>
              </w:rPr>
              <w:t xml:space="preserve">A </w:t>
            </w:r>
            <w:r>
              <w:rPr>
                <w:rFonts w:ascii="Times New Roman" w:hAnsi="Times New Roman"/>
                <w:b/>
                <w:noProof/>
                <w:sz w:val="24"/>
                <w:szCs w:val="24"/>
              </w:rPr>
              <w:t>nemzeti stratégiai keretnek</w:t>
            </w:r>
            <w:r>
              <w:rPr>
                <w:rFonts w:ascii="Times New Roman" w:hAnsi="Times New Roman"/>
                <w:noProof/>
                <w:sz w:val="24"/>
                <w:szCs w:val="24"/>
              </w:rPr>
              <w:t xml:space="preserve"> továbbá:</w:t>
            </w:r>
          </w:p>
          <w:p>
            <w:pPr>
              <w:pStyle w:val="ListParagraph"/>
              <w:numPr>
                <w:ilvl w:val="0"/>
                <w:numId w:val="44"/>
              </w:numPr>
              <w:spacing w:after="0" w:line="240" w:lineRule="auto"/>
              <w:rPr>
                <w:rFonts w:ascii="Times New Roman" w:eastAsia="MS Mincho" w:hAnsi="Times New Roman"/>
                <w:noProof/>
                <w:sz w:val="24"/>
                <w:szCs w:val="24"/>
              </w:rPr>
            </w:pPr>
            <w:r>
              <w:rPr>
                <w:rFonts w:ascii="Times New Roman" w:hAnsi="Times New Roman"/>
                <w:noProof/>
                <w:sz w:val="24"/>
                <w:szCs w:val="24"/>
              </w:rPr>
              <w:t>olyan tervet vagy intézkedéscsomagot kell bemutatnia, amely a cigányellenesség és a hátrányos megkülönböztetés, az oktatási és lakhatási szegregáció, a romákkal szembeni előítéletek és sztereotípiák megelőzését és az azokkal szembeni küzdelmet célozza (az online térre is kiterjedően);</w:t>
            </w:r>
          </w:p>
          <w:p>
            <w:pPr>
              <w:pStyle w:val="ListParagraph"/>
              <w:numPr>
                <w:ilvl w:val="0"/>
                <w:numId w:val="44"/>
              </w:numPr>
              <w:spacing w:after="0" w:line="240" w:lineRule="auto"/>
              <w:rPr>
                <w:rFonts w:ascii="Times New Roman" w:eastAsia="MS Mincho" w:hAnsi="Times New Roman"/>
                <w:noProof/>
                <w:sz w:val="24"/>
                <w:szCs w:val="24"/>
              </w:rPr>
            </w:pPr>
            <w:r>
              <w:rPr>
                <w:rFonts w:ascii="Times New Roman" w:hAnsi="Times New Roman"/>
                <w:noProof/>
                <w:sz w:val="24"/>
                <w:szCs w:val="24"/>
              </w:rPr>
              <w:t>általánosan érvényesítenie kell a romák egyenlőségét és integrációját regionális és helyi szinten; valamint</w:t>
            </w:r>
          </w:p>
          <w:p>
            <w:pPr>
              <w:pStyle w:val="ListParagraph"/>
              <w:numPr>
                <w:ilvl w:val="0"/>
                <w:numId w:val="44"/>
              </w:numPr>
              <w:spacing w:after="60" w:line="240" w:lineRule="auto"/>
              <w:rPr>
                <w:rFonts w:ascii="Times New Roman" w:eastAsia="MS Mincho" w:hAnsi="Times New Roman"/>
                <w:noProof/>
                <w:sz w:val="24"/>
                <w:szCs w:val="24"/>
              </w:rPr>
            </w:pPr>
            <w:r>
              <w:rPr>
                <w:rFonts w:ascii="Times New Roman" w:hAnsi="Times New Roman"/>
                <w:noProof/>
                <w:sz w:val="24"/>
                <w:szCs w:val="24"/>
              </w:rPr>
              <w:t>meg kell határoznia, hogy az uniós és nemzeti forrásokat és pénzügyi eszközöket hogyan fordítsák a többségi szakpolitikák társadalmi befogadást elősegítő reformjára és célzott fellépésekre.</w:t>
            </w:r>
          </w:p>
          <w:p>
            <w:pPr>
              <w:spacing w:after="0" w:line="240" w:lineRule="auto"/>
              <w:rPr>
                <w:rFonts w:ascii="Times New Roman" w:eastAsia="MS Mincho" w:hAnsi="Times New Roman"/>
                <w:noProof/>
                <w:sz w:val="24"/>
                <w:szCs w:val="24"/>
              </w:rPr>
            </w:pPr>
            <w:r>
              <w:rPr>
                <w:rFonts w:ascii="Times New Roman" w:hAnsi="Times New Roman"/>
                <w:noProof/>
                <w:sz w:val="24"/>
                <w:szCs w:val="24"/>
              </w:rPr>
              <w:t xml:space="preserve">A </w:t>
            </w:r>
            <w:r>
              <w:rPr>
                <w:rFonts w:ascii="Times New Roman" w:hAnsi="Times New Roman"/>
                <w:b/>
                <w:noProof/>
                <w:sz w:val="24"/>
                <w:szCs w:val="24"/>
              </w:rPr>
              <w:t>nemzeti romaintegrációs kapcsolattartó pontok</w:t>
            </w:r>
            <w:r>
              <w:rPr>
                <w:rFonts w:ascii="Times New Roman" w:hAnsi="Times New Roman"/>
                <w:noProof/>
                <w:sz w:val="24"/>
                <w:szCs w:val="24"/>
              </w:rPr>
              <w:t xml:space="preserve"> </w:t>
            </w:r>
            <w:r>
              <w:rPr>
                <w:rFonts w:ascii="Times New Roman" w:hAnsi="Times New Roman"/>
                <w:b/>
                <w:noProof/>
                <w:sz w:val="24"/>
                <w:szCs w:val="24"/>
              </w:rPr>
              <w:t>szerepét meg kell erősíteni</w:t>
            </w:r>
            <w:r>
              <w:rPr>
                <w:rFonts w:ascii="Times New Roman" w:hAnsi="Times New Roman"/>
                <w:noProof/>
                <w:sz w:val="24"/>
                <w:szCs w:val="24"/>
              </w:rPr>
              <w:t>, hogy azok:</w:t>
            </w:r>
          </w:p>
          <w:p>
            <w:pPr>
              <w:pStyle w:val="ListParagraph"/>
              <w:numPr>
                <w:ilvl w:val="0"/>
                <w:numId w:val="87"/>
              </w:numPr>
              <w:spacing w:after="0" w:line="240" w:lineRule="auto"/>
              <w:rPr>
                <w:rFonts w:ascii="Times New Roman" w:eastAsia="MS Mincho" w:hAnsi="Times New Roman"/>
                <w:noProof/>
                <w:sz w:val="24"/>
                <w:szCs w:val="24"/>
              </w:rPr>
            </w:pPr>
            <w:r>
              <w:rPr>
                <w:rFonts w:ascii="Times New Roman" w:hAnsi="Times New Roman"/>
                <w:noProof/>
                <w:sz w:val="24"/>
                <w:szCs w:val="24"/>
              </w:rPr>
              <w:t>külön csapatra és intézményi megbízatásra számíthassanak, ami biztosítja számukra a politikai súlyt, a hatékony ágazatközi koordinációt és a romák egyenlőségének és integrációjának regionális és helyi szintű általános érvényesítését;</w:t>
            </w:r>
          </w:p>
          <w:p>
            <w:pPr>
              <w:pStyle w:val="ListParagraph"/>
              <w:numPr>
                <w:ilvl w:val="0"/>
                <w:numId w:val="87"/>
              </w:numPr>
              <w:spacing w:after="0" w:line="240" w:lineRule="auto"/>
              <w:rPr>
                <w:rFonts w:ascii="Times New Roman" w:eastAsia="MS Mincho" w:hAnsi="Times New Roman"/>
                <w:noProof/>
                <w:sz w:val="24"/>
                <w:szCs w:val="24"/>
              </w:rPr>
            </w:pPr>
            <w:r>
              <w:rPr>
                <w:rFonts w:ascii="Times New Roman" w:hAnsi="Times New Roman"/>
                <w:noProof/>
                <w:sz w:val="24"/>
                <w:szCs w:val="24"/>
              </w:rPr>
              <w:t xml:space="preserve">részt vegyenek (az uniós forrásokkal való gazdálkodásért felelős hatóságok révén) a romáknak szóló uniós források kiosztásával kapcsolatos kormányközi párbeszédek koordinációjában, és azok felhasználásának rendszeres nyomon követésében (pl. a monitoringbizottságokon, a romák integrációjával foglalkozó hatásvizsgálatokon keresztül); </w:t>
            </w:r>
          </w:p>
          <w:p>
            <w:pPr>
              <w:pStyle w:val="ListParagraph"/>
              <w:numPr>
                <w:ilvl w:val="0"/>
                <w:numId w:val="87"/>
              </w:numPr>
              <w:spacing w:after="0" w:line="240" w:lineRule="auto"/>
              <w:rPr>
                <w:rFonts w:ascii="Times New Roman" w:eastAsia="MS Mincho" w:hAnsi="Times New Roman"/>
                <w:noProof/>
                <w:sz w:val="24"/>
                <w:szCs w:val="24"/>
              </w:rPr>
            </w:pPr>
            <w:r>
              <w:rPr>
                <w:rFonts w:ascii="Times New Roman" w:hAnsi="Times New Roman"/>
                <w:noProof/>
                <w:sz w:val="24"/>
                <w:szCs w:val="24"/>
              </w:rPr>
              <w:t>biztosítsák a romák társadalmi szerepvállalását segítő nemzeti konzultációt és párbeszédet (különösen a fiatalok és nők esetében); valamint</w:t>
            </w:r>
          </w:p>
          <w:p>
            <w:pPr>
              <w:pStyle w:val="ListParagraph"/>
              <w:numPr>
                <w:ilvl w:val="0"/>
                <w:numId w:val="87"/>
              </w:numPr>
              <w:spacing w:after="0" w:line="240" w:lineRule="auto"/>
              <w:rPr>
                <w:rFonts w:ascii="Times New Roman" w:eastAsia="MS Mincho" w:hAnsi="Times New Roman"/>
                <w:noProof/>
                <w:sz w:val="22"/>
                <w:szCs w:val="22"/>
              </w:rPr>
            </w:pPr>
            <w:r>
              <w:rPr>
                <w:rFonts w:ascii="Times New Roman" w:hAnsi="Times New Roman"/>
                <w:noProof/>
                <w:sz w:val="24"/>
                <w:szCs w:val="24"/>
              </w:rPr>
              <w:t>biztosítsák, hogy a közpolitikák és az általános szolgáltatások (pl. a vészhelyzeti és középtávú intézkedések válság idején, jogalkotási reform, az oktatással, foglalkoztatással, egészségüggyel, lakhatással kapcsolatos szakpolitikai tervezés, a társadalmi-gazdasági integráció más területei, a szociális szolgáltatások, a közlekedés, a minimálbérrendszerek és a megkülönböztetést tiltó jogalkotás) valóban elérhetők legyenek a romák számára, beleértve azokat is, akik távoli vidéki területeken élnek.</w:t>
            </w:r>
          </w:p>
        </w:tc>
      </w:tr>
    </w:tbl>
    <w:p>
      <w:pPr>
        <w:spacing w:before="240"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Végezetül a nemzeti romastratégiai keretek kialakítása és végrehajtása során a tagállamoknak célszerű figyelembe venniük a romák integrációjára vonatkozó </w:t>
      </w:r>
      <w:r>
        <w:rPr>
          <w:rFonts w:ascii="Times New Roman" w:hAnsi="Times New Roman"/>
          <w:b/>
          <w:noProof/>
          <w:sz w:val="24"/>
          <w:szCs w:val="24"/>
        </w:rPr>
        <w:t>közös uniós alapelveket</w:t>
      </w:r>
      <w:r>
        <w:rPr>
          <w:rFonts w:ascii="Times New Roman" w:eastAsia="Times New Roman" w:hAnsi="Times New Roman" w:cs="Times New Roman"/>
          <w:noProof/>
          <w:sz w:val="24"/>
          <w:szCs w:val="24"/>
          <w:vertAlign w:val="superscript"/>
        </w:rPr>
        <w:footnoteReference w:id="33"/>
      </w:r>
      <w:r>
        <w:rPr>
          <w:rFonts w:ascii="Times New Roman" w:hAnsi="Times New Roman"/>
          <w:noProof/>
          <w:sz w:val="24"/>
          <w:szCs w:val="24"/>
        </w:rPr>
        <w:t>. Az 1. melléklet</w:t>
      </w:r>
      <w:r>
        <w:rPr>
          <w:rFonts w:ascii="Times New Roman" w:eastAsia="Times New Roman" w:hAnsi="Times New Roman" w:cs="Times New Roman"/>
          <w:noProof/>
          <w:sz w:val="24"/>
          <w:szCs w:val="24"/>
          <w:vertAlign w:val="superscript"/>
        </w:rPr>
        <w:footnoteReference w:id="34"/>
      </w:r>
      <w:r>
        <w:rPr>
          <w:rFonts w:ascii="Times New Roman" w:hAnsi="Times New Roman"/>
          <w:noProof/>
          <w:sz w:val="24"/>
          <w:szCs w:val="24"/>
        </w:rPr>
        <w:t xml:space="preserve"> további </w:t>
      </w:r>
      <w:r>
        <w:rPr>
          <w:rFonts w:ascii="Times New Roman" w:hAnsi="Times New Roman"/>
          <w:b/>
          <w:noProof/>
          <w:sz w:val="24"/>
          <w:szCs w:val="24"/>
        </w:rPr>
        <w:t>iránymutatást nyújt</w:t>
      </w:r>
      <w:r>
        <w:rPr>
          <w:rFonts w:ascii="Times New Roman" w:hAnsi="Times New Roman"/>
          <w:noProof/>
          <w:sz w:val="24"/>
          <w:szCs w:val="24"/>
        </w:rPr>
        <w:t xml:space="preserve"> a cigányellenesség és a több generációs szegénység elleni küzdelemmel</w:t>
      </w:r>
      <w:r>
        <w:rPr>
          <w:rFonts w:ascii="Times New Roman" w:eastAsia="Times New Roman" w:hAnsi="Times New Roman" w:cs="Times New Roman"/>
          <w:noProof/>
          <w:sz w:val="24"/>
          <w:szCs w:val="24"/>
          <w:vertAlign w:val="superscript"/>
        </w:rPr>
        <w:footnoteReference w:id="35"/>
      </w:r>
      <w:r>
        <w:rPr>
          <w:rFonts w:ascii="Times New Roman" w:hAnsi="Times New Roman"/>
          <w:noProof/>
          <w:sz w:val="24"/>
          <w:szCs w:val="24"/>
        </w:rPr>
        <w:t xml:space="preserve">, a romák részvételével és társadalmi szerepvállalásának megerősítésével, a romák közötti sokszínűség tükrözésével, valamint és a célzott és a többségi megközelítések összehangolásával kapcsolatos </w:t>
      </w:r>
      <w:r>
        <w:rPr>
          <w:rFonts w:ascii="Times New Roman" w:hAnsi="Times New Roman"/>
          <w:b/>
          <w:noProof/>
          <w:sz w:val="24"/>
          <w:szCs w:val="24"/>
        </w:rPr>
        <w:t>szakpolitikai tervezés és végrehajtás tekintetében</w:t>
      </w:r>
      <w:r>
        <w:rPr>
          <w:rFonts w:ascii="Times New Roman" w:hAnsi="Times New Roman"/>
          <w:noProof/>
          <w:sz w:val="24"/>
          <w:szCs w:val="24"/>
        </w:rPr>
        <w:t xml:space="preserve">. Ezenkívül iránymutatást nyújt az </w:t>
      </w:r>
      <w:r>
        <w:rPr>
          <w:rFonts w:ascii="Times New Roman" w:hAnsi="Times New Roman"/>
          <w:b/>
          <w:noProof/>
          <w:sz w:val="24"/>
          <w:szCs w:val="24"/>
        </w:rPr>
        <w:t>újonnan megjelenő kihívásoknak való hatékonyabb megfeleléssel</w:t>
      </w:r>
      <w:r>
        <w:rPr>
          <w:rFonts w:ascii="Times New Roman" w:hAnsi="Times New Roman"/>
          <w:noProof/>
          <w:sz w:val="24"/>
          <w:szCs w:val="24"/>
        </w:rPr>
        <w:t xml:space="preserve"> kapcsolatban, például a Covid19-világjárványhoz hasonló válságok romákra gyakorolt aránytalan hatásának leküzdése, a digitális integráció és a környezeti igazságosság biztosítása terén. Továbbá iránymutatást nyújt a roma művészet, történelem és kultúra, valamint a társadalmi innováció és szakpolitikai kísérletek (és azokkal kapcsolatos tudatosság) előmozdításával kapcsolatban. </w:t>
      </w:r>
    </w:p>
    <w:p>
      <w:pPr>
        <w:spacing w:after="120" w:line="240" w:lineRule="auto"/>
        <w:jc w:val="both"/>
        <w:rPr>
          <w:rFonts w:ascii="Times New Roman" w:hAnsi="Times New Roman"/>
          <w:noProof/>
          <w:sz w:val="24"/>
          <w:szCs w:val="24"/>
        </w:rPr>
      </w:pPr>
      <w:r>
        <w:rPr>
          <w:rFonts w:ascii="Times New Roman" w:hAnsi="Times New Roman"/>
          <w:noProof/>
          <w:sz w:val="24"/>
          <w:szCs w:val="24"/>
        </w:rPr>
        <w:t>A Bizottság nem csupán a pénzügyi támogatáson és a kölcsönös tanuláshoz és kapacitásépítéshez hasonló koordinációs intézkedéseken keresztül fogja támogatni a tagállamokat abban, hogy kialakítsák és végrehajtsák nemzeti romastratégiai keretüket, hanem a strukturálisreform-támogató programon keresztül módszertani támogatást</w:t>
      </w:r>
      <w:r>
        <w:rPr>
          <w:rStyle w:val="FootnoteReference"/>
          <w:rFonts w:ascii="Times New Roman" w:eastAsia="MS Mincho" w:hAnsi="Times New Roman"/>
          <w:noProof/>
          <w:sz w:val="24"/>
          <w:szCs w:val="24"/>
        </w:rPr>
        <w:footnoteReference w:id="36"/>
      </w:r>
      <w:r>
        <w:rPr>
          <w:rFonts w:ascii="Times New Roman" w:hAnsi="Times New Roman"/>
          <w:noProof/>
          <w:sz w:val="24"/>
          <w:szCs w:val="24"/>
        </w:rPr>
        <w:t xml:space="preserve"> és segítségnyújtást is kínál a nyomonkövetési és értékelési rendszerek kialakítása érdekében</w:t>
      </w:r>
      <w:r>
        <w:rPr>
          <w:rStyle w:val="FootnoteReference"/>
          <w:rFonts w:ascii="Times New Roman" w:eastAsia="MS Mincho" w:hAnsi="Times New Roman"/>
          <w:noProof/>
          <w:sz w:val="24"/>
          <w:szCs w:val="24"/>
        </w:rPr>
        <w:footnoteReference w:id="37"/>
      </w:r>
      <w:r>
        <w:rPr>
          <w:rFonts w:ascii="Times New Roman" w:hAnsi="Times New Roman"/>
          <w:noProof/>
          <w:sz w:val="24"/>
          <w:szCs w:val="24"/>
        </w:rPr>
        <w:t>. A tagállamok az EU Alapjogi Ügynökségétől, az egyenlőséggel foglalkozó szervektől és az egyéb nemzeti emberi jogi intézményektől és nemzeti statisztikai intézményektől is kaphatnak támogatást a nemzeti szintű rendszeres adatgyűjtési kapacitásaik biztosítása/javítása érdekében</w:t>
      </w:r>
      <w:r>
        <w:rPr>
          <w:rStyle w:val="FootnoteReference"/>
          <w:rFonts w:ascii="Times New Roman" w:eastAsia="MS Mincho" w:hAnsi="Times New Roman"/>
          <w:noProof/>
          <w:sz w:val="24"/>
          <w:szCs w:val="24"/>
        </w:rPr>
        <w:footnoteReference w:id="38"/>
      </w:r>
      <w:r>
        <w:rPr>
          <w:rFonts w:ascii="Times New Roman" w:hAnsi="Times New Roman"/>
          <w:noProof/>
          <w:sz w:val="24"/>
          <w:szCs w:val="24"/>
        </w:rPr>
        <w:t>. Az uniós támogatás a tagállamok kötelezettségvállalásainak szintjéhez fog igazodni.</w:t>
      </w:r>
    </w:p>
    <w:p>
      <w:pPr>
        <w:spacing w:before="240" w:after="240" w:line="240" w:lineRule="auto"/>
        <w:jc w:val="both"/>
        <w:rPr>
          <w:rFonts w:ascii="Times New Roman" w:hAnsi="Times New Roman"/>
          <w:noProof/>
          <w:sz w:val="24"/>
          <w:szCs w:val="24"/>
        </w:rPr>
      </w:pPr>
      <w:r>
        <w:rPr>
          <w:rFonts w:ascii="Times New Roman" w:hAnsi="Times New Roman"/>
          <w:b/>
          <w:i/>
          <w:noProof/>
          <w:sz w:val="24"/>
          <w:szCs w:val="24"/>
        </w:rPr>
        <w:t xml:space="preserve">III.2 </w:t>
      </w:r>
      <w:r>
        <w:rPr>
          <w:noProof/>
        </w:rPr>
        <w:tab/>
      </w:r>
      <w:r>
        <w:rPr>
          <w:rFonts w:ascii="Times New Roman" w:hAnsi="Times New Roman"/>
          <w:b/>
          <w:i/>
          <w:noProof/>
          <w:sz w:val="24"/>
          <w:szCs w:val="24"/>
        </w:rPr>
        <w:t>A nemzeti fellépésre és a célok elérése felé tett előrehaladásra vonatkozó jelentéstétel és annak nyomon követése</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Annak érdekében, hogy biztosítani lehessen a mindkét uniós céllal, valamint a fent javasolt nemzeti célokkal kapcsolatos hatékony adatgyűjtést, jelentéstételt és az előrehaladás nyomon követését, a Bizottság egy újdonságnak számító </w:t>
      </w:r>
      <w:r>
        <w:rPr>
          <w:rFonts w:ascii="Times New Roman" w:hAnsi="Times New Roman"/>
          <w:b/>
          <w:noProof/>
          <w:sz w:val="24"/>
          <w:szCs w:val="24"/>
        </w:rPr>
        <w:t>mutatóportfólió</w:t>
      </w:r>
      <w:r>
        <w:rPr>
          <w:rFonts w:ascii="Times New Roman" w:hAnsi="Times New Roman"/>
          <w:noProof/>
          <w:sz w:val="24"/>
          <w:szCs w:val="24"/>
        </w:rPr>
        <w:t xml:space="preserve"> alkalmazását javasolja (lásd a 2. mellékletet). Ez valós értéket jelentene a tagállamok közötti kölcsönös tanulás szempontjából. Ezt a portfóliót a romamutatókkal és beszámolással foglalkozó, a FRA által koordinált munkacsoport alakította ki, a nemzeti romaintegrációs kapcsolattartó pontok, a nemzeti statisztikai hivatalok és a Bizottság bevonásával. Ezenkívül a portfólió lehetővé fogja tenni a javasolt tanácsi ajánlásban meghatározott intézkedésekről való jelentéstételt is.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 nemzeti fellépéssel kapcsolatos jelentéstételre és nyomon követésre mind uniós, mind pedig nemzeti szinten sor kerül majd. </w:t>
      </w:r>
      <w:r>
        <w:rPr>
          <w:rFonts w:ascii="Times New Roman" w:hAnsi="Times New Roman"/>
          <w:b/>
          <w:noProof/>
          <w:sz w:val="24"/>
          <w:szCs w:val="24"/>
        </w:rPr>
        <w:t xml:space="preserve">2022-ben a Bizottság számba veszi a nemzeti romastratégiai kereteket, </w:t>
      </w:r>
      <w:r>
        <w:rPr>
          <w:rFonts w:ascii="Times New Roman" w:hAnsi="Times New Roman"/>
          <w:noProof/>
          <w:sz w:val="24"/>
          <w:szCs w:val="24"/>
        </w:rPr>
        <w:t xml:space="preserve">értékeli a tagállamok által tett kötelezettségvállalásokat, és iránymutatást nyújt a szükséges javításokról. </w:t>
      </w:r>
    </w:p>
    <w:p>
      <w:pPr>
        <w:spacing w:after="120" w:line="240" w:lineRule="auto"/>
        <w:jc w:val="both"/>
        <w:rPr>
          <w:rFonts w:ascii="Times New Roman" w:hAnsi="Times New Roman"/>
          <w:noProof/>
          <w:sz w:val="24"/>
          <w:szCs w:val="24"/>
        </w:rPr>
      </w:pPr>
      <w:r>
        <w:rPr>
          <w:rFonts w:ascii="Times New Roman" w:hAnsi="Times New Roman"/>
          <w:b/>
          <w:noProof/>
          <w:sz w:val="24"/>
          <w:szCs w:val="24"/>
        </w:rPr>
        <w:t>A tagállamokat arra kéri a Bizottság, hogy 2023-tól kezdve kétévente tegyenek jelentést a nemzeti romastratégiai keretük végrehajtásáról</w:t>
      </w:r>
      <w:r>
        <w:rPr>
          <w:rFonts w:ascii="Times New Roman" w:hAnsi="Times New Roman"/>
          <w:noProof/>
          <w:sz w:val="24"/>
          <w:szCs w:val="24"/>
        </w:rPr>
        <w:t xml:space="preserve">, beleértve az egyenlőséget, társadalmi befogadást és részvételt előmozdító intézkedéseket és a mutatóportfólió teljes körű kihasználását. A jelentéstétel során a nemzeti keretekben meghatározott kötelezettségvállalások végrehajtására kell összpontosítani, beleértve adott esetben a nemzeti célok elérését. Ezeket a jelentéseket az átláthatóság növelése és a szakpolitikai ismeretek átadásának előmozdítása érdekében nyilvánossá kell tenni. A stratégiai kereteket és a végleges jelentéseket a nemzeti parlamenteknek is meg kell vitatniuk.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 Bizottság felkéri a </w:t>
      </w:r>
      <w:r>
        <w:rPr>
          <w:rFonts w:ascii="Times New Roman" w:hAnsi="Times New Roman"/>
          <w:b/>
          <w:noProof/>
          <w:sz w:val="24"/>
          <w:szCs w:val="24"/>
        </w:rPr>
        <w:t>FRA</w:t>
      </w:r>
      <w:r>
        <w:rPr>
          <w:rFonts w:ascii="Times New Roman" w:hAnsi="Times New Roman"/>
          <w:noProof/>
          <w:sz w:val="24"/>
          <w:szCs w:val="24"/>
        </w:rPr>
        <w:t xml:space="preserve">-t, hogy 2020-tól kezdődően négyévente végezze el a </w:t>
      </w:r>
      <w:r>
        <w:rPr>
          <w:rFonts w:ascii="Times New Roman" w:hAnsi="Times New Roman"/>
          <w:b/>
          <w:noProof/>
          <w:sz w:val="24"/>
          <w:szCs w:val="24"/>
        </w:rPr>
        <w:t>rendszeres romafelmérést</w:t>
      </w:r>
      <w:r>
        <w:rPr>
          <w:rFonts w:ascii="Times New Roman" w:hAnsi="Times New Roman"/>
          <w:noProof/>
          <w:sz w:val="24"/>
          <w:szCs w:val="24"/>
        </w:rPr>
        <w:t>, hogy a változás méréséhez biztosítsa a szükséges alapértékeket, továbbá félidős és időszak végi adatokat</w:t>
      </w:r>
      <w:r>
        <w:rPr>
          <w:rStyle w:val="FootnoteReference"/>
          <w:rFonts w:ascii="Times New Roman" w:hAnsi="Times New Roman"/>
          <w:noProof/>
          <w:sz w:val="24"/>
          <w:szCs w:val="24"/>
        </w:rPr>
        <w:footnoteReference w:id="39"/>
      </w:r>
      <w:r>
        <w:rPr>
          <w:noProof/>
        </w:rPr>
        <w:t>.</w:t>
      </w:r>
      <w:r>
        <w:rPr>
          <w:rFonts w:ascii="Times New Roman" w:hAnsi="Times New Roman"/>
          <w:noProof/>
          <w:sz w:val="24"/>
          <w:szCs w:val="24"/>
        </w:rPr>
        <w:t xml:space="preserve"> A Bizottság továbbá felkéri a FRA-t, hogy támogassa a tagállamok adatgyűjtési és jelentéstételi erőfeszítéseit a romamutatókkal és beszámolással foglalkozó munkacsoporton keresztül, és segítse a nemzeti előrehaladás Bizottság általi nyomon követését és elemzését.</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 nemzeti jelentések a civil társadalom és a FRA adataival kiegészülve a Bizottság kétévente kiadott, </w:t>
      </w:r>
      <w:r>
        <w:rPr>
          <w:rFonts w:ascii="Times New Roman" w:hAnsi="Times New Roman"/>
          <w:b/>
          <w:noProof/>
          <w:sz w:val="24"/>
          <w:szCs w:val="24"/>
        </w:rPr>
        <w:t>rendszeres nyomonkövetési jelentéseinek</w:t>
      </w:r>
      <w:r>
        <w:rPr>
          <w:rFonts w:ascii="Times New Roman" w:hAnsi="Times New Roman"/>
          <w:noProof/>
          <w:sz w:val="24"/>
          <w:szCs w:val="24"/>
        </w:rPr>
        <w:t xml:space="preserve"> alapjául szolgálnak. A Bizottság továbbá félidős és utólagos </w:t>
      </w:r>
      <w:r>
        <w:rPr>
          <w:rFonts w:ascii="Times New Roman" w:hAnsi="Times New Roman"/>
          <w:b/>
          <w:noProof/>
          <w:sz w:val="24"/>
          <w:szCs w:val="24"/>
        </w:rPr>
        <w:t>értékelést</w:t>
      </w:r>
      <w:r>
        <w:rPr>
          <w:rFonts w:ascii="Times New Roman" w:hAnsi="Times New Roman"/>
          <w:noProof/>
          <w:sz w:val="24"/>
          <w:szCs w:val="24"/>
        </w:rPr>
        <w:t xml:space="preserve"> is végez az uniós romastratégiai keret tekintetében.</w:t>
      </w:r>
    </w:p>
    <w:p>
      <w:pPr>
        <w:keepNext/>
        <w:keepLines/>
        <w:shd w:val="clear" w:color="auto" w:fill="FFFFFF" w:themeFill="background1"/>
        <w:spacing w:before="360" w:after="240" w:line="240" w:lineRule="auto"/>
        <w:jc w:val="both"/>
        <w:rPr>
          <w:rFonts w:ascii="Times New Roman" w:eastAsia="Times New Roman" w:hAnsi="Times New Roman" w:cs="Times New Roman"/>
          <w:b/>
          <w:i/>
          <w:smallCaps/>
          <w:noProof/>
          <w:sz w:val="24"/>
          <w:szCs w:val="24"/>
        </w:rPr>
      </w:pPr>
      <w:r>
        <w:rPr>
          <w:rFonts w:ascii="Times New Roman" w:hAnsi="Times New Roman"/>
          <w:b/>
          <w:i/>
          <w:smallCaps/>
          <w:noProof/>
          <w:sz w:val="24"/>
          <w:szCs w:val="24"/>
        </w:rPr>
        <w:t xml:space="preserve">IV. </w:t>
      </w:r>
      <w:r>
        <w:rPr>
          <w:noProof/>
        </w:rPr>
        <w:tab/>
      </w:r>
      <w:r>
        <w:rPr>
          <w:rFonts w:ascii="Times New Roman" w:hAnsi="Times New Roman"/>
          <w:b/>
          <w:i/>
          <w:smallCaps/>
          <w:noProof/>
          <w:sz w:val="24"/>
          <w:szCs w:val="24"/>
        </w:rPr>
        <w:t>Uniós intézkedések</w:t>
      </w:r>
    </w:p>
    <w:p>
      <w:pPr>
        <w:spacing w:after="120" w:line="240" w:lineRule="auto"/>
        <w:jc w:val="both"/>
        <w:rPr>
          <w:rFonts w:ascii="Times New Roman" w:hAnsi="Times New Roman"/>
          <w:noProof/>
          <w:sz w:val="24"/>
          <w:szCs w:val="24"/>
        </w:rPr>
      </w:pPr>
      <w:r>
        <w:rPr>
          <w:rFonts w:ascii="Times New Roman" w:hAnsi="Times New Roman"/>
          <w:noProof/>
          <w:sz w:val="24"/>
          <w:szCs w:val="24"/>
        </w:rPr>
        <w:t>A tagállamok a fő szereplők a romákkal kapcsolatos változás lehetővé tételében. Az uniós fellépés és támogatás az uniós célkitűzések és célszámok 2030-ig történő elérésére irányuló előrehaladás előmozdítása érdekében kiegészíti a nemzeti erőfeszítéseket.</w:t>
      </w:r>
    </w:p>
    <w:p>
      <w:pPr>
        <w:spacing w:before="240" w:after="240" w:line="240" w:lineRule="auto"/>
        <w:ind w:left="851" w:hanging="851"/>
        <w:jc w:val="both"/>
        <w:rPr>
          <w:rFonts w:ascii="Times New Roman" w:hAnsi="Times New Roman"/>
          <w:b/>
          <w:i/>
          <w:noProof/>
          <w:sz w:val="24"/>
          <w:szCs w:val="24"/>
        </w:rPr>
      </w:pPr>
      <w:r>
        <w:rPr>
          <w:rFonts w:ascii="Times New Roman" w:hAnsi="Times New Roman"/>
          <w:b/>
          <w:i/>
          <w:noProof/>
          <w:sz w:val="24"/>
          <w:szCs w:val="24"/>
        </w:rPr>
        <w:t>IV.1.</w:t>
      </w:r>
      <w:r>
        <w:rPr>
          <w:noProof/>
        </w:rPr>
        <w:tab/>
      </w:r>
      <w:r>
        <w:rPr>
          <w:rFonts w:ascii="Times New Roman" w:hAnsi="Times New Roman"/>
          <w:b/>
          <w:i/>
          <w:noProof/>
          <w:sz w:val="24"/>
          <w:szCs w:val="24"/>
        </w:rPr>
        <w:t>Az uniós jogszabályok végrehajtása</w:t>
      </w:r>
    </w:p>
    <w:p>
      <w:pPr>
        <w:spacing w:after="120" w:line="240" w:lineRule="auto"/>
        <w:jc w:val="both"/>
        <w:rPr>
          <w:rFonts w:ascii="Times New Roman" w:hAnsi="Times New Roman"/>
          <w:noProof/>
          <w:sz w:val="24"/>
          <w:szCs w:val="24"/>
        </w:rPr>
      </w:pPr>
      <w:r>
        <w:rPr>
          <w:rFonts w:ascii="Times New Roman" w:hAnsi="Times New Roman"/>
          <w:noProof/>
          <w:sz w:val="24"/>
          <w:szCs w:val="24"/>
        </w:rPr>
        <w:t>A cigányellenességgel és a romák elleni hátrányos megkülönböztetéssel szembeni küzdelem a rögzített uniós jogi kereten alapul, beleértve a megkülönböztetésmentesség és egyenlőség Szerződésekben foglalt általános elveit, amelyeket az EU Alapjogi Chartája is megerősít</w:t>
      </w:r>
      <w:r>
        <w:rPr>
          <w:rStyle w:val="FootnoteReference"/>
          <w:rFonts w:ascii="Times New Roman" w:hAnsi="Times New Roman"/>
          <w:noProof/>
          <w:sz w:val="24"/>
          <w:szCs w:val="24"/>
        </w:rPr>
        <w:footnoteReference w:id="40"/>
      </w:r>
      <w:r>
        <w:rPr>
          <w:rFonts w:ascii="Times New Roman" w:hAnsi="Times New Roman"/>
          <w:noProof/>
          <w:sz w:val="24"/>
          <w:szCs w:val="24"/>
        </w:rPr>
        <w:t>, valamint a faji egyenlőségről szóló irányelvet</w:t>
      </w:r>
      <w:r>
        <w:rPr>
          <w:rStyle w:val="FootnoteReference"/>
          <w:rFonts w:ascii="Times New Roman" w:hAnsi="Times New Roman"/>
          <w:noProof/>
          <w:sz w:val="24"/>
          <w:szCs w:val="24"/>
        </w:rPr>
        <w:footnoteReference w:id="41"/>
      </w:r>
      <w:r>
        <w:rPr>
          <w:rFonts w:ascii="Times New Roman" w:hAnsi="Times New Roman"/>
          <w:noProof/>
          <w:sz w:val="24"/>
          <w:szCs w:val="24"/>
        </w:rPr>
        <w:t xml:space="preserve"> és a rasszizmus és az idegengyűlölet elleni küzdelemről szóló tanácsi kerethatározatot</w:t>
      </w:r>
      <w:r>
        <w:rPr>
          <w:rFonts w:ascii="Times New Roman" w:hAnsi="Times New Roman"/>
          <w:noProof/>
          <w:sz w:val="24"/>
          <w:szCs w:val="24"/>
          <w:vertAlign w:val="superscript"/>
        </w:rPr>
        <w:footnoteReference w:id="42"/>
      </w:r>
      <w:r>
        <w:rPr>
          <w:rFonts w:ascii="Times New Roman" w:hAnsi="Times New Roman"/>
          <w:noProof/>
          <w:sz w:val="24"/>
          <w:szCs w:val="24"/>
        </w:rPr>
        <w:t>. Ahogyan az EU 2020–2025-re vonatkozó rasszizmus elleni cselekvési terve is hangsúlyozza, a hátrányos megkülönböztetéssel szembeni átfogó védelemhez elsősorban a jogi keret hatékony végrehajtására van szükség, hogy biztosítani lehessen az egyéni jogok és kötelezettségek gyakorlati betartását. Ez a munka a romáknál szélesebb körre irányul, azonban közvetlen előnnyel jár a roma közösségek számára is.</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 Bizottság folytatni fogja a </w:t>
      </w:r>
      <w:r>
        <w:rPr>
          <w:rFonts w:ascii="Times New Roman" w:hAnsi="Times New Roman"/>
          <w:b/>
          <w:noProof/>
          <w:sz w:val="24"/>
          <w:szCs w:val="24"/>
        </w:rPr>
        <w:t>faji egyenlőségről szóló irányelv</w:t>
      </w:r>
      <w:r>
        <w:rPr>
          <w:rFonts w:ascii="Times New Roman" w:hAnsi="Times New Roman"/>
          <w:noProof/>
          <w:sz w:val="24"/>
          <w:szCs w:val="24"/>
        </w:rPr>
        <w:t xml:space="preserve"> alkalmazásának nyomon követését és végrehajtását a rendszerszerű hátrányos megkülönböztetés vizsgálatával és szükséges esetén a kötelezettségszegési eljárások indításával, hogy változást idézzen elő a nemzeti jogszabályokban és szakpolitikákban. Az elmúlt években külön</w:t>
      </w:r>
      <w:r>
        <w:rPr>
          <w:rFonts w:ascii="Times New Roman" w:hAnsi="Times New Roman"/>
          <w:noProof/>
          <w:sz w:val="24"/>
        </w:rPr>
        <w:t xml:space="preserve"> hangsúlyt kapott a roma gyermekekkel szembeni, oktatáson belüli hátrányos megkülönböztetés.</w:t>
      </w:r>
      <w:r>
        <w:rPr>
          <w:rFonts w:ascii="Times New Roman" w:hAnsi="Times New Roman"/>
          <w:noProof/>
          <w:sz w:val="24"/>
          <w:szCs w:val="24"/>
        </w:rPr>
        <w:t xml:space="preserve"> A Bizottság iránymutatást és képzést nyújt, valamint pénzügyi támogatást kínál az egyenlőséggel kapcsolatos adatok gyűjtéséhez, valamint az irányelv hatékony végrehajtásához és érvényesítéséhez, többek közt az áldozatok érdekeinek képviseletén keresztül. Ahogyan az uniós rasszizmus elleni cselekvési tervben szerepel, a Bizottság 2021-ben jelentést fog készíteni az irányelv végrehajtásáról</w:t>
      </w:r>
      <w:r>
        <w:rPr>
          <w:rStyle w:val="FootnoteReference"/>
          <w:rFonts w:ascii="Times New Roman" w:hAnsi="Times New Roman"/>
          <w:noProof/>
          <w:sz w:val="24"/>
          <w:szCs w:val="24"/>
        </w:rPr>
        <w:footnoteReference w:id="43"/>
      </w:r>
      <w:r>
        <w:rPr>
          <w:rFonts w:ascii="Times New Roman" w:hAnsi="Times New Roman"/>
          <w:noProof/>
          <w:sz w:val="24"/>
          <w:szCs w:val="24"/>
        </w:rPr>
        <w:t>, és 2022-ig esetlegesen új jogszabályokat fog alkotni. Ezenkívül a Bizottság folytatni fogja az egyenlőséggel foglalkozó szervek munkájának támogatását, amelyek munkájuk során</w:t>
      </w:r>
      <w:r>
        <w:rPr>
          <w:rStyle w:val="FootnoteReference"/>
          <w:rFonts w:ascii="Times New Roman" w:hAnsi="Times New Roman"/>
          <w:noProof/>
          <w:sz w:val="24"/>
          <w:szCs w:val="24"/>
        </w:rPr>
        <w:footnoteReference w:id="44"/>
      </w:r>
      <w:r>
        <w:rPr>
          <w:rFonts w:ascii="Times New Roman" w:hAnsi="Times New Roman"/>
          <w:noProof/>
          <w:sz w:val="24"/>
          <w:szCs w:val="24"/>
        </w:rPr>
        <w:t xml:space="preserve"> előnyben részesítik a romák helyzetének és tapasztalatainak javítását. A Bizottság nyomon fogja követni az egyenlőséggel foglalkozó szervekre vonatkozó előírásokról szóló bizottsági ajánlás végrehajtását</w:t>
      </w:r>
      <w:r>
        <w:rPr>
          <w:rStyle w:val="FootnoteReference"/>
          <w:rFonts w:ascii="Times New Roman" w:hAnsi="Times New Roman"/>
          <w:noProof/>
          <w:sz w:val="24"/>
          <w:szCs w:val="24"/>
        </w:rPr>
        <w:footnoteReference w:id="45"/>
      </w:r>
      <w:r>
        <w:rPr>
          <w:rFonts w:ascii="Times New Roman" w:hAnsi="Times New Roman"/>
          <w:noProof/>
          <w:sz w:val="24"/>
          <w:szCs w:val="24"/>
        </w:rPr>
        <w:t>. Az egyenlőséggel foglalkozó szervek szerepe és függetlensége, valamint az e szervek szerepének megerősítésére irányuló új jogszabályok iránti esetleges igény a 2021. évi jelentés fontos témája lesz.</w:t>
      </w:r>
    </w:p>
    <w:p>
      <w:pPr>
        <w:spacing w:after="60" w:line="240" w:lineRule="auto"/>
        <w:jc w:val="both"/>
        <w:rPr>
          <w:rFonts w:ascii="Times New Roman" w:hAnsi="Times New Roman"/>
          <w:b/>
          <w:i/>
          <w:noProof/>
          <w:sz w:val="24"/>
          <w:szCs w:val="24"/>
        </w:rPr>
      </w:pPr>
      <w:r>
        <w:rPr>
          <w:rFonts w:ascii="Times New Roman" w:hAnsi="Times New Roman"/>
          <w:noProof/>
          <w:sz w:val="24"/>
          <w:szCs w:val="24"/>
        </w:rPr>
        <w:t>A Bizottság továbbá folytatni fogja a rasszizmus és idegengyűlölet megelőzésére és leküzdésére irányuló munkáját, különösen a gyűlölet-bűncselekmények nyilvántartásával és jelentésével a FRA támogatásával, továbbá megerősíti a jogérvényesítéssel kapcsolatos képzési stratégiákat és a gyűlölet-bűncselekmények áldozatainak támogatását. A FRA</w:t>
      </w:r>
      <w:r>
        <w:rPr>
          <w:rStyle w:val="FootnoteReference"/>
          <w:rFonts w:ascii="Times New Roman" w:hAnsi="Times New Roman"/>
          <w:noProof/>
          <w:sz w:val="24"/>
          <w:szCs w:val="24"/>
        </w:rPr>
        <w:footnoteReference w:id="46"/>
      </w:r>
      <w:r>
        <w:rPr>
          <w:rFonts w:ascii="Times New Roman" w:hAnsi="Times New Roman"/>
          <w:noProof/>
          <w:sz w:val="24"/>
          <w:szCs w:val="24"/>
        </w:rPr>
        <w:t xml:space="preserve"> szerint a romákat nagy arányban éri gyűlöletből fakadó zaklatás (a roma származású válaszadók 30 %-át). A Bizottság megerősíti azon kötelezettségvállalását, hogy biztosítsa a </w:t>
      </w:r>
      <w:r>
        <w:rPr>
          <w:rFonts w:ascii="Times New Roman" w:hAnsi="Times New Roman"/>
          <w:b/>
          <w:noProof/>
          <w:sz w:val="24"/>
          <w:szCs w:val="24"/>
        </w:rPr>
        <w:t>rasszizmus és az idegengyűlölet elleni küzdelemről szóló tanácsi kerethatározat</w:t>
      </w:r>
      <w:r>
        <w:rPr>
          <w:rFonts w:ascii="Times New Roman" w:hAnsi="Times New Roman"/>
          <w:noProof/>
          <w:sz w:val="24"/>
          <w:szCs w:val="24"/>
        </w:rPr>
        <w:t xml:space="preserve"> teljes körű és megfelelő átültetését és végrehajtását, és ahol szükséges, kötelezettségszegési eljárásokat indítson</w:t>
      </w:r>
      <w:r>
        <w:rPr>
          <w:rFonts w:ascii="Times New Roman" w:hAnsi="Times New Roman"/>
          <w:noProof/>
          <w:sz w:val="24"/>
          <w:szCs w:val="24"/>
          <w:vertAlign w:val="superscript"/>
        </w:rPr>
        <w:footnoteReference w:id="47"/>
      </w:r>
      <w:r>
        <w:rPr>
          <w:rFonts w:ascii="Times New Roman" w:hAnsi="Times New Roman"/>
          <w:noProof/>
          <w:sz w:val="24"/>
          <w:szCs w:val="24"/>
        </w:rPr>
        <w:t>. A cigányellenességgel szembeni küzdelem előfeltételeként a tagállamok jogszabályaiba teljes mértékben és megfelelően át kell ültetni a gyűlöletbeszéd kriminalizációjára, valamint a holokauszt tagadására, védelmezésére vagy jelentéktelen színben történő feltüntetésére vonatkozó minimum-előírásokat. A kisebbségi etnikai vagy faji háttérrel rendelkező más emberekhez hasonlóan a romákat is érinti az online gyűlöletbeszéd, és a cigányellenesség a gyűlöletbeszéd egyik leggyakrabban jelentett oka. A Bizottság továbbra is együttműködik az IT-vállalatokkal, hogy visszaszorítsa a jogellenes online gyűlöletbeszédet, és hogy ezeket az erőfeszítéseket más közösségi oldalak platformjaira is kiterjessze</w:t>
      </w:r>
      <w:r>
        <w:rPr>
          <w:rStyle w:val="FootnoteReference"/>
          <w:rFonts w:ascii="Times New Roman" w:hAnsi="Times New Roman"/>
          <w:noProof/>
          <w:sz w:val="24"/>
          <w:szCs w:val="24"/>
        </w:rPr>
        <w:footnoteReference w:id="48"/>
      </w:r>
      <w:r>
        <w:rPr>
          <w:rFonts w:ascii="Times New Roman" w:hAnsi="Times New Roman"/>
          <w:noProof/>
          <w:sz w:val="24"/>
          <w:szCs w:val="24"/>
        </w:rPr>
        <w:t>. A kerethatározatot kiegészíti az áldozatok jogairól szóló irányelv</w:t>
      </w:r>
      <w:r>
        <w:rPr>
          <w:rStyle w:val="FootnoteReference"/>
          <w:rFonts w:ascii="Times New Roman" w:hAnsi="Times New Roman"/>
          <w:noProof/>
          <w:sz w:val="24"/>
          <w:szCs w:val="24"/>
        </w:rPr>
        <w:footnoteReference w:id="49"/>
      </w:r>
      <w:r>
        <w:rPr>
          <w:rFonts w:ascii="Times New Roman" w:hAnsi="Times New Roman"/>
          <w:noProof/>
          <w:sz w:val="24"/>
          <w:szCs w:val="24"/>
        </w:rPr>
        <w:t>, amely többek között a gyűlölet-bűncselekmények és gyűlöletbeszédek áldozatai számára történő igazságszolgáltatást, valamint az áldozatok védelmét és támogatását célozza. Az áldozatok jogairól szóló (2020–2025. közötti) uniós stratégia a gyűlölet-bűncselekmények áldozatainak – köztük a romáknak a – különleges szükségleteivel foglalkozik</w:t>
      </w:r>
      <w:r>
        <w:rPr>
          <w:rFonts w:ascii="Times New Roman" w:hAnsi="Times New Roman"/>
          <w:noProof/>
          <w:sz w:val="24"/>
          <w:szCs w:val="24"/>
          <w:vertAlign w:val="superscript"/>
        </w:rPr>
        <w:footnoteReference w:id="50"/>
      </w:r>
      <w:r>
        <w:rPr>
          <w:rFonts w:ascii="Times New Roman" w:hAnsi="Times New Roman"/>
          <w:noProof/>
          <w:sz w:val="24"/>
          <w:szCs w:val="24"/>
        </w:rPr>
        <w:t>.</w:t>
      </w:r>
    </w:p>
    <w:p>
      <w:pPr>
        <w:spacing w:before="240" w:after="240" w:line="240" w:lineRule="auto"/>
        <w:ind w:left="567" w:hanging="567"/>
        <w:jc w:val="both"/>
        <w:rPr>
          <w:rFonts w:ascii="Times New Roman" w:hAnsi="Times New Roman"/>
          <w:noProof/>
          <w:sz w:val="24"/>
          <w:szCs w:val="24"/>
        </w:rPr>
      </w:pPr>
      <w:r>
        <w:rPr>
          <w:rFonts w:ascii="Times New Roman" w:hAnsi="Times New Roman"/>
          <w:b/>
          <w:i/>
          <w:noProof/>
          <w:sz w:val="24"/>
          <w:szCs w:val="24"/>
        </w:rPr>
        <w:t xml:space="preserve">IV.2. </w:t>
      </w:r>
      <w:r>
        <w:rPr>
          <w:noProof/>
        </w:rPr>
        <w:tab/>
      </w:r>
      <w:r>
        <w:rPr>
          <w:rFonts w:ascii="Times New Roman" w:hAnsi="Times New Roman"/>
          <w:b/>
          <w:i/>
          <w:noProof/>
          <w:sz w:val="24"/>
          <w:szCs w:val="24"/>
        </w:rPr>
        <w:t>A romák egyenlőségének általános érvényesítése az uniós szakpolitikai kezdeményezésekben és uniós források mozgósítása a romák számára</w:t>
      </w:r>
      <w:r>
        <w:rPr>
          <w:rStyle w:val="FootnoteReference"/>
          <w:rFonts w:ascii="Times New Roman" w:hAnsi="Times New Roman"/>
          <w:b/>
          <w:i/>
          <w:noProof/>
          <w:sz w:val="24"/>
          <w:szCs w:val="24"/>
        </w:rPr>
        <w:footnoteReference w:id="51"/>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 romák egyenlőségének, társadalmi befogadásának és részvételének valamennyi vonatkozó bizottsági kezdeményezésben való általános érvényesítése kulcsfontosságú az e stratégiai keretben meghatározott célkitűzések elérése érdekében. A társadalmi-gazdasági integrációtól a mesterséges intelligenciáig, a zöld megállapodástól a digitális integrációig és a gyűlöletbeszédek leküzdésétől a migrációs szakpolitikákig az egyes szakpolitikák kialakítása során az egyenlőségre vonatkozó dimenzió beépítése magában foglalja annak biztosítását is, hogy az uniós és nemzeti szakpolitikák </w:t>
      </w:r>
      <w:r>
        <w:rPr>
          <w:rFonts w:ascii="Times New Roman" w:hAnsi="Times New Roman"/>
          <w:b/>
          <w:noProof/>
          <w:sz w:val="24"/>
          <w:szCs w:val="24"/>
        </w:rPr>
        <w:t>valamennyi roma személy érdekeit szolgálják</w:t>
      </w:r>
      <w:r>
        <w:rPr>
          <w:rFonts w:ascii="Times New Roman" w:hAnsi="Times New Roman"/>
          <w:noProof/>
          <w:sz w:val="24"/>
          <w:szCs w:val="24"/>
        </w:rPr>
        <w:t xml:space="preserve">. A mindenki számára és minden értelemben biztosított egyenlőség előmozdítására irányuló tevékenységei részeként a Bizottság egyenlőséggel foglalkozó belső munkacsoportja annak biztosítására fog törekedni, hogy a faji vagy etnikai származáson alapuló megkülönböztetés és a más alapon történő hátrányos megkülönböztetéssel közös metszéspontok elleni küzdelem be legyen építve </w:t>
      </w:r>
      <w:r>
        <w:rPr>
          <w:rFonts w:ascii="Times New Roman" w:hAnsi="Times New Roman"/>
          <w:b/>
          <w:noProof/>
          <w:sz w:val="24"/>
          <w:szCs w:val="24"/>
        </w:rPr>
        <w:t>valamennyi uniós szakpolitikába, jogszabályba és finanszírozási programba</w:t>
      </w:r>
      <w:r>
        <w:rPr>
          <w:rFonts w:ascii="Times New Roman" w:hAnsi="Times New Roman"/>
          <w:noProof/>
          <w:sz w:val="24"/>
          <w:szCs w:val="24"/>
        </w:rPr>
        <w:t>.</w:t>
      </w:r>
      <w:r>
        <w:rPr>
          <w:rFonts w:ascii="Times New Roman" w:hAnsi="Times New Roman"/>
          <w:b/>
          <w:noProof/>
          <w:sz w:val="24"/>
          <w:szCs w:val="24"/>
        </w:rPr>
        <w:t xml:space="preserve"> </w:t>
      </w:r>
      <w:r>
        <w:rPr>
          <w:rFonts w:ascii="Times New Roman" w:hAnsi="Times New Roman"/>
          <w:noProof/>
          <w:sz w:val="24"/>
          <w:szCs w:val="24"/>
        </w:rPr>
        <w:t>Az EU 2020–2025-re vonatkozó rasszizmus elleni cselekvési tervének végrehajtása során a romák perspektívája mindig érvényesülni fog. Az általános érvényesítésre vonatkozó iránymutatás és képzés segíteni fog mindenkit, aki részt vesz az egyenlőségi perspektívának az uniós beavatkozások minden szakaszába való beépítésében, és emellett aktívabb konzultáció előmozdítására kerül majd sor a romákat képviselő szervezetekkel a Bizottság teljes szakpolitikai ciklusa során.</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 Bizottság </w:t>
      </w:r>
      <w:r>
        <w:rPr>
          <w:rFonts w:ascii="Times New Roman" w:hAnsi="Times New Roman"/>
          <w:b/>
          <w:noProof/>
          <w:sz w:val="24"/>
          <w:szCs w:val="24"/>
        </w:rPr>
        <w:t>romákkal foglalkozó belső munkacsoportja</w:t>
      </w:r>
      <w:r>
        <w:rPr>
          <w:rStyle w:val="FootnoteReference"/>
          <w:rFonts w:ascii="Times New Roman" w:hAnsi="Times New Roman"/>
          <w:noProof/>
          <w:sz w:val="24"/>
          <w:szCs w:val="24"/>
        </w:rPr>
        <w:footnoteReference w:id="52"/>
      </w:r>
      <w:r>
        <w:rPr>
          <w:rFonts w:ascii="Times New Roman" w:hAnsi="Times New Roman"/>
          <w:noProof/>
          <w:sz w:val="24"/>
          <w:szCs w:val="24"/>
        </w:rPr>
        <w:t xml:space="preserve"> továbbra is be fogja vonni a különböző bizottsági szolgálatokat a kulcsfontosságú kiemelt területek különböző szintjeibe, például az uniós forrásoknak a romák egyenlőségét és integrációját előmozdító, hatékony használatába.</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 </w:t>
      </w:r>
      <w:r>
        <w:rPr>
          <w:rFonts w:ascii="Times New Roman" w:hAnsi="Times New Roman"/>
          <w:b/>
          <w:noProof/>
          <w:sz w:val="24"/>
          <w:szCs w:val="24"/>
        </w:rPr>
        <w:t>NextGeneration EU</w:t>
      </w:r>
      <w:r>
        <w:rPr>
          <w:rFonts w:ascii="Times New Roman" w:hAnsi="Times New Roman"/>
          <w:noProof/>
          <w:sz w:val="24"/>
          <w:szCs w:val="24"/>
        </w:rPr>
        <w:t xml:space="preserve"> részeként az új Helyreállítási és Rezilienciaépítési Eszköz támogatni fogja a beruházásokat és reformokat, amelyek elengedhetetlenek a tartós helyreállításhoz, valamint a gazdasági és társadalmi reziliencia és kohézió előmozdításához. A támogatáshoz a tagállamoknak helyreállítási és rezilienciaépítési terveket kell készíteniük, amelyek a válság gazdasági és társadalmi hatásait, a digitális és zöld átállást, valamint az európai szemeszter keretében az országspecifikus ajánlásokban azonosított prioritásokat célozzák. Ez a támogatás lehetőségeket nyújt a tagállamok számára, hogy segítsék a marginalizált csoportok integrációját, beleértve a romákat és egyéb, kisebbségi faji vagy etnikai háttérrel rendelkező személyeket. A Bizottság </w:t>
      </w:r>
      <w:r>
        <w:rPr>
          <w:rFonts w:ascii="Times New Roman" w:hAnsi="Times New Roman"/>
          <w:b/>
          <w:noProof/>
          <w:sz w:val="24"/>
          <w:szCs w:val="24"/>
        </w:rPr>
        <w:t>többéves pénzügyi keretre</w:t>
      </w:r>
      <w:r>
        <w:rPr>
          <w:rFonts w:ascii="Times New Roman" w:hAnsi="Times New Roman"/>
          <w:noProof/>
          <w:sz w:val="24"/>
          <w:szCs w:val="24"/>
        </w:rPr>
        <w:t xml:space="preserve"> vonatkozó javaslatai előmozdítják a romák integrációját és a hátrányos megkülönböztetés elleni küzdelmet, különösen az Európai Szociális Alap Pluszon (ESZA+), az Európai Regionális Fejlesztési Alapon (ERFA) és az Európai Mezőgazdasági Vidékfejlesztési Alapon (EMVA) keresztül. 2019-ben a Bizottság az </w:t>
      </w:r>
      <w:r>
        <w:rPr>
          <w:rFonts w:ascii="Times New Roman" w:hAnsi="Times New Roman"/>
          <w:b/>
          <w:noProof/>
          <w:sz w:val="24"/>
          <w:szCs w:val="24"/>
        </w:rPr>
        <w:t>európai szemeszter</w:t>
      </w:r>
      <w:r>
        <w:rPr>
          <w:rFonts w:ascii="Times New Roman" w:hAnsi="Times New Roman"/>
          <w:noProof/>
          <w:sz w:val="24"/>
          <w:szCs w:val="24"/>
        </w:rPr>
        <w:t xml:space="preserve"> számos országspecifikus jelentésében</w:t>
      </w:r>
      <w:r>
        <w:rPr>
          <w:rStyle w:val="FootnoteReference"/>
          <w:rFonts w:ascii="Times New Roman" w:hAnsi="Times New Roman"/>
          <w:noProof/>
          <w:sz w:val="24"/>
          <w:szCs w:val="24"/>
        </w:rPr>
        <w:footnoteReference w:id="53"/>
      </w:r>
      <w:r>
        <w:rPr>
          <w:rFonts w:ascii="Times New Roman" w:hAnsi="Times New Roman"/>
          <w:noProof/>
          <w:sz w:val="24"/>
          <w:szCs w:val="24"/>
        </w:rPr>
        <w:t xml:space="preserve"> hangsúlyozta a romák integrációjának fontosságát; ennek tükröződnie kell a 2021–2027-re vonatkozó programokban. </w:t>
      </w:r>
    </w:p>
    <w:p>
      <w:pPr>
        <w:keepNext/>
        <w:spacing w:after="120" w:line="240" w:lineRule="auto"/>
        <w:jc w:val="both"/>
        <w:rPr>
          <w:rFonts w:ascii="Times New Roman" w:hAnsi="Times New Roman"/>
          <w:noProof/>
          <w:sz w:val="24"/>
          <w:szCs w:val="24"/>
        </w:rPr>
      </w:pPr>
      <w:r>
        <w:rPr>
          <w:rFonts w:ascii="Times New Roman" w:hAnsi="Times New Roman"/>
          <w:noProof/>
          <w:sz w:val="24"/>
          <w:szCs w:val="24"/>
        </w:rPr>
        <w:t xml:space="preserve">A Bizottság </w:t>
      </w:r>
      <w:r>
        <w:rPr>
          <w:rFonts w:ascii="Times New Roman" w:hAnsi="Times New Roman"/>
          <w:b/>
          <w:noProof/>
          <w:sz w:val="24"/>
          <w:szCs w:val="24"/>
        </w:rPr>
        <w:t>közös rendelkezésekről</w:t>
      </w:r>
      <w:r>
        <w:rPr>
          <w:rFonts w:ascii="Times New Roman" w:hAnsi="Times New Roman"/>
          <w:noProof/>
          <w:sz w:val="24"/>
          <w:szCs w:val="24"/>
        </w:rPr>
        <w:t xml:space="preserve">, az </w:t>
      </w:r>
      <w:r>
        <w:rPr>
          <w:rFonts w:ascii="Times New Roman" w:hAnsi="Times New Roman"/>
          <w:b/>
          <w:noProof/>
          <w:sz w:val="24"/>
          <w:szCs w:val="24"/>
        </w:rPr>
        <w:t>ESZA+-ról, ERFA-ról és EMVA-ról szóló rendeletekre</w:t>
      </w:r>
      <w:r>
        <w:rPr>
          <w:rStyle w:val="FootnoteReference"/>
          <w:rFonts w:cs="Times New Roman"/>
          <w:noProof/>
        </w:rPr>
        <w:footnoteReference w:id="54"/>
      </w:r>
      <w:r>
        <w:rPr>
          <w:rFonts w:ascii="Times New Roman" w:hAnsi="Times New Roman"/>
          <w:noProof/>
          <w:sz w:val="24"/>
          <w:szCs w:val="24"/>
        </w:rPr>
        <w:t xml:space="preserve"> vonatkozó javaslatai:</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pénzügyi támogatás nyújtása a nemzeti romastratégiai keretek és intézkedések végrehajtására, beleértve az emberi erőforrásokat, az infrastruktúrát és a kapacitásépítési tevékenységeket;</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a mindenki számára szóló esélyegyenlőségi programok előmozdítása, nemen, faji vagy etnikai származáson, valláson vagy meggyőződésen, fogyatékosságon, életkoron vagy szexuális irányultságon alapuló megkülönböztetés nélkül;</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a tematikus (nemzeti romastratégiai szakpolitikai keret, a társadalmi integrációra és a szegénység visszaszorítására irányuló nemzeti stratégiai szakpolitikai keret) és horizontális (Alapjogi Charta) előfeltételeknek a 2021–2027 közötti időszak során történő teljesítésének kérése;</w:t>
      </w:r>
    </w:p>
    <w:p>
      <w:pPr>
        <w:pStyle w:val="ListParagraph"/>
        <w:numPr>
          <w:ilvl w:val="0"/>
          <w:numId w:val="56"/>
        </w:numPr>
        <w:spacing w:after="0" w:line="240" w:lineRule="auto"/>
        <w:contextualSpacing w:val="0"/>
        <w:rPr>
          <w:rFonts w:ascii="Times New Roman" w:hAnsi="Times New Roman"/>
          <w:noProof/>
          <w:sz w:val="24"/>
          <w:szCs w:val="24"/>
        </w:rPr>
      </w:pPr>
      <w:r>
        <w:rPr>
          <w:rFonts w:ascii="Times New Roman" w:hAnsi="Times New Roman"/>
          <w:noProof/>
          <w:sz w:val="24"/>
          <w:szCs w:val="24"/>
        </w:rPr>
        <w:t>annak előírása, hogy az ESZA+ forrásainak legalább 25 %-a a társadalmi integrációt támogassa, ezáltal biztosítva, hogy egy minimumösszeg a leginkább rászorulókat célozza; valamint</w:t>
      </w:r>
    </w:p>
    <w:p>
      <w:pPr>
        <w:pStyle w:val="ListParagraph"/>
        <w:numPr>
          <w:ilvl w:val="0"/>
          <w:numId w:val="56"/>
        </w:numPr>
        <w:spacing w:line="240" w:lineRule="auto"/>
        <w:contextualSpacing w:val="0"/>
        <w:rPr>
          <w:rFonts w:ascii="Times New Roman" w:hAnsi="Times New Roman"/>
          <w:noProof/>
          <w:sz w:val="24"/>
          <w:szCs w:val="24"/>
        </w:rPr>
      </w:pPr>
      <w:r>
        <w:rPr>
          <w:rFonts w:ascii="Times New Roman" w:hAnsi="Times New Roman"/>
          <w:noProof/>
          <w:sz w:val="24"/>
          <w:szCs w:val="24"/>
        </w:rPr>
        <w:t>a „partnerségi elv” hangsúlyozása, azaz valamennyi érdekelt fél bevonása a programok és partnerségi megállapodások előkészítésébe és végrehajtásába, valamint a monitoringbizottságokba, beleértve a társadalmi integrációt, a megkülönböztetésmentességet és alapjogokat képviselő szerveket, a civil társadalmi szervezeteket.</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 tagállamok kulcsfontosságú szerepet játszanak a közpolitikák kialakítása és a romákat támogató finanszírozási programok kihasználásának maximalizálása terén, mivel az uniós költségvetés jelentős részét a tagállamok hajtják végre megosztott irányítás keretében. A Bizottság ezért felszólítja a tagállamokat, hogy a 2021–2027-re vonatkozó többéves pénzügyi keret és a NextGeneration EU szerinti finanszírozást fordítsák a romákkal kapcsolatos kihívások leküzdésére és szükségleteik kielégítésére, hogy végrehajthassák a nemzeti romastratégiai keretekben tett kötelezettségvállalásaikat. A Bizottság célja biztosítani, hogy az európai szemeszter során azonosított, országspecifikus kihívásokat megfelelően kezeljék a következő partnerségi megállapodásokban, és hogy az egyenlőséget és integrációt előmozdító intézkedéseket végrehajtsák az operatív programokon keresztül. A Bizottság szorosan nyomon fogja követni, hogy ezekben a tagállamokban bevezették-e a szolgáltatások inkluzívvá tételére és a marginalizált roma közösségeket célzó programok biztosítására vonatkozó kettős stratégiát, és az tükröződik-e a 2021–2027-re vonatkozó programozási dokumentumokban. A 2021–2027 közötti uniós forrásokra vonatkozó, a Bizottság által javasolt előfeltételek célja, hogy biztosítsák az alapjogokat, valamint a romák egyenlőségét, társadalmi befogadását és részvételét. </w:t>
      </w:r>
    </w:p>
    <w:p>
      <w:pPr>
        <w:spacing w:after="120" w:line="240" w:lineRule="auto"/>
        <w:jc w:val="both"/>
        <w:rPr>
          <w:rFonts w:ascii="Times New Roman" w:hAnsi="Times New Roman"/>
          <w:noProof/>
          <w:sz w:val="24"/>
          <w:szCs w:val="24"/>
        </w:rPr>
      </w:pPr>
      <w:r>
        <w:rPr>
          <w:rFonts w:ascii="Times New Roman" w:hAnsi="Times New Roman"/>
          <w:noProof/>
          <w:sz w:val="24"/>
          <w:szCs w:val="24"/>
        </w:rPr>
        <w:t>A romákkal kapcsolatos beavatkozások hatékonysága és eredményessége növelésének érdekében a Bizottság támogatni fogja a szakpolitikákkal és finanszírozással kapcsolatos nemzetközi tanulást, például az irányító hatóságok EURoma hálózatát</w:t>
      </w:r>
      <w:r>
        <w:rPr>
          <w:rStyle w:val="FootnoteReference"/>
          <w:rFonts w:ascii="Times New Roman" w:hAnsi="Times New Roman"/>
          <w:noProof/>
          <w:sz w:val="24"/>
          <w:szCs w:val="24"/>
        </w:rPr>
        <w:footnoteReference w:id="55"/>
      </w:r>
      <w:r>
        <w:rPr>
          <w:rFonts w:ascii="Times New Roman" w:hAnsi="Times New Roman"/>
          <w:noProof/>
          <w:sz w:val="24"/>
          <w:szCs w:val="24"/>
        </w:rPr>
        <w:t xml:space="preserve"> és a nemzeti romaintegrációs kapcsolattartó pontokat.</w:t>
      </w:r>
    </w:p>
    <w:p>
      <w:pPr>
        <w:spacing w:line="240" w:lineRule="auto"/>
        <w:jc w:val="both"/>
        <w:rPr>
          <w:rFonts w:ascii="Times New Roman" w:hAnsi="Times New Roman"/>
          <w:noProof/>
          <w:sz w:val="24"/>
          <w:szCs w:val="24"/>
        </w:rPr>
      </w:pPr>
      <w:r>
        <w:rPr>
          <w:rFonts w:ascii="Times New Roman" w:hAnsi="Times New Roman"/>
          <w:noProof/>
          <w:sz w:val="24"/>
          <w:szCs w:val="24"/>
        </w:rPr>
        <w:t>Az InvestEU program</w:t>
      </w:r>
      <w:r>
        <w:rPr>
          <w:rStyle w:val="FootnoteReference"/>
          <w:rFonts w:ascii="Times New Roman" w:hAnsi="Times New Roman"/>
          <w:noProof/>
          <w:sz w:val="24"/>
          <w:szCs w:val="24"/>
        </w:rPr>
        <w:footnoteReference w:id="56"/>
      </w:r>
      <w:r>
        <w:rPr>
          <w:rFonts w:ascii="Times New Roman" w:hAnsi="Times New Roman"/>
          <w:noProof/>
          <w:sz w:val="24"/>
          <w:szCs w:val="24"/>
        </w:rPr>
        <w:t xml:space="preserve"> a szociális beruházásra és készségfejlesztésre vonatkozó kereten belül hozzá tud járulni a marginalizált csoportok – köztük a romák – társadalmi-gazdasági integrációjához. Ez megtörténhet az innovatív finanszírozási megközelítéseken keresztül, mint a szociális beruházási kötvények és az eredményorientált projektek, beleértve azoknak az uniós támogatásokkal és/vagy az ágazati programokból származó finanszírozási eszközökkel való vegyítését vagy a különböző uniós finanszírozási források kombinációját. A Bizottság célzott kísérleti kezdeményezéseket fog végrehajtani annak érdekében, hogy tesztelje és bemutassa a konkrét integrációs aspektusokra vonatkozó munkamegközelítéseket (lakhatás, foglalkoztatás, társadalombiztosítás) az innovatív finanszírozási megközelítések alkalmazásával, amelyeket nemzeti vagy uniós szinten nagyobb programokon keresztül át lehet venni/ki lehet bővíteni vagy meg lehet ismételni. A technikai támogatási eszközön keresztül a tagállamok képesek lesznek arra, hogy technikai támogatást kérjenek a romák egyenlőségének szakpolitikai döntéshozatalon és reformfolyamatokon belüli általános érvényesítéséhez.</w:t>
      </w:r>
    </w:p>
    <w:p>
      <w:pPr>
        <w:keepNext/>
        <w:keepLines/>
        <w:spacing w:before="240" w:after="240" w:line="240" w:lineRule="auto"/>
        <w:ind w:left="851" w:hanging="851"/>
        <w:jc w:val="both"/>
        <w:rPr>
          <w:rFonts w:ascii="Times New Roman" w:hAnsi="Times New Roman"/>
          <w:b/>
          <w:i/>
          <w:noProof/>
          <w:sz w:val="24"/>
          <w:szCs w:val="24"/>
        </w:rPr>
      </w:pPr>
      <w:r>
        <w:rPr>
          <w:rFonts w:ascii="Times New Roman" w:hAnsi="Times New Roman"/>
          <w:b/>
          <w:i/>
          <w:noProof/>
          <w:sz w:val="24"/>
          <w:szCs w:val="24"/>
        </w:rPr>
        <w:t xml:space="preserve">IV.3. </w:t>
      </w:r>
      <w:r>
        <w:rPr>
          <w:noProof/>
        </w:rPr>
        <w:tab/>
      </w:r>
      <w:r>
        <w:rPr>
          <w:rFonts w:ascii="Times New Roman" w:hAnsi="Times New Roman"/>
          <w:b/>
          <w:i/>
          <w:noProof/>
          <w:sz w:val="24"/>
          <w:szCs w:val="24"/>
        </w:rPr>
        <w:t>A romák részvételének, társadalmi befogadásának és sokszínűségének előmozdítására irányuló uniós fellépés és támogatás</w:t>
      </w:r>
    </w:p>
    <w:p>
      <w:pPr>
        <w:spacing w:after="120" w:line="240" w:lineRule="auto"/>
        <w:jc w:val="both"/>
        <w:rPr>
          <w:rFonts w:ascii="Times New Roman" w:hAnsi="Times New Roman"/>
          <w:noProof/>
          <w:sz w:val="24"/>
          <w:szCs w:val="24"/>
        </w:rPr>
      </w:pPr>
      <w:r>
        <w:rPr>
          <w:rFonts w:ascii="Times New Roman" w:hAnsi="Times New Roman"/>
          <w:noProof/>
          <w:sz w:val="24"/>
        </w:rPr>
        <w:t xml:space="preserve">A 2020–2025-re vonatkozó, uniós antirasszista cselekvési tervben a Bizottság elkötelezte magát az iránt, hogy intézményként példát mutasson azzal, hogy </w:t>
      </w:r>
      <w:r>
        <w:rPr>
          <w:rFonts w:ascii="Times New Roman" w:hAnsi="Times New Roman"/>
          <w:b/>
          <w:noProof/>
          <w:sz w:val="24"/>
        </w:rPr>
        <w:t>a toborzásra és kiválasztásra irányuló intézkedésekkel lépéseket tesz a bizottsági személyzet reprezentatív jellegének jelentős fejlesztése érdekében</w:t>
      </w:r>
      <w:r>
        <w:rPr>
          <w:rFonts w:ascii="Times New Roman" w:hAnsi="Times New Roman"/>
          <w:noProof/>
          <w:sz w:val="24"/>
        </w:rPr>
        <w:t xml:space="preserve">. </w:t>
      </w:r>
      <w:r>
        <w:rPr>
          <w:rFonts w:ascii="Times New Roman" w:hAnsi="Times New Roman"/>
          <w:noProof/>
          <w:sz w:val="24"/>
          <w:szCs w:val="24"/>
        </w:rPr>
        <w:t>Ezen intézkedések végrehajtása során a Bizottság biztosítani fogja, hogy azok a romákra is vonatkozzanak. A Bizottság felszólítja a többi uniós intézményt, hogy tegyenek lépéseket a munkahelyi sokszínűség és integráció előmozdítása érdekében.</w:t>
      </w:r>
    </w:p>
    <w:p>
      <w:pPr>
        <w:spacing w:after="120" w:line="240" w:lineRule="auto"/>
        <w:jc w:val="both"/>
        <w:rPr>
          <w:rFonts w:ascii="Times New Roman" w:hAnsi="Times New Roman"/>
          <w:noProof/>
          <w:sz w:val="24"/>
          <w:szCs w:val="24"/>
        </w:rPr>
      </w:pPr>
      <w:r>
        <w:rPr>
          <w:rFonts w:ascii="Times New Roman" w:hAnsi="Times New Roman"/>
          <w:noProof/>
          <w:sz w:val="24"/>
          <w:szCs w:val="24"/>
        </w:rPr>
        <w:t>A Bizottság a nagyobb mértékű kölcsönös tanulás érdekében rendszeres találkozókat fog szervezni a tagállamok képviselőivel</w:t>
      </w:r>
      <w:r>
        <w:rPr>
          <w:rStyle w:val="FootnoteReference"/>
          <w:rFonts w:ascii="Times New Roman" w:hAnsi="Times New Roman"/>
          <w:noProof/>
          <w:sz w:val="24"/>
          <w:szCs w:val="24"/>
        </w:rPr>
        <w:footnoteReference w:id="57"/>
      </w:r>
      <w:r>
        <w:rPr>
          <w:rFonts w:ascii="Times New Roman" w:hAnsi="Times New Roman"/>
          <w:noProof/>
          <w:sz w:val="24"/>
          <w:szCs w:val="24"/>
        </w:rPr>
        <w:t xml:space="preserve"> és </w:t>
      </w:r>
      <w:r>
        <w:rPr>
          <w:rFonts w:ascii="Times New Roman" w:hAnsi="Times New Roman"/>
          <w:b/>
          <w:noProof/>
          <w:sz w:val="24"/>
          <w:szCs w:val="24"/>
        </w:rPr>
        <w:t>az uniós szintű civil társadalmi és nemzetközi szervezetekkel</w:t>
      </w:r>
      <w:r>
        <w:rPr>
          <w:rFonts w:ascii="Times New Roman" w:hAnsi="Times New Roman"/>
          <w:noProof/>
          <w:sz w:val="24"/>
          <w:szCs w:val="24"/>
        </w:rPr>
        <w:t>. Ezenkívül biztosítani fogja az érdekelt felek közötti rendszeres párbeszédet. A Bizottság 2021–2027-ben folytatni fogja a</w:t>
      </w:r>
      <w:r>
        <w:rPr>
          <w:rFonts w:ascii="Times New Roman" w:hAnsi="Times New Roman"/>
          <w:b/>
          <w:noProof/>
          <w:sz w:val="24"/>
          <w:szCs w:val="24"/>
        </w:rPr>
        <w:t xml:space="preserve"> kohéziós politikáról</w:t>
      </w:r>
      <w:r>
        <w:rPr>
          <w:rFonts w:ascii="Times New Roman" w:hAnsi="Times New Roman"/>
          <w:noProof/>
          <w:sz w:val="24"/>
          <w:szCs w:val="24"/>
        </w:rPr>
        <w:t xml:space="preserve"> szóló találkozók szervezését a civil társadalmi szervezetekkel („strukturált párbeszéd”). Ezenkívül zárt találkozókat fog szervezni a roma civil társadalmi szervezetekkel a kohéziós politika fejleményeiről.</w:t>
      </w:r>
    </w:p>
    <w:p>
      <w:pPr>
        <w:spacing w:after="120" w:line="240" w:lineRule="auto"/>
        <w:jc w:val="both"/>
        <w:rPr>
          <w:rFonts w:ascii="Times New Roman" w:hAnsi="Times New Roman"/>
          <w:noProof/>
          <w:sz w:val="24"/>
          <w:szCs w:val="24"/>
        </w:rPr>
      </w:pPr>
      <w:r>
        <w:rPr>
          <w:rFonts w:ascii="Times New Roman" w:hAnsi="Times New Roman"/>
          <w:noProof/>
          <w:sz w:val="24"/>
          <w:szCs w:val="24"/>
        </w:rPr>
        <w:t>Az Európai Parlament javaslatának</w:t>
      </w:r>
      <w:r>
        <w:rPr>
          <w:rStyle w:val="FootnoteReference"/>
          <w:rFonts w:ascii="Times New Roman" w:hAnsi="Times New Roman"/>
          <w:noProof/>
          <w:sz w:val="24"/>
          <w:szCs w:val="24"/>
        </w:rPr>
        <w:footnoteReference w:id="58"/>
      </w:r>
      <w:r>
        <w:rPr>
          <w:rFonts w:ascii="Times New Roman" w:hAnsi="Times New Roman"/>
          <w:noProof/>
          <w:sz w:val="24"/>
          <w:szCs w:val="24"/>
        </w:rPr>
        <w:t xml:space="preserve"> megfelelően a Bizottság elindítja a roma civil társadalom kapacitásépítésének</w:t>
      </w:r>
      <w:r>
        <w:rPr>
          <w:rFonts w:ascii="Times New Roman" w:hAnsi="Times New Roman"/>
          <w:b/>
          <w:noProof/>
          <w:sz w:val="24"/>
          <w:szCs w:val="24"/>
        </w:rPr>
        <w:t xml:space="preserve"> </w:t>
      </w:r>
      <w:r>
        <w:rPr>
          <w:rFonts w:ascii="Times New Roman" w:hAnsi="Times New Roman"/>
          <w:noProof/>
          <w:sz w:val="24"/>
          <w:szCs w:val="24"/>
        </w:rPr>
        <w:t xml:space="preserve">új ciklusát, hogy a </w:t>
      </w:r>
      <w:hyperlink r:id="rId16" w:history="1">
        <w:r>
          <w:rPr>
            <w:rStyle w:val="Hyperlink"/>
            <w:rFonts w:ascii="Times New Roman" w:hAnsi="Times New Roman"/>
            <w:noProof/>
            <w:sz w:val="24"/>
            <w:szCs w:val="24"/>
          </w:rPr>
          <w:t>roma civil társadalmi ellenőrzésre</w:t>
        </w:r>
      </w:hyperlink>
      <w:r>
        <w:rPr>
          <w:rFonts w:ascii="Times New Roman" w:hAnsi="Times New Roman"/>
          <w:noProof/>
          <w:sz w:val="24"/>
          <w:szCs w:val="24"/>
        </w:rPr>
        <w:t xml:space="preserve"> irányuló projektből (2017–2020) levont tanulságokra alapozva lehetővé tegye a </w:t>
      </w:r>
      <w:r>
        <w:rPr>
          <w:rFonts w:ascii="Times New Roman" w:hAnsi="Times New Roman"/>
          <w:b/>
          <w:noProof/>
          <w:sz w:val="24"/>
          <w:szCs w:val="24"/>
        </w:rPr>
        <w:t>koordinált független civil társadalmi ellenőrzést és jelentéstételt</w:t>
      </w:r>
      <w:r>
        <w:rPr>
          <w:rFonts w:ascii="Times New Roman" w:hAnsi="Times New Roman"/>
          <w:noProof/>
          <w:sz w:val="24"/>
          <w:szCs w:val="24"/>
        </w:rPr>
        <w:t xml:space="preserve">. A koordinált független civil társadalmi ellenőrzésre vonatkozó jelentésekre a tervek szerint 2022-től kezdődően kétévente kerül sor.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 Bizottság célja az lesz, hogy maximalizálja az </w:t>
      </w:r>
      <w:r>
        <w:rPr>
          <w:rFonts w:ascii="Times New Roman" w:hAnsi="Times New Roman"/>
          <w:b/>
          <w:noProof/>
          <w:sz w:val="24"/>
          <w:szCs w:val="24"/>
        </w:rPr>
        <w:t>Európai Roma Platform</w:t>
      </w:r>
      <w:r>
        <w:rPr>
          <w:rStyle w:val="FootnoteReference"/>
          <w:rFonts w:ascii="Times New Roman" w:hAnsi="Times New Roman"/>
          <w:b/>
          <w:noProof/>
          <w:sz w:val="24"/>
          <w:szCs w:val="24"/>
        </w:rPr>
        <w:footnoteReference w:id="59"/>
      </w:r>
      <w:r>
        <w:rPr>
          <w:rFonts w:ascii="Arial" w:hAnsi="Arial"/>
          <w:noProof/>
          <w:color w:val="404040"/>
          <w:shd w:val="clear" w:color="auto" w:fill="FFFFFF"/>
        </w:rPr>
        <w:t xml:space="preserve"> </w:t>
      </w:r>
      <w:r>
        <w:rPr>
          <w:rFonts w:ascii="Times New Roman" w:hAnsi="Times New Roman"/>
          <w:noProof/>
          <w:sz w:val="24"/>
          <w:szCs w:val="24"/>
        </w:rPr>
        <w:t>hatását, összefogva a nemzeti kormányokat, az EU-t, a nemzetközi szervezeteket és a roma civil társadalom képviselőit, valamint az együttműködés és a tapasztalatcsere ösztönzésére törekedve. A roma civil társadalmi ellenőrzésre vonatkozó projekt és a nemzeti ellenőrzési jelentések megállapításai alapján megszervezi a nemzeti stratégiai keretek tematikus, országos és regionális felülvizsgálatát.</w:t>
      </w:r>
    </w:p>
    <w:p>
      <w:pPr>
        <w:spacing w:after="120" w:line="240" w:lineRule="auto"/>
        <w:jc w:val="both"/>
        <w:rPr>
          <w:rFonts w:ascii="Times New Roman" w:hAnsi="Times New Roman"/>
          <w:noProof/>
          <w:sz w:val="24"/>
          <w:szCs w:val="24"/>
        </w:rPr>
      </w:pPr>
      <w:r>
        <w:rPr>
          <w:rFonts w:ascii="Times New Roman" w:hAnsi="Times New Roman"/>
          <w:noProof/>
          <w:sz w:val="24"/>
          <w:szCs w:val="24"/>
        </w:rPr>
        <w:t>A nemzeti roma platformoknak nyújtott finanszírozáson keresztül a Bizottság elő fogja mozdítani e platformok reformját</w:t>
      </w:r>
      <w:r>
        <w:rPr>
          <w:rStyle w:val="FootnoteReference"/>
          <w:rFonts w:ascii="Times New Roman" w:hAnsi="Times New Roman"/>
          <w:noProof/>
          <w:sz w:val="24"/>
          <w:szCs w:val="24"/>
        </w:rPr>
        <w:footnoteReference w:id="60"/>
      </w:r>
      <w:r>
        <w:rPr>
          <w:rFonts w:ascii="Times New Roman" w:hAnsi="Times New Roman"/>
          <w:noProof/>
          <w:sz w:val="24"/>
          <w:szCs w:val="24"/>
        </w:rPr>
        <w:t xml:space="preserve">, különösen azzal, hogy a nemzeti roma lakosság szempontjából reprezentatívabbá teszi őket. A platformokat ki kell terjeszteni az új érdekelt felekre (pl. a gyermekjogi szervezetekre, a magánszektorra), hogy lehetővé váljon az új ismeretek elsajátítása, ki lehessen aknázni a szociális innovációban rejlő potenciált, meg lehessen változtatni a mentalitást, és tartós társadalmi változást lehessen előidézni. A </w:t>
      </w:r>
      <w:r>
        <w:rPr>
          <w:rFonts w:ascii="Times New Roman" w:hAnsi="Times New Roman"/>
          <w:b/>
          <w:noProof/>
          <w:sz w:val="24"/>
          <w:szCs w:val="24"/>
        </w:rPr>
        <w:t>romák és különösen a nők és fiatalok aktív társadalmi szerepvállalásának</w:t>
      </w:r>
      <w:r>
        <w:rPr>
          <w:rFonts w:ascii="Times New Roman" w:hAnsi="Times New Roman"/>
          <w:noProof/>
          <w:sz w:val="24"/>
          <w:szCs w:val="24"/>
        </w:rPr>
        <w:t xml:space="preserve"> ösztönzése érdekében képviselőt kell választani a platformok élére, hogy biztosítani lehessen a nemzetközi kapcsolatépítést a nemzeti és európai roma platformok között, és a roma fiataloknak külön gyakornoki vagy junior pozíciókat kell kínálni a nemzeti roma platformok végrehajtásával kapcsolatos nemzeti szervezetekben. A más uniós, nemzeti vagy nemzetközi kezdeményezésekkel fennálló szinergiákat, különös tekintettel a civil társadalmi ellenőrzéssel kapcsolatos projektre, arra kell használni, hogy fokozni lehessen a kölcsönös tanulást és a szakpolitikák átadását. </w:t>
      </w:r>
    </w:p>
    <w:p>
      <w:pPr>
        <w:keepNext/>
        <w:keepLines/>
        <w:spacing w:before="240" w:after="240" w:line="240" w:lineRule="auto"/>
        <w:ind w:left="851" w:hanging="851"/>
        <w:jc w:val="both"/>
        <w:rPr>
          <w:rFonts w:ascii="Times New Roman" w:hAnsi="Times New Roman"/>
          <w:b/>
          <w:i/>
          <w:noProof/>
          <w:sz w:val="24"/>
          <w:szCs w:val="24"/>
        </w:rPr>
      </w:pPr>
      <w:r>
        <w:rPr>
          <w:rFonts w:ascii="Times New Roman" w:hAnsi="Times New Roman"/>
          <w:b/>
          <w:i/>
          <w:noProof/>
          <w:sz w:val="24"/>
          <w:szCs w:val="24"/>
        </w:rPr>
        <w:t xml:space="preserve">IV.4. </w:t>
      </w:r>
      <w:r>
        <w:rPr>
          <w:noProof/>
        </w:rPr>
        <w:tab/>
      </w:r>
      <w:r>
        <w:rPr>
          <w:rFonts w:ascii="Times New Roman" w:hAnsi="Times New Roman"/>
          <w:b/>
          <w:i/>
          <w:noProof/>
          <w:sz w:val="24"/>
          <w:szCs w:val="24"/>
        </w:rPr>
        <w:t>Az egyenlőség előmozdítására és a cigányellenességgel szembeni küzdelemre irányuló uniós fellépés és támogatás</w:t>
      </w:r>
    </w:p>
    <w:p>
      <w:pPr>
        <w:keepNext/>
        <w:keepLines/>
        <w:spacing w:after="120" w:line="240" w:lineRule="auto"/>
        <w:jc w:val="both"/>
        <w:rPr>
          <w:rFonts w:ascii="Times New Roman" w:hAnsi="Times New Roman" w:cs="Times New Roman"/>
          <w:noProof/>
          <w:sz w:val="24"/>
          <w:szCs w:val="24"/>
        </w:rPr>
      </w:pPr>
      <w:r>
        <w:rPr>
          <w:rFonts w:ascii="Times New Roman" w:hAnsi="Times New Roman"/>
          <w:noProof/>
          <w:sz w:val="24"/>
          <w:szCs w:val="24"/>
        </w:rPr>
        <w:t>A romák egyenlőségének a cigányellenesség leküzdése révén történő előmozdítása érdekében a Bizottság a</w:t>
      </w:r>
      <w:r>
        <w:rPr>
          <w:rFonts w:ascii="Times New Roman" w:hAnsi="Times New Roman"/>
          <w:b/>
          <w:noProof/>
          <w:sz w:val="24"/>
          <w:szCs w:val="24"/>
        </w:rPr>
        <w:t xml:space="preserve"> Polgárok, egyenlőség, jogok és értékek program</w:t>
      </w:r>
      <w:r>
        <w:rPr>
          <w:noProof/>
        </w:rPr>
        <w:t xml:space="preserve"> </w:t>
      </w:r>
      <w:r>
        <w:rPr>
          <w:rFonts w:ascii="Times New Roman" w:hAnsi="Times New Roman"/>
          <w:noProof/>
          <w:sz w:val="24"/>
          <w:szCs w:val="24"/>
        </w:rPr>
        <w:t xml:space="preserve">keretében támogatni fogja azokat a tevékenységeket, amelyek a </w:t>
      </w:r>
      <w:r>
        <w:rPr>
          <w:rFonts w:ascii="Times New Roman" w:hAnsi="Times New Roman"/>
          <w:b/>
          <w:noProof/>
          <w:sz w:val="24"/>
          <w:szCs w:val="24"/>
        </w:rPr>
        <w:t>pozitív narratívákat és a roma példaképeket helyezik előtérbe</w:t>
      </w:r>
      <w:r>
        <w:rPr>
          <w:rFonts w:ascii="Times New Roman" w:hAnsi="Times New Roman"/>
          <w:noProof/>
          <w:sz w:val="24"/>
          <w:szCs w:val="24"/>
        </w:rPr>
        <w:t xml:space="preserve">, </w:t>
      </w:r>
      <w:r>
        <w:rPr>
          <w:rFonts w:ascii="Times New Roman" w:hAnsi="Times New Roman"/>
          <w:b/>
          <w:noProof/>
          <w:sz w:val="24"/>
          <w:szCs w:val="24"/>
        </w:rPr>
        <w:t>küzdenek a negatív sztereotípiák ellen</w:t>
      </w:r>
      <w:r>
        <w:rPr>
          <w:rFonts w:ascii="Times New Roman" w:hAnsi="Times New Roman"/>
          <w:noProof/>
          <w:sz w:val="24"/>
          <w:szCs w:val="24"/>
        </w:rPr>
        <w:t xml:space="preserve">, </w:t>
      </w:r>
      <w:r>
        <w:rPr>
          <w:rFonts w:ascii="Times New Roman" w:hAnsi="Times New Roman"/>
          <w:b/>
          <w:noProof/>
          <w:sz w:val="24"/>
          <w:szCs w:val="24"/>
        </w:rPr>
        <w:t>felhívják a figyelmet a romák történelmére és kultúrájára</w:t>
      </w:r>
      <w:r>
        <w:rPr>
          <w:rFonts w:ascii="Times New Roman" w:hAnsi="Times New Roman"/>
          <w:noProof/>
          <w:sz w:val="24"/>
          <w:szCs w:val="24"/>
        </w:rPr>
        <w:t xml:space="preserve">, valamint </w:t>
      </w:r>
      <w:r>
        <w:rPr>
          <w:rFonts w:ascii="Times New Roman" w:hAnsi="Times New Roman"/>
          <w:b/>
          <w:noProof/>
          <w:sz w:val="24"/>
          <w:szCs w:val="24"/>
        </w:rPr>
        <w:t>előmozdítják az igazságot és megbékélést</w:t>
      </w:r>
      <w:r>
        <w:rPr>
          <w:rFonts w:ascii="Times New Roman" w:hAnsi="Times New Roman"/>
          <w:noProof/>
          <w:sz w:val="24"/>
          <w:szCs w:val="24"/>
        </w:rPr>
        <w:t xml:space="preserve">. </w:t>
      </w:r>
    </w:p>
    <w:p>
      <w:pPr>
        <w:spacing w:after="120" w:line="240" w:lineRule="auto"/>
        <w:jc w:val="both"/>
        <w:rPr>
          <w:rFonts w:ascii="Times New Roman" w:hAnsi="Times New Roman"/>
          <w:noProof/>
          <w:sz w:val="24"/>
          <w:szCs w:val="24"/>
        </w:rPr>
      </w:pPr>
      <w:r>
        <w:rPr>
          <w:rFonts w:ascii="Times New Roman" w:hAnsi="Times New Roman"/>
          <w:noProof/>
          <w:sz w:val="24"/>
          <w:szCs w:val="24"/>
        </w:rPr>
        <w:t>A Bizottság az UNESCO-val közös kampányt indít a</w:t>
      </w:r>
      <w:r>
        <w:rPr>
          <w:rFonts w:ascii="Times New Roman" w:hAnsi="Times New Roman"/>
          <w:b/>
          <w:noProof/>
          <w:sz w:val="24"/>
          <w:szCs w:val="24"/>
        </w:rPr>
        <w:t xml:space="preserve"> dezinformáció, a gyűlöletbeszéd és az összeesküvés-elméletek</w:t>
      </w:r>
      <w:r>
        <w:rPr>
          <w:rFonts w:ascii="Times New Roman" w:hAnsi="Times New Roman"/>
          <w:noProof/>
          <w:sz w:val="24"/>
          <w:szCs w:val="24"/>
        </w:rPr>
        <w:t xml:space="preserve"> elleni küzdelem érdekében, beleértve azokat, amelyek a romákra vonatkoznak. Folytatni fogja a magánágazat támogatását a sokszínűségi charták uniós platformja révén, és feltárja a médiával való kapcsolatteremtés lehetőségeit, hogy pozitív narratívákat alakítson ki és minden szinten előmozdítsa az egyenlőséget</w:t>
      </w:r>
      <w:r>
        <w:rPr>
          <w:rFonts w:ascii="Times New Roman" w:hAnsi="Times New Roman"/>
          <w:b/>
          <w:noProof/>
          <w:sz w:val="24"/>
          <w:szCs w:val="24"/>
        </w:rPr>
        <w:t xml:space="preserve"> </w:t>
      </w:r>
      <w:r>
        <w:rPr>
          <w:rFonts w:ascii="Times New Roman" w:hAnsi="Times New Roman"/>
          <w:noProof/>
          <w:sz w:val="24"/>
          <w:szCs w:val="24"/>
        </w:rPr>
        <w:t xml:space="preserve">és sokszínűséget. </w:t>
      </w:r>
      <w:r>
        <w:rPr>
          <w:rFonts w:ascii="Times New Roman" w:hAnsi="Times New Roman"/>
          <w:noProof/>
          <w:sz w:val="24"/>
        </w:rPr>
        <w:t>A Bizottság a meglévő tapasztalatokra</w:t>
      </w:r>
      <w:r>
        <w:rPr>
          <w:rFonts w:ascii="Times New Roman" w:eastAsia="Calibri" w:hAnsi="Times New Roman" w:cs="Times New Roman"/>
          <w:noProof/>
          <w:sz w:val="24"/>
          <w:vertAlign w:val="superscript"/>
        </w:rPr>
        <w:footnoteReference w:id="61"/>
      </w:r>
      <w:r>
        <w:rPr>
          <w:rFonts w:ascii="Times New Roman" w:hAnsi="Times New Roman"/>
          <w:noProof/>
          <w:sz w:val="24"/>
        </w:rPr>
        <w:t xml:space="preserve"> építve faji és etnikai, például a romákkal kapcsolatos sztereotípiákról szóló szemináriumsorozatokat fog kidolgozni, amelyen újságírók, civil társadalmi szervezetek és a faji vagy etnikai kisebbséghez tartozó személyek képviselői vesznek majd részt.</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 Bizottság </w:t>
      </w:r>
      <w:r>
        <w:rPr>
          <w:rFonts w:ascii="Times New Roman" w:hAnsi="Times New Roman"/>
          <w:b/>
          <w:noProof/>
          <w:sz w:val="24"/>
          <w:szCs w:val="24"/>
        </w:rPr>
        <w:t>kommunikációs tevékenységei</w:t>
      </w:r>
      <w:r>
        <w:rPr>
          <w:rFonts w:ascii="Times New Roman" w:hAnsi="Times New Roman"/>
          <w:noProof/>
          <w:sz w:val="24"/>
          <w:szCs w:val="24"/>
        </w:rPr>
        <w:t xml:space="preserve"> az egyenlőség és sokszínűség előnyeit</w:t>
      </w:r>
      <w:r>
        <w:rPr>
          <w:rFonts w:ascii="Times New Roman" w:hAnsi="Times New Roman"/>
          <w:b/>
          <w:noProof/>
          <w:sz w:val="24"/>
          <w:szCs w:val="24"/>
        </w:rPr>
        <w:t xml:space="preserve"> </w:t>
      </w:r>
      <w:r>
        <w:rPr>
          <w:rFonts w:ascii="Times New Roman" w:hAnsi="Times New Roman"/>
          <w:noProof/>
          <w:sz w:val="24"/>
          <w:szCs w:val="24"/>
        </w:rPr>
        <w:t>fogják hirdetni</w:t>
      </w:r>
      <w:r>
        <w:rPr>
          <w:rStyle w:val="FootnoteReference"/>
          <w:rFonts w:ascii="Times New Roman" w:hAnsi="Times New Roman"/>
          <w:noProof/>
          <w:sz w:val="24"/>
          <w:szCs w:val="24"/>
        </w:rPr>
        <w:footnoteReference w:id="62"/>
      </w:r>
      <w:r>
        <w:rPr>
          <w:rFonts w:ascii="Times New Roman" w:hAnsi="Times New Roman"/>
          <w:noProof/>
          <w:sz w:val="24"/>
          <w:szCs w:val="24"/>
        </w:rPr>
        <w:t xml:space="preserve">. A Bizottság számos figyelemfelkeltő rendezvényt fog szervezni, amelyek a nagy roma lakossággal rendelkező tagállamokra fognak összpontosítani, hogy küzdjön a sztereotípiákkal szemben, előmozdítsa a kulturális sokszínűséget, megerősítse és hangsúlyozza a roma gyermekek, fiatalok és nők példaképként betöltött szerepét a különböző közösségekben, és összehozza a közösségeket. </w:t>
      </w:r>
    </w:p>
    <w:p>
      <w:pPr>
        <w:spacing w:after="120" w:line="240" w:lineRule="auto"/>
        <w:jc w:val="both"/>
        <w:rPr>
          <w:rFonts w:ascii="Times New Roman" w:hAnsi="Times New Roman"/>
          <w:noProof/>
          <w:sz w:val="24"/>
          <w:szCs w:val="24"/>
        </w:rPr>
      </w:pPr>
      <w:r>
        <w:rPr>
          <w:rFonts w:ascii="Times New Roman" w:hAnsi="Times New Roman"/>
          <w:noProof/>
          <w:sz w:val="24"/>
          <w:szCs w:val="24"/>
        </w:rPr>
        <w:t xml:space="preserve">A roma nők elleni többszörös megkülönböztetés következményeire való figyelemfelhívás össze lesz hangolva a </w:t>
      </w:r>
      <w:r>
        <w:rPr>
          <w:rFonts w:ascii="Times New Roman" w:hAnsi="Times New Roman"/>
          <w:b/>
          <w:noProof/>
          <w:sz w:val="24"/>
          <w:szCs w:val="24"/>
        </w:rPr>
        <w:t>nemi sztereotípiákkal szembeni küzdelemről</w:t>
      </w:r>
      <w:r>
        <w:rPr>
          <w:rFonts w:ascii="Times New Roman" w:hAnsi="Times New Roman"/>
          <w:noProof/>
          <w:sz w:val="24"/>
          <w:szCs w:val="24"/>
        </w:rPr>
        <w:t xml:space="preserve"> szóló uniós szintű kommunikációs kampánnyal, amely a nemek közötti egyenlőségről szóló stratégia részeként az élet valamennyire területére irányuló, interszekcionális megközelítést alkalmaz.</w:t>
      </w:r>
    </w:p>
    <w:p>
      <w:pPr>
        <w:pBdr>
          <w:top w:val="single" w:sz="4" w:space="1" w:color="auto"/>
          <w:left w:val="single" w:sz="4" w:space="4" w:color="auto"/>
          <w:bottom w:val="single" w:sz="4" w:space="1" w:color="auto"/>
          <w:right w:val="single" w:sz="4" w:space="4" w:color="auto"/>
        </w:pBdr>
        <w:spacing w:after="120" w:line="240" w:lineRule="auto"/>
        <w:rPr>
          <w:rFonts w:ascii="Times New Roman" w:hAnsi="Times New Roman"/>
          <w:noProof/>
          <w:sz w:val="24"/>
          <w:szCs w:val="24"/>
        </w:rPr>
      </w:pPr>
      <w:r>
        <w:rPr>
          <w:rFonts w:ascii="Times New Roman" w:hAnsi="Times New Roman"/>
          <w:noProof/>
          <w:sz w:val="24"/>
          <w:szCs w:val="24"/>
        </w:rPr>
        <w:t>A Bizottság:</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megerősíti a romákat a hátrányos megkülönböztetéssel és rasszizmussal szemben védelmező, meglévő uniós jogszabályokat, és szükség esetén kiegészíti azok hiányosságait;</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általánosan érvényesíti a romák egyenlőségét az uniós szakpolitikai kezdeményezésekben, és uniós forrásokat mozgósít a romák egyenlőségére, társadalmi befogadására és részvételére;</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lépéseket tesz a bizottsági személyzet sokszínűségének javítása érdekében;</w:t>
      </w:r>
    </w:p>
    <w:p>
      <w:pPr>
        <w:pBdr>
          <w:top w:val="single" w:sz="4" w:space="1" w:color="auto"/>
          <w:left w:val="single" w:sz="4" w:space="4" w:color="auto"/>
          <w:bottom w:val="single" w:sz="4" w:space="1" w:color="auto"/>
          <w:right w:val="single" w:sz="4" w:space="4" w:color="auto"/>
        </w:pBdr>
        <w:spacing w:after="120"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elindítja a roma civil társadalom</w:t>
      </w:r>
      <w:r>
        <w:rPr>
          <w:rFonts w:ascii="Times New Roman" w:hAnsi="Times New Roman"/>
          <w:b/>
          <w:noProof/>
          <w:sz w:val="24"/>
          <w:szCs w:val="24"/>
        </w:rPr>
        <w:t xml:space="preserve"> </w:t>
      </w:r>
      <w:r>
        <w:rPr>
          <w:rFonts w:ascii="Times New Roman" w:hAnsi="Times New Roman"/>
          <w:noProof/>
          <w:sz w:val="24"/>
          <w:szCs w:val="24"/>
        </w:rPr>
        <w:t>kapacitásépítésének új ciklusát, és megerősíti az európai és nemzeti roma platformokat;</w:t>
      </w:r>
    </w:p>
    <w:p>
      <w:pPr>
        <w:pBdr>
          <w:top w:val="single" w:sz="4" w:space="1" w:color="auto"/>
          <w:left w:val="single" w:sz="4" w:space="4" w:color="auto"/>
          <w:bottom w:val="single" w:sz="4" w:space="1" w:color="auto"/>
          <w:right w:val="single" w:sz="4" w:space="4" w:color="auto"/>
        </w:pBdr>
        <w:spacing w:line="240" w:lineRule="auto"/>
        <w:ind w:left="284" w:hanging="284"/>
        <w:jc w:val="both"/>
        <w:rPr>
          <w:rFonts w:ascii="Times New Roman" w:hAnsi="Times New Roman"/>
          <w:noProof/>
          <w:sz w:val="24"/>
          <w:szCs w:val="24"/>
        </w:rPr>
      </w:pPr>
      <w:r>
        <w:rPr>
          <w:rFonts w:ascii="Times New Roman" w:hAnsi="Times New Roman"/>
          <w:noProof/>
          <w:sz w:val="24"/>
          <w:szCs w:val="24"/>
        </w:rPr>
        <w:t xml:space="preserve">– </w:t>
      </w:r>
      <w:r>
        <w:rPr>
          <w:noProof/>
        </w:rPr>
        <w:tab/>
      </w:r>
      <w:r>
        <w:rPr>
          <w:rFonts w:ascii="Times New Roman" w:hAnsi="Times New Roman"/>
          <w:noProof/>
          <w:sz w:val="24"/>
          <w:szCs w:val="24"/>
        </w:rPr>
        <w:t>népszerűsíti a pozitív narratívákat és a roma példaképeket, küzd a negatív sztereotípiákkal szemben, felhívja a figyelmet a roma történelemre és kultúrára, és előmozdítja az igazságot és a megbékélést.</w:t>
      </w:r>
    </w:p>
    <w:p>
      <w:pPr>
        <w:spacing w:before="360" w:after="240" w:line="240" w:lineRule="auto"/>
        <w:ind w:left="851" w:hanging="851"/>
        <w:jc w:val="both"/>
        <w:rPr>
          <w:rFonts w:ascii="Times New Roman" w:hAnsi="Times New Roman"/>
          <w:b/>
          <w:i/>
          <w:smallCaps/>
          <w:noProof/>
          <w:sz w:val="24"/>
          <w:szCs w:val="24"/>
        </w:rPr>
      </w:pPr>
      <w:r>
        <w:rPr>
          <w:rFonts w:ascii="Times New Roman" w:hAnsi="Times New Roman"/>
          <w:b/>
          <w:i/>
          <w:smallCaps/>
          <w:noProof/>
          <w:sz w:val="24"/>
          <w:szCs w:val="24"/>
        </w:rPr>
        <w:t xml:space="preserve">V. </w:t>
      </w:r>
      <w:r>
        <w:rPr>
          <w:noProof/>
        </w:rPr>
        <w:tab/>
      </w:r>
      <w:r>
        <w:rPr>
          <w:rFonts w:ascii="Times New Roman" w:hAnsi="Times New Roman"/>
          <w:b/>
          <w:i/>
          <w:smallCaps/>
          <w:noProof/>
          <w:sz w:val="24"/>
          <w:szCs w:val="24"/>
        </w:rPr>
        <w:t>A romák egyenlőségének, társadalmi befogadásának és részvételének előmozdítása az EU-n kívül</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Az EU-nak és a tagállamoknak elő kell mozdítaniuk a romák egyenlőségét, társadalmi befogadását és részvételét </w:t>
      </w:r>
      <w:r>
        <w:rPr>
          <w:rFonts w:ascii="Times New Roman" w:hAnsi="Times New Roman"/>
          <w:b/>
          <w:noProof/>
          <w:sz w:val="24"/>
          <w:szCs w:val="24"/>
        </w:rPr>
        <w:t>külső tevékenységeik</w:t>
      </w:r>
      <w:r>
        <w:rPr>
          <w:rFonts w:ascii="Times New Roman" w:hAnsi="Times New Roman"/>
          <w:noProof/>
          <w:sz w:val="24"/>
          <w:szCs w:val="24"/>
        </w:rPr>
        <w:t xml:space="preserve"> során is, különösen a bővítési, szomszédsági, fejlesztési és humanitárius szakpolitikáik keretében. </w:t>
      </w:r>
    </w:p>
    <w:p>
      <w:pPr>
        <w:spacing w:after="120" w:line="240" w:lineRule="auto"/>
        <w:jc w:val="both"/>
        <w:rPr>
          <w:rFonts w:ascii="Times New Roman" w:hAnsi="Times New Roman" w:cs="Times New Roman"/>
          <w:noProof/>
          <w:sz w:val="24"/>
          <w:szCs w:val="24"/>
        </w:rPr>
      </w:pPr>
      <w:r>
        <w:rPr>
          <w:rFonts w:ascii="Times New Roman" w:hAnsi="Times New Roman"/>
          <w:noProof/>
          <w:sz w:val="24"/>
          <w:szCs w:val="24"/>
        </w:rPr>
        <w:t xml:space="preserve">A </w:t>
      </w:r>
      <w:r>
        <w:rPr>
          <w:rFonts w:ascii="Times New Roman" w:hAnsi="Times New Roman"/>
          <w:b/>
          <w:noProof/>
          <w:sz w:val="24"/>
          <w:szCs w:val="24"/>
        </w:rPr>
        <w:t>nyugat-balkáni</w:t>
      </w:r>
      <w:r>
        <w:rPr>
          <w:rFonts w:ascii="Times New Roman" w:hAnsi="Times New Roman"/>
          <w:noProof/>
          <w:sz w:val="24"/>
          <w:szCs w:val="24"/>
        </w:rPr>
        <w:t xml:space="preserve"> régió geostratégiai prioritást jelent az EU számára. A Bizottság 2020. februári közleménye</w:t>
      </w:r>
      <w:r>
        <w:rPr>
          <w:rStyle w:val="FootnoteReference"/>
          <w:rFonts w:ascii="Times New Roman" w:hAnsi="Times New Roman" w:cs="Times New Roman"/>
          <w:noProof/>
          <w:sz w:val="24"/>
          <w:szCs w:val="24"/>
        </w:rPr>
        <w:footnoteReference w:id="63"/>
      </w:r>
      <w:r>
        <w:rPr>
          <w:rFonts w:ascii="Times New Roman" w:hAnsi="Times New Roman"/>
          <w:noProof/>
          <w:sz w:val="24"/>
          <w:szCs w:val="24"/>
        </w:rPr>
        <w:t xml:space="preserve"> az uniós szakpolitikákkal való összehangolásra szólít fel, többek között a leginkább rászorulók támogatása érdekében. A nyugat-balkáni partnerek már önkéntesen összehangolták saját szakpolitikáikat a 2020-ig szóló, nemzeti romaintegrációs stratégiáik uniós keretrendszerével. Továbbá jelentős előrehaladást értek el. A 2020. májusi, Zágrábban rendezett EU–Nyugat-Balkán csúcstalálkozón az uniós vezetők megerősítették a Nyugat-Balkán európai perspektívájának támogatását, valamint a politikai, gazdasági és társadalmi átalakulására irányuló támogatás fokozására vonatkozó elhatározásukat</w:t>
      </w:r>
      <w:r>
        <w:rPr>
          <w:rStyle w:val="FootnoteReference"/>
          <w:rFonts w:ascii="Times New Roman" w:hAnsi="Times New Roman" w:cs="Times New Roman"/>
          <w:noProof/>
          <w:sz w:val="24"/>
          <w:szCs w:val="24"/>
        </w:rPr>
        <w:footnoteReference w:id="64"/>
      </w:r>
      <w:r>
        <w:rPr>
          <w:rFonts w:ascii="Times New Roman" w:hAnsi="Times New Roman"/>
          <w:noProof/>
          <w:sz w:val="24"/>
          <w:szCs w:val="24"/>
        </w:rPr>
        <w:t>. Üdvözölték a nyugat-balkáni partnereknek a demokrácia és jogállamiság elsőbbsége iránti határozott elkötelezettségét, beleértve az emberi jogokat, a nemek közötti egyenlőséget és a kisebbségek jogait</w:t>
      </w:r>
      <w:r>
        <w:rPr>
          <w:rStyle w:val="FootnoteReference"/>
          <w:noProof/>
        </w:rPr>
        <w:footnoteReference w:id="65"/>
      </w:r>
      <w:r>
        <w:rPr>
          <w:rFonts w:ascii="Times New Roman" w:hAnsi="Times New Roman"/>
          <w:noProof/>
          <w:sz w:val="24"/>
          <w:szCs w:val="24"/>
        </w:rPr>
        <w:t>.</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A romák nyugat-balkáni jelenléte meghatározó és hasonló nagyságrendű azokhoz az uniós tagállamokhoz, amelyek jelentős roma lakossággal rendelkeznek. Feltétlenül szükséges, hogy a romák egyenlőségét, társadalmi befogadását és részvételét ugyanolyan módon kezeljék az EU-ban és a </w:t>
      </w:r>
      <w:r>
        <w:rPr>
          <w:rFonts w:ascii="Times New Roman" w:hAnsi="Times New Roman"/>
          <w:b/>
          <w:noProof/>
          <w:sz w:val="24"/>
          <w:szCs w:val="24"/>
        </w:rPr>
        <w:t>Nyugat-Balkánon</w:t>
      </w:r>
      <w:r>
        <w:rPr>
          <w:rFonts w:ascii="Times New Roman" w:hAnsi="Times New Roman"/>
          <w:noProof/>
          <w:sz w:val="24"/>
          <w:szCs w:val="24"/>
        </w:rPr>
        <w:t xml:space="preserve">, beleértve azonos célkitűzések alkalmazását a 2030-ig tartó időszakban. 2019 júliusában a Nyugat-Balkán miniszterelnökei elfogadták </w:t>
      </w:r>
      <w:r>
        <w:rPr>
          <w:rFonts w:ascii="Times New Roman" w:hAnsi="Times New Roman"/>
          <w:b/>
          <w:noProof/>
          <w:sz w:val="24"/>
          <w:szCs w:val="24"/>
        </w:rPr>
        <w:t>az uniós bővítési folyamat keretében a romák integrációjáról szóló nyilatkozatot</w:t>
      </w:r>
      <w:r>
        <w:rPr>
          <w:rFonts w:ascii="Times New Roman" w:hAnsi="Times New Roman"/>
          <w:noProof/>
          <w:sz w:val="24"/>
          <w:szCs w:val="24"/>
        </w:rPr>
        <w:t>, amelyben vállalták a romák helyzetének a csatlakozásukig történő konkrét javítását az oktatás, a foglalkoztatás, az egészségügy, a lakhatás, az állampolgári nyilvántartás és a megkülönböztetésmentesség terén</w:t>
      </w:r>
      <w:r>
        <w:rPr>
          <w:rStyle w:val="FootnoteReference"/>
          <w:noProof/>
        </w:rPr>
        <w:footnoteReference w:id="66"/>
      </w:r>
      <w:r>
        <w:rPr>
          <w:rFonts w:ascii="Times New Roman" w:hAnsi="Times New Roman"/>
          <w:noProof/>
          <w:sz w:val="24"/>
          <w:szCs w:val="24"/>
        </w:rPr>
        <w:t xml:space="preserve">. Az EU folytatni fogja a nyilatkozat végrehajtásának és az adatgyűjtésre irányuló munkának, a romákat figyelembe vevő költségvetés-tervezésnek és a romák lakhatása feltérképezésének a támogatását. Az uniós célkitűzésekhez és módszertanhoz való progresszív igazodás az EU-hoz csatlakozni kívánó valamennyi ország tekintetében az európai perspektíva része lesz. </w:t>
      </w:r>
    </w:p>
    <w:p>
      <w:pPr>
        <w:spacing w:after="120" w:line="240" w:lineRule="auto"/>
        <w:jc w:val="both"/>
        <w:rPr>
          <w:rFonts w:ascii="Times New Roman" w:eastAsia="Times New Roman" w:hAnsi="Times New Roman" w:cs="Times New Roman"/>
          <w:noProof/>
          <w:sz w:val="24"/>
          <w:szCs w:val="24"/>
        </w:rPr>
      </w:pPr>
      <w:r>
        <w:rPr>
          <w:rFonts w:ascii="Times New Roman" w:hAnsi="Times New Roman"/>
          <w:noProof/>
          <w:sz w:val="24"/>
          <w:szCs w:val="24"/>
        </w:rPr>
        <w:t xml:space="preserve">A nyugat-balkáni partnerek az uniós tagállamok szemeszterének folyamatához hasonlóan évente gazdasági reformprogramot nyújtanak be, amelyek a versenyképesség növelésére és az inkluzív növekedés és munkahelyteremtés javítására irányuló reformokat is tartalmaznak. A gazdasági reformprogramok a társadalmi befogadásról, a szegénység csökkentéséről és az esélyegyenlőségről tesznek jelentést, a romák tekintetében is. A </w:t>
      </w:r>
      <w:r>
        <w:rPr>
          <w:rFonts w:ascii="Times New Roman" w:hAnsi="Times New Roman"/>
          <w:b/>
          <w:noProof/>
          <w:sz w:val="24"/>
          <w:szCs w:val="24"/>
        </w:rPr>
        <w:t>2021–2027-re vonatkozó Előcsatlakozási Támogatási Eszköz</w:t>
      </w:r>
      <w:r>
        <w:rPr>
          <w:rFonts w:ascii="Times New Roman" w:hAnsi="Times New Roman"/>
          <w:noProof/>
          <w:sz w:val="24"/>
          <w:szCs w:val="24"/>
        </w:rPr>
        <w:t xml:space="preserve"> – az elfogadását követően – továbbra is támogatni fogja a reformokat és az uniós követelményekhez való igazodást regionális és nemzeti szinten. A Nyugat-Balkánra vonatkozó gazdasági és beruházási terv a régió konvergenciájának, növekedésének és versenyképességének növelése érdekében azonosítja a beruházás kiemelt területeit, nevezetesen a marginalizált csoportok és kisebbségek, többek között a roma közösségek támogatása céljából</w:t>
      </w:r>
      <w:r>
        <w:rPr>
          <w:rStyle w:val="FootnoteReference"/>
          <w:rFonts w:ascii="Times New Roman" w:eastAsia="Times New Roman" w:hAnsi="Times New Roman" w:cs="Times New Roman"/>
          <w:noProof/>
          <w:sz w:val="24"/>
          <w:szCs w:val="24"/>
          <w:lang w:eastAsia="en-GB"/>
        </w:rPr>
        <w:footnoteReference w:id="67"/>
      </w:r>
      <w:r>
        <w:rPr>
          <w:noProof/>
        </w:rPr>
        <w:t>.</w:t>
      </w:r>
      <w:r>
        <w:rPr>
          <w:rFonts w:ascii="Times New Roman" w:hAnsi="Times New Roman"/>
          <w:noProof/>
          <w:sz w:val="24"/>
          <w:szCs w:val="24"/>
        </w:rPr>
        <w:t xml:space="preserve"> A romák integrációja érdekében további uniós források mozgósítására kerül sor a Covid19-et követő helyreállítással és egyéb, külső kapcsolatokat támogató intézkedésekkel kapcsolatban, mint például a Szomszédsági, Fejlesztési és Nemzetközi Együttműködési Eszköz (NDICI)</w:t>
      </w:r>
      <w:r>
        <w:rPr>
          <w:rStyle w:val="FootnoteReference"/>
          <w:rFonts w:ascii="Times New Roman" w:hAnsi="Times New Roman" w:cs="Times New Roman"/>
          <w:noProof/>
          <w:sz w:val="24"/>
          <w:szCs w:val="24"/>
        </w:rPr>
        <w:footnoteReference w:id="68"/>
      </w:r>
      <w:r>
        <w:rPr>
          <w:rFonts w:ascii="Times New Roman" w:hAnsi="Times New Roman"/>
          <w:noProof/>
          <w:sz w:val="24"/>
          <w:szCs w:val="24"/>
        </w:rPr>
        <w:t>.</w:t>
      </w:r>
    </w:p>
    <w:p>
      <w:pPr>
        <w:spacing w:after="0" w:line="240" w:lineRule="auto"/>
        <w:jc w:val="both"/>
        <w:rPr>
          <w:rFonts w:ascii="Times New Roman" w:hAnsi="Times New Roman" w:cs="Times New Roman"/>
          <w:noProof/>
          <w:sz w:val="24"/>
          <w:szCs w:val="24"/>
        </w:rPr>
      </w:pPr>
      <w:r>
        <w:rPr>
          <w:rFonts w:ascii="Times New Roman" w:hAnsi="Times New Roman"/>
          <w:noProof/>
          <w:sz w:val="24"/>
          <w:szCs w:val="24"/>
        </w:rPr>
        <w:t>Az EU folytatni fogja a megkülönböztetésmentesség és az egyenlőség előmozdítását világszerte az uniós stratégiai keretrendszeren</w:t>
      </w:r>
      <w:r>
        <w:rPr>
          <w:rStyle w:val="FootnoteReference"/>
          <w:rFonts w:ascii="Times New Roman" w:hAnsi="Times New Roman"/>
          <w:noProof/>
          <w:sz w:val="24"/>
          <w:szCs w:val="24"/>
        </w:rPr>
        <w:footnoteReference w:id="69"/>
      </w:r>
      <w:r>
        <w:rPr>
          <w:rFonts w:ascii="Times New Roman" w:hAnsi="Times New Roman"/>
          <w:noProof/>
          <w:sz w:val="24"/>
          <w:szCs w:val="24"/>
        </w:rPr>
        <w:t xml:space="preserve"> és </w:t>
      </w:r>
      <w:r>
        <w:rPr>
          <w:rFonts w:ascii="Times New Roman" w:hAnsi="Times New Roman"/>
          <w:b/>
          <w:noProof/>
          <w:sz w:val="24"/>
          <w:szCs w:val="24"/>
        </w:rPr>
        <w:t>az emberi jogokra és a demokráciára vonatkozó uniós cselekvési terveken (2020–2024)</w:t>
      </w:r>
      <w:r>
        <w:rPr>
          <w:rStyle w:val="FootnoteReference"/>
          <w:rFonts w:ascii="Times New Roman" w:hAnsi="Times New Roman"/>
          <w:noProof/>
          <w:sz w:val="24"/>
          <w:szCs w:val="24"/>
        </w:rPr>
        <w:footnoteReference w:id="70"/>
      </w:r>
      <w:r>
        <w:rPr>
          <w:rFonts w:ascii="Times New Roman" w:hAnsi="Times New Roman"/>
          <w:noProof/>
          <w:sz w:val="24"/>
          <w:szCs w:val="24"/>
        </w:rPr>
        <w:t>, valamint a nemek közötti egyenlőségre vonatkozó uniós cselekvési terveken</w:t>
      </w:r>
      <w:r>
        <w:rPr>
          <w:rStyle w:val="FootnoteReference"/>
          <w:rFonts w:ascii="Times New Roman" w:hAnsi="Times New Roman"/>
          <w:noProof/>
          <w:sz w:val="24"/>
          <w:szCs w:val="24"/>
        </w:rPr>
        <w:footnoteReference w:id="71"/>
      </w:r>
      <w:r>
        <w:rPr>
          <w:rFonts w:ascii="Times New Roman" w:hAnsi="Times New Roman"/>
          <w:noProof/>
          <w:sz w:val="24"/>
          <w:szCs w:val="24"/>
        </w:rPr>
        <w:t xml:space="preserve"> keresztül, és foglalkozni fog a romákat érintő kérdésekkel </w:t>
      </w:r>
      <w:r>
        <w:rPr>
          <w:rFonts w:ascii="Times New Roman" w:hAnsi="Times New Roman"/>
          <w:b/>
          <w:noProof/>
          <w:sz w:val="24"/>
          <w:szCs w:val="24"/>
        </w:rPr>
        <w:t>a külső tevékenységekkel kapcsolatos megkülönböztetésmentességről szóló, 2019. évi iránymutatások</w:t>
      </w:r>
      <w:r>
        <w:rPr>
          <w:rStyle w:val="FootnoteReference"/>
          <w:rFonts w:ascii="Times New Roman" w:eastAsia="Times New Roman" w:hAnsi="Times New Roman" w:cs="Times New Roman"/>
          <w:b/>
          <w:noProof/>
          <w:sz w:val="24"/>
          <w:szCs w:val="24"/>
          <w:lang w:eastAsia="en-GB"/>
        </w:rPr>
        <w:footnoteReference w:id="72"/>
      </w:r>
      <w:r>
        <w:rPr>
          <w:rFonts w:ascii="Times New Roman" w:hAnsi="Times New Roman"/>
          <w:noProof/>
          <w:sz w:val="24"/>
          <w:szCs w:val="24"/>
        </w:rPr>
        <w:t xml:space="preserve"> végrehajtásakor. Az uniós fellépés kiegészíti a nemzeti kezdeményezéseket és támogatni fogja a civil társadalmat. A romák egyenlősége és társadalmi befogadása rendszeresen szerepelni fog a jelentős roma lakossággal rendelkező, nem uniós országokkal folytatott emberi jogi és egyéb politikai párbeszédek napirendi pontjai között. Az EU fenntartja a romák egyenlőségével kapcsolatos aktív kötelezettségvállalását a regionális és multilaterális fórumokon, különösen az Európa Tanácsban, az Európai Biztonsági és Együttműködési Szervezetben és az ENSZ-ben.</w:t>
      </w:r>
    </w:p>
    <w:p>
      <w:pPr>
        <w:keepNext/>
        <w:keepLines/>
        <w:spacing w:before="360" w:after="240" w:line="240" w:lineRule="auto"/>
        <w:ind w:left="851" w:hanging="851"/>
        <w:jc w:val="both"/>
        <w:rPr>
          <w:rFonts w:ascii="Times New Roman" w:eastAsia="Times New Roman" w:hAnsi="Times New Roman" w:cs="Times New Roman"/>
          <w:b/>
          <w:i/>
          <w:smallCaps/>
          <w:noProof/>
          <w:sz w:val="24"/>
          <w:szCs w:val="24"/>
        </w:rPr>
      </w:pPr>
      <w:r>
        <w:rPr>
          <w:rFonts w:ascii="Times New Roman" w:hAnsi="Times New Roman"/>
          <w:b/>
          <w:i/>
          <w:smallCaps/>
          <w:noProof/>
          <w:sz w:val="24"/>
          <w:szCs w:val="24"/>
        </w:rPr>
        <w:t xml:space="preserve">VI. </w:t>
      </w:r>
      <w:r>
        <w:rPr>
          <w:noProof/>
        </w:rPr>
        <w:tab/>
      </w:r>
      <w:r>
        <w:rPr>
          <w:rFonts w:ascii="Times New Roman" w:hAnsi="Times New Roman"/>
          <w:b/>
          <w:i/>
          <w:smallCaps/>
          <w:noProof/>
          <w:sz w:val="24"/>
          <w:szCs w:val="24"/>
        </w:rPr>
        <w:t>Következtetés</w:t>
      </w:r>
    </w:p>
    <w:p>
      <w:pPr>
        <w:keepNext/>
        <w:keepLines/>
        <w:spacing w:after="240" w:line="240" w:lineRule="auto"/>
        <w:jc w:val="both"/>
        <w:rPr>
          <w:rFonts w:ascii="Times New Roman" w:hAnsi="Times New Roman"/>
          <w:noProof/>
          <w:sz w:val="24"/>
          <w:szCs w:val="24"/>
        </w:rPr>
      </w:pPr>
      <w:r>
        <w:rPr>
          <w:rFonts w:ascii="Times New Roman" w:hAnsi="Times New Roman"/>
          <w:noProof/>
          <w:sz w:val="24"/>
          <w:szCs w:val="24"/>
        </w:rPr>
        <w:t xml:space="preserve">A romák évszázadok óta hozzájárulnak Európa kulturális gazdagságához, sokszínűségéhez, gazdaságához és közös történelméhez. Az EU-nak kötelessége megvédeni roma kisebbségét a hátrányos megkülönböztetéssel, a cigányellenességgel és a társadalmi kirekesztéssel szemben. A romák egyenlőségének, társadalmi befogadásának és részvételének megvalósításához arra van szükség, hogy minden uniós intézmény, nemzeti kormány és uniós ügynökség, egyenlőséggel foglalkozó szerv és egyéb emberi jogi intézmény összefogjon, és a civil társadalommal és a nemzetközi szervezetekkel partnerségben, valamint maguknak a romáknak a teljes körű bevonásával lépjen fel. A Bizottság felkéri az Európai Parlamentet arra, hogy támogassa ezt a stratégiai keretet, és felkéri a Tanácsot, hogy dolgozzon a </w:t>
      </w:r>
      <w:r>
        <w:rPr>
          <w:rFonts w:ascii="Times New Roman" w:hAnsi="Times New Roman"/>
          <w:b/>
          <w:noProof/>
          <w:sz w:val="24"/>
          <w:szCs w:val="24"/>
        </w:rPr>
        <w:t xml:space="preserve">romák egyenlőségéről, társadalmi befogadásáról és részvételéről szóló ajánlásjavaslat </w:t>
      </w:r>
      <w:r>
        <w:rPr>
          <w:rFonts w:ascii="Times New Roman" w:hAnsi="Times New Roman"/>
          <w:noProof/>
          <w:sz w:val="24"/>
          <w:szCs w:val="24"/>
        </w:rPr>
        <w:t>gyors elfogadásán, biztosítva ezáltal, hogy a tagállamok és a Bizottság egymással összhangban dolgozzanak. Együtt valós előrehaladást érhetünk el 2030-ig, hogy olyan Európát teremtsünk, amelyben a roma személyek és közösségek a maguk sokszínűségében egyenlő esélyeket élveznek az élet minden területén, megtapasztalják a társadalmi-gazdasági befogadást és egyenlő módon részt vesznek a társadalom életében.</w:t>
      </w:r>
    </w:p>
    <w:sectPr>
      <w:headerReference w:type="even" r:id="rId17"/>
      <w:headerReference w:type="default" r:id="rId18"/>
      <w:footerReference w:type="even" r:id="rId19"/>
      <w:footerReference w:type="default" r:id="rId20"/>
      <w:headerReference w:type="first" r:id="rId21"/>
      <w:footerReference w:type="first" r:id="rId22"/>
      <w:pgSz w:w="11906" w:h="16838"/>
      <w:pgMar w:top="1440" w:right="1133" w:bottom="1418" w:left="1440" w:header="708" w:footer="708"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Times New Roman Bold">
    <w:altName w:val="Times New Roman"/>
    <w:panose1 w:val="020208030705050203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rPr>
        <w:rFonts w:ascii="Arial" w:hAnsi="Arial" w:cs="Arial"/>
        <w:b/>
        <w:sz w:val="48"/>
      </w:rPr>
    </w:pPr>
    <w:r>
      <w:rPr>
        <w:rFonts w:ascii="Arial" w:hAnsi="Arial" w:cs="Arial"/>
        <w:b/>
        <w:sz w:val="48"/>
      </w:rPr>
      <w:t>HU</w:t>
    </w:r>
    <w:r>
      <w:rPr>
        <w:rFonts w:ascii="Arial" w:hAnsi="Arial" w:cs="Arial"/>
        <w:b/>
        <w:sz w:val="48"/>
      </w:rPr>
      <w:tab/>
    </w:r>
    <w:r>
      <w:rPr>
        <w:rFonts w:ascii="Arial" w:hAnsi="Arial" w:cs="Arial"/>
        <w:b/>
        <w:sz w:val="48"/>
      </w:rPr>
      <w:tab/>
    </w:r>
    <w:r>
      <w:tab/>
    </w:r>
    <w:r>
      <w:rPr>
        <w:rFonts w:ascii="Arial" w:hAnsi="Arial" w:cs="Arial"/>
        <w:b/>
        <w:sz w:val="48"/>
      </w:rPr>
      <w:t>HU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CoverPage"/>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39214522"/>
      <w:docPartObj>
        <w:docPartGallery w:val="Page Numbers (Bottom of Page)"/>
        <w:docPartUnique/>
      </w:docPartObj>
    </w:sdtPr>
    <w:sdtEndPr>
      <w:rPr>
        <w:rFonts w:ascii="Times New Roman" w:hAnsi="Times New Roman" w:cs="Times New Roman"/>
        <w:sz w:val="20"/>
        <w:szCs w:val="20"/>
      </w:rPr>
    </w:sdtEndPr>
    <w:sdtContent>
      <w:p>
        <w:pPr>
          <w:pStyle w:val="Footer"/>
          <w:jc w:val="center"/>
          <w:rPr>
            <w:rFonts w:ascii="Times New Roman" w:hAnsi="Times New Roman" w:cs="Times New Roman"/>
            <w:sz w:val="20"/>
            <w:szCs w:val="20"/>
          </w:rPr>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Pr>
            <w:rFonts w:ascii="Times New Roman" w:hAnsi="Times New Roman" w:cs="Times New Roman"/>
            <w:noProof/>
            <w:sz w:val="20"/>
            <w:szCs w:val="20"/>
          </w:rPr>
          <w:t>20</w:t>
        </w:r>
        <w:r>
          <w:rPr>
            <w:rFonts w:ascii="Times New Roman" w:hAnsi="Times New Roman" w:cs="Times New Roman"/>
            <w:sz w:val="20"/>
            <w:szCs w:val="20"/>
          </w:rPr>
          <w:fldChar w:fldCharType="end"/>
        </w:r>
      </w:p>
    </w:sdtContent>
  </w:sdt>
  <w:p>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jc w:val="center"/>
    </w:pPr>
    <w:r>
      <w:t>1</w:t>
    </w:r>
  </w:p>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 w:id="1">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Egyenlőségközpontú Unió: az EU rasszizmus elleni cselekvési terve a 2020–2025-ös időszakra </w:t>
      </w:r>
      <w:hyperlink r:id="rId1" w:history="1">
        <w:r>
          <w:rPr>
            <w:rStyle w:val="Hyperlink"/>
            <w:rFonts w:ascii="Times New Roman" w:hAnsi="Times New Roman"/>
          </w:rPr>
          <w:t>COM(2020) 565 final</w:t>
        </w:r>
      </w:hyperlink>
      <w:r>
        <w:rPr>
          <w:rFonts w:ascii="Times New Roman" w:hAnsi="Times New Roman"/>
        </w:rPr>
        <w:t>.</w:t>
      </w:r>
    </w:p>
  </w:footnote>
  <w:footnote w:id="2">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A „romákra” való hivatkozás gyűjtőfogalomként a különböző roma származású emberek széles körét öleli fel, mint például: roma, szintó, kale, romnicsel, beás/rudari. Kiterjed továbbá olyan csoportokra is, mint az askáli, egyiptomi, jenis, dom, lom, rom és abdál népesség, valamint a nomád életmódot folytató etnikai csoportokra és a „Gens du voyage” közigazgatási megnevezés alá tartozókra, és minden olyan emberre, aki cigánynak vallja magát, anélkül, hogy a gyűjtőfogalom használata tagadná e csoportok sajátosságait.</w:t>
      </w:r>
    </w:p>
  </w:footnote>
  <w:footnote w:id="3">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2" w:history="1">
        <w:r>
          <w:rPr>
            <w:rStyle w:val="Hyperlink"/>
            <w:rFonts w:ascii="Times New Roman" w:hAnsi="Times New Roman"/>
          </w:rPr>
          <w:t>Az Európa Tanács 2012. évi becslései</w:t>
        </w:r>
      </w:hyperlink>
      <w:r>
        <w:rPr>
          <w:rStyle w:val="Hyperlink"/>
          <w:rFonts w:ascii="Times New Roman" w:hAnsi="Times New Roman"/>
        </w:rPr>
        <w:t xml:space="preserve">. </w:t>
      </w:r>
    </w:p>
  </w:footnote>
  <w:footnote w:id="4">
    <w:p>
      <w:pPr>
        <w:pStyle w:val="FootnoteText"/>
        <w:ind w:left="284" w:hanging="284"/>
        <w:contextualSpacing/>
        <w:jc w:val="both"/>
      </w:pPr>
      <w:r>
        <w:rPr>
          <w:rStyle w:val="FootnoteReference"/>
        </w:rPr>
        <w:footnoteRef/>
      </w:r>
      <w:r>
        <w:t xml:space="preserve"> </w:t>
      </w:r>
      <w:r>
        <w:tab/>
      </w:r>
      <w:r>
        <w:rPr>
          <w:rFonts w:ascii="Times New Roman" w:hAnsi="Times New Roman"/>
          <w:sz w:val="19"/>
          <w:szCs w:val="19"/>
        </w:rPr>
        <w:t>A cigányellenesség (a romákkal szembeni rasszizmus egy fajtája) történelmi gyökerekkel rendelkező strukturális jelenség, amely intézményi, társadalmi és interperszonális szinteken jelenik meg. Abból ered, ahogyan a többség látja és kezeli azokat, akiket „cigánynak” tart. A „másként való megjelölés” folyamatában gyökerezik, amely negatív és ugyanakkor pozitív, egzotizáló sztereotípiákra is épül. Bár konszenzus van a cigányellenesség felfogása tekintetében azok között, akik a vele szembeni küzdelem megerősítésének szükségességét hirdetik, a fogalommal kapcsolatban mégis vita folyik. Az Európai Parlament (</w:t>
      </w:r>
      <w:hyperlink r:id="rId3" w:history="1">
        <w:r>
          <w:rPr>
            <w:rFonts w:ascii="Times New Roman" w:hAnsi="Times New Roman"/>
            <w:color w:val="0000FF" w:themeColor="hyperlink"/>
            <w:sz w:val="19"/>
            <w:szCs w:val="19"/>
            <w:u w:val="single"/>
          </w:rPr>
          <w:t>2015-ös</w:t>
        </w:r>
      </w:hyperlink>
      <w:r>
        <w:rPr>
          <w:rFonts w:ascii="Times New Roman" w:hAnsi="Times New Roman"/>
          <w:sz w:val="19"/>
          <w:szCs w:val="19"/>
        </w:rPr>
        <w:t xml:space="preserve">, </w:t>
      </w:r>
      <w:hyperlink r:id="rId4" w:anchor="title1" w:history="1">
        <w:r>
          <w:rPr>
            <w:rFonts w:ascii="Times New Roman" w:hAnsi="Times New Roman"/>
            <w:color w:val="0000FF" w:themeColor="hyperlink"/>
            <w:sz w:val="19"/>
            <w:szCs w:val="19"/>
            <w:u w:val="single"/>
          </w:rPr>
          <w:t>2017-es</w:t>
        </w:r>
      </w:hyperlink>
      <w:r>
        <w:rPr>
          <w:rFonts w:ascii="Times New Roman" w:hAnsi="Times New Roman"/>
          <w:sz w:val="19"/>
          <w:szCs w:val="19"/>
        </w:rPr>
        <w:t xml:space="preserve"> és </w:t>
      </w:r>
      <w:hyperlink r:id="rId5" w:history="1">
        <w:r>
          <w:rPr>
            <w:rFonts w:ascii="Times New Roman" w:hAnsi="Times New Roman"/>
            <w:color w:val="0000FF" w:themeColor="hyperlink"/>
            <w:sz w:val="19"/>
            <w:szCs w:val="19"/>
            <w:u w:val="single"/>
          </w:rPr>
          <w:t>2019-es</w:t>
        </w:r>
      </w:hyperlink>
      <w:r>
        <w:rPr>
          <w:rFonts w:ascii="Times New Roman" w:hAnsi="Times New Roman"/>
          <w:sz w:val="19"/>
          <w:szCs w:val="19"/>
        </w:rPr>
        <w:t xml:space="preserve">, valamint </w:t>
      </w:r>
      <w:hyperlink r:id="rId6" w:history="1">
        <w:r>
          <w:rPr>
            <w:rStyle w:val="Hyperlink"/>
            <w:rFonts w:ascii="Times New Roman" w:hAnsi="Times New Roman"/>
            <w:sz w:val="19"/>
            <w:szCs w:val="19"/>
          </w:rPr>
          <w:t>2020-as</w:t>
        </w:r>
      </w:hyperlink>
      <w:r>
        <w:rPr>
          <w:rFonts w:ascii="Times New Roman" w:hAnsi="Times New Roman"/>
          <w:sz w:val="19"/>
          <w:szCs w:val="19"/>
        </w:rPr>
        <w:t xml:space="preserve"> állásfoglalásában), a Bizottság (2015 és 2019 közötti </w:t>
      </w:r>
      <w:hyperlink r:id="rId7" w:history="1">
        <w:r>
          <w:rPr>
            <w:rFonts w:ascii="Times New Roman" w:hAnsi="Times New Roman"/>
            <w:color w:val="0000FF" w:themeColor="hyperlink"/>
            <w:sz w:val="19"/>
            <w:szCs w:val="19"/>
            <w:u w:val="single"/>
          </w:rPr>
          <w:t>éves közleményeiben</w:t>
        </w:r>
      </w:hyperlink>
      <w:r>
        <w:rPr>
          <w:rFonts w:ascii="Times New Roman" w:hAnsi="Times New Roman"/>
          <w:sz w:val="19"/>
          <w:szCs w:val="19"/>
        </w:rPr>
        <w:t xml:space="preserve"> és 2018-as </w:t>
      </w:r>
      <w:hyperlink r:id="rId8" w:history="1">
        <w:r>
          <w:rPr>
            <w:rFonts w:ascii="Times New Roman" w:hAnsi="Times New Roman"/>
            <w:color w:val="0000FF" w:themeColor="hyperlink"/>
            <w:sz w:val="19"/>
            <w:szCs w:val="19"/>
            <w:u w:val="single"/>
          </w:rPr>
          <w:t>következtetéseket tartalmazó dokumentumában</w:t>
        </w:r>
      </w:hyperlink>
      <w:r>
        <w:rPr>
          <w:rFonts w:ascii="Times New Roman" w:hAnsi="Times New Roman"/>
          <w:sz w:val="19"/>
          <w:szCs w:val="19"/>
        </w:rPr>
        <w:t xml:space="preserve">), a Tanács </w:t>
      </w:r>
      <w:hyperlink r:id="rId9" w:history="1">
        <w:r>
          <w:rPr>
            <w:rFonts w:ascii="Times New Roman" w:hAnsi="Times New Roman"/>
            <w:color w:val="0000FF" w:themeColor="hyperlink"/>
            <w:sz w:val="19"/>
            <w:szCs w:val="19"/>
            <w:u w:val="single"/>
          </w:rPr>
          <w:t>2013-as</w:t>
        </w:r>
      </w:hyperlink>
      <w:r>
        <w:rPr>
          <w:rFonts w:ascii="Times New Roman" w:hAnsi="Times New Roman"/>
          <w:sz w:val="19"/>
          <w:szCs w:val="19"/>
        </w:rPr>
        <w:t xml:space="preserve"> ajánlásában és </w:t>
      </w:r>
      <w:hyperlink r:id="rId10" w:history="1">
        <w:r>
          <w:rPr>
            <w:rFonts w:ascii="Times New Roman" w:hAnsi="Times New Roman"/>
            <w:color w:val="0000FF" w:themeColor="hyperlink"/>
            <w:sz w:val="19"/>
            <w:szCs w:val="19"/>
            <w:u w:val="single"/>
          </w:rPr>
          <w:t>2016-os</w:t>
        </w:r>
      </w:hyperlink>
      <w:r>
        <w:rPr>
          <w:rFonts w:ascii="Times New Roman" w:hAnsi="Times New Roman"/>
          <w:sz w:val="19"/>
          <w:szCs w:val="19"/>
        </w:rPr>
        <w:t xml:space="preserve"> következtetéseiben), továbbá az </w:t>
      </w:r>
      <w:hyperlink r:id="rId11" w:history="1">
        <w:r>
          <w:rPr>
            <w:rFonts w:ascii="Times New Roman" w:hAnsi="Times New Roman"/>
            <w:color w:val="0000FF" w:themeColor="hyperlink"/>
            <w:sz w:val="19"/>
            <w:szCs w:val="19"/>
            <w:u w:val="single"/>
          </w:rPr>
          <w:t>Európa Tanács</w:t>
        </w:r>
      </w:hyperlink>
      <w:r>
        <w:rPr>
          <w:rFonts w:ascii="Times New Roman" w:hAnsi="Times New Roman"/>
          <w:sz w:val="19"/>
          <w:szCs w:val="19"/>
        </w:rPr>
        <w:t xml:space="preserve"> a cigányellenességet a társadalmi befogadás akadályaként ismerte el, és ezzel elismerte a vele szembeni küzdelem fontosságát is. A Bizottság az </w:t>
      </w:r>
      <w:hyperlink r:id="rId12" w:history="1">
        <w:r>
          <w:rPr>
            <w:rFonts w:ascii="Times New Roman" w:hAnsi="Times New Roman"/>
            <w:color w:val="0000FF" w:themeColor="hyperlink"/>
            <w:sz w:val="19"/>
            <w:szCs w:val="19"/>
            <w:u w:val="single"/>
          </w:rPr>
          <w:t>Alliance against Antigypsyism</w:t>
        </w:r>
      </w:hyperlink>
      <w:r>
        <w:rPr>
          <w:rFonts w:ascii="Times New Roman" w:hAnsi="Times New Roman"/>
          <w:sz w:val="19"/>
          <w:szCs w:val="19"/>
        </w:rPr>
        <w:t xml:space="preserve"> (cigányellenesség elleni szövetség) meghatározását alkalmazza, elfogadja azonban, hogy a különböző nemzeti kontextusokban különböző kifejezések lehetnek megfelelőek.</w:t>
      </w:r>
    </w:p>
  </w:footnote>
  <w:footnote w:id="5">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13" w:history="1">
        <w:r>
          <w:rPr>
            <w:rStyle w:val="Hyperlink"/>
            <w:rFonts w:ascii="Times New Roman" w:hAnsi="Times New Roman"/>
          </w:rPr>
          <w:t>COM(2011) 173 végleges</w:t>
        </w:r>
      </w:hyperlink>
      <w:r>
        <w:rPr>
          <w:rFonts w:ascii="Times New Roman" w:hAnsi="Times New Roman"/>
        </w:rPr>
        <w:t>.</w:t>
      </w:r>
    </w:p>
  </w:footnote>
  <w:footnote w:id="6">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A nemzeti romastratégia keretében a roma kapcsolattartó pontként való fellépésre kijelölt, a stratégia nemzeti szintű fejlesztésének és végrehajtásának koordinálására felhatalmazott nemzeti képviselők. Az uniós keret elfogadását követően valamennyi tagállamban kijelölték őket, Málta kivételével, ahol nem él roma közösség. </w:t>
      </w:r>
    </w:p>
  </w:footnote>
  <w:footnote w:id="7">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A Tanács ajánlása (2013. december 9.) a romák integrációját célzó hatékony tagállami intézkedésekről (</w:t>
      </w:r>
      <w:hyperlink r:id="rId14" w:history="1">
        <w:r>
          <w:rPr>
            <w:rStyle w:val="Hyperlink"/>
            <w:rFonts w:ascii="Times New Roman" w:hAnsi="Times New Roman"/>
          </w:rPr>
          <w:t>HL C 378/1, 2013.12.24.</w:t>
        </w:r>
      </w:hyperlink>
      <w:r>
        <w:rPr>
          <w:rFonts w:ascii="Times New Roman" w:hAnsi="Times New Roman"/>
        </w:rPr>
        <w:t>).</w:t>
      </w:r>
    </w:p>
  </w:footnote>
  <w:footnote w:id="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Amint azt a keretrendszer értékelése kimutatta: </w:t>
      </w:r>
      <w:hyperlink r:id="rId15" w:history="1">
        <w:r>
          <w:rPr>
            <w:rStyle w:val="Hyperlink"/>
            <w:rFonts w:ascii="Times New Roman" w:hAnsi="Times New Roman"/>
          </w:rPr>
          <w:t>COM(2018) 785 final</w:t>
        </w:r>
      </w:hyperlink>
      <w:r>
        <w:rPr>
          <w:rFonts w:ascii="Times New Roman" w:hAnsi="Times New Roman"/>
        </w:rPr>
        <w:t xml:space="preserve">, </w:t>
      </w:r>
      <w:hyperlink r:id="rId16" w:history="1">
        <w:r>
          <w:rPr>
            <w:rStyle w:val="Hyperlink"/>
            <w:rFonts w:ascii="Times New Roman" w:hAnsi="Times New Roman"/>
          </w:rPr>
          <w:t>SWD(2018) 480 final</w:t>
        </w:r>
      </w:hyperlink>
      <w:r>
        <w:rPr>
          <w:rStyle w:val="Hyperlink"/>
          <w:rFonts w:ascii="Times New Roman" w:hAnsi="Times New Roman"/>
          <w:u w:val="none"/>
        </w:rPr>
        <w:t>.</w:t>
      </w:r>
    </w:p>
  </w:footnote>
  <w:footnote w:id="9">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Jelentés a nemzeti romaintegrációs stratégiák uniós keretrendszerének félidős értékeléséből levont tanulságokról, </w:t>
      </w:r>
      <w:hyperlink r:id="rId17" w:history="1">
        <w:r>
          <w:rPr>
            <w:rStyle w:val="Hyperlink"/>
            <w:rFonts w:ascii="Times New Roman" w:hAnsi="Times New Roman"/>
          </w:rPr>
          <w:t>COM(2018) 785 final.</w:t>
        </w:r>
      </w:hyperlink>
    </w:p>
  </w:footnote>
  <w:footnote w:id="10">
    <w:p>
      <w:pPr>
        <w:pStyle w:val="FootnoteText"/>
        <w:ind w:left="284" w:hanging="284"/>
        <w:jc w:val="both"/>
      </w:pPr>
      <w:r>
        <w:rPr>
          <w:rStyle w:val="FootnoteReference"/>
        </w:rPr>
        <w:footnoteRef/>
      </w:r>
      <w:r>
        <w:t xml:space="preserve"> </w:t>
      </w:r>
      <w:r>
        <w:tab/>
      </w:r>
      <w:r>
        <w:rPr>
          <w:rFonts w:ascii="Times New Roman" w:hAnsi="Times New Roman"/>
        </w:rPr>
        <w:t xml:space="preserve">A személyek közötti, faji vagy etnikai származásra való tekintet nélküli egyenlő bánásmód elvének alkalmazásáról szóló, 2000. június 29-i </w:t>
      </w:r>
      <w:hyperlink r:id="rId18" w:history="1">
        <w:r>
          <w:rPr>
            <w:rStyle w:val="Hyperlink"/>
            <w:rFonts w:ascii="Times New Roman" w:hAnsi="Times New Roman"/>
          </w:rPr>
          <w:t>2000/43/EK</w:t>
        </w:r>
      </w:hyperlink>
      <w:r>
        <w:rPr>
          <w:rFonts w:ascii="Times New Roman" w:hAnsi="Times New Roman"/>
        </w:rPr>
        <w:t xml:space="preserve"> tanácsi irányelv (faji egyenlőségről szóló irányelv) értelmében a Bizottság három országgal szemben (CZ, HU és SK) kötelezettségszegési eljárást indított a roma gyermekek iskolai szegregációja miatt.</w:t>
      </w:r>
    </w:p>
  </w:footnote>
  <w:footnote w:id="11">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Jelentés a nemzeti romaintegrációs stratégiák uniós keretrendszerének félidős értékeléséből levont tanulságokról, COM(2018) 785 final.</w:t>
      </w:r>
    </w:p>
  </w:footnote>
  <w:footnote w:id="12">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Lásd az SWD(2020) 530 final kísérő dokumentum 1. mellékletét.</w:t>
      </w:r>
    </w:p>
  </w:footnote>
  <w:footnote w:id="13">
    <w:p>
      <w:pPr>
        <w:pStyle w:val="FootnoteText"/>
        <w:ind w:left="284" w:hanging="284"/>
        <w:contextualSpacing/>
        <w:jc w:val="both"/>
        <w:rPr>
          <w:rStyle w:val="FootnoteReference"/>
          <w:rFonts w:ascii="Times New Roman" w:hAnsi="Times New Roman" w:cs="Times New Roman"/>
          <w:sz w:val="19"/>
          <w:szCs w:val="19"/>
        </w:rPr>
      </w:pPr>
      <w:r>
        <w:rPr>
          <w:rStyle w:val="FootnoteReference"/>
          <w:rFonts w:ascii="Times New Roman" w:hAnsi="Times New Roman" w:cs="Times New Roman"/>
        </w:rPr>
        <w:footnoteRef/>
      </w:r>
      <w:r>
        <w:rPr>
          <w:rStyle w:val="FootnoteReference"/>
          <w:rFonts w:ascii="Times New Roman" w:hAnsi="Times New Roman"/>
          <w:sz w:val="19"/>
          <w:szCs w:val="19"/>
        </w:rPr>
        <w:t xml:space="preserve"> </w:t>
      </w:r>
      <w:r>
        <w:tab/>
      </w:r>
      <w:hyperlink r:id="rId19" w:history="1">
        <w:r>
          <w:rPr>
            <w:rStyle w:val="Hyperlink"/>
            <w:rFonts w:ascii="Times New Roman" w:hAnsi="Times New Roman"/>
            <w:sz w:val="19"/>
            <w:szCs w:val="19"/>
          </w:rPr>
          <w:t>COM(2019) 406</w:t>
        </w:r>
      </w:hyperlink>
      <w:r>
        <w:rPr>
          <w:rFonts w:ascii="Times New Roman" w:hAnsi="Times New Roman"/>
          <w:sz w:val="19"/>
          <w:szCs w:val="19"/>
        </w:rPr>
        <w:t xml:space="preserve">, </w:t>
      </w:r>
      <w:hyperlink r:id="rId20" w:history="1">
        <w:r>
          <w:rPr>
            <w:rStyle w:val="Hyperlink"/>
            <w:rFonts w:ascii="Times New Roman" w:hAnsi="Times New Roman"/>
            <w:sz w:val="19"/>
            <w:szCs w:val="19"/>
          </w:rPr>
          <w:t>SWD(2019)320</w:t>
        </w:r>
      </w:hyperlink>
      <w:r>
        <w:rPr>
          <w:rFonts w:ascii="Times New Roman" w:hAnsi="Times New Roman"/>
          <w:sz w:val="19"/>
          <w:szCs w:val="19"/>
        </w:rPr>
        <w:t xml:space="preserve">, </w:t>
      </w:r>
      <w:hyperlink r:id="rId21" w:history="1">
        <w:r>
          <w:rPr>
            <w:rStyle w:val="Hyperlink"/>
            <w:rFonts w:ascii="Times New Roman" w:hAnsi="Times New Roman"/>
            <w:sz w:val="19"/>
            <w:szCs w:val="19"/>
          </w:rPr>
          <w:t>összes éves jelentés</w:t>
        </w:r>
      </w:hyperlink>
      <w:r>
        <w:rPr>
          <w:rStyle w:val="Hyperlink"/>
          <w:rFonts w:ascii="Times New Roman" w:hAnsi="Times New Roman"/>
          <w:sz w:val="19"/>
          <w:szCs w:val="19"/>
          <w:u w:val="none"/>
        </w:rPr>
        <w:t>.</w:t>
      </w:r>
    </w:p>
  </w:footnote>
  <w:footnote w:id="14">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22" w:history="1">
        <w:r>
          <w:rPr>
            <w:rStyle w:val="Hyperlink"/>
            <w:rFonts w:ascii="Times New Roman" w:hAnsi="Times New Roman"/>
            <w:i/>
            <w:shd w:val="clear" w:color="auto" w:fill="F7F8F6"/>
          </w:rPr>
          <w:t>A meta-evaluation of interventions for Roma inclusion</w:t>
        </w:r>
      </w:hyperlink>
      <w:r>
        <w:t xml:space="preserve"> </w:t>
      </w:r>
      <w:r>
        <w:rPr>
          <w:rFonts w:ascii="Times New Roman" w:hAnsi="Times New Roman" w:cs="Times New Roman"/>
        </w:rPr>
        <w:t>(A romák befogadását célzó beavatkozások metaértékelése).</w:t>
      </w:r>
    </w:p>
  </w:footnote>
  <w:footnote w:id="15">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Lásd: </w:t>
      </w:r>
      <w:hyperlink r:id="rId23" w:history="1">
        <w:r>
          <w:rPr>
            <w:rStyle w:val="Hyperlink"/>
            <w:rFonts w:ascii="Times New Roman" w:hAnsi="Times New Roman"/>
          </w:rPr>
          <w:t>Európai Parlament 2020</w:t>
        </w:r>
      </w:hyperlink>
      <w:r>
        <w:rPr>
          <w:rFonts w:ascii="Times New Roman" w:hAnsi="Times New Roman"/>
        </w:rPr>
        <w:t xml:space="preserve"> </w:t>
      </w:r>
      <w:hyperlink r:id="rId24" w:history="1">
        <w:r>
          <w:rPr>
            <w:rStyle w:val="Hyperlink"/>
            <w:rFonts w:ascii="Times New Roman" w:hAnsi="Times New Roman"/>
          </w:rPr>
          <w:t>2019</w:t>
        </w:r>
      </w:hyperlink>
      <w:r>
        <w:rPr>
          <w:rFonts w:ascii="Times New Roman" w:hAnsi="Times New Roman"/>
        </w:rPr>
        <w:t xml:space="preserve">, </w:t>
      </w:r>
      <w:hyperlink r:id="rId25" w:history="1">
        <w:r>
          <w:rPr>
            <w:rStyle w:val="Hyperlink"/>
            <w:rFonts w:ascii="Times New Roman" w:hAnsi="Times New Roman"/>
          </w:rPr>
          <w:t>Tanács</w:t>
        </w:r>
      </w:hyperlink>
      <w:r>
        <w:rPr>
          <w:rStyle w:val="Hyperlink"/>
          <w:rFonts w:ascii="Times New Roman" w:hAnsi="Times New Roman"/>
          <w:u w:val="none"/>
        </w:rPr>
        <w:t>,</w:t>
      </w:r>
      <w:r>
        <w:rPr>
          <w:rFonts w:ascii="Times New Roman" w:hAnsi="Times New Roman"/>
        </w:rPr>
        <w:t xml:space="preserve"> </w:t>
      </w:r>
      <w:hyperlink r:id="rId26" w:history="1">
        <w:r>
          <w:rPr>
            <w:rStyle w:val="Hyperlink"/>
            <w:rFonts w:ascii="Times New Roman" w:hAnsi="Times New Roman"/>
          </w:rPr>
          <w:t>civil társadalom</w:t>
        </w:r>
      </w:hyperlink>
      <w:r>
        <w:rPr>
          <w:rStyle w:val="Hyperlink"/>
          <w:rFonts w:ascii="Times New Roman" w:hAnsi="Times New Roman"/>
          <w:u w:val="none"/>
        </w:rPr>
        <w:t>.</w:t>
      </w:r>
    </w:p>
  </w:footnote>
  <w:footnote w:id="16">
    <w:p>
      <w:pPr>
        <w:pStyle w:val="FootnoteText"/>
        <w:ind w:left="284" w:hanging="284"/>
        <w:jc w:val="both"/>
        <w:rPr>
          <w:rFonts w:ascii="Times New Roman" w:hAnsi="Times New Roman" w:cs="Times New Roman"/>
        </w:rPr>
      </w:pPr>
      <w:r>
        <w:rPr>
          <w:rFonts w:ascii="Times New Roman" w:hAnsi="Times New Roman" w:cs="Times New Roman"/>
          <w:vertAlign w:val="superscript"/>
        </w:rPr>
        <w:footnoteRef/>
      </w:r>
      <w:r>
        <w:rPr>
          <w:rFonts w:ascii="Times New Roman" w:hAnsi="Times New Roman"/>
        </w:rPr>
        <w:t xml:space="preserve"> </w:t>
      </w:r>
      <w:r>
        <w:tab/>
      </w:r>
      <w:r>
        <w:rPr>
          <w:rFonts w:ascii="Times New Roman" w:hAnsi="Times New Roman"/>
        </w:rPr>
        <w:t xml:space="preserve"> Az Európai Unió működéséről szóló szerződés (EUMSZ) 10. cikke kimondja, hogy „Politikái és tevékenységei meghatározása és végrehajtása során az Unió küzd mindenfajta nemen, faji vagy etnikai származáson, valláson vagy meggyőződésen, fogyatékosságon, életkoron vagy szexuális irányultságon alapuló megkülönböztetés ellen”. A Nemek Közötti Egyenlőség Európai Intézete az „interszekcionalitást” úgy határozza meg, mint „elemző eszközt annak tanulmányozására, megértésére és megválaszolására, hogy a biológiai és a társadalmi nem milyen interszekcióban áll más személyes jellemzőkkel/identitásokkal, és ezek az interszekciók hogyan járulnak hozzá a hátrányos megkülönböztetés egyedi tapasztalataihoz”. Ez a fogalommeghatározás a hátrányos megkülönböztetés bármely formájára egyaránt alkalmazandó.</w:t>
      </w:r>
    </w:p>
  </w:footnote>
  <w:footnote w:id="17">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Az 1. (színvonalas és inkluzív oktatás), a 3. (esélyegyenlőség) és a 20. (alapvető szolgáltatásokhoz való hozzáférés) elv különösen fontos a romák esetében, és mind a célzott, mind az általános intézkedések tekintetében meghatározza az uniós pénzeszközök felhasználását.</w:t>
      </w:r>
    </w:p>
  </w:footnote>
  <w:footnote w:id="1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A menetrend célja, hogy „senki ne maradjon ki”, és az európai romák helyzetén jelentős mértékben lehet még javítani. A romák helyzetének javításával az EU közelebb kerülhet a fenntartható fejlődési célok (SDG) eléréséhez. Az 1–2. (a szegénység és az éhezés csökkentése), a 3–4. (az egészség és jóllét, valamint a színvonalas oktatás támogatása mindenki számára), a 6–7. (a tiszta vízhez, a megfelelő higiéniás létesítményekhez, valamint a megfizethető és tiszta energiához való hozzáférés), a 10–11. (az országokon belüli és országok közötti egyenlőtlenségek csökkentése, valamint befogadó és fenntartható városok és közösségek) és a 16. (befogadó társadalmak, igazságszolgáltatáshoz való hozzáférés mindenki számára, valamint hatékony, elszámoltatható és befogadó intézmények) fenntartható fejlődési cél különösen fontos belépési pont.</w:t>
      </w:r>
    </w:p>
  </w:footnote>
  <w:footnote w:id="19">
    <w:p>
      <w:pPr>
        <w:pStyle w:val="FootnoteText"/>
        <w:ind w:left="284" w:hanging="284"/>
        <w:contextualSpacing/>
        <w:jc w:val="both"/>
        <w:rPr>
          <w:rFonts w:ascii="Times New Roman" w:hAnsi="Times New Roman" w:cs="Times New Roman"/>
          <w:i/>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A Tanács 2016-os következtetéseiben azt kérte a Bizottságtól, hogy tegyen javaslatot egy 2020 utáni időszakra vonatkozó kezdeményezésre, amely tartalmazzon a 2013-as tanácsi ajánlás felülvizsgálatára vonatkozó javaslatot is: </w:t>
      </w:r>
      <w:hyperlink r:id="rId27" w:history="1">
        <w:r>
          <w:rPr>
            <w:rStyle w:val="Hyperlink"/>
            <w:rFonts w:ascii="Times New Roman" w:hAnsi="Times New Roman"/>
            <w:i/>
          </w:rPr>
          <w:t>A romaintegrációs folyamat felgyorsítása</w:t>
        </w:r>
      </w:hyperlink>
      <w:r>
        <w:rPr>
          <w:rStyle w:val="Hyperlink"/>
          <w:rFonts w:ascii="Times New Roman" w:hAnsi="Times New Roman"/>
          <w:color w:val="auto"/>
          <w:u w:val="none"/>
        </w:rPr>
        <w:t>.</w:t>
      </w:r>
    </w:p>
  </w:footnote>
  <w:footnote w:id="20">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shd w:val="clear" w:color="auto" w:fill="FFFFFF"/>
        </w:rPr>
        <w:t xml:space="preserve"> </w:t>
      </w:r>
      <w:r>
        <w:tab/>
      </w:r>
      <w:r>
        <w:rPr>
          <w:rFonts w:ascii="Times New Roman" w:hAnsi="Times New Roman"/>
          <w:shd w:val="clear" w:color="auto" w:fill="FFFFFF"/>
        </w:rPr>
        <w:t>Az Európai Parlament 2020. szeptember 17-i állásfoglalása a nemzeti romaintegrációs stratégiák végrehajtásáról: a roma származású személyekkel szembeni negatív hozzáállás elleni küzdelem Európában (</w:t>
      </w:r>
      <w:hyperlink r:id="rId28" w:history="1">
        <w:r>
          <w:rPr>
            <w:rStyle w:val="Hyperlink"/>
            <w:rFonts w:ascii="Times New Roman" w:hAnsi="Times New Roman"/>
            <w:shd w:val="clear" w:color="auto" w:fill="FFFFFF"/>
          </w:rPr>
          <w:t>P9_TA(2020)0229</w:t>
        </w:r>
      </w:hyperlink>
      <w:r>
        <w:rPr>
          <w:rFonts w:ascii="Times New Roman" w:hAnsi="Times New Roman"/>
          <w:shd w:val="clear" w:color="auto" w:fill="FFFFFF"/>
        </w:rPr>
        <w:t>); Az Európai Parlament állásfoglalása (2019. február 12.) a nemzeti romaintegrációs stratégiák 2020 utáni megerősített uniós stratégiai keretrendszerének, valamint a cigányellenességgel szembeni küzdelem fokozásának szükségességéről</w:t>
      </w:r>
      <w:r>
        <w:rPr>
          <w:rFonts w:ascii="Times New Roman" w:hAnsi="Times New Roman"/>
        </w:rPr>
        <w:t xml:space="preserve"> (</w:t>
      </w:r>
      <w:hyperlink r:id="rId29" w:history="1">
        <w:r>
          <w:rPr>
            <w:rStyle w:val="Hyperlink"/>
            <w:rFonts w:ascii="Times New Roman" w:hAnsi="Times New Roman"/>
          </w:rPr>
          <w:t>P8_TA(2019)0075</w:t>
        </w:r>
      </w:hyperlink>
      <w:r>
        <w:rPr>
          <w:rFonts w:ascii="Times New Roman" w:hAnsi="Times New Roman"/>
        </w:rPr>
        <w:t>); A jólléti gazdaságról szóló 2019. október 24-i EPSCO tanácsi következtetések (</w:t>
      </w:r>
      <w:hyperlink r:id="rId30" w:history="1">
        <w:r>
          <w:rPr>
            <w:rStyle w:val="Hyperlink"/>
            <w:rFonts w:ascii="Times New Roman" w:hAnsi="Times New Roman"/>
          </w:rPr>
          <w:t>13432/19</w:t>
        </w:r>
      </w:hyperlink>
      <w:r>
        <w:rPr>
          <w:rFonts w:ascii="Times New Roman" w:hAnsi="Times New Roman"/>
        </w:rPr>
        <w:t xml:space="preserve">) felhívják a Bizottságot a romák befogadására vonatkozó kötelezettségvállalás </w:t>
      </w:r>
      <w:r>
        <w:rPr>
          <w:rFonts w:ascii="Times New Roman" w:hAnsi="Times New Roman"/>
          <w:i/>
        </w:rPr>
        <w:t>megújítására</w:t>
      </w:r>
      <w:r>
        <w:rPr>
          <w:rFonts w:ascii="Times New Roman" w:hAnsi="Times New Roman"/>
        </w:rPr>
        <w:t>. Ezenkívül a nemzeti romaintegrációs stratégiák uniós keretrendszeréről 2019. március 4–5-én Bukarestben tartott magas szintű konferencián a résztvevők felkérték a Bizottságot, hogy javasoljon egy új, ambiciózus, a 2020 utáni időszakra vonatkozó keretrendszert, a tagállamokat és a bővítési országokat pedig a roma integrációval kapcsolatos kötelezettségvállalásaik megerősítésére szólították fel. Information from the Presidency (Az elnökség tájékoztatása) (</w:t>
      </w:r>
      <w:hyperlink r:id="rId31" w:history="1">
        <w:r>
          <w:rPr>
            <w:rStyle w:val="Hyperlink"/>
            <w:rFonts w:ascii="Times New Roman" w:hAnsi="Times New Roman"/>
          </w:rPr>
          <w:t>7003/19</w:t>
        </w:r>
      </w:hyperlink>
      <w:r>
        <w:rPr>
          <w:rFonts w:ascii="Times New Roman" w:hAnsi="Times New Roman"/>
        </w:rPr>
        <w:t>, 2019.3.14.).</w:t>
      </w:r>
    </w:p>
  </w:footnote>
  <w:footnote w:id="21">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A 2020 utáni uniós keretrendszer cigányellenességgel és hátrányos megkülönböztetéssel szembeni küzdelemre irányuló erősebb fókuszának szükségességével kapcsolatban lásd a konferenciát követően kidolgozott, „How to address anti-Gypsyism in a post-2020 EU Roma Framework?” (Hogyan kezeljük a cigányellenességet a 2020 utáni időszakra vonatkozó uniós roma keretben?) c. </w:t>
      </w:r>
      <w:hyperlink r:id="rId32" w:history="1">
        <w:r>
          <w:rPr>
            <w:rStyle w:val="Hyperlink"/>
            <w:rFonts w:ascii="Times New Roman" w:hAnsi="Times New Roman"/>
          </w:rPr>
          <w:t>szakértői ajánlásokat</w:t>
        </w:r>
      </w:hyperlink>
      <w:r>
        <w:rPr>
          <w:rFonts w:ascii="Times New Roman" w:hAnsi="Times New Roman"/>
        </w:rPr>
        <w:t>. (Bécs, 2018.11.27).</w:t>
      </w:r>
    </w:p>
  </w:footnote>
  <w:footnote w:id="22">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Lásd: SWD(2020) 530 final kísérő dokumentum. </w:t>
      </w:r>
    </w:p>
  </w:footnote>
  <w:footnote w:id="23">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Style w:val="FootnoteReference"/>
          <w:rFonts w:ascii="Times New Roman" w:hAnsi="Times New Roman"/>
          <w:sz w:val="19"/>
          <w:szCs w:val="19"/>
        </w:rPr>
        <w:t xml:space="preserve"> </w:t>
      </w:r>
      <w:r>
        <w:tab/>
      </w:r>
      <w:r>
        <w:rPr>
          <w:rFonts w:ascii="Times New Roman" w:hAnsi="Times New Roman"/>
          <w:sz w:val="19"/>
          <w:szCs w:val="19"/>
        </w:rPr>
        <w:t>A mutatócímkékre és az adatforrásokra vonatkozó további információkat lásd a 2. mellékletben és a romamutatókkal és beszámolással foglalkozó (az Európai Unió Alapjogi Ügynöksége (FRA) által koordinált, a nemzeti roma kapcsolattartó pontokat, a nemzeti statisztikai hivatalokat és a Bizottságot tömörítő) munkacsoport által kidolgozott „</w:t>
      </w:r>
      <w:hyperlink r:id="rId33" w:history="1">
        <w:r>
          <w:rPr>
            <w:rStyle w:val="Hyperlink"/>
            <w:rFonts w:ascii="Times New Roman" w:hAnsi="Times New Roman"/>
            <w:i/>
            <w:sz w:val="19"/>
            <w:szCs w:val="19"/>
          </w:rPr>
          <w:t xml:space="preserve">Monitoring framework for a post-2020 EU initiative on Roma equality, inclusion and participation” (A romák egyenlőségének, társadalmi befogadásának és részvételének előmozdítását célzó, 2020 utáni időszakra vonatkozó uniós kezdeményezésre vonatkozó monitoringkeret) </w:t>
        </w:r>
      </w:hyperlink>
      <w:r>
        <w:rPr>
          <w:rFonts w:ascii="Times New Roman" w:hAnsi="Times New Roman"/>
          <w:sz w:val="19"/>
          <w:szCs w:val="19"/>
        </w:rPr>
        <w:t xml:space="preserve">c. dokumentumban. </w:t>
      </w:r>
    </w:p>
  </w:footnote>
  <w:footnote w:id="24">
    <w:p>
      <w:pPr>
        <w:pStyle w:val="FootnoteText"/>
        <w:ind w:left="284" w:hanging="284"/>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rPr>
        <w:t xml:space="preserve"> </w:t>
      </w:r>
      <w:r>
        <w:tab/>
      </w:r>
      <w:r>
        <w:rPr>
          <w:rFonts w:ascii="Times New Roman" w:hAnsi="Times New Roman"/>
        </w:rPr>
        <w:t>Az FRA által koordinált, romamutatókkal és beszámolással foglalkozó munkacsoport más mutatókat is vizsgál. Ezek többek között az anyagi és szociális nélkülözésre, az egészségügyi ellátáshoz és szociális szolgáltatásokhoz való hozzáférésre és a lakhatási szegregációra vonatkoznak.</w:t>
      </w:r>
    </w:p>
  </w:footnote>
  <w:footnote w:id="25">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Lásd </w:t>
      </w:r>
      <w:hyperlink r:id="rId34" w:history="1">
        <w:r>
          <w:rPr>
            <w:rStyle w:val="Hyperlink"/>
            <w:rFonts w:ascii="Times New Roman" w:hAnsi="Times New Roman"/>
          </w:rPr>
          <w:t>az integrációs politikára vonatkozó közös uniós alapelveket</w:t>
        </w:r>
      </w:hyperlink>
      <w:r>
        <w:rPr>
          <w:rFonts w:ascii="Times New Roman" w:hAnsi="Times New Roman"/>
        </w:rPr>
        <w:t xml:space="preserve">. A 2. alapelv (kifejezett, de nem kizárólagos célba vétel) </w:t>
      </w:r>
      <w:r>
        <w:rPr>
          <w:rFonts w:ascii="Times New Roman" w:hAnsi="Times New Roman"/>
          <w:i/>
        </w:rPr>
        <w:t>„A célcsoportot a romák jelentik, ugyanakkor nincs szó a hasonló társadalmi-gazdasági körülmények között élő más személyek kizárásáról”.</w:t>
      </w:r>
      <w:r>
        <w:rPr>
          <w:rFonts w:ascii="Times New Roman" w:hAnsi="Times New Roman"/>
        </w:rPr>
        <w:t xml:space="preserve"> A 4. alapelv (a romák teljes körű társadalmi integrációja) arra a célra utal, hogy </w:t>
      </w:r>
      <w:r>
        <w:rPr>
          <w:rFonts w:ascii="Times New Roman" w:hAnsi="Times New Roman"/>
          <w:i/>
        </w:rPr>
        <w:t>„a romákat integrálni kell a többségi társadalomba (többségi oktatási intézmények, többségi munkahelyek és többségi lakhatás). Ahol még mindig részlegesen vagy teljesen szegregált oktatás vagy lakáskörülmények állnak fenn, a romák társadalmi befogadására irányuló politikák célja ezen örökség tűllépése kell, hogy legyen. A mesterséges és elkülönülő »roma« munkaerőpiacok kialakulását kerülni kell”.</w:t>
      </w:r>
    </w:p>
  </w:footnote>
  <w:footnote w:id="26">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Az adatgyűjtés emberi jogi alapú megközelítésével kapcsolatban a nemzeti hatóságoknak célszerű megtekinteni </w:t>
      </w:r>
      <w:hyperlink r:id="rId35" w:history="1">
        <w:r>
          <w:rPr>
            <w:rStyle w:val="Hyperlink"/>
            <w:rFonts w:ascii="Times New Roman" w:hAnsi="Times New Roman"/>
            <w:i/>
          </w:rPr>
          <w:t>az egyenlőségre vonatkozó adatokról szóló európai kézikönyvet</w:t>
        </w:r>
        <w:r>
          <w:rPr>
            <w:rStyle w:val="Hyperlink"/>
            <w:rFonts w:ascii="Times New Roman" w:hAnsi="Times New Roman"/>
          </w:rPr>
          <w:t xml:space="preserve"> (2016. évi felülvizsgált verzió)</w:t>
        </w:r>
        <w:r>
          <w:rPr>
            <w:rStyle w:val="Hyperlink"/>
            <w:rFonts w:ascii="Times New Roman" w:hAnsi="Times New Roman"/>
            <w:u w:val="none"/>
          </w:rPr>
          <w:t>,</w:t>
        </w:r>
      </w:hyperlink>
      <w:r>
        <w:rPr>
          <w:rFonts w:ascii="Times New Roman" w:hAnsi="Times New Roman"/>
        </w:rPr>
        <w:t xml:space="preserve"> </w:t>
      </w:r>
      <w:hyperlink r:id="rId36" w:history="1">
        <w:r>
          <w:rPr>
            <w:rStyle w:val="Hyperlink"/>
            <w:rFonts w:ascii="Times New Roman" w:hAnsi="Times New Roman"/>
            <w:i/>
          </w:rPr>
          <w:t>az egyenlőségről szóló adatok gyűjtésének és használatának fejlesztéséről szóló iránymutatást</w:t>
        </w:r>
        <w:r>
          <w:rPr>
            <w:rStyle w:val="Hyperlink"/>
            <w:rFonts w:ascii="Times New Roman" w:hAnsi="Times New Roman"/>
          </w:rPr>
          <w:t xml:space="preserve"> (2018)</w:t>
        </w:r>
      </w:hyperlink>
      <w:r>
        <w:rPr>
          <w:rFonts w:ascii="Times New Roman" w:hAnsi="Times New Roman"/>
        </w:rPr>
        <w:t xml:space="preserve">, valamint az </w:t>
      </w:r>
      <w:hyperlink r:id="rId37" w:history="1">
        <w:r>
          <w:rPr>
            <w:rStyle w:val="Hyperlink"/>
            <w:rFonts w:ascii="Times New Roman" w:hAnsi="Times New Roman"/>
            <w:i/>
          </w:rPr>
          <w:t>„Adatgyűjtés az etnikai hovatartozás terén”</w:t>
        </w:r>
        <w:r>
          <w:rPr>
            <w:rStyle w:val="Hyperlink"/>
            <w:rFonts w:ascii="Times New Roman" w:hAnsi="Times New Roman"/>
          </w:rPr>
          <w:t xml:space="preserve"> c. kiadványt (2017)</w:t>
        </w:r>
      </w:hyperlink>
      <w:r>
        <w:rPr>
          <w:rStyle w:val="Hyperlink"/>
          <w:rFonts w:ascii="Times New Roman" w:hAnsi="Times New Roman"/>
          <w:u w:val="none"/>
        </w:rPr>
        <w:t>.</w:t>
      </w:r>
      <w:r>
        <w:rPr>
          <w:rFonts w:ascii="Times New Roman" w:hAnsi="Times New Roman"/>
        </w:rPr>
        <w:t xml:space="preserve"> A tagállamoknak célszerű biztosítani az ilyen jellegű adatgyűjtéshez szükséges erőforrásokat, valamint kihasználni az ezzel kapcsolatos kapacitások megerősítése céljából a FRA által nyújtott támogatást.</w:t>
      </w:r>
    </w:p>
  </w:footnote>
  <w:footnote w:id="27">
    <w:p>
      <w:pPr>
        <w:pStyle w:val="FootnoteText"/>
        <w:ind w:left="284" w:hanging="284"/>
        <w:rPr>
          <w:rFonts w:ascii="Times New Roman" w:hAnsi="Times New Roman" w:cs="Times New Roman"/>
        </w:rPr>
      </w:pPr>
      <w:r>
        <w:rPr>
          <w:rStyle w:val="FootnoteReference"/>
        </w:rPr>
        <w:footnoteRef/>
      </w:r>
      <w:r>
        <w:t xml:space="preserve"> </w:t>
      </w:r>
      <w:r>
        <w:tab/>
      </w:r>
      <w:r>
        <w:rPr>
          <w:rFonts w:ascii="Times New Roman" w:hAnsi="Times New Roman"/>
        </w:rPr>
        <w:t>Lásd az SWD(2020) 530 final számú kísérő dokumentumot.</w:t>
      </w:r>
    </w:p>
  </w:footnote>
  <w:footnote w:id="28">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A romák társadalmi befogadásának </w:t>
      </w:r>
      <w:hyperlink r:id="rId38" w:history="1">
        <w:r>
          <w:rPr>
            <w:rStyle w:val="Hyperlink"/>
            <w:rFonts w:ascii="Times New Roman" w:hAnsi="Times New Roman"/>
            <w:sz w:val="19"/>
            <w:szCs w:val="19"/>
          </w:rPr>
          <w:t>közös alapelvei</w:t>
        </w:r>
      </w:hyperlink>
      <w:r>
        <w:rPr>
          <w:rStyle w:val="Hyperlink"/>
          <w:rFonts w:ascii="Times New Roman" w:hAnsi="Times New Roman"/>
          <w:color w:val="auto"/>
          <w:sz w:val="19"/>
          <w:szCs w:val="19"/>
          <w:u w:val="none"/>
        </w:rPr>
        <w:t xml:space="preserve"> biztosítják a romák társadalmi befogadását támogató intézkedések sikeres kialakításának és végrehajtásának keretét. </w:t>
      </w:r>
      <w:r>
        <w:rPr>
          <w:rFonts w:ascii="Times New Roman" w:hAnsi="Times New Roman"/>
          <w:sz w:val="19"/>
          <w:szCs w:val="19"/>
        </w:rPr>
        <w:t>A 2. és 4. </w:t>
      </w:r>
      <w:r>
        <w:rPr>
          <w:rStyle w:val="Hyperlink"/>
          <w:rFonts w:ascii="Times New Roman" w:hAnsi="Times New Roman"/>
          <w:color w:val="auto"/>
          <w:sz w:val="19"/>
          <w:szCs w:val="19"/>
          <w:u w:val="none"/>
        </w:rPr>
        <w:t>alapelv</w:t>
      </w:r>
      <w:r>
        <w:rPr>
          <w:rFonts w:ascii="Times New Roman" w:hAnsi="Times New Roman"/>
          <w:sz w:val="19"/>
          <w:szCs w:val="19"/>
        </w:rPr>
        <w:t xml:space="preserve"> a célzott és általános intézkedések összehangolásával foglalkozik.</w:t>
      </w:r>
    </w:p>
  </w:footnote>
  <w:footnote w:id="29">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Azoknak a tagállamoknak, amelyek az ESZA+ keretében a marginalizált közösségek – például romák – társadalmi-gazdasági integrációjának előmozdítására irányuló egyedi célkitűzés megvalósítására programoznak tevékenységeket, teljesíteniük kell a </w:t>
      </w:r>
      <w:hyperlink r:id="rId39" w:history="1">
        <w:r>
          <w:rPr>
            <w:rStyle w:val="Hyperlink"/>
            <w:rFonts w:ascii="Times New Roman" w:hAnsi="Times New Roman"/>
            <w:sz w:val="19"/>
            <w:szCs w:val="19"/>
          </w:rPr>
          <w:t>2021–2027. évi közös rendelkezésekről szóló bizottsági rendeletjavaslat</w:t>
        </w:r>
      </w:hyperlink>
      <w:r>
        <w:rPr>
          <w:rFonts w:ascii="Times New Roman" w:hAnsi="Times New Roman"/>
          <w:sz w:val="19"/>
          <w:szCs w:val="19"/>
        </w:rPr>
        <w:t xml:space="preserve"> IV. mellékletében foglalt valamennyi követelményt a nemzeti romaintegrációs stratégiaiákról szóló, tematikus előfeltétellel kapcsolatban. Számos más uniós finanszírozási eszköz, például a kohéziós politika pénzeszközei felhasználhatók a romák egyenlősége és társadalmi befogadása érdekében.</w:t>
      </w:r>
    </w:p>
  </w:footnote>
  <w:footnote w:id="30">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Ezek a platformok a kormányzatok és a civil társadalom érdekelt feleit fogják össze. A cél az együttműködés és a romák sikeres integrációjára vonatkozó tapasztalatok cseréjének ösztönzése.</w:t>
      </w:r>
    </w:p>
  </w:footnote>
  <w:footnote w:id="31">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Már a 2011–2020 közötti időszakban létrejött a nemzeti romaintegrációs kapcsolattartó pontok hálózata, ami lehetővé tette a tagállamok közötti, uniós szintű információ- és tapasztalatcserét.</w:t>
      </w:r>
    </w:p>
  </w:footnote>
  <w:footnote w:id="32">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Négy uniós tagállamban él nagy roma népesség (Bulgária: 9,94 %, Románia: 9,02 %, Szlovákia: 8,63 %, Magyarország: 7,49 %). Csehország kisebb roma lakossággal rendelkezik (1,90 %), ahogyan Görögország (1,63 %) és Spanyolország is (1,55 %). Lásd:</w:t>
      </w:r>
      <w:hyperlink r:id="rId40" w:history="1">
        <w:r>
          <w:rPr>
            <w:rStyle w:val="Hyperlink"/>
            <w:rFonts w:ascii="Times New Roman" w:hAnsi="Times New Roman"/>
          </w:rPr>
          <w:t>Az Európa Tanács 2012. évi becslései</w:t>
        </w:r>
      </w:hyperlink>
      <w:r>
        <w:rPr>
          <w:rStyle w:val="Hyperlink"/>
        </w:rPr>
        <w:t>.</w:t>
      </w:r>
      <w:r>
        <w:rPr>
          <w:rFonts w:ascii="Times New Roman" w:hAnsi="Times New Roman"/>
        </w:rPr>
        <w:t xml:space="preserve"> </w:t>
      </w:r>
    </w:p>
  </w:footnote>
  <w:footnote w:id="33">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41" w:history="1">
        <w:r>
          <w:rPr>
            <w:rStyle w:val="Hyperlink"/>
            <w:rFonts w:ascii="Times New Roman" w:hAnsi="Times New Roman"/>
          </w:rPr>
          <w:t>Az integrációs politikára vonatkozó közös uniós alapelvek</w:t>
        </w:r>
      </w:hyperlink>
      <w:r>
        <w:rPr>
          <w:rFonts w:ascii="Times New Roman" w:hAnsi="Times New Roman"/>
        </w:rPr>
        <w:t>.</w:t>
      </w:r>
    </w:p>
  </w:footnote>
  <w:footnote w:id="34">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Az 1. melléklet az uniós keret értékeléséből szerzett tapasztalatokat, </w:t>
      </w:r>
      <w:hyperlink r:id="rId42" w:history="1">
        <w:r>
          <w:rPr>
            <w:rStyle w:val="Hyperlink"/>
            <w:rFonts w:ascii="Times New Roman" w:hAnsi="Times New Roman"/>
          </w:rPr>
          <w:t>a három szakértői jelentésből származó inputot, valamint a romákra vonatkozó, 2020-at követő szakpolitikákra vonatkozó gondolatokat megalapozó civil véleményeket</w:t>
        </w:r>
      </w:hyperlink>
      <w:r>
        <w:rPr>
          <w:rFonts w:ascii="Times New Roman" w:hAnsi="Times New Roman"/>
        </w:rPr>
        <w:t xml:space="preserve"> és a bizottsági szolgálatok szakértelmét veszi alapul.</w:t>
      </w:r>
    </w:p>
  </w:footnote>
  <w:footnote w:id="35">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Egy folyamatban lévő bizottsági projekt, amelynek véglegesítésére 2020 végéig kerül sor, a szegénység és kirekesztettség generációk közötti továbbélésének fő okait elemzi, és intézkedéseket javasol azok leküzdésére. A Bizottság és az Alapjogi Ügynökség egy másik folyamatban lévő projektje az arra vonatkozó adatokat fogja elemezni, hogy milyen kapcsolat van Európában a szubnacionális szintű hátrányos megkülönböztetés és sebezhetőség között; milyen súlya van a hátrányos megkülönböztetésnek a társadalmi-gazdasági kirekesztettség relatív kockázatában, és hogy a romákat jobban érintette-e a Covid19-világjárvány, és jobban ki voltak-e téve annak bizonyos térségekben. A megállapítások bizonyítékokkal támaszthatják alá a társadalmi-gazdasági hátrány és megkülönböztetés leküzdésére irányuló, átfogó fellépést.</w:t>
      </w:r>
    </w:p>
  </w:footnote>
  <w:footnote w:id="36">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Különösen a Bizottság Közös Kutatóközpontjától a kiválasztott célzott vagy többségi, kiemelt beavatkozások randomizált hatásvizsgálataihoz, valamint az Alapjogi Ügynökségtől a tervezett intézkedések helytállóságának értékeléséhez.</w:t>
      </w:r>
    </w:p>
  </w:footnote>
  <w:footnote w:id="37">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Románia például jelenleg technikai támogatást kap a strukturálisreform-támogató programon keresztül, hogy kialakítsa a romák integrációját célzó stratégia végrehajtásának nyomon követésére és értékelésére irányuló rendszert.</w:t>
      </w:r>
    </w:p>
  </w:footnote>
  <w:footnote w:id="3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Az egyéni szintű adatgyűjtés esetén az önazonosítás elvének kialakítása érdekében, pl. népszámlálás, nagy méretű felmérések és adott esetben közigazgatási adatoktekintetében.</w:t>
      </w:r>
    </w:p>
  </w:footnote>
  <w:footnote w:id="39">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2021-ben a felmérés kiegészül majd Szerbiával és Észak-Macedóniával.</w:t>
      </w:r>
    </w:p>
  </w:footnote>
  <w:footnote w:id="40">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Lásd különösen az Európai Unióról szóló Szerződés 2. cikkét, 3. cikkének (3) bekezdését (</w:t>
      </w:r>
      <w:hyperlink r:id="rId43" w:history="1">
        <w:r>
          <w:rPr>
            <w:rStyle w:val="Hyperlink"/>
            <w:rFonts w:ascii="Times New Roman" w:hAnsi="Times New Roman"/>
          </w:rPr>
          <w:t>EUSZ</w:t>
        </w:r>
      </w:hyperlink>
      <w:r>
        <w:rPr>
          <w:rFonts w:ascii="Times New Roman" w:hAnsi="Times New Roman"/>
        </w:rPr>
        <w:t>), az Európai Unió működéséről szóló Szerződés 8. cikkét, 10. cikkét, 19. cikkét és 67. cikkének (3) bekezdését (</w:t>
      </w:r>
      <w:hyperlink r:id="rId44" w:history="1">
        <w:r>
          <w:rPr>
            <w:rStyle w:val="Hyperlink"/>
            <w:rFonts w:ascii="Times New Roman" w:hAnsi="Times New Roman"/>
          </w:rPr>
          <w:t>EUMSZ</w:t>
        </w:r>
      </w:hyperlink>
      <w:r>
        <w:rPr>
          <w:rFonts w:ascii="Times New Roman" w:hAnsi="Times New Roman"/>
        </w:rPr>
        <w:t xml:space="preserve">) és a </w:t>
      </w:r>
      <w:hyperlink r:id="rId45" w:history="1">
        <w:r>
          <w:rPr>
            <w:rStyle w:val="Hyperlink"/>
            <w:rFonts w:ascii="Times New Roman" w:hAnsi="Times New Roman"/>
          </w:rPr>
          <w:t>Charta</w:t>
        </w:r>
      </w:hyperlink>
      <w:r>
        <w:rPr>
          <w:rFonts w:ascii="Times New Roman" w:hAnsi="Times New Roman"/>
        </w:rPr>
        <w:t xml:space="preserve"> 20. és 21. cikkét.</w:t>
      </w:r>
    </w:p>
  </w:footnote>
  <w:footnote w:id="41">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46" w:history="1">
        <w:r>
          <w:rPr>
            <w:rStyle w:val="Hyperlink"/>
            <w:rFonts w:ascii="Times New Roman" w:hAnsi="Times New Roman"/>
          </w:rPr>
          <w:t>2000/43/EK</w:t>
        </w:r>
      </w:hyperlink>
    </w:p>
  </w:footnote>
  <w:footnote w:id="42">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rPr>
        <w:footnoteRef/>
      </w:r>
      <w:r>
        <w:rPr>
          <w:rFonts w:ascii="Times New Roman" w:hAnsi="Times New Roman"/>
        </w:rPr>
        <w:t xml:space="preserve"> </w:t>
      </w:r>
      <w:r>
        <w:tab/>
      </w:r>
      <w:hyperlink r:id="rId47" w:history="1">
        <w:r>
          <w:rPr>
            <w:rStyle w:val="Hyperlink"/>
            <w:rFonts w:ascii="Times New Roman" w:hAnsi="Times New Roman"/>
          </w:rPr>
          <w:t>2008/913/JHA</w:t>
        </w:r>
      </w:hyperlink>
    </w:p>
  </w:footnote>
  <w:footnote w:id="43">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A jelentés továbbá ki fog terjedni </w:t>
      </w:r>
      <w:hyperlink r:id="rId48" w:history="1">
        <w:r>
          <w:rPr>
            <w:rStyle w:val="Hyperlink"/>
            <w:rFonts w:ascii="Times New Roman" w:hAnsi="Times New Roman"/>
          </w:rPr>
          <w:t>a foglalkoztatás és a munkavégzés során alkalmazott egyenlő bánásmód általános kereteinek létrehozásáról szóló, 2000. november 27-i 2000/78/EK tanácsi irányelv (HL L 303., 2000.12.2., 16. o.)</w:t>
        </w:r>
      </w:hyperlink>
      <w:r>
        <w:rPr>
          <w:rFonts w:ascii="Times New Roman" w:hAnsi="Times New Roman"/>
        </w:rPr>
        <w:t xml:space="preserve"> alkalmazására is.</w:t>
      </w:r>
    </w:p>
  </w:footnote>
  <w:footnote w:id="44">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Equinet, 2020. július 28.: </w:t>
      </w:r>
      <w:hyperlink r:id="rId49" w:history="1">
        <w:r>
          <w:rPr>
            <w:rStyle w:val="Hyperlink"/>
            <w:rFonts w:ascii="Times New Roman" w:hAnsi="Times New Roman"/>
          </w:rPr>
          <w:t>„Roma and Traveller inclusion:</w:t>
        </w:r>
      </w:hyperlink>
      <w:hyperlink r:id="rId50" w:history="1">
        <w:r>
          <w:rPr>
            <w:rStyle w:val="Hyperlink"/>
            <w:rFonts w:ascii="Times New Roman" w:hAnsi="Times New Roman"/>
          </w:rPr>
          <w:t xml:space="preserve"> towards a new EU framework learning from the work of equality bodies” (A romák és nomád életmódot folytatók társadalmi befogadása: az egyenlőséggel foglalkozó szervezetek munkájából tanuló új uniós keret)</w:t>
        </w:r>
      </w:hyperlink>
      <w:r>
        <w:rPr>
          <w:rFonts w:ascii="Times New Roman" w:hAnsi="Times New Roman"/>
        </w:rPr>
        <w:t>.</w:t>
      </w:r>
    </w:p>
  </w:footnote>
  <w:footnote w:id="45">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51" w:history="1">
        <w:r>
          <w:rPr>
            <w:rStyle w:val="Hyperlink"/>
            <w:rFonts w:ascii="Times New Roman" w:hAnsi="Times New Roman"/>
            <w:sz w:val="19"/>
            <w:szCs w:val="19"/>
          </w:rPr>
          <w:t>C(2018)3850 final</w:t>
        </w:r>
      </w:hyperlink>
      <w:r>
        <w:rPr>
          <w:rStyle w:val="Hyperlink"/>
          <w:rFonts w:ascii="Times New Roman" w:hAnsi="Times New Roman"/>
          <w:sz w:val="19"/>
          <w:szCs w:val="19"/>
        </w:rPr>
        <w:t>.</w:t>
      </w:r>
    </w:p>
  </w:footnote>
  <w:footnote w:id="46">
    <w:p>
      <w:pPr>
        <w:pStyle w:val="FootnoteText"/>
        <w:ind w:left="284" w:hanging="284"/>
        <w:rPr>
          <w:rFonts w:ascii="Times New Roman" w:hAnsi="Times New Roman" w:cs="Times New Roman"/>
        </w:rPr>
      </w:pPr>
      <w:r>
        <w:rPr>
          <w:rStyle w:val="FootnoteReference"/>
        </w:rPr>
        <w:footnoteRef/>
      </w:r>
      <w:r>
        <w:t xml:space="preserve"> </w:t>
      </w:r>
      <w:r>
        <w:tab/>
      </w:r>
      <w:r>
        <w:rPr>
          <w:rFonts w:ascii="Times New Roman" w:hAnsi="Times New Roman"/>
        </w:rPr>
        <w:t>FRA, 2017, Az európai kisebbségekkel és megkülönböztetéssel kapcsolatos második felmérés.</w:t>
      </w:r>
    </w:p>
  </w:footnote>
  <w:footnote w:id="47">
    <w:p>
      <w:pPr>
        <w:pStyle w:val="FootnoteText"/>
        <w:ind w:left="284" w:hanging="284"/>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az EU rasszizmus elleni cselekvési terve a 2020–2025-ös időszakra </w:t>
      </w:r>
      <w:hyperlink r:id="rId52" w:history="1">
        <w:r>
          <w:rPr>
            <w:rStyle w:val="Hyperlink"/>
            <w:rFonts w:ascii="Times New Roman" w:hAnsi="Times New Roman"/>
          </w:rPr>
          <w:t>COM(2020) 565 final</w:t>
        </w:r>
      </w:hyperlink>
      <w:r>
        <w:rPr>
          <w:rStyle w:val="Hyperlink"/>
          <w:rFonts w:ascii="Times New Roman" w:hAnsi="Times New Roman"/>
        </w:rPr>
        <w:t>.</w:t>
      </w:r>
    </w:p>
  </w:footnote>
  <w:footnote w:id="48">
    <w:p>
      <w:pPr>
        <w:pStyle w:val="FootnoteText"/>
        <w:ind w:left="284" w:hanging="284"/>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Lásd a </w:t>
      </w:r>
      <w:hyperlink r:id="rId53" w:history="1">
        <w:r>
          <w:rPr>
            <w:rStyle w:val="Hyperlink"/>
            <w:rFonts w:ascii="Times New Roman" w:hAnsi="Times New Roman"/>
            <w:sz w:val="19"/>
            <w:szCs w:val="19"/>
          </w:rPr>
          <w:t>jogellenes online gyűlöletbeszéd felszámolására vonatkozó magatartási kódexre</w:t>
        </w:r>
      </w:hyperlink>
      <w:r>
        <w:rPr>
          <w:rFonts w:ascii="Times New Roman" w:hAnsi="Times New Roman"/>
          <w:sz w:val="19"/>
          <w:szCs w:val="19"/>
        </w:rPr>
        <w:t xml:space="preserve"> vonatkozó munkát, </w:t>
      </w:r>
      <w:hyperlink r:id="rId54" w:history="1">
        <w:r>
          <w:rPr>
            <w:rStyle w:val="Hyperlink"/>
            <w:rFonts w:ascii="Times New Roman" w:hAnsi="Times New Roman"/>
            <w:sz w:val="19"/>
            <w:szCs w:val="19"/>
          </w:rPr>
          <w:t>C(2018) 1177 final</w:t>
        </w:r>
      </w:hyperlink>
      <w:r>
        <w:rPr>
          <w:rStyle w:val="Hyperlink"/>
          <w:rFonts w:ascii="Times New Roman" w:hAnsi="Times New Roman"/>
          <w:sz w:val="19"/>
          <w:szCs w:val="19"/>
        </w:rPr>
        <w:t>.</w:t>
      </w:r>
    </w:p>
  </w:footnote>
  <w:footnote w:id="49">
    <w:p>
      <w:pPr>
        <w:pStyle w:val="FootnoteText"/>
        <w:ind w:left="284" w:hanging="284"/>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2012/29/EU.</w:t>
      </w:r>
    </w:p>
  </w:footnote>
  <w:footnote w:id="50">
    <w:p>
      <w:pPr>
        <w:pStyle w:val="FootnoteText"/>
        <w:ind w:left="284" w:hanging="284"/>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55" w:history="1">
        <w:r>
          <w:rPr>
            <w:rStyle w:val="Hyperlink"/>
            <w:rFonts w:ascii="Times New Roman" w:hAnsi="Times New Roman"/>
            <w:sz w:val="19"/>
            <w:szCs w:val="19"/>
          </w:rPr>
          <w:t>COM(2020) 258 final</w:t>
        </w:r>
      </w:hyperlink>
      <w:r>
        <w:rPr>
          <w:rStyle w:val="Hyperlink"/>
          <w:rFonts w:ascii="Times New Roman" w:hAnsi="Times New Roman"/>
          <w:sz w:val="19"/>
          <w:szCs w:val="19"/>
        </w:rPr>
        <w:t>.</w:t>
      </w:r>
      <w:r>
        <w:rPr>
          <w:rFonts w:ascii="Times New Roman" w:hAnsi="Times New Roman"/>
          <w:sz w:val="19"/>
          <w:szCs w:val="19"/>
        </w:rPr>
        <w:t xml:space="preserve"> </w:t>
      </w:r>
    </w:p>
  </w:footnote>
  <w:footnote w:id="51">
    <w:p>
      <w:pPr>
        <w:pStyle w:val="FootnoteText"/>
        <w:shd w:val="clear" w:color="auto" w:fill="FFFFFF" w:themeFill="background1"/>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A vonatkozó többségi uniós szakpolitikai kezdeményezésekkel és az uniós források felhasználásával kapcsolatos további információkért lásd a bizottsági szolgálati munkadokumentum 3. mellékletét.</w:t>
      </w:r>
    </w:p>
  </w:footnote>
  <w:footnote w:id="52">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2010-ben jött létre, és a DG JUST, EMPL, EAC, SANTE, NEAR, HOME, REGIO és AGRI képviselőiből áll.</w:t>
      </w:r>
    </w:p>
  </w:footnote>
  <w:footnote w:id="53">
    <w:p>
      <w:pPr>
        <w:pStyle w:val="FootnoteText"/>
        <w:tabs>
          <w:tab w:val="left" w:pos="720"/>
          <w:tab w:val="left" w:pos="1440"/>
          <w:tab w:val="left" w:pos="2160"/>
          <w:tab w:val="left" w:pos="2880"/>
          <w:tab w:val="left" w:pos="3600"/>
          <w:tab w:val="left" w:pos="4320"/>
          <w:tab w:val="left" w:pos="5040"/>
          <w:tab w:val="left" w:pos="5760"/>
          <w:tab w:val="left" w:pos="6480"/>
          <w:tab w:val="left" w:pos="7480"/>
        </w:tabs>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Lásd a BG-re, CZ-re, ES-re, HU-ra, RO-ra és SK-ra vonatkozó </w:t>
      </w:r>
      <w:hyperlink r:id="rId56" w:history="1">
        <w:r>
          <w:rPr>
            <w:rStyle w:val="Hyperlink"/>
            <w:rFonts w:ascii="Times New Roman" w:hAnsi="Times New Roman"/>
          </w:rPr>
          <w:t>országspecifikus jelentéseket</w:t>
        </w:r>
      </w:hyperlink>
      <w:r>
        <w:rPr>
          <w:rFonts w:ascii="Times New Roman" w:hAnsi="Times New Roman"/>
        </w:rPr>
        <w:t>, és különösen azok D. mellékletét.</w:t>
      </w:r>
    </w:p>
  </w:footnote>
  <w:footnote w:id="54">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57" w:history="1">
        <w:r>
          <w:rPr>
            <w:rStyle w:val="Hyperlink"/>
            <w:rFonts w:ascii="Times New Roman" w:hAnsi="Times New Roman"/>
            <w:sz w:val="19"/>
            <w:szCs w:val="19"/>
          </w:rPr>
          <w:t>COM(2018)375 final</w:t>
        </w:r>
      </w:hyperlink>
      <w:r>
        <w:rPr>
          <w:rStyle w:val="Hyperlink"/>
          <w:rFonts w:ascii="Times New Roman" w:hAnsi="Times New Roman"/>
          <w:sz w:val="19"/>
          <w:szCs w:val="19"/>
        </w:rPr>
        <w:t xml:space="preserve">, </w:t>
      </w:r>
      <w:hyperlink r:id="rId58" w:history="1">
        <w:r>
          <w:rPr>
            <w:rStyle w:val="Hyperlink"/>
            <w:rFonts w:ascii="Times New Roman" w:hAnsi="Times New Roman"/>
            <w:sz w:val="19"/>
            <w:szCs w:val="19"/>
          </w:rPr>
          <w:t>COM(2018)382 final</w:t>
        </w:r>
      </w:hyperlink>
      <w:r>
        <w:rPr>
          <w:rStyle w:val="Hyperlink"/>
          <w:rFonts w:ascii="Times New Roman" w:hAnsi="Times New Roman"/>
          <w:sz w:val="19"/>
          <w:szCs w:val="19"/>
        </w:rPr>
        <w:t xml:space="preserve">, </w:t>
      </w:r>
      <w:hyperlink r:id="rId59" w:history="1">
        <w:r>
          <w:rPr>
            <w:rStyle w:val="Hyperlink"/>
            <w:rFonts w:ascii="Times New Roman" w:hAnsi="Times New Roman"/>
            <w:sz w:val="19"/>
            <w:szCs w:val="19"/>
          </w:rPr>
          <w:t>COM(2018)392 final</w:t>
        </w:r>
      </w:hyperlink>
      <w:r>
        <w:rPr>
          <w:rStyle w:val="Hyperlink"/>
          <w:rFonts w:ascii="Times New Roman" w:hAnsi="Times New Roman"/>
          <w:color w:val="auto"/>
          <w:sz w:val="19"/>
          <w:szCs w:val="19"/>
          <w:u w:val="none"/>
        </w:rPr>
        <w:t>.</w:t>
      </w:r>
    </w:p>
  </w:footnote>
  <w:footnote w:id="55">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2007-ben Spanyolország ESZA irányító hatósága által alapított </w:t>
      </w:r>
      <w:hyperlink r:id="rId60" w:history="1">
        <w:r>
          <w:rPr>
            <w:rStyle w:val="Hyperlink"/>
            <w:rFonts w:ascii="Times New Roman" w:hAnsi="Times New Roman"/>
          </w:rPr>
          <w:t>hálózat</w:t>
        </w:r>
      </w:hyperlink>
      <w:r>
        <w:rPr>
          <w:rFonts w:ascii="Times New Roman" w:hAnsi="Times New Roman"/>
        </w:rPr>
        <w:t>.</w:t>
      </w:r>
    </w:p>
  </w:footnote>
  <w:footnote w:id="56">
    <w:p>
      <w:pPr>
        <w:pStyle w:val="FootnoteText"/>
        <w:ind w:left="284" w:hanging="284"/>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InvestEU program (2021–2027), lásd továbbá a bizottsági szolgálati munkadokumentum 3. mellékletét.</w:t>
      </w:r>
    </w:p>
  </w:footnote>
  <w:footnote w:id="57">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A nemzeti romaintegrációs kapcsolattartó pontok hálózatának keretében. </w:t>
      </w:r>
    </w:p>
  </w:footnote>
  <w:footnote w:id="58">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61" w:history="1">
        <w:r>
          <w:rPr>
            <w:rStyle w:val="Hyperlink"/>
            <w:rFonts w:ascii="Times New Roman" w:hAnsi="Times New Roman"/>
            <w:i/>
          </w:rPr>
          <w:t>Előkészítő intézkedés (2020) – Roma civil társadalmi ellenőrzés – A romák és a romákat támogató civil társadalom kapacitásának és részvételének megerősítése a szakpolitikák nyomon követésében és felülvizsgálatában</w:t>
        </w:r>
      </w:hyperlink>
      <w:r>
        <w:rPr>
          <w:rFonts w:ascii="Times New Roman" w:hAnsi="Times New Roman"/>
        </w:rPr>
        <w:t>.</w:t>
      </w:r>
    </w:p>
  </w:footnote>
  <w:footnote w:id="59">
    <w:p>
      <w:pPr>
        <w:pStyle w:val="FootnoteText"/>
        <w:ind w:left="284" w:hanging="284"/>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hyperlink r:id="rId62" w:history="1">
        <w:r>
          <w:rPr>
            <w:rStyle w:val="Hyperlink"/>
            <w:rFonts w:ascii="Times New Roman" w:hAnsi="Times New Roman"/>
          </w:rPr>
          <w:t>https://ec.europa.eu/info/policies/justice-and-fundamental-rights/combatting-discrimination/roma-and-eu/european-platform-roma-inclusion_en</w:t>
        </w:r>
      </w:hyperlink>
      <w:r>
        <w:rPr>
          <w:rFonts w:ascii="Times New Roman" w:hAnsi="Times New Roman"/>
        </w:rPr>
        <w:t xml:space="preserve"> </w:t>
      </w:r>
    </w:p>
  </w:footnote>
  <w:footnote w:id="60">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A nemzeti roma platformok részvételi és konzultációs folyamatok, amelyeket a Bizottság rendszeres finanszírozási támogatási pályázatokon keresztül megvalósuló támogatásával a nemzeti romaintegrációs kapcsolattartó pontok hívnak össze és irányítanak a párbeszéd, a kölcsönös tanulás, az együttműködés, valamint a nemzeti stratégiai keretek kialakításába, végrehajtásába és ellenőrzésébe való bevonás érdekében. A nemzeti roma platform folyamatainak hozzá kell járulniuk a szakpolitikák tervezéséhez, végrehajtásához, ellenőrzéséhez és felülvizsgálatához. A platformok fő küldetése három részből áll: a nemzeti romastratégiai keretek végrehajtásáról szóló szakpolitikai párbeszéd szélesítése, a nemzeti elszámoltathatósági struktúrák elmélyítése és a helyi és nemzeti szintek közötti kapcsolat megerősítése.</w:t>
      </w:r>
    </w:p>
  </w:footnote>
  <w:footnote w:id="61">
    <w:p>
      <w:pPr>
        <w:pStyle w:val="FootnoteText"/>
        <w:ind w:left="284" w:hanging="284"/>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Lásd </w:t>
      </w:r>
      <w:hyperlink r:id="rId63" w:history="1">
        <w:r>
          <w:rPr>
            <w:rStyle w:val="Hyperlink"/>
            <w:rFonts w:ascii="Times New Roman" w:hAnsi="Times New Roman"/>
          </w:rPr>
          <w:t>Médiaszemináriumok – A romákkal szembeni hátrányos megkülönböztetés megállítása</w:t>
        </w:r>
      </w:hyperlink>
      <w:r>
        <w:rPr>
          <w:rFonts w:ascii="Times New Roman" w:hAnsi="Times New Roman"/>
        </w:rPr>
        <w:t>.</w:t>
      </w:r>
    </w:p>
  </w:footnote>
  <w:footnote w:id="62">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pl. egy roma nő perspektívájából: </w:t>
      </w:r>
      <w:hyperlink r:id="rId64" w:history="1">
        <w:r>
          <w:rPr>
            <w:rStyle w:val="Hyperlink"/>
            <w:rFonts w:ascii="Times New Roman" w:hAnsi="Times New Roman"/>
            <w:i/>
            <w:sz w:val="19"/>
            <w:szCs w:val="19"/>
          </w:rPr>
          <w:t>Equal opportunities – let’s make it a reality for all (Esélyegyenlőség – tegyük valósággá mindenki számára)</w:t>
        </w:r>
      </w:hyperlink>
      <w:r>
        <w:rPr>
          <w:rStyle w:val="Hyperlink"/>
          <w:rFonts w:ascii="Times New Roman" w:hAnsi="Times New Roman"/>
          <w:color w:val="auto"/>
          <w:sz w:val="19"/>
          <w:szCs w:val="19"/>
          <w:u w:val="none"/>
        </w:rPr>
        <w:t>.</w:t>
      </w:r>
    </w:p>
  </w:footnote>
  <w:footnote w:id="63">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A csatlakozási folyamat előmozdítása – Hiteles uniós perspektíva a Nyugat-Balkán számára – </w:t>
      </w:r>
      <w:hyperlink r:id="rId65" w:history="1">
        <w:r>
          <w:rPr>
            <w:rStyle w:val="Hyperlink"/>
            <w:rFonts w:ascii="Times New Roman" w:hAnsi="Times New Roman"/>
            <w:sz w:val="19"/>
            <w:szCs w:val="19"/>
          </w:rPr>
          <w:t>COM(2020) 57 final</w:t>
        </w:r>
      </w:hyperlink>
      <w:r>
        <w:rPr>
          <w:rStyle w:val="Hyperlink"/>
          <w:rFonts w:ascii="Times New Roman" w:hAnsi="Times New Roman"/>
          <w:sz w:val="19"/>
          <w:szCs w:val="19"/>
        </w:rPr>
        <w:t>.</w:t>
      </w:r>
    </w:p>
  </w:footnote>
  <w:footnote w:id="64">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EU–Nyugat-Balkán csúcstalálkozó, 2020. május 5–6., tanácsi következtetések és </w:t>
      </w:r>
      <w:hyperlink r:id="rId66" w:history="1">
        <w:r>
          <w:rPr>
            <w:rStyle w:val="Hyperlink"/>
            <w:rFonts w:ascii="Times New Roman" w:hAnsi="Times New Roman"/>
            <w:sz w:val="19"/>
            <w:szCs w:val="19"/>
          </w:rPr>
          <w:t>COM(2020) 315 final</w:t>
        </w:r>
      </w:hyperlink>
      <w:r>
        <w:rPr>
          <w:rFonts w:ascii="Times New Roman" w:hAnsi="Times New Roman"/>
          <w:sz w:val="19"/>
          <w:szCs w:val="19"/>
        </w:rPr>
        <w:t>.</w:t>
      </w:r>
      <w:r>
        <w:rPr>
          <w:rFonts w:ascii="Times New Roman" w:hAnsi="Times New Roman"/>
          <w:sz w:val="19"/>
          <w:szCs w:val="19"/>
          <w:highlight w:val="yellow"/>
        </w:rPr>
        <w:t xml:space="preserve"> </w:t>
      </w:r>
    </w:p>
  </w:footnote>
  <w:footnote w:id="65">
    <w:p>
      <w:pPr>
        <w:pStyle w:val="FootnoteText"/>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67" w:history="1">
        <w:r>
          <w:rPr>
            <w:rStyle w:val="Hyperlink"/>
            <w:rFonts w:ascii="Times New Roman" w:hAnsi="Times New Roman"/>
            <w:sz w:val="19"/>
            <w:szCs w:val="19"/>
          </w:rPr>
          <w:t>Zágrábi Nyilatkozat</w:t>
        </w:r>
      </w:hyperlink>
      <w:r>
        <w:rPr>
          <w:rStyle w:val="Hyperlink"/>
          <w:rFonts w:ascii="Times New Roman" w:hAnsi="Times New Roman"/>
          <w:color w:val="auto"/>
          <w:sz w:val="19"/>
          <w:szCs w:val="19"/>
          <w:u w:val="none"/>
        </w:rPr>
        <w:t>.</w:t>
      </w:r>
    </w:p>
  </w:footnote>
  <w:footnote w:id="66">
    <w:p>
      <w:pPr>
        <w:pStyle w:val="FootnoteText"/>
        <w:widowControl w:val="0"/>
        <w:ind w:left="284" w:hanging="284"/>
        <w:contextualSpacing/>
        <w:jc w:val="both"/>
        <w:rPr>
          <w:rFonts w:ascii="Times New Roman" w:hAnsi="Times New Roman" w:cs="Times New Roman"/>
          <w:sz w:val="19"/>
          <w:szCs w:val="19"/>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sz w:val="19"/>
          <w:szCs w:val="19"/>
        </w:rPr>
        <w:t xml:space="preserve">A romák foglalkoztatottságának növelése (16,5 %-ról 25 %-ra), a tankötelezettség teljesítése (51 %-ról 90 %-ra), az egészségbiztosítás nyújtása (legalább 95 %-ban), a lakhatás legalizációja, a hátrányos megkülönböztetés megelőzése, a teljes körű állampolgári nyilvántartás biztosítása. </w:t>
      </w:r>
      <w:hyperlink r:id="rId68" w:history="1">
        <w:r>
          <w:rPr>
            <w:rStyle w:val="Hyperlink"/>
            <w:rFonts w:ascii="Times New Roman" w:hAnsi="Times New Roman"/>
            <w:sz w:val="19"/>
            <w:szCs w:val="19"/>
          </w:rPr>
          <w:t>Poznani Nyilatkozat</w:t>
        </w:r>
      </w:hyperlink>
      <w:r>
        <w:rPr>
          <w:rStyle w:val="Hyperlink"/>
          <w:rFonts w:ascii="Times New Roman" w:hAnsi="Times New Roman"/>
          <w:color w:val="auto"/>
          <w:sz w:val="19"/>
          <w:szCs w:val="19"/>
          <w:u w:val="none"/>
        </w:rPr>
        <w:t>.</w:t>
      </w:r>
    </w:p>
  </w:footnote>
  <w:footnote w:id="67">
    <w:p>
      <w:pPr>
        <w:pStyle w:val="FootnoteText"/>
        <w:rPr>
          <w:rFonts w:ascii="Times New Roman" w:hAnsi="Times New Roman" w:cs="Times New Roman"/>
        </w:rPr>
      </w:pPr>
      <w:r>
        <w:rPr>
          <w:rStyle w:val="FootnoteReference"/>
        </w:rPr>
        <w:footnoteRef/>
      </w:r>
      <w:r>
        <w:t xml:space="preserve"> </w:t>
      </w:r>
      <w:r>
        <w:rPr>
          <w:rFonts w:ascii="Times New Roman" w:hAnsi="Times New Roman"/>
        </w:rPr>
        <w:t>COM (2020) 641 final, elfogadva 2020. október 6-án.</w:t>
      </w:r>
    </w:p>
  </w:footnote>
  <w:footnote w:id="68">
    <w:p>
      <w:pPr>
        <w:pStyle w:val="FootnoteText"/>
        <w:ind w:left="284" w:hanging="284"/>
        <w:jc w:val="both"/>
        <w:rPr>
          <w:sz w:val="19"/>
          <w:szCs w:val="19"/>
        </w:rPr>
      </w:pPr>
      <w:r>
        <w:rPr>
          <w:rStyle w:val="FootnoteReference"/>
          <w:sz w:val="19"/>
          <w:szCs w:val="19"/>
        </w:rPr>
        <w:footnoteRef/>
      </w:r>
      <w:r>
        <w:rPr>
          <w:sz w:val="19"/>
          <w:szCs w:val="19"/>
        </w:rPr>
        <w:t xml:space="preserve"> </w:t>
      </w:r>
      <w:r>
        <w:tab/>
      </w:r>
      <w:r>
        <w:rPr>
          <w:rFonts w:ascii="Times New Roman" w:hAnsi="Times New Roman"/>
          <w:sz w:val="19"/>
          <w:szCs w:val="19"/>
        </w:rPr>
        <w:t xml:space="preserve">A Bizottság közleménye </w:t>
      </w:r>
      <w:r>
        <w:rPr>
          <w:rFonts w:ascii="Times New Roman" w:hAnsi="Times New Roman"/>
          <w:i/>
          <w:sz w:val="19"/>
          <w:szCs w:val="19"/>
        </w:rPr>
        <w:t>a Covid19 leküzdése és a világjárványt követő helyreállítás során a Nyugat-Balkánnak nyújtott támogatásról</w:t>
      </w:r>
      <w:r>
        <w:rPr>
          <w:rFonts w:ascii="Times New Roman" w:hAnsi="Times New Roman"/>
          <w:sz w:val="19"/>
          <w:szCs w:val="19"/>
        </w:rPr>
        <w:t xml:space="preserve"> (</w:t>
      </w:r>
      <w:hyperlink r:id="rId69" w:history="1">
        <w:r>
          <w:rPr>
            <w:rStyle w:val="Hyperlink"/>
            <w:rFonts w:ascii="Times New Roman" w:hAnsi="Times New Roman"/>
            <w:sz w:val="19"/>
            <w:szCs w:val="19"/>
          </w:rPr>
          <w:t>COM (2020) 315 final</w:t>
        </w:r>
      </w:hyperlink>
      <w:r>
        <w:rPr>
          <w:rStyle w:val="Hyperlink"/>
          <w:rFonts w:ascii="Times New Roman" w:hAnsi="Times New Roman"/>
          <w:sz w:val="19"/>
          <w:szCs w:val="19"/>
          <w:u w:val="none"/>
        </w:rPr>
        <w:t>).</w:t>
      </w:r>
    </w:p>
  </w:footnote>
  <w:footnote w:id="69">
    <w:p>
      <w:pPr>
        <w:pStyle w:val="FootnoteText"/>
        <w:ind w:left="284" w:hanging="284"/>
        <w:rPr>
          <w:rFonts w:ascii="Times New Roman" w:hAnsi="Times New Roman" w:cs="Times New Roman"/>
        </w:rPr>
      </w:pPr>
      <w:r>
        <w:rPr>
          <w:rStyle w:val="FootnoteReference"/>
        </w:rPr>
        <w:footnoteRef/>
      </w:r>
      <w:r>
        <w:t xml:space="preserve"> </w:t>
      </w:r>
      <w:r>
        <w:tab/>
      </w:r>
      <w:r>
        <w:rPr>
          <w:rFonts w:ascii="Times New Roman" w:hAnsi="Times New Roman"/>
        </w:rPr>
        <w:t>11855/12 II. melléklet, az Európai Unió Tanácsa, 2012. június 25.</w:t>
      </w:r>
    </w:p>
  </w:footnote>
  <w:footnote w:id="70">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r>
        <w:rPr>
          <w:rFonts w:ascii="Times New Roman" w:hAnsi="Times New Roman"/>
        </w:rPr>
        <w:t xml:space="preserve">Az emberi jogokra és a demokráciára vonatkozó, 2012–2014 és 2015–2019 közötti uniós cselekvési tervek; </w:t>
      </w:r>
      <w:hyperlink r:id="rId70" w:history="1">
        <w:r>
          <w:rPr>
            <w:rStyle w:val="Hyperlink"/>
            <w:rFonts w:ascii="Times New Roman" w:hAnsi="Times New Roman"/>
          </w:rPr>
          <w:t>Közös közlemény és az emberi jogokra és a demokráciára vonatkozó uniós cselekvési terv (2020–2024)</w:t>
        </w:r>
      </w:hyperlink>
      <w:r>
        <w:rPr>
          <w:rFonts w:ascii="Times New Roman" w:hAnsi="Times New Roman"/>
        </w:rPr>
        <w:t>, amelyet a biztosi testület 2020. március 25-én fogadott el, és amelynek Tanács általi elfogadása 2020 utolsó negyedévében várható</w:t>
      </w:r>
      <w:r>
        <w:rPr>
          <w:rStyle w:val="Hyperlink"/>
          <w:rFonts w:ascii="Times New Roman" w:hAnsi="Times New Roman"/>
          <w:color w:val="auto"/>
          <w:u w:val="none"/>
        </w:rPr>
        <w:t>.</w:t>
      </w:r>
    </w:p>
  </w:footnote>
  <w:footnote w:id="71">
    <w:p>
      <w:pPr>
        <w:pStyle w:val="FootnoteText"/>
        <w:ind w:left="284" w:hanging="284"/>
        <w:contextualSpacing/>
        <w:jc w:val="both"/>
        <w:rPr>
          <w:rFonts w:ascii="Times New Roman" w:hAnsi="Times New Roman" w:cs="Times New Roman"/>
        </w:rPr>
      </w:pPr>
      <w:r>
        <w:rPr>
          <w:rStyle w:val="FootnoteReference"/>
          <w:rFonts w:ascii="Times New Roman" w:hAnsi="Times New Roman" w:cs="Times New Roman"/>
        </w:rPr>
        <w:footnoteRef/>
      </w:r>
      <w:r>
        <w:rPr>
          <w:rFonts w:ascii="Times New Roman" w:hAnsi="Times New Roman"/>
        </w:rPr>
        <w:t xml:space="preserve"> </w:t>
      </w:r>
      <w:r>
        <w:tab/>
      </w:r>
      <w:r>
        <w:rPr>
          <w:rFonts w:ascii="Times New Roman" w:hAnsi="Times New Roman"/>
        </w:rPr>
        <w:t xml:space="preserve">A nemek közötti egyenlőség és a nők szerepének erősítése: az EU külkapcsolatainak hozzájárulása a nők és a lányok életének átalakulásához (2016–2020), </w:t>
      </w:r>
      <w:hyperlink r:id="rId71" w:history="1">
        <w:r>
          <w:rPr>
            <w:rStyle w:val="Hyperlink"/>
            <w:rFonts w:ascii="Times New Roman" w:hAnsi="Times New Roman"/>
          </w:rPr>
          <w:t>SWD (2015) 182</w:t>
        </w:r>
      </w:hyperlink>
      <w:r>
        <w:rPr>
          <w:rFonts w:ascii="Times New Roman" w:hAnsi="Times New Roman"/>
        </w:rPr>
        <w:t>, és a dokumentum tervezett következő verziója.</w:t>
      </w:r>
    </w:p>
  </w:footnote>
  <w:footnote w:id="72">
    <w:p>
      <w:pPr>
        <w:pStyle w:val="FootnoteText"/>
        <w:ind w:left="284" w:hanging="284"/>
        <w:rPr>
          <w:rFonts w:ascii="Times New Roman" w:hAnsi="Times New Roman" w:cs="Times New Roman"/>
        </w:rPr>
      </w:pPr>
      <w:r>
        <w:rPr>
          <w:rStyle w:val="FootnoteReference"/>
          <w:rFonts w:ascii="Times New Roman" w:hAnsi="Times New Roman" w:cs="Times New Roman"/>
          <w:sz w:val="19"/>
          <w:szCs w:val="19"/>
        </w:rPr>
        <w:footnoteRef/>
      </w:r>
      <w:r>
        <w:rPr>
          <w:rFonts w:ascii="Times New Roman" w:hAnsi="Times New Roman"/>
          <w:sz w:val="19"/>
          <w:szCs w:val="19"/>
        </w:rPr>
        <w:t xml:space="preserve"> </w:t>
      </w:r>
      <w:r>
        <w:tab/>
      </w:r>
      <w:hyperlink r:id="rId72" w:history="1">
        <w:r>
          <w:rPr>
            <w:rStyle w:val="Hyperlink"/>
            <w:rFonts w:ascii="Times New Roman" w:hAnsi="Times New Roman"/>
            <w:sz w:val="19"/>
            <w:szCs w:val="19"/>
          </w:rPr>
          <w:t>A</w:t>
        </w:r>
        <w:r>
          <w:rPr>
            <w:rStyle w:val="Hyperlink"/>
            <w:rFonts w:ascii="Times New Roman" w:hAnsi="Times New Roman"/>
          </w:rPr>
          <w:t>z EU emberi jogi iránymutatásai a megkülönböztetésmentesség elvének a külső tevékenysége keretében való érvényesítéséről</w:t>
        </w:r>
      </w:hyperlink>
      <w:r>
        <w:rPr>
          <w:rStyle w:val="Hyperlink"/>
          <w:rFonts w:ascii="Times New Roman" w:hAnsi="Times New Roman"/>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CoverPag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r>
      <w:rPr>
        <w:noProof/>
        <w:lang w:val="en-GB" w:eastAsia="en-GB"/>
      </w:rPr>
      <mc:AlternateContent>
        <mc:Choice Requires="wps">
          <w:drawing>
            <wp:anchor distT="0" distB="0" distL="114300" distR="114300" simplePos="0" relativeHeight="251661312" behindDoc="1" locked="0" layoutInCell="0" allowOverlap="1">
              <wp:simplePos x="0" y="0"/>
              <wp:positionH relativeFrom="margin">
                <wp:align>center</wp:align>
              </wp:positionH>
              <wp:positionV relativeFrom="margin">
                <wp:align>center</wp:align>
              </wp:positionV>
              <wp:extent cx="6583680" cy="1645920"/>
              <wp:effectExtent l="0" t="1771650" r="0" b="169735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83680" cy="164592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pPr>
                            <w:pStyle w:val="NormalWeb"/>
                            <w:spacing w:before="0" w:beforeAutospacing="0" w:after="0" w:afterAutospacing="0"/>
                            <w:jc w:val="center"/>
                          </w:pPr>
                          <w:r>
                            <w:rPr>
                              <w:rFonts w:ascii="Calibri" w:hAnsi="Calibri"/>
                              <w:color w:val="7F7F7F" w:themeColor="text1" w:themeTint="80"/>
                              <w:sz w:val="2"/>
                              <w:szCs w:val="2"/>
                              <w14:textFill>
                                <w14:solidFill>
                                  <w14:schemeClr w14:val="tx1">
                                    <w14:alpha w14:val="50000"/>
                                    <w14:lumMod w14:val="50000"/>
                                    <w14:lumOff w14:val="50000"/>
                                  </w14:schemeClr>
                                </w14:solidFill>
                              </w14:textFill>
                            </w:rPr>
                            <w:t>Belső tervezet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56" type="#_x0000_t202" style="position:absolute;margin-left:0;margin-top:0;width:518.4pt;height:129.6pt;rotation:-45;z-index:-251655168;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" o:allowincell="f" filled="f" stroked="f">
              <v:stroke joinstyle="round"/>
              <o:lock v:ext="edit" shapetype="t"/>
              <v:textbox style="mso-fit-shape-to-text:t">
                <w:txbxContent>
                  <w:p>
                    <w:pPr>
                      <w:pStyle w:val="NormalWeb"/>
                      <w:spacing w:before="0" w:beforeAutospacing="0" w:after="0" w:afterAutospacing="0"/>
                      <w:jc w:val="center"/>
                    </w:pPr>
                    <w:r>
                      <w:rPr>
                        <w:rFonts w:ascii="Calibri" w:hAnsi="Calibri"/>
                        <w:color w:val="7F7F7F" w:themeColor="text1" w:themeTint="80"/>
                        <w:sz w:val="2"/>
                        <w:szCs w:val="2"/>
                        <w14:textFill>
                          <w14:solidFill>
                            <w14:schemeClr w14:val="tx1">
                              <w14:alpha w14:val="50000"/>
                              <w14:lumMod w14:val="50000"/>
                              <w14:lumOff w14:val="50000"/>
                            </w14:schemeClr>
                          </w14:solidFill>
                        </w14:textFill>
                      </w:rPr>
                      <w:t>Belső tervezet</w:t>
                    </w:r>
                  </w:p>
                </w:txbxContent>
              </v:textbox>
              <w10:wrap anchorx="margin" anchory="margin"/>
            </v:shape>
          </w:pict>
        </mc:Fallback>
      </mc:AlternateConten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01B04"/>
    <w:multiLevelType w:val="hybridMultilevel"/>
    <w:tmpl w:val="6060CE88"/>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
    <w:nsid w:val="012D58FC"/>
    <w:multiLevelType w:val="hybridMultilevel"/>
    <w:tmpl w:val="052E28E2"/>
    <w:lvl w:ilvl="0" w:tplc="E85CBFF2">
      <w:start w:val="1"/>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2">
    <w:nsid w:val="013627E5"/>
    <w:multiLevelType w:val="hybridMultilevel"/>
    <w:tmpl w:val="92F0657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4AC601F"/>
    <w:multiLevelType w:val="hybridMultilevel"/>
    <w:tmpl w:val="E578E8C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nsid w:val="07A97EF6"/>
    <w:multiLevelType w:val="hybridMultilevel"/>
    <w:tmpl w:val="F310372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084B4DA5"/>
    <w:multiLevelType w:val="hybridMultilevel"/>
    <w:tmpl w:val="D570D2D0"/>
    <w:lvl w:ilvl="0" w:tplc="6388F19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ABE58B7"/>
    <w:multiLevelType w:val="hybridMultilevel"/>
    <w:tmpl w:val="7C508B4A"/>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
    <w:nsid w:val="0C026256"/>
    <w:multiLevelType w:val="hybridMultilevel"/>
    <w:tmpl w:val="E6807734"/>
    <w:lvl w:ilvl="0" w:tplc="81E49BB0">
      <w:start w:val="1"/>
      <w:numFmt w:val="decimal"/>
      <w:lvlText w:val="%1."/>
      <w:lvlJc w:val="left"/>
      <w:pPr>
        <w:ind w:left="1004" w:hanging="360"/>
      </w:pPr>
      <w:rPr>
        <w:rFonts w:ascii="Times New Roman" w:hAnsi="Times New Roman" w:cs="Times New Roman"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8">
    <w:nsid w:val="0C985623"/>
    <w:multiLevelType w:val="hybridMultilevel"/>
    <w:tmpl w:val="8C82D56C"/>
    <w:lvl w:ilvl="0" w:tplc="E85CBFF2">
      <w:start w:val="1"/>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9">
    <w:nsid w:val="0CBD4F79"/>
    <w:multiLevelType w:val="hybridMultilevel"/>
    <w:tmpl w:val="2CA8AF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0">
    <w:nsid w:val="0D47211D"/>
    <w:multiLevelType w:val="hybridMultilevel"/>
    <w:tmpl w:val="0E38C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0E517113"/>
    <w:multiLevelType w:val="hybridMultilevel"/>
    <w:tmpl w:val="720A5F4C"/>
    <w:lvl w:ilvl="0" w:tplc="0809000D">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0A670ED"/>
    <w:multiLevelType w:val="hybridMultilevel"/>
    <w:tmpl w:val="1F90606A"/>
    <w:lvl w:ilvl="0" w:tplc="1809000F">
      <w:start w:val="1"/>
      <w:numFmt w:val="decimal"/>
      <w:lvlText w:val="%1."/>
      <w:lvlJc w:val="left"/>
      <w:pPr>
        <w:ind w:left="1004" w:hanging="360"/>
      </w:pPr>
      <w:rPr>
        <w:rFonts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13">
    <w:nsid w:val="156A434D"/>
    <w:multiLevelType w:val="hybridMultilevel"/>
    <w:tmpl w:val="E6807734"/>
    <w:lvl w:ilvl="0" w:tplc="81E49BB0">
      <w:start w:val="1"/>
      <w:numFmt w:val="decimal"/>
      <w:lvlText w:val="%1."/>
      <w:lvlJc w:val="left"/>
      <w:pPr>
        <w:ind w:left="1004" w:hanging="360"/>
      </w:pPr>
      <w:rPr>
        <w:rFonts w:ascii="Times New Roman" w:hAnsi="Times New Roman" w:cs="Times New Roman" w:hint="default"/>
      </w:r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14">
    <w:nsid w:val="15CC5AB9"/>
    <w:multiLevelType w:val="hybridMultilevel"/>
    <w:tmpl w:val="65DE4C80"/>
    <w:lvl w:ilvl="0" w:tplc="08090001">
      <w:start w:val="1"/>
      <w:numFmt w:val="bullet"/>
      <w:lvlText w:val=""/>
      <w:lvlJc w:val="left"/>
      <w:pPr>
        <w:ind w:left="214" w:hanging="360"/>
      </w:pPr>
      <w:rPr>
        <w:rFonts w:ascii="Symbol" w:hAnsi="Symbol" w:hint="default"/>
      </w:rPr>
    </w:lvl>
    <w:lvl w:ilvl="1" w:tplc="08090003" w:tentative="1">
      <w:start w:val="1"/>
      <w:numFmt w:val="bullet"/>
      <w:lvlText w:val="o"/>
      <w:lvlJc w:val="left"/>
      <w:pPr>
        <w:ind w:left="934" w:hanging="360"/>
      </w:pPr>
      <w:rPr>
        <w:rFonts w:ascii="Courier New" w:hAnsi="Courier New" w:cs="Courier New" w:hint="default"/>
      </w:rPr>
    </w:lvl>
    <w:lvl w:ilvl="2" w:tplc="08090005" w:tentative="1">
      <w:start w:val="1"/>
      <w:numFmt w:val="bullet"/>
      <w:lvlText w:val=""/>
      <w:lvlJc w:val="left"/>
      <w:pPr>
        <w:ind w:left="1654" w:hanging="360"/>
      </w:pPr>
      <w:rPr>
        <w:rFonts w:ascii="Wingdings" w:hAnsi="Wingdings" w:hint="default"/>
      </w:rPr>
    </w:lvl>
    <w:lvl w:ilvl="3" w:tplc="08090001" w:tentative="1">
      <w:start w:val="1"/>
      <w:numFmt w:val="bullet"/>
      <w:lvlText w:val=""/>
      <w:lvlJc w:val="left"/>
      <w:pPr>
        <w:ind w:left="2374" w:hanging="360"/>
      </w:pPr>
      <w:rPr>
        <w:rFonts w:ascii="Symbol" w:hAnsi="Symbol" w:hint="default"/>
      </w:rPr>
    </w:lvl>
    <w:lvl w:ilvl="4" w:tplc="08090003" w:tentative="1">
      <w:start w:val="1"/>
      <w:numFmt w:val="bullet"/>
      <w:lvlText w:val="o"/>
      <w:lvlJc w:val="left"/>
      <w:pPr>
        <w:ind w:left="3094" w:hanging="360"/>
      </w:pPr>
      <w:rPr>
        <w:rFonts w:ascii="Courier New" w:hAnsi="Courier New" w:cs="Courier New" w:hint="default"/>
      </w:rPr>
    </w:lvl>
    <w:lvl w:ilvl="5" w:tplc="08090005" w:tentative="1">
      <w:start w:val="1"/>
      <w:numFmt w:val="bullet"/>
      <w:lvlText w:val=""/>
      <w:lvlJc w:val="left"/>
      <w:pPr>
        <w:ind w:left="3814" w:hanging="360"/>
      </w:pPr>
      <w:rPr>
        <w:rFonts w:ascii="Wingdings" w:hAnsi="Wingdings" w:hint="default"/>
      </w:rPr>
    </w:lvl>
    <w:lvl w:ilvl="6" w:tplc="08090001" w:tentative="1">
      <w:start w:val="1"/>
      <w:numFmt w:val="bullet"/>
      <w:lvlText w:val=""/>
      <w:lvlJc w:val="left"/>
      <w:pPr>
        <w:ind w:left="4534" w:hanging="360"/>
      </w:pPr>
      <w:rPr>
        <w:rFonts w:ascii="Symbol" w:hAnsi="Symbol" w:hint="default"/>
      </w:rPr>
    </w:lvl>
    <w:lvl w:ilvl="7" w:tplc="08090003" w:tentative="1">
      <w:start w:val="1"/>
      <w:numFmt w:val="bullet"/>
      <w:lvlText w:val="o"/>
      <w:lvlJc w:val="left"/>
      <w:pPr>
        <w:ind w:left="5254" w:hanging="360"/>
      </w:pPr>
      <w:rPr>
        <w:rFonts w:ascii="Courier New" w:hAnsi="Courier New" w:cs="Courier New" w:hint="default"/>
      </w:rPr>
    </w:lvl>
    <w:lvl w:ilvl="8" w:tplc="08090005" w:tentative="1">
      <w:start w:val="1"/>
      <w:numFmt w:val="bullet"/>
      <w:lvlText w:val=""/>
      <w:lvlJc w:val="left"/>
      <w:pPr>
        <w:ind w:left="5974" w:hanging="360"/>
      </w:pPr>
      <w:rPr>
        <w:rFonts w:ascii="Wingdings" w:hAnsi="Wingdings" w:hint="default"/>
      </w:rPr>
    </w:lvl>
  </w:abstractNum>
  <w:abstractNum w:abstractNumId="15">
    <w:nsid w:val="18466082"/>
    <w:multiLevelType w:val="hybridMultilevel"/>
    <w:tmpl w:val="72AC9D34"/>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6">
    <w:nsid w:val="199B75CD"/>
    <w:multiLevelType w:val="hybridMultilevel"/>
    <w:tmpl w:val="FA8436D8"/>
    <w:lvl w:ilvl="0" w:tplc="CC5EEF70">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7">
    <w:nsid w:val="1ACC4C98"/>
    <w:multiLevelType w:val="hybridMultilevel"/>
    <w:tmpl w:val="038675F2"/>
    <w:lvl w:ilvl="0" w:tplc="BD6A10F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18">
    <w:nsid w:val="201C7807"/>
    <w:multiLevelType w:val="hybridMultilevel"/>
    <w:tmpl w:val="11065AD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19">
    <w:nsid w:val="20C607F6"/>
    <w:multiLevelType w:val="hybridMultilevel"/>
    <w:tmpl w:val="2ED4C50A"/>
    <w:lvl w:ilvl="0" w:tplc="E85CBFF2">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0">
    <w:nsid w:val="2150424D"/>
    <w:multiLevelType w:val="hybridMultilevel"/>
    <w:tmpl w:val="897841AC"/>
    <w:lvl w:ilvl="0" w:tplc="01EC09CE">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21">
    <w:nsid w:val="258E0189"/>
    <w:multiLevelType w:val="hybridMultilevel"/>
    <w:tmpl w:val="5A6C5B9A"/>
    <w:lvl w:ilvl="0" w:tplc="0809000D">
      <w:start w:val="1"/>
      <w:numFmt w:val="bullet"/>
      <w:lvlText w:val=""/>
      <w:lvlJc w:val="left"/>
      <w:pPr>
        <w:ind w:left="360" w:hanging="360"/>
      </w:pPr>
      <w:rPr>
        <w:rFonts w:ascii="Wingdings" w:hAnsi="Wingdings" w:hint="default"/>
        <w:b/>
        <w:i/>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2">
    <w:nsid w:val="274D6C00"/>
    <w:multiLevelType w:val="hybridMultilevel"/>
    <w:tmpl w:val="C3309866"/>
    <w:lvl w:ilvl="0" w:tplc="0809000D">
      <w:start w:val="1"/>
      <w:numFmt w:val="bullet"/>
      <w:lvlText w:val=""/>
      <w:lvlJc w:val="left"/>
      <w:pPr>
        <w:ind w:left="306" w:hanging="360"/>
      </w:pPr>
      <w:rPr>
        <w:rFonts w:ascii="Wingdings" w:hAnsi="Wingdings" w:hint="default"/>
      </w:rPr>
    </w:lvl>
    <w:lvl w:ilvl="1" w:tplc="08090003" w:tentative="1">
      <w:start w:val="1"/>
      <w:numFmt w:val="bullet"/>
      <w:lvlText w:val="o"/>
      <w:lvlJc w:val="left"/>
      <w:pPr>
        <w:ind w:left="1026" w:hanging="360"/>
      </w:pPr>
      <w:rPr>
        <w:rFonts w:ascii="Courier New" w:hAnsi="Courier New" w:cs="Courier New" w:hint="default"/>
      </w:rPr>
    </w:lvl>
    <w:lvl w:ilvl="2" w:tplc="08090005" w:tentative="1">
      <w:start w:val="1"/>
      <w:numFmt w:val="bullet"/>
      <w:lvlText w:val=""/>
      <w:lvlJc w:val="left"/>
      <w:pPr>
        <w:ind w:left="1746" w:hanging="360"/>
      </w:pPr>
      <w:rPr>
        <w:rFonts w:ascii="Wingdings" w:hAnsi="Wingdings" w:hint="default"/>
      </w:rPr>
    </w:lvl>
    <w:lvl w:ilvl="3" w:tplc="08090001" w:tentative="1">
      <w:start w:val="1"/>
      <w:numFmt w:val="bullet"/>
      <w:lvlText w:val=""/>
      <w:lvlJc w:val="left"/>
      <w:pPr>
        <w:ind w:left="2466" w:hanging="360"/>
      </w:pPr>
      <w:rPr>
        <w:rFonts w:ascii="Symbol" w:hAnsi="Symbol" w:hint="default"/>
      </w:rPr>
    </w:lvl>
    <w:lvl w:ilvl="4" w:tplc="08090003" w:tentative="1">
      <w:start w:val="1"/>
      <w:numFmt w:val="bullet"/>
      <w:lvlText w:val="o"/>
      <w:lvlJc w:val="left"/>
      <w:pPr>
        <w:ind w:left="3186" w:hanging="360"/>
      </w:pPr>
      <w:rPr>
        <w:rFonts w:ascii="Courier New" w:hAnsi="Courier New" w:cs="Courier New" w:hint="default"/>
      </w:rPr>
    </w:lvl>
    <w:lvl w:ilvl="5" w:tplc="08090005" w:tentative="1">
      <w:start w:val="1"/>
      <w:numFmt w:val="bullet"/>
      <w:lvlText w:val=""/>
      <w:lvlJc w:val="left"/>
      <w:pPr>
        <w:ind w:left="3906" w:hanging="360"/>
      </w:pPr>
      <w:rPr>
        <w:rFonts w:ascii="Wingdings" w:hAnsi="Wingdings" w:hint="default"/>
      </w:rPr>
    </w:lvl>
    <w:lvl w:ilvl="6" w:tplc="08090001" w:tentative="1">
      <w:start w:val="1"/>
      <w:numFmt w:val="bullet"/>
      <w:lvlText w:val=""/>
      <w:lvlJc w:val="left"/>
      <w:pPr>
        <w:ind w:left="4626" w:hanging="360"/>
      </w:pPr>
      <w:rPr>
        <w:rFonts w:ascii="Symbol" w:hAnsi="Symbol" w:hint="default"/>
      </w:rPr>
    </w:lvl>
    <w:lvl w:ilvl="7" w:tplc="08090003" w:tentative="1">
      <w:start w:val="1"/>
      <w:numFmt w:val="bullet"/>
      <w:lvlText w:val="o"/>
      <w:lvlJc w:val="left"/>
      <w:pPr>
        <w:ind w:left="5346" w:hanging="360"/>
      </w:pPr>
      <w:rPr>
        <w:rFonts w:ascii="Courier New" w:hAnsi="Courier New" w:cs="Courier New" w:hint="default"/>
      </w:rPr>
    </w:lvl>
    <w:lvl w:ilvl="8" w:tplc="08090005" w:tentative="1">
      <w:start w:val="1"/>
      <w:numFmt w:val="bullet"/>
      <w:lvlText w:val=""/>
      <w:lvlJc w:val="left"/>
      <w:pPr>
        <w:ind w:left="6066" w:hanging="360"/>
      </w:pPr>
      <w:rPr>
        <w:rFonts w:ascii="Wingdings" w:hAnsi="Wingdings" w:hint="default"/>
      </w:rPr>
    </w:lvl>
  </w:abstractNum>
  <w:abstractNum w:abstractNumId="23">
    <w:nsid w:val="284D3B7F"/>
    <w:multiLevelType w:val="hybridMultilevel"/>
    <w:tmpl w:val="83585FF0"/>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24">
    <w:nsid w:val="2C0B69DB"/>
    <w:multiLevelType w:val="hybridMultilevel"/>
    <w:tmpl w:val="68B8CCF0"/>
    <w:lvl w:ilvl="0" w:tplc="E56263D4">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25">
    <w:nsid w:val="2CAA1ED9"/>
    <w:multiLevelType w:val="hybridMultilevel"/>
    <w:tmpl w:val="BAF82E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229120C"/>
    <w:multiLevelType w:val="hybridMultilevel"/>
    <w:tmpl w:val="159A1D1C"/>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nsid w:val="34462654"/>
    <w:multiLevelType w:val="hybridMultilevel"/>
    <w:tmpl w:val="53184CF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36010744"/>
    <w:multiLevelType w:val="hybridMultilevel"/>
    <w:tmpl w:val="E64A430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29">
    <w:nsid w:val="3652232F"/>
    <w:multiLevelType w:val="hybridMultilevel"/>
    <w:tmpl w:val="E798765C"/>
    <w:lvl w:ilvl="0" w:tplc="080C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0">
    <w:nsid w:val="3A8F3A15"/>
    <w:multiLevelType w:val="hybridMultilevel"/>
    <w:tmpl w:val="D0F4C12C"/>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1">
    <w:nsid w:val="3B027632"/>
    <w:multiLevelType w:val="hybridMultilevel"/>
    <w:tmpl w:val="5D96C11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2">
    <w:nsid w:val="3B4B5B1F"/>
    <w:multiLevelType w:val="hybridMultilevel"/>
    <w:tmpl w:val="30EEA4C6"/>
    <w:lvl w:ilvl="0" w:tplc="080C0011">
      <w:start w:val="1"/>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33">
    <w:nsid w:val="3CC522FE"/>
    <w:multiLevelType w:val="multilevel"/>
    <w:tmpl w:val="A8040A6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3D1A498C"/>
    <w:multiLevelType w:val="hybridMultilevel"/>
    <w:tmpl w:val="9EDCFA4E"/>
    <w:lvl w:ilvl="0" w:tplc="08090001">
      <w:start w:val="1"/>
      <w:numFmt w:val="bullet"/>
      <w:lvlText w:val=""/>
      <w:lvlJc w:val="left"/>
      <w:pPr>
        <w:ind w:left="776" w:hanging="360"/>
      </w:pPr>
      <w:rPr>
        <w:rFonts w:ascii="Symbol" w:hAnsi="Symbol" w:hint="default"/>
      </w:rPr>
    </w:lvl>
    <w:lvl w:ilvl="1" w:tplc="08090003">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35">
    <w:nsid w:val="3D547B24"/>
    <w:multiLevelType w:val="hybridMultilevel"/>
    <w:tmpl w:val="B1989880"/>
    <w:lvl w:ilvl="0" w:tplc="7188E82E">
      <w:numFmt w:val="bullet"/>
      <w:lvlText w:val="-"/>
      <w:lvlJc w:val="left"/>
      <w:pPr>
        <w:ind w:left="720" w:hanging="360"/>
      </w:pPr>
      <w:rPr>
        <w:rFonts w:ascii="Calibri" w:eastAsia="Calibri" w:hAnsi="Calibri" w:cs="Calibri"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nsid w:val="3D5B1852"/>
    <w:multiLevelType w:val="hybridMultilevel"/>
    <w:tmpl w:val="E166B79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7">
    <w:nsid w:val="40397F70"/>
    <w:multiLevelType w:val="hybridMultilevel"/>
    <w:tmpl w:val="7DD26570"/>
    <w:lvl w:ilvl="0" w:tplc="18090001">
      <w:start w:val="1"/>
      <w:numFmt w:val="bullet"/>
      <w:lvlText w:val=""/>
      <w:lvlJc w:val="left"/>
      <w:pPr>
        <w:ind w:left="1701" w:hanging="360"/>
      </w:pPr>
      <w:rPr>
        <w:rFonts w:ascii="Symbol" w:hAnsi="Symbol" w:hint="default"/>
      </w:rPr>
    </w:lvl>
    <w:lvl w:ilvl="1" w:tplc="18090003" w:tentative="1">
      <w:start w:val="1"/>
      <w:numFmt w:val="bullet"/>
      <w:lvlText w:val="o"/>
      <w:lvlJc w:val="left"/>
      <w:pPr>
        <w:ind w:left="2421" w:hanging="360"/>
      </w:pPr>
      <w:rPr>
        <w:rFonts w:ascii="Courier New" w:hAnsi="Courier New" w:cs="Courier New" w:hint="default"/>
      </w:rPr>
    </w:lvl>
    <w:lvl w:ilvl="2" w:tplc="18090005" w:tentative="1">
      <w:start w:val="1"/>
      <w:numFmt w:val="bullet"/>
      <w:lvlText w:val=""/>
      <w:lvlJc w:val="left"/>
      <w:pPr>
        <w:ind w:left="3141" w:hanging="360"/>
      </w:pPr>
      <w:rPr>
        <w:rFonts w:ascii="Wingdings" w:hAnsi="Wingdings" w:hint="default"/>
      </w:rPr>
    </w:lvl>
    <w:lvl w:ilvl="3" w:tplc="18090001" w:tentative="1">
      <w:start w:val="1"/>
      <w:numFmt w:val="bullet"/>
      <w:lvlText w:val=""/>
      <w:lvlJc w:val="left"/>
      <w:pPr>
        <w:ind w:left="3861" w:hanging="360"/>
      </w:pPr>
      <w:rPr>
        <w:rFonts w:ascii="Symbol" w:hAnsi="Symbol" w:hint="default"/>
      </w:rPr>
    </w:lvl>
    <w:lvl w:ilvl="4" w:tplc="18090003" w:tentative="1">
      <w:start w:val="1"/>
      <w:numFmt w:val="bullet"/>
      <w:lvlText w:val="o"/>
      <w:lvlJc w:val="left"/>
      <w:pPr>
        <w:ind w:left="4581" w:hanging="360"/>
      </w:pPr>
      <w:rPr>
        <w:rFonts w:ascii="Courier New" w:hAnsi="Courier New" w:cs="Courier New" w:hint="default"/>
      </w:rPr>
    </w:lvl>
    <w:lvl w:ilvl="5" w:tplc="18090005" w:tentative="1">
      <w:start w:val="1"/>
      <w:numFmt w:val="bullet"/>
      <w:lvlText w:val=""/>
      <w:lvlJc w:val="left"/>
      <w:pPr>
        <w:ind w:left="5301" w:hanging="360"/>
      </w:pPr>
      <w:rPr>
        <w:rFonts w:ascii="Wingdings" w:hAnsi="Wingdings" w:hint="default"/>
      </w:rPr>
    </w:lvl>
    <w:lvl w:ilvl="6" w:tplc="18090001" w:tentative="1">
      <w:start w:val="1"/>
      <w:numFmt w:val="bullet"/>
      <w:lvlText w:val=""/>
      <w:lvlJc w:val="left"/>
      <w:pPr>
        <w:ind w:left="6021" w:hanging="360"/>
      </w:pPr>
      <w:rPr>
        <w:rFonts w:ascii="Symbol" w:hAnsi="Symbol" w:hint="default"/>
      </w:rPr>
    </w:lvl>
    <w:lvl w:ilvl="7" w:tplc="18090003" w:tentative="1">
      <w:start w:val="1"/>
      <w:numFmt w:val="bullet"/>
      <w:lvlText w:val="o"/>
      <w:lvlJc w:val="left"/>
      <w:pPr>
        <w:ind w:left="6741" w:hanging="360"/>
      </w:pPr>
      <w:rPr>
        <w:rFonts w:ascii="Courier New" w:hAnsi="Courier New" w:cs="Courier New" w:hint="default"/>
      </w:rPr>
    </w:lvl>
    <w:lvl w:ilvl="8" w:tplc="18090005" w:tentative="1">
      <w:start w:val="1"/>
      <w:numFmt w:val="bullet"/>
      <w:lvlText w:val=""/>
      <w:lvlJc w:val="left"/>
      <w:pPr>
        <w:ind w:left="7461" w:hanging="360"/>
      </w:pPr>
      <w:rPr>
        <w:rFonts w:ascii="Wingdings" w:hAnsi="Wingdings" w:hint="default"/>
      </w:rPr>
    </w:lvl>
  </w:abstractNum>
  <w:abstractNum w:abstractNumId="38">
    <w:nsid w:val="404252F3"/>
    <w:multiLevelType w:val="hybridMultilevel"/>
    <w:tmpl w:val="1C3A5360"/>
    <w:lvl w:ilvl="0" w:tplc="080C0017">
      <w:start w:val="1"/>
      <w:numFmt w:val="lowerLetter"/>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9">
    <w:nsid w:val="404901F2"/>
    <w:multiLevelType w:val="hybridMultilevel"/>
    <w:tmpl w:val="6C9E4908"/>
    <w:lvl w:ilvl="0" w:tplc="1809000F">
      <w:start w:val="1"/>
      <w:numFmt w:val="decimal"/>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0">
    <w:nsid w:val="40A365C1"/>
    <w:multiLevelType w:val="hybridMultilevel"/>
    <w:tmpl w:val="F74CC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40B34F57"/>
    <w:multiLevelType w:val="hybridMultilevel"/>
    <w:tmpl w:val="05C83E7A"/>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2">
    <w:nsid w:val="41B04176"/>
    <w:multiLevelType w:val="hybridMultilevel"/>
    <w:tmpl w:val="038675F2"/>
    <w:lvl w:ilvl="0" w:tplc="BD6A10F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3">
    <w:nsid w:val="42BD7C28"/>
    <w:multiLevelType w:val="hybridMultilevel"/>
    <w:tmpl w:val="97343F2A"/>
    <w:lvl w:ilvl="0" w:tplc="0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4">
    <w:nsid w:val="43264764"/>
    <w:multiLevelType w:val="hybridMultilevel"/>
    <w:tmpl w:val="F98C2FBC"/>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45">
    <w:nsid w:val="449F42B8"/>
    <w:multiLevelType w:val="hybridMultilevel"/>
    <w:tmpl w:val="038675F2"/>
    <w:lvl w:ilvl="0" w:tplc="BD6A10FA">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46">
    <w:nsid w:val="45854605"/>
    <w:multiLevelType w:val="hybridMultilevel"/>
    <w:tmpl w:val="D0A4DC18"/>
    <w:lvl w:ilvl="0" w:tplc="01EC09CE">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47">
    <w:nsid w:val="47D60EE1"/>
    <w:multiLevelType w:val="hybridMultilevel"/>
    <w:tmpl w:val="8DB6F242"/>
    <w:lvl w:ilvl="0" w:tplc="6624D914">
      <w:start w:val="2"/>
      <w:numFmt w:val="decimal"/>
      <w:lvlText w:val="%1)"/>
      <w:lvlJc w:val="left"/>
      <w:pPr>
        <w:ind w:left="720" w:hanging="360"/>
      </w:pPr>
      <w:rPr>
        <w:rFonts w:hint="default"/>
      </w:r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48">
    <w:nsid w:val="48DB37CB"/>
    <w:multiLevelType w:val="hybridMultilevel"/>
    <w:tmpl w:val="4138628A"/>
    <w:lvl w:ilvl="0" w:tplc="E17AA06A">
      <w:start w:val="1"/>
      <w:numFmt w:val="decimal"/>
      <w:lvlText w:val="%1."/>
      <w:lvlJc w:val="left"/>
      <w:pPr>
        <w:ind w:left="1004"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9">
    <w:nsid w:val="48E01007"/>
    <w:multiLevelType w:val="hybridMultilevel"/>
    <w:tmpl w:val="032A9C56"/>
    <w:lvl w:ilvl="0" w:tplc="080C0017">
      <w:start w:val="1"/>
      <w:numFmt w:val="lowerLetter"/>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0">
    <w:nsid w:val="4B02629F"/>
    <w:multiLevelType w:val="hybridMultilevel"/>
    <w:tmpl w:val="670EE5B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1">
    <w:nsid w:val="4BF820A5"/>
    <w:multiLevelType w:val="hybridMultilevel"/>
    <w:tmpl w:val="044AE9F6"/>
    <w:lvl w:ilvl="0" w:tplc="08090001">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52">
    <w:nsid w:val="4D2258EE"/>
    <w:multiLevelType w:val="hybridMultilevel"/>
    <w:tmpl w:val="C78E2092"/>
    <w:lvl w:ilvl="0" w:tplc="1809000F">
      <w:start w:val="1"/>
      <w:numFmt w:val="decimal"/>
      <w:lvlText w:val="%1."/>
      <w:lvlJc w:val="left"/>
      <w:pPr>
        <w:ind w:left="1004" w:hanging="360"/>
      </w:pPr>
    </w:lvl>
    <w:lvl w:ilvl="1" w:tplc="18090019" w:tentative="1">
      <w:start w:val="1"/>
      <w:numFmt w:val="lowerLetter"/>
      <w:lvlText w:val="%2."/>
      <w:lvlJc w:val="left"/>
      <w:pPr>
        <w:ind w:left="1724" w:hanging="360"/>
      </w:pPr>
    </w:lvl>
    <w:lvl w:ilvl="2" w:tplc="1809001B" w:tentative="1">
      <w:start w:val="1"/>
      <w:numFmt w:val="lowerRoman"/>
      <w:lvlText w:val="%3."/>
      <w:lvlJc w:val="right"/>
      <w:pPr>
        <w:ind w:left="2444" w:hanging="180"/>
      </w:pPr>
    </w:lvl>
    <w:lvl w:ilvl="3" w:tplc="1809000F" w:tentative="1">
      <w:start w:val="1"/>
      <w:numFmt w:val="decimal"/>
      <w:lvlText w:val="%4."/>
      <w:lvlJc w:val="left"/>
      <w:pPr>
        <w:ind w:left="3164" w:hanging="360"/>
      </w:pPr>
    </w:lvl>
    <w:lvl w:ilvl="4" w:tplc="18090019" w:tentative="1">
      <w:start w:val="1"/>
      <w:numFmt w:val="lowerLetter"/>
      <w:lvlText w:val="%5."/>
      <w:lvlJc w:val="left"/>
      <w:pPr>
        <w:ind w:left="3884" w:hanging="360"/>
      </w:pPr>
    </w:lvl>
    <w:lvl w:ilvl="5" w:tplc="1809001B" w:tentative="1">
      <w:start w:val="1"/>
      <w:numFmt w:val="lowerRoman"/>
      <w:lvlText w:val="%6."/>
      <w:lvlJc w:val="right"/>
      <w:pPr>
        <w:ind w:left="4604" w:hanging="180"/>
      </w:pPr>
    </w:lvl>
    <w:lvl w:ilvl="6" w:tplc="1809000F" w:tentative="1">
      <w:start w:val="1"/>
      <w:numFmt w:val="decimal"/>
      <w:lvlText w:val="%7."/>
      <w:lvlJc w:val="left"/>
      <w:pPr>
        <w:ind w:left="5324" w:hanging="360"/>
      </w:pPr>
    </w:lvl>
    <w:lvl w:ilvl="7" w:tplc="18090019" w:tentative="1">
      <w:start w:val="1"/>
      <w:numFmt w:val="lowerLetter"/>
      <w:lvlText w:val="%8."/>
      <w:lvlJc w:val="left"/>
      <w:pPr>
        <w:ind w:left="6044" w:hanging="360"/>
      </w:pPr>
    </w:lvl>
    <w:lvl w:ilvl="8" w:tplc="1809001B" w:tentative="1">
      <w:start w:val="1"/>
      <w:numFmt w:val="lowerRoman"/>
      <w:lvlText w:val="%9."/>
      <w:lvlJc w:val="right"/>
      <w:pPr>
        <w:ind w:left="6764" w:hanging="180"/>
      </w:pPr>
    </w:lvl>
  </w:abstractNum>
  <w:abstractNum w:abstractNumId="53">
    <w:nsid w:val="52572799"/>
    <w:multiLevelType w:val="hybridMultilevel"/>
    <w:tmpl w:val="94227D74"/>
    <w:lvl w:ilvl="0" w:tplc="01EC09CE">
      <w:start w:val="1"/>
      <w:numFmt w:val="bullet"/>
      <w:lvlText w:val=""/>
      <w:lvlJc w:val="left"/>
      <w:pPr>
        <w:ind w:left="776" w:hanging="360"/>
      </w:pPr>
      <w:rPr>
        <w:rFonts w:ascii="Symbol" w:hAnsi="Symbol"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54">
    <w:nsid w:val="551140C3"/>
    <w:multiLevelType w:val="hybridMultilevel"/>
    <w:tmpl w:val="519081A6"/>
    <w:lvl w:ilvl="0" w:tplc="0809000D">
      <w:start w:val="1"/>
      <w:numFmt w:val="bullet"/>
      <w:lvlText w:val=""/>
      <w:lvlJc w:val="left"/>
      <w:pPr>
        <w:ind w:left="1004" w:hanging="360"/>
      </w:pPr>
      <w:rPr>
        <w:rFonts w:ascii="Wingdings" w:hAnsi="Wingdings"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55">
    <w:nsid w:val="552E0638"/>
    <w:multiLevelType w:val="hybridMultilevel"/>
    <w:tmpl w:val="6F9ABF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5AE55089"/>
    <w:multiLevelType w:val="hybridMultilevel"/>
    <w:tmpl w:val="C66CCF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5BA05A64"/>
    <w:multiLevelType w:val="hybridMultilevel"/>
    <w:tmpl w:val="F6D4A79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8">
    <w:nsid w:val="5DB81C2E"/>
    <w:multiLevelType w:val="hybridMultilevel"/>
    <w:tmpl w:val="74681CFA"/>
    <w:lvl w:ilvl="0" w:tplc="58C6F6EE">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59">
    <w:nsid w:val="5DC46676"/>
    <w:multiLevelType w:val="hybridMultilevel"/>
    <w:tmpl w:val="073AABCA"/>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0">
    <w:nsid w:val="5E0645D0"/>
    <w:multiLevelType w:val="hybridMultilevel"/>
    <w:tmpl w:val="DCD0D572"/>
    <w:lvl w:ilvl="0" w:tplc="3788D696">
      <w:start w:val="1"/>
      <w:numFmt w:val="lowerLetter"/>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1">
    <w:nsid w:val="5F301099"/>
    <w:multiLevelType w:val="hybridMultilevel"/>
    <w:tmpl w:val="BE5A099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2">
    <w:nsid w:val="600456AE"/>
    <w:multiLevelType w:val="hybridMultilevel"/>
    <w:tmpl w:val="EC143BC4"/>
    <w:lvl w:ilvl="0" w:tplc="572220D2">
      <w:start w:val="1"/>
      <w:numFmt w:val="lowerLetter"/>
      <w:lvlText w:val="%1)"/>
      <w:lvlJc w:val="left"/>
      <w:pPr>
        <w:ind w:left="720" w:hanging="360"/>
      </w:pPr>
      <w:rPr>
        <w:rFonts w:ascii="Times New Roman" w:eastAsia="MS Mincho" w:hAnsi="Times New Roman" w:cstheme="minorBidi"/>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3">
    <w:nsid w:val="602375C5"/>
    <w:multiLevelType w:val="hybridMultilevel"/>
    <w:tmpl w:val="AC5CF6F2"/>
    <w:lvl w:ilvl="0" w:tplc="BBDA48CA">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4">
    <w:nsid w:val="62023E3A"/>
    <w:multiLevelType w:val="hybridMultilevel"/>
    <w:tmpl w:val="154A3DF0"/>
    <w:lvl w:ilvl="0" w:tplc="CB9CD5EE">
      <w:start w:val="1"/>
      <w:numFmt w:val="lowerLetter"/>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5">
    <w:nsid w:val="62884E69"/>
    <w:multiLevelType w:val="hybridMultilevel"/>
    <w:tmpl w:val="B2D8AF0A"/>
    <w:lvl w:ilvl="0" w:tplc="7A1E643C">
      <w:start w:val="1"/>
      <w:numFmt w:val="decimal"/>
      <w:lvlText w:val="%1."/>
      <w:lvlJc w:val="left"/>
      <w:pPr>
        <w:ind w:left="1004"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66">
    <w:nsid w:val="62FE0834"/>
    <w:multiLevelType w:val="hybridMultilevel"/>
    <w:tmpl w:val="A5785CB8"/>
    <w:lvl w:ilvl="0" w:tplc="708E89BE">
      <w:start w:val="1"/>
      <w:numFmt w:val="lowerLetter"/>
      <w:lvlText w:val="%1)"/>
      <w:lvlJc w:val="left"/>
      <w:pPr>
        <w:ind w:left="360" w:hanging="360"/>
      </w:pPr>
      <w:rPr>
        <w:rFonts w:hint="default"/>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67">
    <w:nsid w:val="64247FB4"/>
    <w:multiLevelType w:val="hybridMultilevel"/>
    <w:tmpl w:val="C6CAB8B2"/>
    <w:lvl w:ilvl="0" w:tplc="01EC09C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nsid w:val="65900898"/>
    <w:multiLevelType w:val="hybridMultilevel"/>
    <w:tmpl w:val="E0FCDF4E"/>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69">
    <w:nsid w:val="65AE0F4C"/>
    <w:multiLevelType w:val="hybridMultilevel"/>
    <w:tmpl w:val="370AE3C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0">
    <w:nsid w:val="67E7564C"/>
    <w:multiLevelType w:val="hybridMultilevel"/>
    <w:tmpl w:val="F0768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nsid w:val="6ABE3832"/>
    <w:multiLevelType w:val="hybridMultilevel"/>
    <w:tmpl w:val="0FA6950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2">
    <w:nsid w:val="6C7D5596"/>
    <w:multiLevelType w:val="hybridMultilevel"/>
    <w:tmpl w:val="4ABC6AFA"/>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73">
    <w:nsid w:val="6E0A4F56"/>
    <w:multiLevelType w:val="hybridMultilevel"/>
    <w:tmpl w:val="A92CA8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6E661850"/>
    <w:multiLevelType w:val="hybridMultilevel"/>
    <w:tmpl w:val="0EA06534"/>
    <w:lvl w:ilvl="0" w:tplc="18090017">
      <w:start w:val="1"/>
      <w:numFmt w:val="lowerLetter"/>
      <w:lvlText w:val="%1)"/>
      <w:lvlJc w:val="left"/>
      <w:pPr>
        <w:ind w:left="360" w:hanging="360"/>
      </w:p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75">
    <w:nsid w:val="6FD47AD7"/>
    <w:multiLevelType w:val="hybridMultilevel"/>
    <w:tmpl w:val="1A48BB4A"/>
    <w:lvl w:ilvl="0" w:tplc="AD54248A">
      <w:start w:val="1"/>
      <w:numFmt w:val="lowerLetter"/>
      <w:lvlText w:val="%1)"/>
      <w:lvlJc w:val="left"/>
      <w:pPr>
        <w:ind w:left="360" w:hanging="360"/>
      </w:pPr>
      <w:rPr>
        <w:rFonts w:ascii="Times New Roman" w:hAnsi="Times New Roman" w:hint="default"/>
        <w:b w:val="0"/>
        <w:i w:val="0"/>
        <w:sz w:val="19"/>
      </w:rPr>
    </w:lvl>
    <w:lvl w:ilvl="1" w:tplc="18090019" w:tentative="1">
      <w:start w:val="1"/>
      <w:numFmt w:val="lowerLetter"/>
      <w:lvlText w:val="%2."/>
      <w:lvlJc w:val="left"/>
      <w:pPr>
        <w:ind w:left="1080" w:hanging="360"/>
      </w:pPr>
    </w:lvl>
    <w:lvl w:ilvl="2" w:tplc="1809001B" w:tentative="1">
      <w:start w:val="1"/>
      <w:numFmt w:val="lowerRoman"/>
      <w:lvlText w:val="%3."/>
      <w:lvlJc w:val="right"/>
      <w:pPr>
        <w:ind w:left="1800" w:hanging="180"/>
      </w:pPr>
    </w:lvl>
    <w:lvl w:ilvl="3" w:tplc="1809000F" w:tentative="1">
      <w:start w:val="1"/>
      <w:numFmt w:val="decimal"/>
      <w:lvlText w:val="%4."/>
      <w:lvlJc w:val="left"/>
      <w:pPr>
        <w:ind w:left="2520" w:hanging="360"/>
      </w:pPr>
    </w:lvl>
    <w:lvl w:ilvl="4" w:tplc="18090019" w:tentative="1">
      <w:start w:val="1"/>
      <w:numFmt w:val="lowerLetter"/>
      <w:lvlText w:val="%5."/>
      <w:lvlJc w:val="left"/>
      <w:pPr>
        <w:ind w:left="3240" w:hanging="360"/>
      </w:pPr>
    </w:lvl>
    <w:lvl w:ilvl="5" w:tplc="1809001B" w:tentative="1">
      <w:start w:val="1"/>
      <w:numFmt w:val="lowerRoman"/>
      <w:lvlText w:val="%6."/>
      <w:lvlJc w:val="right"/>
      <w:pPr>
        <w:ind w:left="3960" w:hanging="180"/>
      </w:pPr>
    </w:lvl>
    <w:lvl w:ilvl="6" w:tplc="1809000F" w:tentative="1">
      <w:start w:val="1"/>
      <w:numFmt w:val="decimal"/>
      <w:lvlText w:val="%7."/>
      <w:lvlJc w:val="left"/>
      <w:pPr>
        <w:ind w:left="4680" w:hanging="360"/>
      </w:pPr>
    </w:lvl>
    <w:lvl w:ilvl="7" w:tplc="18090019" w:tentative="1">
      <w:start w:val="1"/>
      <w:numFmt w:val="lowerLetter"/>
      <w:lvlText w:val="%8."/>
      <w:lvlJc w:val="left"/>
      <w:pPr>
        <w:ind w:left="5400" w:hanging="360"/>
      </w:pPr>
    </w:lvl>
    <w:lvl w:ilvl="8" w:tplc="1809001B" w:tentative="1">
      <w:start w:val="1"/>
      <w:numFmt w:val="lowerRoman"/>
      <w:lvlText w:val="%9."/>
      <w:lvlJc w:val="right"/>
      <w:pPr>
        <w:ind w:left="6120" w:hanging="180"/>
      </w:pPr>
    </w:lvl>
  </w:abstractNum>
  <w:abstractNum w:abstractNumId="76">
    <w:nsid w:val="74554005"/>
    <w:multiLevelType w:val="hybridMultilevel"/>
    <w:tmpl w:val="9BA23EC2"/>
    <w:lvl w:ilvl="0" w:tplc="AE6CE842">
      <w:start w:val="1"/>
      <w:numFmt w:val="decimal"/>
      <w:lvlText w:val="%1."/>
      <w:lvlJc w:val="left"/>
      <w:pPr>
        <w:ind w:left="1004"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7">
    <w:nsid w:val="74D973F1"/>
    <w:multiLevelType w:val="hybridMultilevel"/>
    <w:tmpl w:val="55D8D53C"/>
    <w:lvl w:ilvl="0" w:tplc="AACCF756">
      <w:start w:val="1"/>
      <w:numFmt w:val="upperRoman"/>
      <w:lvlText w:val="%1."/>
      <w:lvlJc w:val="left"/>
      <w:pPr>
        <w:ind w:left="1080" w:hanging="720"/>
      </w:pPr>
      <w:rPr>
        <w:rFonts w:cstheme="minorBidi"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78">
    <w:nsid w:val="74E00D76"/>
    <w:multiLevelType w:val="hybridMultilevel"/>
    <w:tmpl w:val="1352A5D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79">
    <w:nsid w:val="772359D3"/>
    <w:multiLevelType w:val="hybridMultilevel"/>
    <w:tmpl w:val="805850C6"/>
    <w:lvl w:ilvl="0" w:tplc="0809000B">
      <w:start w:val="1"/>
      <w:numFmt w:val="bullet"/>
      <w:lvlText w:val=""/>
      <w:lvlJc w:val="left"/>
      <w:pPr>
        <w:ind w:left="776" w:hanging="360"/>
      </w:pPr>
      <w:rPr>
        <w:rFonts w:ascii="Wingdings" w:hAnsi="Wingdings" w:hint="default"/>
      </w:rPr>
    </w:lvl>
    <w:lvl w:ilvl="1" w:tplc="08090003" w:tentative="1">
      <w:start w:val="1"/>
      <w:numFmt w:val="bullet"/>
      <w:lvlText w:val="o"/>
      <w:lvlJc w:val="left"/>
      <w:pPr>
        <w:ind w:left="1496" w:hanging="360"/>
      </w:pPr>
      <w:rPr>
        <w:rFonts w:ascii="Courier New" w:hAnsi="Courier New" w:cs="Courier New" w:hint="default"/>
      </w:rPr>
    </w:lvl>
    <w:lvl w:ilvl="2" w:tplc="08090005" w:tentative="1">
      <w:start w:val="1"/>
      <w:numFmt w:val="bullet"/>
      <w:lvlText w:val=""/>
      <w:lvlJc w:val="left"/>
      <w:pPr>
        <w:ind w:left="2216" w:hanging="360"/>
      </w:pPr>
      <w:rPr>
        <w:rFonts w:ascii="Wingdings" w:hAnsi="Wingdings" w:hint="default"/>
      </w:rPr>
    </w:lvl>
    <w:lvl w:ilvl="3" w:tplc="08090001" w:tentative="1">
      <w:start w:val="1"/>
      <w:numFmt w:val="bullet"/>
      <w:lvlText w:val=""/>
      <w:lvlJc w:val="left"/>
      <w:pPr>
        <w:ind w:left="2936" w:hanging="360"/>
      </w:pPr>
      <w:rPr>
        <w:rFonts w:ascii="Symbol" w:hAnsi="Symbol" w:hint="default"/>
      </w:rPr>
    </w:lvl>
    <w:lvl w:ilvl="4" w:tplc="08090003" w:tentative="1">
      <w:start w:val="1"/>
      <w:numFmt w:val="bullet"/>
      <w:lvlText w:val="o"/>
      <w:lvlJc w:val="left"/>
      <w:pPr>
        <w:ind w:left="3656" w:hanging="360"/>
      </w:pPr>
      <w:rPr>
        <w:rFonts w:ascii="Courier New" w:hAnsi="Courier New" w:cs="Courier New" w:hint="default"/>
      </w:rPr>
    </w:lvl>
    <w:lvl w:ilvl="5" w:tplc="08090005" w:tentative="1">
      <w:start w:val="1"/>
      <w:numFmt w:val="bullet"/>
      <w:lvlText w:val=""/>
      <w:lvlJc w:val="left"/>
      <w:pPr>
        <w:ind w:left="4376" w:hanging="360"/>
      </w:pPr>
      <w:rPr>
        <w:rFonts w:ascii="Wingdings" w:hAnsi="Wingdings" w:hint="default"/>
      </w:rPr>
    </w:lvl>
    <w:lvl w:ilvl="6" w:tplc="08090001" w:tentative="1">
      <w:start w:val="1"/>
      <w:numFmt w:val="bullet"/>
      <w:lvlText w:val=""/>
      <w:lvlJc w:val="left"/>
      <w:pPr>
        <w:ind w:left="5096" w:hanging="360"/>
      </w:pPr>
      <w:rPr>
        <w:rFonts w:ascii="Symbol" w:hAnsi="Symbol" w:hint="default"/>
      </w:rPr>
    </w:lvl>
    <w:lvl w:ilvl="7" w:tplc="08090003" w:tentative="1">
      <w:start w:val="1"/>
      <w:numFmt w:val="bullet"/>
      <w:lvlText w:val="o"/>
      <w:lvlJc w:val="left"/>
      <w:pPr>
        <w:ind w:left="5816" w:hanging="360"/>
      </w:pPr>
      <w:rPr>
        <w:rFonts w:ascii="Courier New" w:hAnsi="Courier New" w:cs="Courier New" w:hint="default"/>
      </w:rPr>
    </w:lvl>
    <w:lvl w:ilvl="8" w:tplc="08090005" w:tentative="1">
      <w:start w:val="1"/>
      <w:numFmt w:val="bullet"/>
      <w:lvlText w:val=""/>
      <w:lvlJc w:val="left"/>
      <w:pPr>
        <w:ind w:left="6536" w:hanging="360"/>
      </w:pPr>
      <w:rPr>
        <w:rFonts w:ascii="Wingdings" w:hAnsi="Wingdings" w:hint="default"/>
      </w:rPr>
    </w:lvl>
  </w:abstractNum>
  <w:abstractNum w:abstractNumId="80">
    <w:nsid w:val="783309DB"/>
    <w:multiLevelType w:val="hybridMultilevel"/>
    <w:tmpl w:val="A8D6CD5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81">
    <w:nsid w:val="7C093513"/>
    <w:multiLevelType w:val="hybridMultilevel"/>
    <w:tmpl w:val="C34CD352"/>
    <w:lvl w:ilvl="0" w:tplc="080C0001">
      <w:start w:val="1"/>
      <w:numFmt w:val="bullet"/>
      <w:lvlText w:val=""/>
      <w:lvlJc w:val="left"/>
      <w:pPr>
        <w:ind w:left="720" w:hanging="360"/>
      </w:pPr>
      <w:rPr>
        <w:rFonts w:ascii="Symbol" w:hAnsi="Symbo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2">
    <w:nsid w:val="7C7851C6"/>
    <w:multiLevelType w:val="hybridMultilevel"/>
    <w:tmpl w:val="AD16ABA2"/>
    <w:lvl w:ilvl="0" w:tplc="18090001">
      <w:start w:val="1"/>
      <w:numFmt w:val="bullet"/>
      <w:lvlText w:val=""/>
      <w:lvlJc w:val="left"/>
      <w:pPr>
        <w:ind w:left="360" w:hanging="360"/>
      </w:pPr>
      <w:rPr>
        <w:rFonts w:ascii="Symbol" w:hAnsi="Symbol" w:hint="default"/>
      </w:rPr>
    </w:lvl>
    <w:lvl w:ilvl="1" w:tplc="18090003" w:tentative="1">
      <w:start w:val="1"/>
      <w:numFmt w:val="bullet"/>
      <w:lvlText w:val="o"/>
      <w:lvlJc w:val="left"/>
      <w:pPr>
        <w:ind w:left="1080" w:hanging="360"/>
      </w:pPr>
      <w:rPr>
        <w:rFonts w:ascii="Courier New" w:hAnsi="Courier New" w:cs="Courier New" w:hint="default"/>
      </w:rPr>
    </w:lvl>
    <w:lvl w:ilvl="2" w:tplc="18090005" w:tentative="1">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83">
    <w:nsid w:val="7D9F1F10"/>
    <w:multiLevelType w:val="hybridMultilevel"/>
    <w:tmpl w:val="D956314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4">
    <w:nsid w:val="7F472B74"/>
    <w:multiLevelType w:val="hybridMultilevel"/>
    <w:tmpl w:val="87FC4158"/>
    <w:lvl w:ilvl="0" w:tplc="1E6A1EA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7FA11929"/>
    <w:multiLevelType w:val="hybridMultilevel"/>
    <w:tmpl w:val="CEE0EBAC"/>
    <w:lvl w:ilvl="0" w:tplc="1438E9F6">
      <w:start w:val="1"/>
      <w:numFmt w:val="lowerLetter"/>
      <w:lvlText w:val="%1)"/>
      <w:lvlJc w:val="left"/>
      <w:pPr>
        <w:ind w:left="36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86">
    <w:nsid w:val="7FA77C53"/>
    <w:multiLevelType w:val="hybridMultilevel"/>
    <w:tmpl w:val="A2C4AEBE"/>
    <w:lvl w:ilvl="0" w:tplc="08090003">
      <w:start w:val="1"/>
      <w:numFmt w:val="bullet"/>
      <w:lvlText w:val="o"/>
      <w:lvlJc w:val="left"/>
      <w:pPr>
        <w:ind w:left="1004" w:hanging="360"/>
      </w:pPr>
      <w:rPr>
        <w:rFonts w:ascii="Courier New" w:hAnsi="Courier New" w:cs="Courier New"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num w:numId="1">
    <w:abstractNumId w:val="33"/>
  </w:num>
  <w:num w:numId="2">
    <w:abstractNumId w:val="56"/>
  </w:num>
  <w:num w:numId="3">
    <w:abstractNumId w:val="6"/>
  </w:num>
  <w:num w:numId="4">
    <w:abstractNumId w:val="72"/>
  </w:num>
  <w:num w:numId="5">
    <w:abstractNumId w:val="42"/>
  </w:num>
  <w:num w:numId="6">
    <w:abstractNumId w:val="66"/>
  </w:num>
  <w:num w:numId="7">
    <w:abstractNumId w:val="24"/>
  </w:num>
  <w:num w:numId="8">
    <w:abstractNumId w:val="74"/>
  </w:num>
  <w:num w:numId="9">
    <w:abstractNumId w:val="15"/>
  </w:num>
  <w:num w:numId="10">
    <w:abstractNumId w:val="58"/>
  </w:num>
  <w:num w:numId="11">
    <w:abstractNumId w:val="16"/>
  </w:num>
  <w:num w:numId="12">
    <w:abstractNumId w:val="37"/>
  </w:num>
  <w:num w:numId="13">
    <w:abstractNumId w:val="40"/>
  </w:num>
  <w:num w:numId="14">
    <w:abstractNumId w:val="25"/>
  </w:num>
  <w:num w:numId="15">
    <w:abstractNumId w:val="73"/>
  </w:num>
  <w:num w:numId="16">
    <w:abstractNumId w:val="77"/>
  </w:num>
  <w:num w:numId="17">
    <w:abstractNumId w:val="64"/>
  </w:num>
  <w:num w:numId="18">
    <w:abstractNumId w:val="75"/>
  </w:num>
  <w:num w:numId="19">
    <w:abstractNumId w:val="85"/>
  </w:num>
  <w:num w:numId="20">
    <w:abstractNumId w:val="60"/>
  </w:num>
  <w:num w:numId="21">
    <w:abstractNumId w:val="79"/>
  </w:num>
  <w:num w:numId="22">
    <w:abstractNumId w:val="44"/>
  </w:num>
  <w:num w:numId="23">
    <w:abstractNumId w:val="20"/>
  </w:num>
  <w:num w:numId="24">
    <w:abstractNumId w:val="51"/>
  </w:num>
  <w:num w:numId="25">
    <w:abstractNumId w:val="17"/>
  </w:num>
  <w:num w:numId="26">
    <w:abstractNumId w:val="45"/>
  </w:num>
  <w:num w:numId="27">
    <w:abstractNumId w:val="41"/>
  </w:num>
  <w:num w:numId="28">
    <w:abstractNumId w:val="55"/>
  </w:num>
  <w:num w:numId="29">
    <w:abstractNumId w:val="34"/>
  </w:num>
  <w:num w:numId="30">
    <w:abstractNumId w:val="53"/>
  </w:num>
  <w:num w:numId="31">
    <w:abstractNumId w:val="10"/>
  </w:num>
  <w:num w:numId="32">
    <w:abstractNumId w:val="83"/>
  </w:num>
  <w:num w:numId="33">
    <w:abstractNumId w:val="14"/>
  </w:num>
  <w:num w:numId="34">
    <w:abstractNumId w:val="86"/>
  </w:num>
  <w:num w:numId="35">
    <w:abstractNumId w:val="22"/>
  </w:num>
  <w:num w:numId="36">
    <w:abstractNumId w:val="11"/>
  </w:num>
  <w:num w:numId="37">
    <w:abstractNumId w:val="67"/>
  </w:num>
  <w:num w:numId="38">
    <w:abstractNumId w:val="27"/>
  </w:num>
  <w:num w:numId="39">
    <w:abstractNumId w:val="46"/>
  </w:num>
  <w:num w:numId="40">
    <w:abstractNumId w:val="54"/>
  </w:num>
  <w:num w:numId="41">
    <w:abstractNumId w:val="23"/>
  </w:num>
  <w:num w:numId="42">
    <w:abstractNumId w:val="43"/>
  </w:num>
  <w:num w:numId="43">
    <w:abstractNumId w:val="21"/>
  </w:num>
  <w:num w:numId="44">
    <w:abstractNumId w:val="62"/>
  </w:num>
  <w:num w:numId="45">
    <w:abstractNumId w:val="52"/>
  </w:num>
  <w:num w:numId="46">
    <w:abstractNumId w:val="48"/>
  </w:num>
  <w:num w:numId="47">
    <w:abstractNumId w:val="65"/>
  </w:num>
  <w:num w:numId="48">
    <w:abstractNumId w:val="76"/>
  </w:num>
  <w:num w:numId="49">
    <w:abstractNumId w:val="36"/>
  </w:num>
  <w:num w:numId="50">
    <w:abstractNumId w:val="19"/>
  </w:num>
  <w:num w:numId="51">
    <w:abstractNumId w:val="1"/>
  </w:num>
  <w:num w:numId="52">
    <w:abstractNumId w:val="7"/>
  </w:num>
  <w:num w:numId="53">
    <w:abstractNumId w:val="8"/>
  </w:num>
  <w:num w:numId="54">
    <w:abstractNumId w:val="12"/>
  </w:num>
  <w:num w:numId="55">
    <w:abstractNumId w:val="63"/>
  </w:num>
  <w:num w:numId="56">
    <w:abstractNumId w:val="26"/>
  </w:num>
  <w:num w:numId="57">
    <w:abstractNumId w:val="39"/>
  </w:num>
  <w:num w:numId="58">
    <w:abstractNumId w:val="13"/>
  </w:num>
  <w:num w:numId="59">
    <w:abstractNumId w:val="0"/>
  </w:num>
  <w:num w:numId="60">
    <w:abstractNumId w:val="18"/>
  </w:num>
  <w:num w:numId="61">
    <w:abstractNumId w:val="30"/>
  </w:num>
  <w:num w:numId="62">
    <w:abstractNumId w:val="68"/>
  </w:num>
  <w:num w:numId="63">
    <w:abstractNumId w:val="57"/>
  </w:num>
  <w:num w:numId="64">
    <w:abstractNumId w:val="59"/>
  </w:num>
  <w:num w:numId="65">
    <w:abstractNumId w:val="28"/>
  </w:num>
  <w:num w:numId="66">
    <w:abstractNumId w:val="80"/>
  </w:num>
  <w:num w:numId="67">
    <w:abstractNumId w:val="31"/>
  </w:num>
  <w:num w:numId="68">
    <w:abstractNumId w:val="4"/>
  </w:num>
  <w:num w:numId="69">
    <w:abstractNumId w:val="71"/>
  </w:num>
  <w:num w:numId="70">
    <w:abstractNumId w:val="82"/>
  </w:num>
  <w:num w:numId="71">
    <w:abstractNumId w:val="9"/>
  </w:num>
  <w:num w:numId="72">
    <w:abstractNumId w:val="50"/>
  </w:num>
  <w:num w:numId="73">
    <w:abstractNumId w:val="3"/>
  </w:num>
  <w:num w:numId="74">
    <w:abstractNumId w:val="61"/>
  </w:num>
  <w:num w:numId="75">
    <w:abstractNumId w:val="78"/>
  </w:num>
  <w:num w:numId="76">
    <w:abstractNumId w:val="69"/>
  </w:num>
  <w:num w:numId="77">
    <w:abstractNumId w:val="35"/>
  </w:num>
  <w:num w:numId="78">
    <w:abstractNumId w:val="5"/>
  </w:num>
  <w:num w:numId="79">
    <w:abstractNumId w:val="84"/>
  </w:num>
  <w:num w:numId="80">
    <w:abstractNumId w:val="70"/>
  </w:num>
  <w:num w:numId="81">
    <w:abstractNumId w:val="32"/>
  </w:num>
  <w:num w:numId="82">
    <w:abstractNumId w:val="81"/>
  </w:num>
  <w:num w:numId="83">
    <w:abstractNumId w:val="38"/>
  </w:num>
  <w:num w:numId="84">
    <w:abstractNumId w:val="29"/>
  </w:num>
  <w:num w:numId="85">
    <w:abstractNumId w:val="49"/>
  </w:num>
  <w:num w:numId="86">
    <w:abstractNumId w:val="47"/>
  </w:num>
  <w:num w:numId="87">
    <w:abstractNumId w:val="2"/>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pt-PT" w:vendorID="64" w:dllVersion="131078" w:nlCheck="1" w:checkStyle="0"/>
  <w:activeWritingStyle w:appName="MSWord" w:lang="en-GB" w:vendorID="64" w:dllVersion="131078" w:nlCheck="1" w:checkStyle="1"/>
  <w:activeWritingStyle w:appName="MSWord" w:lang="en-US" w:vendorID="64" w:dllVersion="131078" w:nlCheck="1" w:checkStyle="1"/>
  <w:activeWritingStyle w:appName="MSWord" w:lang="en-IE" w:vendorID="64" w:dllVersion="131078" w:nlCheck="1" w:checkStyle="1"/>
  <w:revisionView w:markup="0"/>
  <w:defaultTabStop w:val="720"/>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DocStatus" w:val="Green"/>
    <w:docVar w:name="LW_CORRIGENDUM" w:val="&lt;UNUSED&gt;"/>
    <w:docVar w:name="LW_COVERPAGE_EXISTS" w:val="True"/>
    <w:docVar w:name="LW_COVERPAGE_GUID" w:val="AB1F611A-B484-4F1B-BF95-0A66E831089C"/>
    <w:docVar w:name="LW_COVERPAGE_TYPE" w:val="1"/>
    <w:docVar w:name="LW_CROSSREFERENCE" w:val="{SWD(2020) 530 final}"/>
    <w:docVar w:name="LW_DocType" w:val="NORMAL"/>
    <w:docVar w:name="LW_EMISSION" w:val="2020.10.7."/>
    <w:docVar w:name="LW_EMISSION_ISODATE" w:val="2020-10-07"/>
    <w:docVar w:name="LW_EMISSION_LOCATION" w:val="BRX"/>
    <w:docVar w:name="LW_EMISSION_PREFIX" w:val="Brüsszel, "/>
    <w:docVar w:name="LW_EMISSION_SUFFIX" w:val=" "/>
    <w:docVar w:name="LW_ID_DOCTYPE_NONLW" w:val="CP-012"/>
    <w:docVar w:name="LW_LANGUE" w:val="HU"/>
    <w:docVar w:name="LW_LEVEL_OF_SENSITIVITY" w:val="Standard treatment"/>
    <w:docVar w:name="LW_NOM.INST" w:val="EURÓPAI BIZOTTSÁG"/>
    <w:docVar w:name="LW_NOM.INST_JOINTDOC" w:val="&lt;EMPTY&gt;"/>
    <w:docVar w:name="LW_PART_NBR" w:val="1"/>
    <w:docVar w:name="LW_PART_NBR_TOTAL" w:val="1"/>
    <w:docVar w:name="LW_REF.INST.NEW" w:val="COM"/>
    <w:docVar w:name="LW_REF.INST.NEW_ADOPTED" w:val="final"/>
    <w:docVar w:name="LW_REF.INST.NEW_TEXT" w:val="(2020) 620"/>
    <w:docVar w:name="LW_REF.INTERNE" w:val="&lt;UNUSED&gt;"/>
    <w:docVar w:name="LW_SENSITIVITY" w:val="&lt;?xml version=&quot;1.0&quot; encoding=&quot;utf-8&quot;?&gt;_x000d__x000a_&lt;SensitivityLevel xmlns:xsi=&quot;http://www.w3.org/2001/XMLSchema-instance&quot; xmlns:xsd=&quot;http://www.w3.org/2001/XMLSchema&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UPERTITRE" w:val="&lt;UNUSED&gt;"/>
    <w:docVar w:name="LW_TITRE.OBJ.CP" w:val="Egyenl\u337?ségközpontú Unió:_x000d__x000d__x000d__x000d__x000d__x000d__x000d__x000b_a romák egyenl\u337?ségének, társadalmi befogadásának és részvételének el\u337?mozdítását célzó uniós stratégiai keretrendszer"/>
    <w:docVar w:name="LW_TYPE.DOC.CP" w:val="A BIZOTTSÁG KÖZLEMÉNYE AZ EURÓPAI PARLAMENTNEK ÉS A TANÁCSNAK"/>
    <w:docVar w:name="LW_TYPE.DOC.CP.USERTEXT" w:val="&lt;EMPTY&gt;"/>
    <w:docVar w:name="Stamp" w:val="\\dossiers.dgt.cec.eu.int\dossiers\JUST\JUST-2020-03278\JUST-2020-03278-00-00-EN-EDT-00.202007070939270366446.DOCX"/>
  </w:docVar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customStyle="1" w:styleId="HeaderSensitivityRight">
    <w:name w:val="Header Sensitivity Right"/>
    <w:basedOn w:val="Normal"/>
    <w:link w:val="HeaderSensitivityRightChar"/>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Pr>
      <w:rFonts w:ascii="Times New Roman" w:hAnsi="Times New Roman" w:cs="Times New Roman"/>
      <w:sz w:val="28"/>
    </w:rPr>
  </w:style>
  <w:style w:type="paragraph" w:styleId="ListParagraph">
    <w:name w:val="List Paragraph"/>
    <w:aliases w:val="1st level - Bullet List Paragraph,List Paragraph1,Lettre d'introduction,Paragrafo elenco,Medium Grid 1 - Accent 21,Fiche List Paragraph,body,Odsek zoznamu2,Odsek zoznamu1,3,Bullet 1,Bullet Points,Colorful List - Accent 11,Dot pt,2"/>
    <w:basedOn w:val="Normal"/>
    <w:link w:val="ListParagraphChar"/>
    <w:uiPriority w:val="34"/>
    <w:qFormat/>
    <w:pPr>
      <w:spacing w:after="120" w:line="259" w:lineRule="auto"/>
      <w:ind w:left="720"/>
      <w:contextualSpacing/>
      <w:jc w:val="both"/>
    </w:pPr>
    <w:rPr>
      <w:rFonts w:ascii="Verdana" w:eastAsia="Times New Roman" w:hAnsi="Verdana" w:cs="Times New Roman"/>
      <w:sz w:val="20"/>
      <w:szCs w:val="20"/>
      <w:lang w:eastAsia="en-GB"/>
    </w:rPr>
  </w:style>
  <w:style w:type="character" w:styleId="FootnoteReference">
    <w:name w:val="footnote reference"/>
    <w:aliases w:val="Footnote Reference Superscript,Footnote Reference/,Footnote symbol,Odwołanie przypisu,Times 10 Point,Exposant 3 Point,footnote ref, Exposant 3 Point,EN Footnote Reference,number,SUPERS,ftref,Footnote reference number,Ref,B2,BVI fnr"/>
    <w:basedOn w:val="DefaultParagraphFont"/>
    <w:link w:val="BVIfnrCarCarCarCarCharCharCharCharCar"/>
    <w:uiPriority w:val="99"/>
    <w:qFormat/>
    <w:rPr>
      <w:vertAlign w:val="superscript"/>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Footnote Text_EP-LC"/>
    <w:basedOn w:val="Normal"/>
    <w:uiPriority w:val="99"/>
    <w:unhideWhenUsed/>
    <w:qFormat/>
    <w:pPr>
      <w:spacing w:after="0" w:line="240" w:lineRule="auto"/>
    </w:pPr>
    <w:rPr>
      <w:sz w:val="20"/>
      <w:szCs w:val="20"/>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basedOn w:val="DefaultParagraphFont"/>
    <w:uiPriority w:val="99"/>
    <w:qFormat/>
    <w:rPr>
      <w:sz w:val="20"/>
      <w:szCs w:val="20"/>
    </w:rPr>
  </w:style>
  <w:style w:type="character" w:styleId="Hyperlink">
    <w:name w:val="Hyperlink"/>
    <w:basedOn w:val="DefaultParagraphFont"/>
    <w:uiPriority w:val="99"/>
    <w:unhideWhenUsed/>
    <w:rPr>
      <w:color w:val="0000FF" w:themeColor="hyperlink"/>
      <w:u w:val="single"/>
    </w:rPr>
  </w:style>
  <w:style w:type="paragraph" w:customStyle="1" w:styleId="BVIfnrCarCarCarCarCharCharCharCharCar">
    <w:name w:val="BVI fnr Car Car Car Car Char Char Char Char Car"/>
    <w:aliases w:val="BVI fnr Car Car Car Car Char Char Car,BVI fnr Car Car Car Car Char Char Char Char Char Char Char Char Char Car"/>
    <w:basedOn w:val="Normal"/>
    <w:link w:val="FootnoteReference"/>
    <w:uiPriority w:val="99"/>
    <w:qFormat/>
    <w:pPr>
      <w:spacing w:after="160" w:line="240" w:lineRule="exact"/>
      <w:jc w:val="both"/>
    </w:pPr>
    <w:rPr>
      <w:vertAlign w:val="superscript"/>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after="160"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Revision">
    <w:name w:val="Revision"/>
    <w:hidden/>
    <w:uiPriority w:val="99"/>
    <w:semiHidden/>
    <w:pPr>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pPr>
      <w:spacing w:before="240" w:after="240" w:line="264" w:lineRule="auto"/>
      <w:ind w:left="340" w:hanging="340"/>
      <w:contextualSpacing/>
      <w:jc w:val="both"/>
    </w:pPr>
    <w:rPr>
      <w:rFonts w:ascii="Candara" w:eastAsia="Candara" w:hAnsi="Candara" w:cs="Times New Roman"/>
      <w:szCs w:val="2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mail-msolistparagraph">
    <w:name w:val="gmail-msolistparagraph"/>
    <w:basedOn w:val="Normal"/>
    <w:pPr>
      <w:spacing w:before="100" w:beforeAutospacing="1" w:after="100" w:afterAutospacing="1" w:line="240" w:lineRule="auto"/>
    </w:pPr>
    <w:rPr>
      <w:rFonts w:ascii="Times New Roman" w:hAnsi="Times New Roman" w:cs="Times New Roman"/>
      <w:sz w:val="24"/>
      <w:szCs w:val="24"/>
      <w:lang w:eastAsia="en-IE"/>
    </w:rPr>
  </w:style>
  <w:style w:type="character" w:styleId="FollowedHyperlink">
    <w:name w:val="FollowedHyperlink"/>
    <w:basedOn w:val="DefaultParagraphFont"/>
    <w:uiPriority w:val="99"/>
    <w:semiHidden/>
    <w:unhideWhenUsed/>
    <w:rPr>
      <w:color w:val="800080" w:themeColor="followedHyperlink"/>
      <w:u w:val="single"/>
    </w:rPr>
  </w:style>
  <w:style w:type="table" w:customStyle="1" w:styleId="TableGrid1">
    <w:name w:val="Table Grid1"/>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1st level - Bullet List Paragraph Char,List Paragraph1 Char,Lettre d'introduction Char,Paragrafo elenco Char,Medium Grid 1 - Accent 21 Char,Fiche List Paragraph Char,body Char,Odsek zoznamu2 Char,Odsek zoznamu1 Char,3 Char,2 Char"/>
    <w:link w:val="ListParagraph"/>
    <w:uiPriority w:val="34"/>
    <w:qFormat/>
    <w:locked/>
    <w:rPr>
      <w:rFonts w:ascii="Verdana" w:eastAsia="Times New Roman" w:hAnsi="Verdana" w:cs="Times New Roman"/>
      <w:sz w:val="20"/>
      <w:szCs w:val="20"/>
      <w:lang w:eastAsia="en-GB"/>
    </w:rPr>
  </w:style>
  <w:style w:type="paragraph" w:styleId="PlainText">
    <w:name w:val="Plain Text"/>
    <w:basedOn w:val="Normal"/>
    <w:link w:val="PlainTextChar"/>
    <w:uiPriority w:val="99"/>
    <w:unhideWhenUsed/>
    <w:pPr>
      <w:spacing w:after="0" w:line="240" w:lineRule="auto"/>
    </w:pPr>
    <w:rPr>
      <w:rFonts w:ascii="Calibri" w:hAnsi="Calibri"/>
      <w:szCs w:val="21"/>
    </w:rPr>
  </w:style>
  <w:style w:type="character" w:customStyle="1" w:styleId="PlainTextChar">
    <w:name w:val="Plain Text Char"/>
    <w:basedOn w:val="DefaultParagraphFont"/>
    <w:link w:val="PlainText"/>
    <w:uiPriority w:val="99"/>
    <w:rPr>
      <w:rFonts w:ascii="Calibri" w:hAnsi="Calibri"/>
      <w:szCs w:val="21"/>
      <w:lang w:val="hu-HU"/>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arker">
    <w:name w:val="Marker"/>
    <w:basedOn w:val="DefaultParagraphFont"/>
    <w:rPr>
      <w:color w:val="0000FF"/>
      <w:shd w:val="clear" w:color="auto" w:fill="auto"/>
    </w:rPr>
  </w:style>
  <w:style w:type="paragraph" w:customStyle="1" w:styleId="Pagedecouverture">
    <w:name w:val="Page de couverture"/>
    <w:basedOn w:val="Normal"/>
    <w:next w:val="Normal"/>
    <w:pPr>
      <w:spacing w:after="0" w:line="240" w:lineRule="auto"/>
      <w:jc w:val="both"/>
    </w:pPr>
    <w:rPr>
      <w:rFonts w:ascii="Times New Roman" w:hAnsi="Times New Roman" w:cs="Times New Roman"/>
      <w:sz w:val="24"/>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customStyle="1" w:styleId="FooterCoverPage">
    <w:name w:val="Footer Cover Page"/>
    <w:basedOn w:val="Normal"/>
    <w:link w:val="FooterCoverPageChar"/>
    <w:pPr>
      <w:tabs>
        <w:tab w:val="center" w:pos="4535"/>
        <w:tab w:val="right" w:pos="9071"/>
        <w:tab w:val="right" w:pos="9921"/>
      </w:tabs>
      <w:spacing w:before="360" w:after="0" w:line="240" w:lineRule="auto"/>
      <w:ind w:left="-850" w:right="-850"/>
    </w:pPr>
    <w:rPr>
      <w:rFonts w:ascii="Times New Roman" w:hAnsi="Times New Roman" w:cs="Times New Roman"/>
      <w:sz w:val="24"/>
    </w:rPr>
  </w:style>
  <w:style w:type="character" w:customStyle="1" w:styleId="FooterCoverPageChar">
    <w:name w:val="Footer Cover Page Char"/>
    <w:basedOn w:val="DefaultParagraphFont"/>
    <w:link w:val="FooterCoverPage"/>
    <w:rPr>
      <w:rFonts w:ascii="Times New Roman" w:hAnsi="Times New Roman" w:cs="Times New Roman"/>
      <w:sz w:val="24"/>
    </w:rPr>
  </w:style>
  <w:style w:type="paragraph" w:customStyle="1" w:styleId="FooterSensitivity">
    <w:name w:val="Footer Sensitivity"/>
    <w:basedOn w:val="Normal"/>
    <w:link w:val="FooterSensitivityChar"/>
    <w:pPr>
      <w:pBdr>
        <w:top w:val="single" w:sz="4" w:space="1" w:color="auto"/>
        <w:left w:val="single" w:sz="4" w:space="4" w:color="auto"/>
        <w:bottom w:val="single" w:sz="4" w:space="1" w:color="auto"/>
        <w:right w:val="single" w:sz="4" w:space="4" w:color="auto"/>
      </w:pBdr>
      <w:spacing w:before="360" w:after="0" w:line="240" w:lineRule="auto"/>
      <w:ind w:left="113" w:right="113"/>
      <w:jc w:val="center"/>
    </w:pPr>
    <w:rPr>
      <w:rFonts w:ascii="Times New Roman" w:hAnsi="Times New Roman" w:cs="Times New Roman"/>
      <w:b/>
      <w:sz w:val="32"/>
    </w:rPr>
  </w:style>
  <w:style w:type="character" w:customStyle="1" w:styleId="FooterSensitivityChar">
    <w:name w:val="Footer Sensitivity Char"/>
    <w:basedOn w:val="DefaultParagraphFont"/>
    <w:link w:val="FooterSensitivity"/>
    <w:rPr>
      <w:rFonts w:ascii="Times New Roman" w:hAnsi="Times New Roman" w:cs="Times New Roman"/>
      <w:b/>
      <w:sz w:val="32"/>
    </w:rPr>
  </w:style>
  <w:style w:type="paragraph" w:customStyle="1" w:styleId="HeaderCoverPage">
    <w:name w:val="Header Cover Page"/>
    <w:basedOn w:val="Normal"/>
    <w:link w:val="HeaderCoverPageChar"/>
    <w:pPr>
      <w:tabs>
        <w:tab w:val="center" w:pos="4535"/>
        <w:tab w:val="right" w:pos="9071"/>
      </w:tabs>
      <w:spacing w:after="120" w:line="240" w:lineRule="auto"/>
      <w:jc w:val="both"/>
    </w:pPr>
    <w:rPr>
      <w:rFonts w:ascii="Times New Roman" w:hAnsi="Times New Roman" w:cs="Times New Roman"/>
      <w:sz w:val="24"/>
    </w:rPr>
  </w:style>
  <w:style w:type="character" w:customStyle="1" w:styleId="HeaderCoverPageChar">
    <w:name w:val="Header Cover Page Char"/>
    <w:basedOn w:val="DefaultParagraphFont"/>
    <w:link w:val="HeaderCoverPage"/>
    <w:rPr>
      <w:rFonts w:ascii="Times New Roman" w:hAnsi="Times New Roman" w:cs="Times New Roman"/>
      <w:sz w:val="24"/>
    </w:rPr>
  </w:style>
  <w:style w:type="paragraph" w:customStyle="1" w:styleId="HeaderSensitivity">
    <w:name w:val="Header Sensitivity"/>
    <w:basedOn w:val="Normal"/>
    <w:link w:val="HeaderSensitivityChar"/>
    <w:pPr>
      <w:pBdr>
        <w:top w:val="single" w:sz="4" w:space="1" w:color="auto"/>
        <w:left w:val="single" w:sz="4" w:space="4" w:color="auto"/>
        <w:bottom w:val="single" w:sz="4" w:space="1" w:color="auto"/>
        <w:right w:val="single" w:sz="4" w:space="4" w:color="auto"/>
      </w:pBdr>
      <w:spacing w:after="120" w:line="240" w:lineRule="auto"/>
      <w:ind w:left="113" w:right="113"/>
      <w:jc w:val="center"/>
    </w:pPr>
    <w:rPr>
      <w:rFonts w:ascii="Times New Roman" w:hAnsi="Times New Roman" w:cs="Times New Roman"/>
      <w:b/>
      <w:sz w:val="32"/>
    </w:rPr>
  </w:style>
  <w:style w:type="character" w:customStyle="1" w:styleId="HeaderSensitivityChar">
    <w:name w:val="Header Sensitivity Char"/>
    <w:basedOn w:val="DefaultParagraphFont"/>
    <w:link w:val="HeaderSensitivity"/>
    <w:rPr>
      <w:rFonts w:ascii="Times New Roman" w:hAnsi="Times New Roman" w:cs="Times New Roman"/>
      <w:b/>
      <w:sz w:val="32"/>
    </w:rPr>
  </w:style>
  <w:style w:type="paragraph" w:customStyle="1" w:styleId="HeaderSensitivityRight">
    <w:name w:val="Header Sensitivity Right"/>
    <w:basedOn w:val="Normal"/>
    <w:link w:val="HeaderSensitivityRightChar"/>
    <w:pPr>
      <w:spacing w:after="120" w:line="240" w:lineRule="auto"/>
      <w:jc w:val="right"/>
    </w:pPr>
    <w:rPr>
      <w:rFonts w:ascii="Times New Roman" w:hAnsi="Times New Roman" w:cs="Times New Roman"/>
      <w:sz w:val="28"/>
    </w:rPr>
  </w:style>
  <w:style w:type="character" w:customStyle="1" w:styleId="HeaderSensitivityRightChar">
    <w:name w:val="Header Sensitivity Right Char"/>
    <w:basedOn w:val="DefaultParagraphFont"/>
    <w:link w:val="HeaderSensitivityRight"/>
    <w:rPr>
      <w:rFonts w:ascii="Times New Roman" w:hAnsi="Times New Roman" w:cs="Times New Roman"/>
      <w:sz w:val="28"/>
    </w:rPr>
  </w:style>
  <w:style w:type="paragraph" w:styleId="ListParagraph">
    <w:name w:val="List Paragraph"/>
    <w:aliases w:val="1st level - Bullet List Paragraph,List Paragraph1,Lettre d'introduction,Paragrafo elenco,Medium Grid 1 - Accent 21,Fiche List Paragraph,body,Odsek zoznamu2,Odsek zoznamu1,3,Bullet 1,Bullet Points,Colorful List - Accent 11,Dot pt,2"/>
    <w:basedOn w:val="Normal"/>
    <w:link w:val="ListParagraphChar"/>
    <w:uiPriority w:val="34"/>
    <w:qFormat/>
    <w:pPr>
      <w:spacing w:after="120" w:line="259" w:lineRule="auto"/>
      <w:ind w:left="720"/>
      <w:contextualSpacing/>
      <w:jc w:val="both"/>
    </w:pPr>
    <w:rPr>
      <w:rFonts w:ascii="Verdana" w:eastAsia="Times New Roman" w:hAnsi="Verdana" w:cs="Times New Roman"/>
      <w:sz w:val="20"/>
      <w:szCs w:val="20"/>
      <w:lang w:eastAsia="en-GB"/>
    </w:rPr>
  </w:style>
  <w:style w:type="character" w:styleId="FootnoteReference">
    <w:name w:val="footnote reference"/>
    <w:aliases w:val="Footnote Reference Superscript,Footnote Reference/,Footnote symbol,Odwołanie przypisu,Times 10 Point,Exposant 3 Point,footnote ref, Exposant 3 Point,EN Footnote Reference,number,SUPERS,ftref,Footnote reference number,Ref,B2,BVI fnr"/>
    <w:basedOn w:val="DefaultParagraphFont"/>
    <w:link w:val="BVIfnrCarCarCarCarCharCharCharCharCar"/>
    <w:uiPriority w:val="99"/>
    <w:qFormat/>
    <w:rPr>
      <w:vertAlign w:val="superscript"/>
    </w:rPr>
  </w:style>
  <w:style w:type="paragraph" w:styleId="FootnoteText">
    <w:name w:val="footnote text"/>
    <w:aliases w:val="Char,Fußnote,Carattere,fn,Footnotes,Footnote ak,Footnote Text Char1,Footnote Text Char Char,fn Char Char,footnote text Char Char,Footnotes Char Char,Footnote ak Char Char,fn Char1,footnote text Char1,Footnotes Char1,ft,Footnote Text_EP-LC"/>
    <w:basedOn w:val="Normal"/>
    <w:uiPriority w:val="99"/>
    <w:unhideWhenUsed/>
    <w:qFormat/>
    <w:pPr>
      <w:spacing w:after="0" w:line="240" w:lineRule="auto"/>
    </w:pPr>
    <w:rPr>
      <w:sz w:val="20"/>
      <w:szCs w:val="20"/>
    </w:rPr>
  </w:style>
  <w:style w:type="character" w:customStyle="1" w:styleId="FootnoteTextChar">
    <w:name w:val="Footnote Text Char"/>
    <w:aliases w:val="Char Char,Fußnote Char,Carattere Char,fn Char,Footnotes Char,Footnote ak Char,Footnote Text Char1 Char,Footnote Text Char Char Char,fn Char Char Char,footnote text Char Char Char,Footnotes Char Char Char,Footnote ak Char Char Char"/>
    <w:basedOn w:val="DefaultParagraphFont"/>
    <w:uiPriority w:val="99"/>
    <w:qFormat/>
    <w:rPr>
      <w:sz w:val="20"/>
      <w:szCs w:val="20"/>
    </w:rPr>
  </w:style>
  <w:style w:type="character" w:styleId="Hyperlink">
    <w:name w:val="Hyperlink"/>
    <w:basedOn w:val="DefaultParagraphFont"/>
    <w:uiPriority w:val="99"/>
    <w:unhideWhenUsed/>
    <w:rPr>
      <w:color w:val="0000FF" w:themeColor="hyperlink"/>
      <w:u w:val="single"/>
    </w:rPr>
  </w:style>
  <w:style w:type="paragraph" w:customStyle="1" w:styleId="BVIfnrCarCarCarCarCharCharCharCharCar">
    <w:name w:val="BVI fnr Car Car Car Car Char Char Char Char Car"/>
    <w:aliases w:val="BVI fnr Car Car Car Car Char Char Car,BVI fnr Car Car Car Car Char Char Char Char Char Char Char Char Char Car"/>
    <w:basedOn w:val="Normal"/>
    <w:link w:val="FootnoteReference"/>
    <w:uiPriority w:val="99"/>
    <w:qFormat/>
    <w:pPr>
      <w:spacing w:after="160" w:line="240" w:lineRule="exact"/>
      <w:jc w:val="both"/>
    </w:pPr>
    <w:rPr>
      <w:vertAlign w:val="superscript"/>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unhideWhenUsed/>
    <w:pPr>
      <w:spacing w:after="160"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b/>
      <w:bCs/>
      <w:sz w:val="20"/>
      <w:szCs w:val="20"/>
    </w:rPr>
  </w:style>
  <w:style w:type="paragraph" w:styleId="BalloonText">
    <w:name w:val="Balloon Text"/>
    <w:basedOn w:val="Normal"/>
    <w:link w:val="BalloonTextChar"/>
    <w:uiPriority w:val="99"/>
    <w:semiHidden/>
    <w:unhideWhenUs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Pr>
      <w:rFonts w:ascii="Segoe UI" w:hAnsi="Segoe UI" w:cs="Segoe UI"/>
      <w:sz w:val="18"/>
      <w:szCs w:val="18"/>
    </w:rPr>
  </w:style>
  <w:style w:type="paragraph" w:styleId="Revision">
    <w:name w:val="Revision"/>
    <w:hidden/>
    <w:uiPriority w:val="99"/>
    <w:semiHidden/>
    <w:pPr>
      <w:spacing w:after="0" w:line="240" w:lineRule="auto"/>
    </w:pPr>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avistosa-nfasis11">
    <w:name w:val="Lista vistosa - Énfasis 11"/>
    <w:basedOn w:val="Normal"/>
    <w:uiPriority w:val="34"/>
    <w:qFormat/>
    <w:pPr>
      <w:spacing w:before="240" w:after="240" w:line="264" w:lineRule="auto"/>
      <w:ind w:left="340" w:hanging="340"/>
      <w:contextualSpacing/>
      <w:jc w:val="both"/>
    </w:pPr>
    <w:rPr>
      <w:rFonts w:ascii="Candara" w:eastAsia="Candara" w:hAnsi="Candara" w:cs="Times New Roman"/>
      <w:szCs w:val="20"/>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gmail-msolistparagraph">
    <w:name w:val="gmail-msolistparagraph"/>
    <w:basedOn w:val="Normal"/>
    <w:pPr>
      <w:spacing w:before="100" w:beforeAutospacing="1" w:after="100" w:afterAutospacing="1" w:line="240" w:lineRule="auto"/>
    </w:pPr>
    <w:rPr>
      <w:rFonts w:ascii="Times New Roman" w:hAnsi="Times New Roman" w:cs="Times New Roman"/>
      <w:sz w:val="24"/>
      <w:szCs w:val="24"/>
      <w:lang w:eastAsia="en-IE"/>
    </w:rPr>
  </w:style>
  <w:style w:type="character" w:styleId="FollowedHyperlink">
    <w:name w:val="FollowedHyperlink"/>
    <w:basedOn w:val="DefaultParagraphFont"/>
    <w:uiPriority w:val="99"/>
    <w:semiHidden/>
    <w:unhideWhenUsed/>
    <w:rPr>
      <w:color w:val="800080" w:themeColor="followedHyperlink"/>
      <w:u w:val="single"/>
    </w:rPr>
  </w:style>
  <w:style w:type="table" w:customStyle="1" w:styleId="TableGrid1">
    <w:name w:val="Table Grid1"/>
    <w:basedOn w:val="TableNormal"/>
    <w:next w:val="TableGrid"/>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1st level - Bullet List Paragraph Char,List Paragraph1 Char,Lettre d'introduction Char,Paragrafo elenco Char,Medium Grid 1 - Accent 21 Char,Fiche List Paragraph Char,body Char,Odsek zoznamu2 Char,Odsek zoznamu1 Char,3 Char,2 Char"/>
    <w:link w:val="ListParagraph"/>
    <w:uiPriority w:val="34"/>
    <w:qFormat/>
    <w:locked/>
    <w:rPr>
      <w:rFonts w:ascii="Verdana" w:eastAsia="Times New Roman" w:hAnsi="Verdana" w:cs="Times New Roman"/>
      <w:sz w:val="20"/>
      <w:szCs w:val="20"/>
      <w:lang w:eastAsia="en-GB"/>
    </w:rPr>
  </w:style>
  <w:style w:type="paragraph" w:styleId="PlainText">
    <w:name w:val="Plain Text"/>
    <w:basedOn w:val="Normal"/>
    <w:link w:val="PlainTextChar"/>
    <w:uiPriority w:val="99"/>
    <w:unhideWhenUsed/>
    <w:pPr>
      <w:spacing w:after="0" w:line="240" w:lineRule="auto"/>
    </w:pPr>
    <w:rPr>
      <w:rFonts w:ascii="Calibri" w:hAnsi="Calibri"/>
      <w:szCs w:val="21"/>
    </w:rPr>
  </w:style>
  <w:style w:type="character" w:customStyle="1" w:styleId="PlainTextChar">
    <w:name w:val="Plain Text Char"/>
    <w:basedOn w:val="DefaultParagraphFont"/>
    <w:link w:val="PlainText"/>
    <w:uiPriority w:val="99"/>
    <w:rPr>
      <w:rFonts w:ascii="Calibri" w:hAnsi="Calibri"/>
      <w:szCs w:val="21"/>
      <w:lang w:val="hu-HU"/>
    </w:rPr>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5852194">
      <w:bodyDiv w:val="1"/>
      <w:marLeft w:val="0"/>
      <w:marRight w:val="0"/>
      <w:marTop w:val="0"/>
      <w:marBottom w:val="0"/>
      <w:divBdr>
        <w:top w:val="none" w:sz="0" w:space="0" w:color="auto"/>
        <w:left w:val="none" w:sz="0" w:space="0" w:color="auto"/>
        <w:bottom w:val="none" w:sz="0" w:space="0" w:color="auto"/>
        <w:right w:val="none" w:sz="0" w:space="0" w:color="auto"/>
      </w:divBdr>
    </w:div>
    <w:div w:id="1160386247">
      <w:bodyDiv w:val="1"/>
      <w:marLeft w:val="0"/>
      <w:marRight w:val="0"/>
      <w:marTop w:val="0"/>
      <w:marBottom w:val="0"/>
      <w:divBdr>
        <w:top w:val="none" w:sz="0" w:space="0" w:color="auto"/>
        <w:left w:val="none" w:sz="0" w:space="0" w:color="auto"/>
        <w:bottom w:val="none" w:sz="0" w:space="0" w:color="auto"/>
        <w:right w:val="none" w:sz="0" w:space="0" w:color="auto"/>
      </w:divBdr>
    </w:div>
    <w:div w:id="1866022208">
      <w:bodyDiv w:val="1"/>
      <w:marLeft w:val="0"/>
      <w:marRight w:val="0"/>
      <w:marTop w:val="0"/>
      <w:marBottom w:val="0"/>
      <w:divBdr>
        <w:top w:val="none" w:sz="0" w:space="0" w:color="auto"/>
        <w:left w:val="none" w:sz="0" w:space="0" w:color="auto"/>
        <w:bottom w:val="none" w:sz="0" w:space="0" w:color="auto"/>
        <w:right w:val="none" w:sz="0" w:space="0" w:color="auto"/>
      </w:divBdr>
    </w:div>
    <w:div w:id="1930191195">
      <w:bodyDiv w:val="1"/>
      <w:marLeft w:val="0"/>
      <w:marRight w:val="0"/>
      <w:marTop w:val="0"/>
      <w:marBottom w:val="0"/>
      <w:divBdr>
        <w:top w:val="none" w:sz="0" w:space="0" w:color="auto"/>
        <w:left w:val="none" w:sz="0" w:space="0" w:color="auto"/>
        <w:bottom w:val="none" w:sz="0" w:space="0" w:color="auto"/>
        <w:right w:val="none" w:sz="0" w:space="0" w:color="auto"/>
      </w:divBdr>
    </w:div>
    <w:div w:id="1951427629">
      <w:bodyDiv w:val="1"/>
      <w:marLeft w:val="0"/>
      <w:marRight w:val="0"/>
      <w:marTop w:val="0"/>
      <w:marBottom w:val="0"/>
      <w:divBdr>
        <w:top w:val="none" w:sz="0" w:space="0" w:color="auto"/>
        <w:left w:val="none" w:sz="0" w:space="0" w:color="auto"/>
        <w:bottom w:val="none" w:sz="0" w:space="0" w:color="auto"/>
        <w:right w:val="none" w:sz="0" w:space="0" w:color="auto"/>
      </w:divBdr>
    </w:div>
    <w:div w:id="1993755799">
      <w:bodyDiv w:val="1"/>
      <w:marLeft w:val="0"/>
      <w:marRight w:val="0"/>
      <w:marTop w:val="0"/>
      <w:marBottom w:val="0"/>
      <w:divBdr>
        <w:top w:val="none" w:sz="0" w:space="0" w:color="auto"/>
        <w:left w:val="none" w:sz="0" w:space="0" w:color="auto"/>
        <w:bottom w:val="none" w:sz="0" w:space="0" w:color="auto"/>
        <w:right w:val="none" w:sz="0" w:space="0" w:color="auto"/>
      </w:divBdr>
      <w:divsChild>
        <w:div w:id="965043187">
          <w:marLeft w:val="0"/>
          <w:marRight w:val="0"/>
          <w:marTop w:val="0"/>
          <w:marBottom w:val="0"/>
          <w:divBdr>
            <w:top w:val="none" w:sz="0" w:space="0" w:color="auto"/>
            <w:left w:val="none" w:sz="0" w:space="0" w:color="auto"/>
            <w:bottom w:val="none" w:sz="0" w:space="0" w:color="auto"/>
            <w:right w:val="none" w:sz="0" w:space="0" w:color="auto"/>
          </w:divBdr>
          <w:divsChild>
            <w:div w:id="6757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531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s://cps.ceu.edu/roma-civil-monitor"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header" Target="header3.xml"/><Relationship Id="rId22" Type="http://schemas.openxmlformats.org/officeDocument/2006/relationships/footer" Target="footer6.xml"/></Relationships>
</file>

<file path=word/_rels/footnotes.xml.rels><?xml version='1.0' encoding='UTF-8' standalone='yes'?>
<Relationships xmlns="http://schemas.openxmlformats.org/package/2006/relationships"><Relationship Id="rId13" Type="http://schemas.openxmlformats.org/officeDocument/2006/relationships/hyperlink" Target="https://eur-lex.europa.eu/legal-content/HU/TXT/?uri=CELEX:52011DC0173" TargetMode="External"/><Relationship Id="rId18" Type="http://schemas.openxmlformats.org/officeDocument/2006/relationships/hyperlink" Target="https://eur-lex.europa.eu/legal-content/HU/TXT/?uri=CELEX:32000L0043" TargetMode="External"/><Relationship Id="rId26" Type="http://schemas.openxmlformats.org/officeDocument/2006/relationships/hyperlink" Target="https://ec.europa.eu/info/policies/justice-and-fundamental-rights/combatting-discrimination/roma-and-eu/roma-integration-eu/workshop-future-policies-roma_en" TargetMode="External"/><Relationship Id="rId39" Type="http://schemas.openxmlformats.org/officeDocument/2006/relationships/hyperlink" Target="https://eur-lex.europa.eu/legal-content/HU/TXT/?uri=COM:2018:375:FIN" TargetMode="External"/><Relationship Id="rId21" Type="http://schemas.openxmlformats.org/officeDocument/2006/relationships/hyperlink" Target="https://ec.europa.eu/info/policies/justice-and-fundamental-rights/combatting-discrimination/roma-and-eu/roma-integration-eu_en" TargetMode="External"/><Relationship Id="rId34" Type="http://schemas.openxmlformats.org/officeDocument/2006/relationships/hyperlink" Target="https://op.europa.eu/hu/publication-detail/-/publication/7573706d-e7c4-4ece-ae59-2b361246a7b0" TargetMode="External"/><Relationship Id="rId42" Type="http://schemas.openxmlformats.org/officeDocument/2006/relationships/hyperlink" Target="https://ec.europa.eu/info/policies/justice-and-fundamental-rights/combatting-discrimination/roma-and-eu/preparing-post-2020-initiative-roma-equality-and-inclusion_en" TargetMode="External"/><Relationship Id="rId47" Type="http://schemas.openxmlformats.org/officeDocument/2006/relationships/hyperlink" Target="https://eur-lex.europa.eu/legal-content/HU/TXT/?uri=CELEX:32008F0913" TargetMode="External"/><Relationship Id="rId50" Type="http://schemas.openxmlformats.org/officeDocument/2006/relationships/hyperlink" Target="https://equineteurope.org/2020/equality-for-roma-and-travellers-time-to-deliver/" TargetMode="External"/><Relationship Id="rId55" Type="http://schemas.openxmlformats.org/officeDocument/2006/relationships/hyperlink" Target="https://ec.europa.eu/info/sites/info/files/law/2_en_act_part1_v10.pdf" TargetMode="External"/><Relationship Id="rId63" Type="http://schemas.openxmlformats.org/officeDocument/2006/relationships/hyperlink" Target="https://ec.europa.eu/newsroom/just/item-detail.cfm?item_id=30548" TargetMode="External"/><Relationship Id="rId68" Type="http://schemas.openxmlformats.org/officeDocument/2006/relationships/hyperlink" Target="file:///C:\Users\huszddo\AppData\Local\Packages\Microsoft.MicrosoftEdge_8wekyb3d8bbwe\TempState\Downloads\2019-06-roma-deklaracija-b%20(1).pdf" TargetMode="External"/><Relationship Id="rId7" Type="http://schemas.openxmlformats.org/officeDocument/2006/relationships/hyperlink" Target="https://ec.europa.eu/info/policies/justice-and-fundamental-rights/combatting-discrimination/roma-and-eu/roma-integration-eu_en" TargetMode="External"/><Relationship Id="rId71" Type="http://schemas.openxmlformats.org/officeDocument/2006/relationships/hyperlink" Target="https://ec.europa.eu/anti-trafficking/eu-policy/joint-staff-working-document-gender-equality-and-womens-empowerment-transforming-lives_en" TargetMode="External"/><Relationship Id="rId2" Type="http://schemas.openxmlformats.org/officeDocument/2006/relationships/hyperlink" Target="http://rm.coe.int/CoERMPublicCommonSearchServices/DisplayDCTMContent?documentId=0900001680088ea9" TargetMode="External"/><Relationship Id="rId16" Type="http://schemas.openxmlformats.org/officeDocument/2006/relationships/hyperlink" Target="https://eur-lex.europa.eu/search.html?qid=1591611786521&amp;text=SWD(2018)%20480%20final&amp;scope=EURLEX&amp;type=quick&amp;lang=hu" TargetMode="External"/><Relationship Id="rId29" Type="http://schemas.openxmlformats.org/officeDocument/2006/relationships/hyperlink" Target="https://www.europarl.europa.eu/doceo/document/TA-8-2019-0075_HU.html" TargetMode="External"/><Relationship Id="rId1" Type="http://schemas.openxmlformats.org/officeDocument/2006/relationships/hyperlink" Target="https://ec.europa.eu/info/sites/info/files/a_union_of_equality_eu_action_plan_against_racism_2020_-2025_hu.pdf" TargetMode="External"/><Relationship Id="rId6" Type="http://schemas.openxmlformats.org/officeDocument/2006/relationships/hyperlink" Target="https://www.europarl.europa.eu/doceo/document/TA-9-2020-0229_HU.html" TargetMode="External"/><Relationship Id="rId11" Type="http://schemas.openxmlformats.org/officeDocument/2006/relationships/hyperlink" Target="https://www.coe.int/en/web/european-commission-against-racism-and-intolerance/recommendation-no.13" TargetMode="External"/><Relationship Id="rId24" Type="http://schemas.openxmlformats.org/officeDocument/2006/relationships/hyperlink" Target="https://www.europarl.europa.eu/doceo/document/B-8-2019-0098_HU.html" TargetMode="External"/><Relationship Id="rId32" Type="http://schemas.openxmlformats.org/officeDocument/2006/relationships/hyperlink" Target="https://coherentsite.files.wordpress.com/2019/05/conference-on-anti-gypsyism-how-to-address-anti-gypsyism-in-a-post-2020-eu-roma-framework-expert-recommendations.pdf" TargetMode="External"/><Relationship Id="rId37" Type="http://schemas.openxmlformats.org/officeDocument/2006/relationships/hyperlink" Target="https://ec.europa.eu/newsroom/just/document.cfm?action=display&amp;doc_id=45791" TargetMode="External"/><Relationship Id="rId40" Type="http://schemas.openxmlformats.org/officeDocument/2006/relationships/hyperlink" Target="http://rm.coe.int/CoERMPublicCommonSearchServices/DisplayDCTMContent?documentId=0900001680088ea9" TargetMode="External"/><Relationship Id="rId45" Type="http://schemas.openxmlformats.org/officeDocument/2006/relationships/hyperlink" Target="https://eur-lex.europa.eu/legal-content/HU/TXT/PDF/?uri=CELEX:12012P/TXT" TargetMode="External"/><Relationship Id="rId53" Type="http://schemas.openxmlformats.org/officeDocument/2006/relationships/hyperlink" Target="https://ec.europa.eu/info/policies/justice-and-fundamental-rights/combatting-discrimination/racism-and-xenophobia/eu-code-conduct-countering-illegal-hate-speech-online_en" TargetMode="External"/><Relationship Id="rId58" Type="http://schemas.openxmlformats.org/officeDocument/2006/relationships/hyperlink" Target="https://ec.europa.eu/commission/sites/beta-political/files/budget-may2018-european-social-fund-plus-regulation_en.pdf" TargetMode="External"/><Relationship Id="rId66" Type="http://schemas.openxmlformats.org/officeDocument/2006/relationships/hyperlink" Target="https://eur-lex.europa.eu/legal-content/HU/ALL/?uri=COM:2020:315:FIN" TargetMode="External"/><Relationship Id="rId5" Type="http://schemas.openxmlformats.org/officeDocument/2006/relationships/hyperlink" Target="https://www.europarl.europa.eu/doceo/document/B-8-2019-0098_HU.html" TargetMode="External"/><Relationship Id="rId15" Type="http://schemas.openxmlformats.org/officeDocument/2006/relationships/hyperlink" Target="https://eur-lex.europa.eu/search.html?lang=hu&amp;text=COM%282018%29+785+final&amp;qid=1591611750119&amp;type=quick&amp;scope=EURLEX&amp;locale=hu" TargetMode="External"/><Relationship Id="rId23" Type="http://schemas.openxmlformats.org/officeDocument/2006/relationships/hyperlink" Target="https://www.europarl.europa.eu/doceo/document/TA-9-2020-0229_HU.html" TargetMode="External"/><Relationship Id="rId28" Type="http://schemas.openxmlformats.org/officeDocument/2006/relationships/hyperlink" Target="https://www.europarl.europa.eu/doceo/document/TA-9-2020-0229_HU.html" TargetMode="External"/><Relationship Id="rId36" Type="http://schemas.openxmlformats.org/officeDocument/2006/relationships/hyperlink" Target="https://ec.europa.eu/info/sites/info/files/final_guidelines_4-10-18_without_date_july.pdf" TargetMode="External"/><Relationship Id="rId49" Type="http://schemas.openxmlformats.org/officeDocument/2006/relationships/hyperlink" Target="https://equineteurope.org/2020/equality-for-roma-and-travellers-time-to-deliver/" TargetMode="External"/><Relationship Id="rId57" Type="http://schemas.openxmlformats.org/officeDocument/2006/relationships/hyperlink" Target="https://eur-lex.europa.eu/legal-content/HU/TXT/?uri=COM:2018:375:FIN" TargetMode="External"/><Relationship Id="rId61" Type="http://schemas.openxmlformats.org/officeDocument/2006/relationships/hyperlink" Target="https://www.europarl.europa.eu/doceo/document/BUDG-DT-648406_EN.pdf" TargetMode="External"/><Relationship Id="rId10" Type="http://schemas.openxmlformats.org/officeDocument/2006/relationships/hyperlink" Target="https://data.consilium.europa.eu/doc/document/ST-15406-2016-INIT/hu/pdf" TargetMode="External"/><Relationship Id="rId19" Type="http://schemas.openxmlformats.org/officeDocument/2006/relationships/hyperlink" Target="https://eur-lex.europa.eu/search.html?qid=1591613211496&amp;text=COM(2019)%20406&amp;scope=EURLEX&amp;type=quick&amp;lang=hu" TargetMode="External"/><Relationship Id="rId31" Type="http://schemas.openxmlformats.org/officeDocument/2006/relationships/hyperlink" Target="https://data.consilium.europa.eu/doc/document/ST-7003-2019-INIT/en/pdf" TargetMode="External"/><Relationship Id="rId44" Type="http://schemas.openxmlformats.org/officeDocument/2006/relationships/hyperlink" Target="https://eur-lex.europa.eu/legal-content/HU/TXT/?uri=CELEX:12012E/TXT" TargetMode="External"/><Relationship Id="rId52" Type="http://schemas.openxmlformats.org/officeDocument/2006/relationships/hyperlink" Target="https://ec.europa.eu/info/sites/info/files/a_union_of_equality_eu_action_plan_against_racism_2020_-2025_hu.pdf" TargetMode="External"/><Relationship Id="rId60" Type="http://schemas.openxmlformats.org/officeDocument/2006/relationships/hyperlink" Target="https://www.euromanet.eu/" TargetMode="External"/><Relationship Id="rId65" Type="http://schemas.openxmlformats.org/officeDocument/2006/relationships/hyperlink" Target="https://ec.europa.eu/neighbourhood-enlargement/sites/near/files/enlargement-methodology_en.pdf" TargetMode="External"/><Relationship Id="rId4" Type="http://schemas.openxmlformats.org/officeDocument/2006/relationships/hyperlink" Target="https://www.europarl.europa.eu/doceo/document/A-8-2017-0294_HU.html" TargetMode="External"/><Relationship Id="rId9" Type="http://schemas.openxmlformats.org/officeDocument/2006/relationships/hyperlink" Target="https://www.consilium.europa.eu/uedocs/cms_data/docs/pressdata/en/lsa/139979.pdf" TargetMode="External"/><Relationship Id="rId14" Type="http://schemas.openxmlformats.org/officeDocument/2006/relationships/hyperlink" Target="https://eur-lex.europa.eu/legal-content/HU/TXT/PDF/?uri=CELEX:32013H1224(01)&amp;from=hu" TargetMode="External"/><Relationship Id="rId22" Type="http://schemas.openxmlformats.org/officeDocument/2006/relationships/hyperlink" Target="https://ec.europa.eu/jrc/en/publication/meta-evaluation-interventions-roma-inclusion" TargetMode="External"/><Relationship Id="rId27" Type="http://schemas.openxmlformats.org/officeDocument/2006/relationships/hyperlink" Target="https://data.consilium.europa.eu/doc/document/ST-15406-2016-INIT/hu/pdf" TargetMode="External"/><Relationship Id="rId30" Type="http://schemas.openxmlformats.org/officeDocument/2006/relationships/hyperlink" Target="https://data.consilium.europa.eu/doc/document/ST-13432-2019-INIT/hu/pdf" TargetMode="External"/><Relationship Id="rId35" Type="http://schemas.openxmlformats.org/officeDocument/2006/relationships/hyperlink" Target="https://ec.europa.eu/newsroom/just/document.cfm?action=display&amp;doc_id=43205" TargetMode="External"/><Relationship Id="rId43" Type="http://schemas.openxmlformats.org/officeDocument/2006/relationships/hyperlink" Target="https://eur-lex.europa.eu/resource.html?uri=cellar:2bf140bf-a3f8-4ab2-b506-fd71826e6da6.0023.02/DOC_1&amp;format=PDF" TargetMode="External"/><Relationship Id="rId48" Type="http://schemas.openxmlformats.org/officeDocument/2006/relationships/hyperlink" Target="https://eur-lex.europa.eu/legal-content/HU/TXT/?uri=celex:32000L0078" TargetMode="External"/><Relationship Id="rId56" Type="http://schemas.openxmlformats.org/officeDocument/2006/relationships/hyperlink" Target="https://ec.europa.eu/info/publications/2019-european-semester-country-reports_hu" TargetMode="External"/><Relationship Id="rId64" Type="http://schemas.openxmlformats.org/officeDocument/2006/relationships/hyperlink" Target="https://audiovisual.ec.europa.eu/en/video/I-182046" TargetMode="External"/><Relationship Id="rId69" Type="http://schemas.openxmlformats.org/officeDocument/2006/relationships/hyperlink" Target="https://ec.europa.eu/neighbourhood-enlargement/sites/near/files/com_2020_315_en.pdf" TargetMode="External"/><Relationship Id="rId8" Type="http://schemas.openxmlformats.org/officeDocument/2006/relationships/hyperlink" Target="file:///C:\Users\huszddo\AppData\Local\Packages\Microsoft.MicrosoftEdge_8wekyb3d8bbwe\TempState\Downloads\HLG_Conclusionspaperantigypsyism_finalpdf%20(1).pdf" TargetMode="External"/><Relationship Id="rId51" Type="http://schemas.openxmlformats.org/officeDocument/2006/relationships/hyperlink" Target="https://ec.europa.eu/info/sites/info/files/2_en_act_part1_v4.pdf" TargetMode="External"/><Relationship Id="rId72" Type="http://schemas.openxmlformats.org/officeDocument/2006/relationships/hyperlink" Target="https://data.consilium.europa.eu/doc/document/ST-6337-2019-INIT/hu/pdf" TargetMode="External"/><Relationship Id="rId3" Type="http://schemas.openxmlformats.org/officeDocument/2006/relationships/hyperlink" Target="https://www.europarl.europa.eu/doceo/document/TA-8-2015-0095_HU.html?redirect" TargetMode="External"/><Relationship Id="rId12" Type="http://schemas.openxmlformats.org/officeDocument/2006/relationships/hyperlink" Target="https://www.antigypsyism.eu/?page_id=17" TargetMode="External"/><Relationship Id="rId17" Type="http://schemas.openxmlformats.org/officeDocument/2006/relationships/hyperlink" Target="https://ec.europa.eu/info/sites/info/files/com_2018_785.pdf?fbclid=IwAR29mJJcq_7OmhJvopsJqoHH-OdfaacxLhuqwOz7_DRBToqlMtnFU1ddL94" TargetMode="External"/><Relationship Id="rId25" Type="http://schemas.openxmlformats.org/officeDocument/2006/relationships/hyperlink" Target="https://www.consilium.europa.eu/hu/press/press-releases/2019/10/24/economy-of-wellbeing-the-council-adopts-conclusions/" TargetMode="External"/><Relationship Id="rId33" Type="http://schemas.openxmlformats.org/officeDocument/2006/relationships/hyperlink" Target="https://fra.europa.eu/en/news/2020/roma-working-party-consultations-roma-inclusion-monitoring-framework" TargetMode="External"/><Relationship Id="rId38" Type="http://schemas.openxmlformats.org/officeDocument/2006/relationships/hyperlink" Target="https://op.europa.eu/hu/publication-detail/-/publication/7573706d-e7c4-4ece-ae59-2b361246a7b0" TargetMode="External"/><Relationship Id="rId46" Type="http://schemas.openxmlformats.org/officeDocument/2006/relationships/hyperlink" Target="https://eur-lex.europa.eu/legal-content/HU/TXT/?uri=CELEX:32000L0043" TargetMode="External"/><Relationship Id="rId59" Type="http://schemas.openxmlformats.org/officeDocument/2006/relationships/hyperlink" Target="https://eur-lex.europa.eu/legal-content/HU/ALL/?uri=CELEX:52018PC0392" TargetMode="External"/><Relationship Id="rId67" Type="http://schemas.openxmlformats.org/officeDocument/2006/relationships/hyperlink" Target="https://www.consilium.europa.eu/media/43776/zagreb-declaration-en-06052020.pdf" TargetMode="External"/><Relationship Id="rId20" Type="http://schemas.openxmlformats.org/officeDocument/2006/relationships/hyperlink" Target="https://eur-lex.europa.eu/legal-content/FR/TXT/?qid=1575907500935&amp;uri=CELEX:52019SC0320" TargetMode="External"/><Relationship Id="rId41" Type="http://schemas.openxmlformats.org/officeDocument/2006/relationships/hyperlink" Target="https://op.europa.eu/hu/publication-detail/-/publication/7573706d-e7c4-4ece-ae59-2b361246a7b0" TargetMode="External"/><Relationship Id="rId54" Type="http://schemas.openxmlformats.org/officeDocument/2006/relationships/hyperlink" Target="https://ec.europa.eu/digital-single-market/en/news/commission-recommendation-measures-effectively-tackle-illegal-content-online" TargetMode="External"/><Relationship Id="rId62" Type="http://schemas.openxmlformats.org/officeDocument/2006/relationships/hyperlink" Target="https://ec.europa.eu/info/policies/justice-and-fundamental-rights/combatting-discrimination/roma-and-eu/european-platform-roma-inclusion_en" TargetMode="External"/><Relationship Id="rId70" Type="http://schemas.openxmlformats.org/officeDocument/2006/relationships/hyperlink" Target="https://ec.europa.eu/transparency/regdoc/rep/10101/2020/EN/JOIN-2020-5-F1-EN-MAIN-PART-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1F1BED-E26D-4E9F-B0A0-ECADC83BF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21</Pages>
  <Words>6351</Words>
  <Characters>46110</Characters>
  <Application>Microsoft Office Word</Application>
  <DocSecurity>0</DocSecurity>
  <Lines>649</Lines>
  <Paragraphs>137</Paragraphs>
  <ScaleCrop>false</ScaleCrop>
  <HeadingPairs>
    <vt:vector size="4" baseType="variant">
      <vt:variant>
        <vt:lpstr>Title</vt:lpstr>
      </vt:variant>
      <vt:variant>
        <vt:i4>1</vt:i4>
      </vt:variant>
      <vt:variant>
        <vt:lpstr>Cím</vt:lpstr>
      </vt:variant>
      <vt:variant>
        <vt:i4>1</vt:i4>
      </vt:variant>
    </vt:vector>
  </HeadingPairs>
  <TitlesOfParts>
    <vt:vector size="2" baseType="lpstr">
      <vt:lpstr/>
      <vt:lpstr/>
    </vt:vector>
  </TitlesOfParts>
  <Manager/>
  <Company/>
  <LinksUpToDate>false</LinksUpToDate>
  <CharactersWithSpaces>52324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27</cp:revision>
  <cp:lastPrinted>2020-10-02T14:30:00Z</cp:lastPrinted>
  <dcterms:created xsi:type="dcterms:W3CDTF">2020-10-06T07:49:00Z</dcterms:created>
  <dcterms:modified xsi:type="dcterms:W3CDTF">2020-10-16T15:53:00Z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evel of sensitivity">
    <vt:lpwstr>Standard treatment</vt:lpwstr>
  </property>
  <property fmtid="{D5CDD505-2E9C-101B-9397-08002B2CF9AE}" pid="3" name="Part">
    <vt:lpwstr>1</vt:lpwstr>
  </property>
  <property fmtid="{D5CDD505-2E9C-101B-9397-08002B2CF9AE}" pid="4" name="Total parts">
    <vt:lpwstr>1</vt:lpwstr>
  </property>
  <property fmtid="{D5CDD505-2E9C-101B-9397-08002B2CF9AE}" pid="5" name="DocStatus">
    <vt:lpwstr>Green</vt:lpwstr>
  </property>
  <property fmtid="{D5CDD505-2E9C-101B-9397-08002B2CF9AE}" pid="6" name="CPTemplateID">
    <vt:lpwstr>CP-012</vt:lpwstr>
  </property>
  <property fmtid="{D5CDD505-2E9C-101B-9397-08002B2CF9AE}" pid="7" name="Last edited using">
    <vt:lpwstr>LW 7.0.1, Build 20190916</vt:lpwstr>
  </property>
  <property fmtid="{D5CDD505-2E9C-101B-9397-08002B2CF9AE}" pid="8" name="Created using">
    <vt:lpwstr>LW 7.0, Build 20190717</vt:lpwstr>
  </property>
  <property name="OP_sanitized" fmtid="{D5CDD505-2E9C-101B-9397-08002B2CF9AE}" pid="9">
    <vt:lpwstr>True</vt:lpwstr>
  </property>
</Properties>
</file>