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780BF5A9-E03D-4AA8-A451-6020C465404E" style="width:450.45pt;height:447.55pt">
            <v:imagedata r:id="rId14" o:title=""/>
          </v:shape>
        </w:pict>
      </w:r>
    </w:p>
    <w:bookmarkEnd w:id="0"/>
    <w:p>
      <w:pPr>
        <w:spacing w:line="240" w:lineRule="auto"/>
        <w:rPr>
          <w:rFonts w:ascii="Times New Roman" w:hAnsi="Times New Roman" w:cs="Times New Roman"/>
          <w:noProof/>
        </w:rPr>
        <w:sectPr>
          <w:headerReference w:type="even" r:id="rId15"/>
          <w:headerReference w:type="default" r:id="rId16"/>
          <w:footerReference w:type="even" r:id="rId17"/>
          <w:footerReference w:type="default" r:id="rId18"/>
          <w:headerReference w:type="first" r:id="rId19"/>
          <w:footerReference w:type="first" r:id="rId20"/>
          <w:pgSz w:w="11906" w:h="16838"/>
          <w:pgMar w:top="1134" w:right="1417" w:bottom="1134" w:left="1417" w:header="709" w:footer="709" w:gutter="0"/>
          <w:pgNumType w:start="0"/>
          <w:cols w:space="720"/>
          <w:docGrid w:linePitch="360"/>
        </w:sectPr>
      </w:pPr>
    </w:p>
    <w:p>
      <w:pPr>
        <w:pStyle w:val="Heading1"/>
        <w:spacing w:line="240" w:lineRule="auto"/>
        <w:rPr>
          <w:rFonts w:ascii="Times New Roman" w:eastAsia="Times New Roman" w:hAnsi="Times New Roman" w:cs="Times New Roman"/>
          <w:b/>
          <w:smallCaps/>
          <w:noProof/>
          <w:color w:val="auto"/>
          <w:sz w:val="24"/>
          <w:szCs w:val="20"/>
        </w:rPr>
      </w:pPr>
      <w:bookmarkStart w:id="1" w:name="_Toc42697866"/>
      <w:bookmarkStart w:id="2" w:name="_Toc42698825"/>
      <w:bookmarkStart w:id="3" w:name="_Toc42706917"/>
      <w:bookmarkStart w:id="4" w:name="_Toc42713762"/>
      <w:bookmarkStart w:id="5" w:name="_Toc42714164"/>
      <w:bookmarkStart w:id="6" w:name="_Toc44090776"/>
      <w:bookmarkStart w:id="7" w:name="_GoBack"/>
      <w:bookmarkEnd w:id="7"/>
      <w:r>
        <w:rPr>
          <w:rFonts w:ascii="Times New Roman" w:hAnsi="Times New Roman"/>
          <w:b/>
          <w:smallCaps/>
          <w:noProof/>
          <w:color w:val="auto"/>
          <w:sz w:val="24"/>
          <w:szCs w:val="20"/>
        </w:rPr>
        <w:lastRenderedPageBreak/>
        <w:t>A közös mutatók portfóliója</w:t>
      </w:r>
    </w:p>
    <w:p>
      <w:pPr>
        <w:pStyle w:val="Heading2"/>
        <w:rPr>
          <w:rFonts w:ascii="Times New Roman" w:eastAsiaTheme="minorHAnsi" w:hAnsi="Times New Roman" w:cs="Times New Roman"/>
          <w:noProof/>
          <w:color w:val="auto"/>
          <w:sz w:val="22"/>
          <w:szCs w:val="22"/>
        </w:rPr>
      </w:pPr>
      <w:r>
        <w:rPr>
          <w:rFonts w:ascii="Times New Roman" w:hAnsi="Times New Roman"/>
          <w:noProof/>
          <w:color w:val="auto"/>
          <w:sz w:val="22"/>
          <w:szCs w:val="22"/>
        </w:rPr>
        <w:t>A közös mutatók portfóliójának általános célkitűzése a haladásnak a romák egyenlőségének, társadalmi befogadásának és részvételének előmozdítását célzó uniós stratégiai keretrendszer célkitűzéseihez és célértékeihez viszonyított nyomon követése. Ezen általános célkitűzés elérése érdekében a tagállamoknak számos intézkedést kell végrehajtaniuk a prioritási területeken, melyek mindegyikéhez horizontális vagy ágazati egyedi célkitűzés társul.</w:t>
      </w:r>
    </w:p>
    <w:p>
      <w:pPr>
        <w:pStyle w:val="Heading2"/>
        <w:spacing w:after="120"/>
        <w:rPr>
          <w:rFonts w:ascii="Times New Roman" w:eastAsiaTheme="minorHAnsi" w:hAnsi="Times New Roman" w:cs="Times New Roman"/>
          <w:noProof/>
          <w:color w:val="auto"/>
          <w:sz w:val="22"/>
          <w:szCs w:val="22"/>
        </w:rPr>
      </w:pPr>
      <w:r>
        <w:rPr>
          <w:rFonts w:ascii="Times New Roman" w:hAnsi="Times New Roman"/>
          <w:noProof/>
          <w:color w:val="auto"/>
          <w:sz w:val="22"/>
          <w:szCs w:val="22"/>
        </w:rPr>
        <w:t>Az említett célkitűzések elérése irányába tett haladás mérésére szolgáló közös mutatók portfólióját az EU Alapjogi Ügynöksége (FRA) által koordinált, a romák egyenlőségére, társadalmi befogadására és részvételére vonatkozó mutatókkal és beszámolással foglalkozó munkacsoport keretében dolgozták ki. A munkacsoport tagjait 20 tagállam nemzeti roma kapcsolattartó pontjai, valamint a statisztikai hivatalok és az Európai Bizottság képviselői alkotják. Ezenkívül a portfóliót a 2030-ig tartó időszakra szóló, vonatkozó uniós kezdeményezésekben és a fenntartható fejlődési célokban (SDG) kidolgozott mutatókhoz és célokhoz is hozzáigazították.</w:t>
      </w:r>
      <w:r>
        <w:rPr>
          <w:rFonts w:ascii="Times New Roman" w:hAnsi="Times New Roman"/>
          <w:noProof/>
          <w:sz w:val="24"/>
          <w:szCs w:val="24"/>
        </w:rPr>
        <w:t xml:space="preserve"> </w:t>
      </w:r>
      <w:r>
        <w:rPr>
          <w:rFonts w:ascii="Times New Roman" w:hAnsi="Times New Roman"/>
          <w:noProof/>
          <w:color w:val="auto"/>
          <w:sz w:val="22"/>
          <w:szCs w:val="22"/>
        </w:rPr>
        <w:t xml:space="preserve">A teljes jelentés a következő linken érhető el: </w:t>
      </w:r>
      <w:hyperlink r:id="rId21" w:history="1">
        <w:r>
          <w:rPr>
            <w:rStyle w:val="Hyperlink"/>
            <w:rFonts w:ascii="Times New Roman" w:hAnsi="Times New Roman"/>
            <w:noProof/>
            <w:sz w:val="22"/>
            <w:szCs w:val="22"/>
          </w:rPr>
          <w:t>https://fra.europa.eu/en/news/2020/roma-working-party-consultations-roma-inclusion-monitoring-framework</w:t>
        </w:r>
      </w:hyperlink>
      <w:r>
        <w:rPr>
          <w:rFonts w:ascii="Times New Roman" w:hAnsi="Times New Roman"/>
          <w:noProof/>
          <w:color w:val="auto"/>
          <w:sz w:val="22"/>
          <w:szCs w:val="22"/>
        </w:rPr>
        <w:t>.</w:t>
      </w:r>
    </w:p>
    <w:bookmarkEnd w:id="1"/>
    <w:bookmarkEnd w:id="2"/>
    <w:bookmarkEnd w:id="3"/>
    <w:bookmarkEnd w:id="4"/>
    <w:bookmarkEnd w:id="5"/>
    <w:bookmarkEnd w:id="6"/>
    <w:p>
      <w:pPr>
        <w:spacing w:line="240" w:lineRule="auto"/>
        <w:jc w:val="both"/>
        <w:rPr>
          <w:rFonts w:ascii="Times New Roman" w:hAnsi="Times New Roman" w:cs="Times New Roman"/>
          <w:noProof/>
        </w:rPr>
      </w:pPr>
      <w:r>
        <w:rPr>
          <w:rFonts w:ascii="Times New Roman" w:hAnsi="Times New Roman"/>
          <w:noProof/>
        </w:rPr>
        <w:t xml:space="preserve">A közös mutatók portfóliója az ENSZ Emberi Jogok Főbiztosának Hivatala (OHCHR) által az emberi jogi normáknak való megfelelés értékeléséhez ajánlott struktúra-folyamat-eredménymutatók (S-P-O) modelljén alapul. Ez a modell az alábbiak értékelését teszi lehetővé: </w:t>
      </w:r>
    </w:p>
    <w:p>
      <w:pPr>
        <w:numPr>
          <w:ilvl w:val="0"/>
          <w:numId w:val="1"/>
        </w:numPr>
        <w:spacing w:after="0" w:line="240" w:lineRule="auto"/>
        <w:ind w:left="714" w:hanging="357"/>
        <w:jc w:val="both"/>
        <w:rPr>
          <w:rFonts w:ascii="Times New Roman" w:hAnsi="Times New Roman" w:cs="Times New Roman"/>
          <w:noProof/>
        </w:rPr>
      </w:pPr>
      <w:r>
        <w:rPr>
          <w:rFonts w:ascii="Times New Roman" w:hAnsi="Times New Roman"/>
          <w:noProof/>
        </w:rPr>
        <w:t>a meglévő jogi és szakpolitikai keretrendszerek (strukturális mutatók);</w:t>
      </w:r>
    </w:p>
    <w:p>
      <w:pPr>
        <w:numPr>
          <w:ilvl w:val="0"/>
          <w:numId w:val="1"/>
        </w:numPr>
        <w:spacing w:after="0" w:line="240" w:lineRule="auto"/>
        <w:ind w:left="714" w:hanging="357"/>
        <w:jc w:val="both"/>
        <w:rPr>
          <w:rFonts w:ascii="Times New Roman" w:hAnsi="Times New Roman" w:cs="Times New Roman"/>
          <w:noProof/>
        </w:rPr>
      </w:pPr>
      <w:r>
        <w:rPr>
          <w:rFonts w:ascii="Times New Roman" w:hAnsi="Times New Roman"/>
          <w:noProof/>
        </w:rPr>
        <w:t>a végrehajtásukra szolgáló egyedi beavatkozások (folyamatmutatók);</w:t>
      </w:r>
    </w:p>
    <w:p>
      <w:pPr>
        <w:numPr>
          <w:ilvl w:val="0"/>
          <w:numId w:val="1"/>
        </w:numPr>
        <w:spacing w:after="120" w:line="240" w:lineRule="auto"/>
        <w:jc w:val="both"/>
        <w:rPr>
          <w:rFonts w:ascii="Times New Roman" w:hAnsi="Times New Roman" w:cs="Times New Roman"/>
          <w:noProof/>
        </w:rPr>
      </w:pPr>
      <w:r>
        <w:rPr>
          <w:rFonts w:ascii="Times New Roman" w:hAnsi="Times New Roman"/>
          <w:noProof/>
        </w:rPr>
        <w:t>a jogosultak által tapasztalt eredmények (eredménymutatók).</w:t>
      </w:r>
    </w:p>
    <w:p>
      <w:pPr>
        <w:spacing w:line="240" w:lineRule="auto"/>
        <w:jc w:val="both"/>
        <w:rPr>
          <w:rFonts w:ascii="Times New Roman" w:hAnsi="Times New Roman" w:cs="Times New Roman"/>
          <w:noProof/>
        </w:rPr>
      </w:pPr>
      <w:r>
        <w:rPr>
          <w:rFonts w:ascii="Times New Roman" w:hAnsi="Times New Roman"/>
          <w:b/>
          <w:noProof/>
          <w:u w:val="single"/>
        </w:rPr>
        <w:t>Strukturális mutatók:</w:t>
      </w:r>
      <w:r>
        <w:rPr>
          <w:rFonts w:ascii="Times New Roman" w:hAnsi="Times New Roman"/>
          <w:noProof/>
        </w:rPr>
        <w:t xml:space="preserve"> Az EU Alapjogi Chartájának (a romák esetében a romák egyenlőségének, társadalmi befogadásának és részvételének előmozdítását célzó uniós stratégiai keretrendszernek) való megfelelés érdekében bevezetett uniós és nemzeti jogi keretek és stratégiák.</w:t>
      </w:r>
    </w:p>
    <w:p>
      <w:pPr>
        <w:spacing w:line="240" w:lineRule="auto"/>
        <w:jc w:val="both"/>
        <w:rPr>
          <w:rFonts w:ascii="Times New Roman" w:hAnsi="Times New Roman" w:cs="Times New Roman"/>
          <w:noProof/>
        </w:rPr>
      </w:pPr>
      <w:r>
        <w:rPr>
          <w:rFonts w:ascii="Times New Roman" w:hAnsi="Times New Roman"/>
          <w:b/>
          <w:noProof/>
          <w:u w:val="single"/>
        </w:rPr>
        <w:t>Folyamatmutatók:</w:t>
      </w:r>
      <w:r>
        <w:rPr>
          <w:rFonts w:ascii="Times New Roman" w:hAnsi="Times New Roman"/>
          <w:noProof/>
        </w:rPr>
        <w:t xml:space="preserve"> A nemzeti romastratégiai keretek célkitűzéseinek és céljainak az említett jogi és szakpolitikai rendelkezések végrehajtása révén történő elérése érdekében bevezetett egyedi beavatkozások és fellépések (pl. programok, projektek, intézkedések). </w:t>
      </w:r>
    </w:p>
    <w:p>
      <w:pPr>
        <w:spacing w:line="240" w:lineRule="auto"/>
        <w:jc w:val="both"/>
        <w:rPr>
          <w:rFonts w:ascii="Times New Roman" w:hAnsi="Times New Roman" w:cs="Times New Roman"/>
          <w:noProof/>
        </w:rPr>
      </w:pPr>
      <w:r>
        <w:rPr>
          <w:rFonts w:ascii="Times New Roman" w:hAnsi="Times New Roman"/>
          <w:b/>
          <w:noProof/>
          <w:u w:val="single"/>
        </w:rPr>
        <w:t>Eredmények vagy eredménymutatók:</w:t>
      </w:r>
      <w:r>
        <w:rPr>
          <w:rFonts w:ascii="Times New Roman" w:hAnsi="Times New Roman"/>
          <w:b/>
          <w:noProof/>
        </w:rPr>
        <w:t xml:space="preserve"> </w:t>
      </w:r>
      <w:r>
        <w:rPr>
          <w:rFonts w:ascii="Times New Roman" w:hAnsi="Times New Roman"/>
          <w:noProof/>
        </w:rPr>
        <w:t>A tényleges helyzet és a sajátos jellemzőkkel (ilyen például a romák esetében az etnikai származás) bíró személyek alapvető jogainak érvényesülésében bekövetkezett bármely változás. Ezek főleg szabványos, olyan adatokkal kitöltött mutatók, amelyeket az etnikai származás, a nem és az életkor különböző kategóriái alapján le lehet bontani. Azokban a tagállamokban, ahol ilyen adatok nem állnak rendelkezésre, helyettük társadalmi-gazdasági adatokat lehet használni. A mutatóknak összhangban kell lenniük az Európa 2020 vagy bármely 2020 utáni időszakra vonatkozó, szegénységre és társadalmi kirekesztésre vonatkozó mutatóval, valamint a szociális jogok európai pillérének célkitűzéseit megvalósító ágazati szakpolitikai területekkel, például az oktatással, az egészségüggyel vagy a foglalkoztatással.</w:t>
      </w:r>
    </w:p>
    <w:p>
      <w:pPr>
        <w:pStyle w:val="Heading1"/>
        <w:spacing w:line="240" w:lineRule="auto"/>
        <w:rPr>
          <w:rFonts w:ascii="Times New Roman" w:eastAsia="Times New Roman" w:hAnsi="Times New Roman" w:cs="Times New Roman"/>
          <w:b/>
          <w:smallCaps/>
          <w:noProof/>
          <w:color w:val="auto"/>
          <w:sz w:val="24"/>
          <w:szCs w:val="20"/>
        </w:rPr>
      </w:pPr>
      <w:bookmarkStart w:id="8" w:name="_Toc42625012"/>
      <w:bookmarkStart w:id="9" w:name="_Toc42697867"/>
      <w:bookmarkStart w:id="10" w:name="_Toc42698826"/>
      <w:bookmarkStart w:id="11" w:name="_Toc42706918"/>
      <w:bookmarkStart w:id="12" w:name="_Toc42713763"/>
      <w:bookmarkStart w:id="13" w:name="_Toc42714165"/>
      <w:bookmarkStart w:id="14" w:name="_Toc44090777"/>
      <w:r>
        <w:rPr>
          <w:rFonts w:ascii="Times New Roman" w:hAnsi="Times New Roman"/>
          <w:b/>
          <w:smallCaps/>
          <w:noProof/>
          <w:color w:val="auto"/>
          <w:sz w:val="24"/>
          <w:szCs w:val="20"/>
        </w:rPr>
        <w:t>Célkitűzések, kiemelt mutatók</w:t>
      </w:r>
      <w:bookmarkEnd w:id="8"/>
      <w:r>
        <w:rPr>
          <w:rFonts w:ascii="Times New Roman" w:hAnsi="Times New Roman"/>
          <w:b/>
          <w:smallCaps/>
          <w:noProof/>
          <w:color w:val="auto"/>
          <w:sz w:val="24"/>
          <w:szCs w:val="20"/>
        </w:rPr>
        <w:t>, célok</w:t>
      </w:r>
      <w:bookmarkEnd w:id="9"/>
      <w:bookmarkEnd w:id="10"/>
      <w:bookmarkEnd w:id="11"/>
      <w:bookmarkEnd w:id="12"/>
      <w:bookmarkEnd w:id="13"/>
      <w:r>
        <w:rPr>
          <w:rFonts w:ascii="Times New Roman" w:hAnsi="Times New Roman"/>
          <w:b/>
          <w:smallCaps/>
          <w:noProof/>
          <w:color w:val="auto"/>
          <w:sz w:val="24"/>
          <w:szCs w:val="20"/>
        </w:rPr>
        <w:t xml:space="preserve"> és intézkedések</w:t>
      </w:r>
      <w:bookmarkEnd w:id="14"/>
    </w:p>
    <w:p>
      <w:pPr>
        <w:spacing w:after="0" w:line="240" w:lineRule="auto"/>
        <w:jc w:val="both"/>
        <w:rPr>
          <w:rFonts w:ascii="Times New Roman" w:hAnsi="Times New Roman" w:cs="Times New Roman"/>
          <w:noProof/>
          <w:sz w:val="24"/>
          <w:szCs w:val="24"/>
        </w:rPr>
      </w:pPr>
      <w:r>
        <w:rPr>
          <w:rFonts w:ascii="Times New Roman" w:hAnsi="Times New Roman"/>
          <w:noProof/>
        </w:rPr>
        <w:t>A nyomonkövetési keretrendszert kifejezetten a szakpolitikai célok terén elért előrehaladás nyomon követése érdekében alakították ki. A célok megjelennek a (fő és másodlagos) eredménymutatókban, és a célkitűzések azt a kívánt állapotot jeleníthetik meg, amelyet a tagállamok a romák egyenlőségének, társadalmi befogadásának és részvételének egyes területein szeretnének elérni 2030-ig. A keretrendszer a Bizottság minőségi jogalkotásra vonatkozó iránymutatásain</w:t>
      </w:r>
      <w:r>
        <w:rPr>
          <w:rStyle w:val="FootnoteReference"/>
          <w:rFonts w:ascii="Times New Roman" w:hAnsi="Times New Roman" w:cs="Times New Roman"/>
          <w:noProof/>
        </w:rPr>
        <w:footnoteReference w:id="2"/>
      </w:r>
      <w:r>
        <w:rPr>
          <w:rFonts w:ascii="Times New Roman" w:hAnsi="Times New Roman"/>
          <w:noProof/>
        </w:rPr>
        <w:t>, a romák egyenlőségének, társadalmi befogadásának és részvételének előmozdítását célzó uniós stratégiai keretrendszeren és a romák egyenlőségéről, társadalmi befogadásáról és részvételéről szóló tanácsi ajánlásra vonatkozó javaslaton alapul.</w:t>
      </w:r>
      <w:r>
        <w:rPr>
          <w:rFonts w:ascii="Times New Roman" w:hAnsi="Times New Roman"/>
          <w:noProof/>
          <w:sz w:val="24"/>
          <w:szCs w:val="24"/>
        </w:rPr>
        <w:t xml:space="preserve"> </w:t>
      </w:r>
    </w:p>
    <w:p>
      <w:pPr>
        <w:spacing w:line="240" w:lineRule="auto"/>
        <w:jc w:val="both"/>
        <w:rPr>
          <w:rFonts w:ascii="Times New Roman" w:hAnsi="Times New Roman" w:cs="Times New Roman"/>
          <w:noProof/>
        </w:rPr>
      </w:pPr>
      <w:r>
        <w:rPr>
          <w:rFonts w:ascii="Times New Roman" w:hAnsi="Times New Roman"/>
          <w:noProof/>
        </w:rPr>
        <w:t xml:space="preserve">A legtöbb eredménymutató felmérésen alapul, de hivatalos adatokkal – például az infrastruktúrára, a lakóhelyi szegregációra stb. vonatkozó adatokkal – kell őket kiegészíteni. </w:t>
      </w:r>
    </w:p>
    <w:p>
      <w:pPr>
        <w:spacing w:line="240" w:lineRule="auto"/>
        <w:jc w:val="both"/>
        <w:rPr>
          <w:rFonts w:ascii="Times New Roman" w:hAnsi="Times New Roman" w:cs="Times New Roman"/>
          <w:noProof/>
          <w:highlight w:val="yellow"/>
        </w:rPr>
      </w:pPr>
      <w:r>
        <w:rPr>
          <w:rFonts w:ascii="Times New Roman" w:hAnsi="Times New Roman"/>
          <w:noProof/>
          <w:u w:val="single"/>
        </w:rPr>
        <w:t>Fő mutatók:</w:t>
      </w:r>
      <w:r>
        <w:rPr>
          <w:rFonts w:ascii="Times New Roman" w:hAnsi="Times New Roman"/>
          <w:noProof/>
        </w:rPr>
        <w:t xml:space="preserve"> Felméréseken alapuló mutatók, amelyek valamennyi olyan tagállam számára kötelezőek, ahol ilyen adatok rendelkezésre állnak, vagy a jövőben gyűjthetők. Az (etnikai származás alapján lebontott vagy helyettesítő) mennyiségi adatokkal nem rendelkező országoknak mérlegelniük kell a minőségi adatok gyűjtésének és a folyamatmutatók meghatározására szolgáló célkitűzések (lásd alább) megfogalmazásának lehetőségét.</w:t>
      </w:r>
    </w:p>
    <w:p>
      <w:pPr>
        <w:spacing w:line="240" w:lineRule="auto"/>
        <w:jc w:val="both"/>
        <w:rPr>
          <w:rFonts w:ascii="Times New Roman" w:hAnsi="Times New Roman" w:cs="Times New Roman"/>
          <w:noProof/>
        </w:rPr>
      </w:pPr>
      <w:r>
        <w:rPr>
          <w:rFonts w:ascii="Times New Roman" w:hAnsi="Times New Roman"/>
          <w:noProof/>
          <w:u w:val="single"/>
        </w:rPr>
        <w:t>Másodlagos eredménymutatók:</w:t>
      </w:r>
      <w:r>
        <w:rPr>
          <w:rFonts w:ascii="Times New Roman" w:hAnsi="Times New Roman"/>
          <w:noProof/>
        </w:rPr>
        <w:t xml:space="preserve"> Környezetmutatók, amelyeket a célkitűzés kiemelt mutatói egészítenek ki. A tagállamok eldönthetik, hogy kitöltik-e azokat vagy sem.</w:t>
      </w:r>
    </w:p>
    <w:p>
      <w:pPr>
        <w:spacing w:line="240" w:lineRule="auto"/>
        <w:jc w:val="both"/>
        <w:rPr>
          <w:rFonts w:ascii="Times New Roman" w:hAnsi="Times New Roman" w:cs="Times New Roman"/>
          <w:noProof/>
        </w:rPr>
      </w:pPr>
      <w:r>
        <w:rPr>
          <w:rFonts w:ascii="Times New Roman" w:hAnsi="Times New Roman"/>
          <w:noProof/>
        </w:rPr>
        <w:t>Különbség van a mutatók kitöltési kötelezettsége és a mutatókhoz való adatgyűjtés között. Például az oktatási szegregáció, a vezetékes vízhez való hozzáférés vagy a születési anyakönyvi kivonatok kérdése egyes országokban relevánsabbak, mint másokban. Ennek megfelelően néhány másodlagos mutató – például az egészségbiztosítási lefedettség – fő mutatóvá válhat, ha egy adott országban különösen releváns.</w:t>
      </w:r>
    </w:p>
    <w:p>
      <w:pPr>
        <w:spacing w:line="240" w:lineRule="auto"/>
        <w:jc w:val="both"/>
        <w:rPr>
          <w:rFonts w:ascii="Times New Roman" w:hAnsi="Times New Roman" w:cs="Times New Roman"/>
          <w:noProof/>
        </w:rPr>
      </w:pPr>
      <w:r>
        <w:rPr>
          <w:rFonts w:ascii="Times New Roman" w:hAnsi="Times New Roman"/>
          <w:noProof/>
          <w:u w:val="single"/>
        </w:rPr>
        <w:t>Folyamatmutatók:</w:t>
      </w:r>
      <w:r>
        <w:rPr>
          <w:rFonts w:ascii="Times New Roman" w:hAnsi="Times New Roman"/>
          <w:noProof/>
        </w:rPr>
        <w:t xml:space="preserve"> Jogi és gazdasági tények, intézkedéstípusok, a végrehajtó szereplők kapacitása, a roma közösségek és a civil szervezetek (CSO) iránti elkötelezettség kombinációja. A tagállamok tetszésük szerint választhatják ki stratégiai keretrendszerükön belül a mutatókat és a szakpolitikai beavatkozásokat.</w:t>
      </w:r>
    </w:p>
    <w:p>
      <w:pPr>
        <w:pStyle w:val="Caption"/>
        <w:keepNext/>
        <w:keepLines/>
        <w:spacing w:after="0"/>
        <w:rPr>
          <w:rFonts w:ascii="Times New Roman" w:eastAsia="MS Mincho" w:hAnsi="Times New Roman" w:cs="Times New Roman"/>
          <w:i w:val="0"/>
          <w:iCs w:val="0"/>
          <w:noProof/>
          <w:color w:val="auto"/>
          <w:sz w:val="20"/>
          <w:szCs w:val="20"/>
        </w:rPr>
      </w:pPr>
      <w:r>
        <w:rPr>
          <w:rFonts w:ascii="Times New Roman" w:eastAsia="MS Mincho" w:hAnsi="Times New Roman" w:cs="Times New Roman"/>
          <w:b/>
          <w:i w:val="0"/>
          <w:iCs w:val="0"/>
          <w:noProof/>
          <w:color w:val="auto"/>
          <w:sz w:val="20"/>
          <w:szCs w:val="20"/>
        </w:rPr>
        <w:fldChar w:fldCharType="begin" w:fldLock="1"/>
      </w:r>
      <w:r>
        <w:rPr>
          <w:rFonts w:ascii="Times New Roman" w:eastAsia="MS Mincho" w:hAnsi="Times New Roman" w:cs="Times New Roman"/>
          <w:b/>
          <w:i w:val="0"/>
          <w:iCs w:val="0"/>
          <w:noProof/>
          <w:color w:val="auto"/>
          <w:sz w:val="20"/>
          <w:szCs w:val="20"/>
        </w:rPr>
        <w:instrText xml:space="preserve"> SEQ Table \* ARABIC </w:instrText>
      </w:r>
      <w:r>
        <w:rPr>
          <w:rFonts w:ascii="Times New Roman" w:eastAsia="MS Mincho" w:hAnsi="Times New Roman" w:cs="Times New Roman"/>
          <w:b/>
          <w:i w:val="0"/>
          <w:iCs w:val="0"/>
          <w:noProof/>
          <w:color w:val="auto"/>
          <w:sz w:val="20"/>
          <w:szCs w:val="20"/>
        </w:rPr>
        <w:fldChar w:fldCharType="separate"/>
      </w:r>
      <w:r>
        <w:rPr>
          <w:rFonts w:ascii="Times New Roman" w:eastAsia="MS Mincho" w:hAnsi="Times New Roman" w:cs="Times New Roman"/>
          <w:b/>
          <w:i w:val="0"/>
          <w:iCs w:val="0"/>
          <w:noProof/>
          <w:color w:val="auto"/>
          <w:sz w:val="20"/>
          <w:szCs w:val="20"/>
        </w:rPr>
        <w:t>1</w:t>
      </w:r>
      <w:r>
        <w:rPr>
          <w:rFonts w:ascii="Times New Roman" w:eastAsia="MS Mincho" w:hAnsi="Times New Roman" w:cs="Times New Roman"/>
          <w:b/>
          <w:i w:val="0"/>
          <w:iCs w:val="0"/>
          <w:noProof/>
          <w:color w:val="auto"/>
          <w:sz w:val="20"/>
          <w:szCs w:val="20"/>
        </w:rPr>
        <w:fldChar w:fldCharType="end"/>
      </w:r>
      <w:r>
        <w:rPr>
          <w:rFonts w:ascii="Times New Roman" w:hAnsi="Times New Roman"/>
          <w:b/>
          <w:i w:val="0"/>
          <w:iCs w:val="0"/>
          <w:noProof/>
          <w:color w:val="auto"/>
          <w:sz w:val="20"/>
          <w:szCs w:val="20"/>
        </w:rPr>
        <w:t xml:space="preserve">. táblázat: </w:t>
      </w:r>
      <w:r>
        <w:rPr>
          <w:rFonts w:ascii="Times New Roman" w:hAnsi="Times New Roman"/>
          <w:i w:val="0"/>
          <w:iCs w:val="0"/>
          <w:noProof/>
          <w:color w:val="auto"/>
          <w:sz w:val="20"/>
          <w:szCs w:val="20"/>
        </w:rPr>
        <w:t>Az EU kiemelt célkitűzéseinek és a romák egyenlőségét, társadalmi befogadását és részvételét mérő uniós mutatók áttekintése</w:t>
      </w:r>
    </w:p>
    <w:p>
      <w:pPr>
        <w:rPr>
          <w:rFonts w:ascii="Times New Roman" w:hAnsi="Times New Roman" w:cs="Times New Roman"/>
          <w:noProof/>
        </w:rPr>
      </w:pPr>
    </w:p>
    <w:tbl>
      <w:tblPr>
        <w:tblStyle w:val="TableGrid"/>
        <w:tblW w:w="9345" w:type="dxa"/>
        <w:tblInd w:w="0" w:type="dxa"/>
        <w:tblLayout w:type="fixed"/>
        <w:tblLook w:val="04A0" w:firstRow="1" w:lastRow="0" w:firstColumn="1" w:lastColumn="0" w:noHBand="0" w:noVBand="1"/>
      </w:tblPr>
      <w:tblGrid>
        <w:gridCol w:w="318"/>
        <w:gridCol w:w="2331"/>
        <w:gridCol w:w="605"/>
        <w:gridCol w:w="4958"/>
        <w:gridCol w:w="1133"/>
      </w:tblGrid>
      <w:tr>
        <w:trPr>
          <w:trHeight w:val="281"/>
        </w:trPr>
        <w:tc>
          <w:tcPr>
            <w:tcW w:w="318"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pPr>
              <w:pStyle w:val="Caption"/>
              <w:keepLines/>
              <w:rPr>
                <w:rFonts w:ascii="Times New Roman" w:hAnsi="Times New Roman"/>
                <w:b/>
                <w:noProof/>
                <w:sz w:val="20"/>
              </w:rPr>
            </w:pPr>
            <w:r>
              <w:rPr>
                <w:rFonts w:ascii="Times New Roman" w:hAnsi="Times New Roman"/>
                <w:b/>
                <w:noProof/>
                <w:sz w:val="20"/>
              </w:rPr>
              <w:t xml:space="preserve"> </w:t>
            </w:r>
          </w:p>
        </w:tc>
        <w:tc>
          <w:tcPr>
            <w:tcW w:w="2331"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pPr>
              <w:pStyle w:val="Caption"/>
              <w:keepLines/>
              <w:spacing w:after="120"/>
              <w:rPr>
                <w:rFonts w:ascii="Times New Roman" w:hAnsi="Times New Roman"/>
                <w:b/>
                <w:noProof/>
                <w:color w:val="auto"/>
                <w:sz w:val="20"/>
              </w:rPr>
            </w:pPr>
            <w:r>
              <w:rPr>
                <w:rFonts w:ascii="Times New Roman" w:hAnsi="Times New Roman"/>
                <w:b/>
                <w:noProof/>
                <w:color w:val="auto"/>
                <w:sz w:val="20"/>
              </w:rPr>
              <w:t>Horizontális célkitűzések</w:t>
            </w:r>
          </w:p>
        </w:tc>
        <w:tc>
          <w:tcPr>
            <w:tcW w:w="605"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pPr>
              <w:pStyle w:val="Caption"/>
              <w:keepLines/>
              <w:spacing w:after="120"/>
              <w:rPr>
                <w:rFonts w:ascii="Times New Roman" w:hAnsi="Times New Roman"/>
                <w:b/>
                <w:noProof/>
                <w:color w:val="auto"/>
                <w:sz w:val="20"/>
              </w:rPr>
            </w:pPr>
            <w:r>
              <w:rPr>
                <w:rFonts w:ascii="Times New Roman" w:hAnsi="Times New Roman"/>
                <w:b/>
                <w:noProof/>
                <w:color w:val="auto"/>
                <w:sz w:val="20"/>
              </w:rPr>
              <w:t xml:space="preserve"> </w:t>
            </w:r>
          </w:p>
        </w:tc>
        <w:tc>
          <w:tcPr>
            <w:tcW w:w="4958"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pPr>
              <w:pStyle w:val="Caption"/>
              <w:keepLines/>
              <w:spacing w:after="120"/>
              <w:rPr>
                <w:rFonts w:ascii="Times New Roman" w:hAnsi="Times New Roman"/>
                <w:b/>
                <w:noProof/>
                <w:color w:val="auto"/>
                <w:sz w:val="20"/>
              </w:rPr>
            </w:pPr>
            <w:r>
              <w:rPr>
                <w:rFonts w:ascii="Times New Roman" w:hAnsi="Times New Roman"/>
                <w:b/>
                <w:noProof/>
                <w:color w:val="auto"/>
                <w:sz w:val="20"/>
              </w:rPr>
              <w:t>Kiemelt uniós mutatók</w:t>
            </w:r>
          </w:p>
        </w:tc>
        <w:tc>
          <w:tcPr>
            <w:tcW w:w="113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pPr>
              <w:pStyle w:val="Caption"/>
              <w:keepLines/>
              <w:spacing w:after="120"/>
              <w:rPr>
                <w:rFonts w:ascii="Times New Roman" w:hAnsi="Times New Roman"/>
                <w:b/>
                <w:noProof/>
                <w:color w:val="auto"/>
                <w:sz w:val="20"/>
              </w:rPr>
            </w:pPr>
            <w:r>
              <w:rPr>
                <w:rFonts w:ascii="Times New Roman" w:hAnsi="Times New Roman"/>
                <w:b/>
                <w:noProof/>
                <w:color w:val="auto"/>
                <w:sz w:val="20"/>
              </w:rPr>
              <w:t>Vonatkozó fenntartható fejlődési cél</w:t>
            </w:r>
          </w:p>
        </w:tc>
      </w:tr>
      <w:tr>
        <w:trPr>
          <w:trHeight w:val="630"/>
        </w:trPr>
        <w:tc>
          <w:tcPr>
            <w:tcW w:w="318"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pPr>
              <w:pStyle w:val="Caption"/>
              <w:keepLines/>
              <w:rPr>
                <w:rFonts w:ascii="Times New Roman" w:hAnsi="Times New Roman"/>
                <w:b/>
                <w:noProof/>
                <w:sz w:val="20"/>
              </w:rPr>
            </w:pPr>
            <w:r>
              <w:rPr>
                <w:rFonts w:ascii="Times New Roman" w:hAnsi="Times New Roman"/>
                <w:b/>
                <w:noProof/>
                <w:sz w:val="20"/>
              </w:rPr>
              <w:t>1.</w:t>
            </w:r>
          </w:p>
        </w:tc>
        <w:tc>
          <w:tcPr>
            <w:tcW w:w="2331" w:type="dxa"/>
            <w:vMerge w:val="restart"/>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 xml:space="preserve">A </w:t>
            </w:r>
            <w:r>
              <w:rPr>
                <w:rFonts w:ascii="Times New Roman" w:hAnsi="Times New Roman"/>
                <w:b/>
                <w:bCs/>
                <w:noProof/>
                <w:sz w:val="20"/>
              </w:rPr>
              <w:t>cigányellenesség és a hátrányos megkülönböztetés</w:t>
            </w:r>
            <w:r>
              <w:rPr>
                <w:rFonts w:ascii="Times New Roman" w:hAnsi="Times New Roman"/>
                <w:noProof/>
                <w:sz w:val="20"/>
              </w:rPr>
              <w:t xml:space="preserve"> elleni küzdelem és megelőzés</w:t>
            </w:r>
            <w:r>
              <w:rPr>
                <w:rStyle w:val="FootnoteReference"/>
                <w:rFonts w:ascii="Times New Roman" w:hAnsi="Times New Roman"/>
                <w:b/>
                <w:noProof/>
                <w:sz w:val="20"/>
              </w:rPr>
              <w:footnoteReference w:id="3"/>
            </w: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1.</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Azon személyek aránya, akik az elmúlt 12 hónapban úgy érezték, hogy a felméréssel lefedett bármely területen roma voltuk miatt hátrányosan megkülönböztették őket</w:t>
            </w:r>
          </w:p>
        </w:tc>
        <w:tc>
          <w:tcPr>
            <w:tcW w:w="1133"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SDG 10.3.1.</w:t>
            </w:r>
          </w:p>
          <w:p>
            <w:pPr>
              <w:keepLines/>
              <w:rPr>
                <w:rFonts w:ascii="Times New Roman" w:hAnsi="Times New Roman"/>
                <w:noProof/>
                <w:sz w:val="20"/>
              </w:rPr>
            </w:pPr>
            <w:r>
              <w:rPr>
                <w:rFonts w:ascii="Times New Roman" w:hAnsi="Times New Roman"/>
                <w:noProof/>
                <w:sz w:val="20"/>
              </w:rPr>
              <w:t>SDG 16.b.1.</w:t>
            </w:r>
          </w:p>
        </w:tc>
      </w:tr>
      <w:tr>
        <w:trPr>
          <w:trHeight w:val="562"/>
        </w:trPr>
        <w:tc>
          <w:tcPr>
            <w:tcW w:w="3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b/>
                <w:i/>
                <w:noProof/>
                <w:color w:val="1F497D" w:themeColor="text2"/>
                <w:sz w:val="20"/>
                <w:lang w:val="en-GB"/>
              </w:rPr>
            </w:pPr>
          </w:p>
        </w:tc>
        <w:tc>
          <w:tcPr>
            <w:tcW w:w="233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noProof/>
                <w:sz w:val="20"/>
                <w:lang w:val="en-GB"/>
              </w:rPr>
            </w:pP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2.</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A teljes népesség azon aránya, amely kényelmetlenül érzi magát, ha roma szomszédai vannak</w:t>
            </w:r>
          </w:p>
        </w:tc>
        <w:tc>
          <w:tcPr>
            <w:tcW w:w="1133"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p>
        </w:tc>
      </w:tr>
      <w:tr>
        <w:trPr>
          <w:trHeight w:val="501"/>
        </w:trPr>
        <w:tc>
          <w:tcPr>
            <w:tcW w:w="318" w:type="dxa"/>
            <w:vMerge w:val="restart"/>
            <w:tcBorders>
              <w:top w:val="single" w:sz="4" w:space="0" w:color="auto"/>
              <w:left w:val="single" w:sz="4" w:space="0" w:color="auto"/>
              <w:right w:val="single" w:sz="4" w:space="0" w:color="auto"/>
            </w:tcBorders>
            <w:shd w:val="clear" w:color="auto" w:fill="B8CCE4" w:themeFill="accent1" w:themeFillTint="66"/>
            <w:hideMark/>
          </w:tcPr>
          <w:p>
            <w:pPr>
              <w:pStyle w:val="Caption"/>
              <w:keepLines/>
              <w:rPr>
                <w:rFonts w:ascii="Times New Roman" w:hAnsi="Times New Roman"/>
                <w:b/>
                <w:noProof/>
                <w:sz w:val="20"/>
              </w:rPr>
            </w:pPr>
            <w:r>
              <w:rPr>
                <w:rFonts w:ascii="Times New Roman" w:hAnsi="Times New Roman"/>
                <w:b/>
                <w:noProof/>
                <w:sz w:val="20"/>
              </w:rPr>
              <w:t>2.</w:t>
            </w:r>
          </w:p>
        </w:tc>
        <w:tc>
          <w:tcPr>
            <w:tcW w:w="2331" w:type="dxa"/>
            <w:vMerge w:val="restart"/>
            <w:tcBorders>
              <w:top w:val="single" w:sz="4" w:space="0" w:color="auto"/>
              <w:left w:val="single" w:sz="4" w:space="0" w:color="auto"/>
              <w:right w:val="single" w:sz="4" w:space="0" w:color="auto"/>
            </w:tcBorders>
            <w:hideMark/>
          </w:tcPr>
          <w:p>
            <w:pPr>
              <w:keepLines/>
              <w:rPr>
                <w:rFonts w:ascii="Times New Roman" w:hAnsi="Times New Roman"/>
                <w:noProof/>
                <w:sz w:val="20"/>
              </w:rPr>
            </w:pPr>
            <w:r>
              <w:rPr>
                <w:rFonts w:ascii="Times New Roman" w:hAnsi="Times New Roman"/>
                <w:b/>
                <w:noProof/>
                <w:sz w:val="20"/>
              </w:rPr>
              <w:t xml:space="preserve">A szegénység és a társadalmi kirekesztés </w:t>
            </w:r>
            <w:r>
              <w:rPr>
                <w:rFonts w:ascii="Times New Roman" w:hAnsi="Times New Roman"/>
                <w:noProof/>
                <w:sz w:val="20"/>
              </w:rPr>
              <w:t xml:space="preserve">csökkentése </w:t>
            </w: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3.</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A szegénység kockázatának való kitettség aránya (a szociális transzferek utáni ekvivalens mediánjövedelem 60 %-a alatt)</w:t>
            </w:r>
          </w:p>
        </w:tc>
        <w:tc>
          <w:tcPr>
            <w:tcW w:w="1133"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SDG 1.2.1.</w:t>
            </w:r>
          </w:p>
        </w:tc>
      </w:tr>
      <w:tr>
        <w:trPr>
          <w:trHeight w:val="280"/>
        </w:trPr>
        <w:tc>
          <w:tcPr>
            <w:tcW w:w="318" w:type="dxa"/>
            <w:vMerge/>
            <w:tcBorders>
              <w:left w:val="single" w:sz="4" w:space="0" w:color="auto"/>
              <w:right w:val="single" w:sz="4" w:space="0" w:color="auto"/>
            </w:tcBorders>
            <w:shd w:val="clear" w:color="auto" w:fill="B8CCE4" w:themeFill="accent1" w:themeFillTint="66"/>
            <w:vAlign w:val="center"/>
            <w:hideMark/>
          </w:tcPr>
          <w:p>
            <w:pPr>
              <w:rPr>
                <w:rFonts w:ascii="Times New Roman" w:hAnsi="Times New Roman"/>
                <w:b/>
                <w:i/>
                <w:noProof/>
                <w:color w:val="1F497D" w:themeColor="text2"/>
                <w:sz w:val="20"/>
                <w:lang w:val="en-GB"/>
              </w:rPr>
            </w:pPr>
          </w:p>
        </w:tc>
        <w:tc>
          <w:tcPr>
            <w:tcW w:w="2331" w:type="dxa"/>
            <w:vMerge/>
            <w:tcBorders>
              <w:left w:val="single" w:sz="4" w:space="0" w:color="auto"/>
              <w:right w:val="single" w:sz="4" w:space="0" w:color="auto"/>
            </w:tcBorders>
            <w:vAlign w:val="center"/>
            <w:hideMark/>
          </w:tcPr>
          <w:p>
            <w:pPr>
              <w:rPr>
                <w:rFonts w:ascii="Times New Roman" w:hAnsi="Times New Roman"/>
                <w:noProof/>
                <w:sz w:val="20"/>
                <w:lang w:val="en-GB"/>
              </w:rPr>
            </w:pP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3.1.</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 xml:space="preserve">Szegénység kockázatának kitett 18 évesnél fiatalabb gyermekek </w:t>
            </w:r>
          </w:p>
        </w:tc>
        <w:tc>
          <w:tcPr>
            <w:tcW w:w="1133"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SDG 1.2.2.</w:t>
            </w:r>
          </w:p>
        </w:tc>
      </w:tr>
      <w:tr>
        <w:trPr>
          <w:trHeight w:val="280"/>
        </w:trPr>
        <w:tc>
          <w:tcPr>
            <w:tcW w:w="318" w:type="dxa"/>
            <w:vMerge/>
            <w:tcBorders>
              <w:left w:val="single" w:sz="4" w:space="0" w:color="auto"/>
              <w:right w:val="single" w:sz="4" w:space="0" w:color="auto"/>
            </w:tcBorders>
            <w:shd w:val="clear" w:color="auto" w:fill="B8CCE4" w:themeFill="accent1" w:themeFillTint="66"/>
            <w:vAlign w:val="center"/>
          </w:tcPr>
          <w:p>
            <w:pPr>
              <w:rPr>
                <w:rFonts w:ascii="Times New Roman" w:hAnsi="Times New Roman"/>
                <w:b/>
                <w:i/>
                <w:noProof/>
                <w:color w:val="1F497D" w:themeColor="text2"/>
                <w:sz w:val="20"/>
                <w:lang w:val="en-GB"/>
              </w:rPr>
            </w:pPr>
          </w:p>
        </w:tc>
        <w:tc>
          <w:tcPr>
            <w:tcW w:w="2331" w:type="dxa"/>
            <w:vMerge/>
            <w:tcBorders>
              <w:left w:val="single" w:sz="4" w:space="0" w:color="auto"/>
              <w:right w:val="single" w:sz="4" w:space="0" w:color="auto"/>
            </w:tcBorders>
            <w:vAlign w:val="center"/>
          </w:tcPr>
          <w:p>
            <w:pPr>
              <w:rPr>
                <w:rFonts w:ascii="Times New Roman" w:hAnsi="Times New Roman"/>
                <w:noProof/>
                <w:sz w:val="20"/>
                <w:lang w:val="en-GB"/>
              </w:rPr>
            </w:pPr>
          </w:p>
        </w:tc>
        <w:tc>
          <w:tcPr>
            <w:tcW w:w="605"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r>
              <w:rPr>
                <w:rFonts w:ascii="Times New Roman" w:hAnsi="Times New Roman"/>
                <w:noProof/>
                <w:sz w:val="20"/>
              </w:rPr>
              <w:t>4.</w:t>
            </w:r>
          </w:p>
        </w:tc>
        <w:tc>
          <w:tcPr>
            <w:tcW w:w="4958" w:type="dxa"/>
            <w:tcBorders>
              <w:top w:val="single" w:sz="4" w:space="0" w:color="auto"/>
              <w:left w:val="single" w:sz="4" w:space="0" w:color="auto"/>
              <w:bottom w:val="single" w:sz="4" w:space="0" w:color="auto"/>
              <w:right w:val="single" w:sz="4" w:space="0" w:color="auto"/>
            </w:tcBorders>
          </w:tcPr>
          <w:p>
            <w:pPr>
              <w:tabs>
                <w:tab w:val="left" w:pos="6060"/>
              </w:tabs>
              <w:rPr>
                <w:rFonts w:ascii="Times New Roman" w:hAnsi="Times New Roman"/>
                <w:noProof/>
                <w:sz w:val="20"/>
              </w:rPr>
            </w:pPr>
            <w:r>
              <w:rPr>
                <w:rFonts w:ascii="Times New Roman" w:hAnsi="Times New Roman"/>
                <w:noProof/>
                <w:sz w:val="20"/>
              </w:rPr>
              <w:t>Súlyos anyagi nélkülözéstől szenvedő (9-ből 4 tételt, pl. élelmiszer, barátok meghívása stb. nem engedhet meg magának) háztartásban élő személyek aránya*</w:t>
            </w:r>
          </w:p>
        </w:tc>
        <w:tc>
          <w:tcPr>
            <w:tcW w:w="1133"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r>
              <w:rPr>
                <w:rFonts w:ascii="Times New Roman" w:hAnsi="Times New Roman"/>
                <w:noProof/>
                <w:sz w:val="20"/>
              </w:rPr>
              <w:t>SDG 1.</w:t>
            </w:r>
          </w:p>
        </w:tc>
      </w:tr>
      <w:tr>
        <w:trPr>
          <w:trHeight w:val="280"/>
        </w:trPr>
        <w:tc>
          <w:tcPr>
            <w:tcW w:w="318" w:type="dxa"/>
            <w:vMerge/>
            <w:tcBorders>
              <w:left w:val="single" w:sz="4" w:space="0" w:color="auto"/>
              <w:right w:val="single" w:sz="4" w:space="0" w:color="auto"/>
            </w:tcBorders>
            <w:shd w:val="clear" w:color="auto" w:fill="B8CCE4" w:themeFill="accent1" w:themeFillTint="66"/>
            <w:vAlign w:val="center"/>
          </w:tcPr>
          <w:p>
            <w:pPr>
              <w:rPr>
                <w:rFonts w:ascii="Times New Roman" w:hAnsi="Times New Roman"/>
                <w:b/>
                <w:i/>
                <w:noProof/>
                <w:color w:val="1F497D" w:themeColor="text2"/>
                <w:sz w:val="20"/>
                <w:lang w:val="en-GB"/>
              </w:rPr>
            </w:pPr>
          </w:p>
        </w:tc>
        <w:tc>
          <w:tcPr>
            <w:tcW w:w="2331" w:type="dxa"/>
            <w:vMerge/>
            <w:tcBorders>
              <w:left w:val="single" w:sz="4" w:space="0" w:color="auto"/>
              <w:right w:val="single" w:sz="4" w:space="0" w:color="auto"/>
            </w:tcBorders>
            <w:vAlign w:val="center"/>
          </w:tcPr>
          <w:p>
            <w:pPr>
              <w:rPr>
                <w:rFonts w:ascii="Times New Roman" w:hAnsi="Times New Roman"/>
                <w:noProof/>
                <w:sz w:val="20"/>
                <w:lang w:val="en-GB"/>
              </w:rPr>
            </w:pPr>
          </w:p>
        </w:tc>
        <w:tc>
          <w:tcPr>
            <w:tcW w:w="605"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r>
              <w:rPr>
                <w:rFonts w:ascii="Times New Roman" w:hAnsi="Times New Roman"/>
                <w:noProof/>
                <w:sz w:val="20"/>
              </w:rPr>
              <w:t>4.1.</w:t>
            </w:r>
          </w:p>
        </w:tc>
        <w:tc>
          <w:tcPr>
            <w:tcW w:w="4958"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r>
              <w:rPr>
                <w:rFonts w:ascii="Times New Roman" w:hAnsi="Times New Roman"/>
                <w:noProof/>
                <w:sz w:val="20"/>
              </w:rPr>
              <w:t>Súlyos anyagi nélkülözésben* élő 18 évesnél fiatalabb gyermekek</w:t>
            </w:r>
          </w:p>
        </w:tc>
        <w:tc>
          <w:tcPr>
            <w:tcW w:w="1133"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r>
              <w:rPr>
                <w:rFonts w:ascii="Times New Roman" w:hAnsi="Times New Roman"/>
                <w:noProof/>
                <w:sz w:val="20"/>
              </w:rPr>
              <w:t>SDG 1.</w:t>
            </w:r>
          </w:p>
        </w:tc>
      </w:tr>
      <w:tr>
        <w:trPr>
          <w:trHeight w:val="691"/>
        </w:trPr>
        <w:tc>
          <w:tcPr>
            <w:tcW w:w="318"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pPr>
              <w:pStyle w:val="Caption"/>
              <w:keepLines/>
              <w:rPr>
                <w:rFonts w:ascii="Times New Roman" w:hAnsi="Times New Roman"/>
                <w:b/>
                <w:noProof/>
                <w:sz w:val="20"/>
              </w:rPr>
            </w:pPr>
            <w:r>
              <w:rPr>
                <w:rFonts w:ascii="Times New Roman" w:hAnsi="Times New Roman"/>
                <w:b/>
                <w:noProof/>
                <w:sz w:val="20"/>
              </w:rPr>
              <w:t>3.</w:t>
            </w:r>
          </w:p>
        </w:tc>
        <w:tc>
          <w:tcPr>
            <w:tcW w:w="2331" w:type="dxa"/>
            <w:vMerge w:val="restart"/>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 xml:space="preserve">A </w:t>
            </w:r>
            <w:r>
              <w:rPr>
                <w:rFonts w:ascii="Times New Roman" w:hAnsi="Times New Roman"/>
                <w:b/>
                <w:noProof/>
                <w:sz w:val="20"/>
              </w:rPr>
              <w:t>részvétel</w:t>
            </w:r>
            <w:r>
              <w:rPr>
                <w:rFonts w:ascii="Times New Roman" w:hAnsi="Times New Roman"/>
                <w:noProof/>
                <w:sz w:val="20"/>
              </w:rPr>
              <w:t xml:space="preserve"> szerepvállalás, együttműködés és bizalom építése révén történő előmozdítása</w:t>
            </w: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4.</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Azon személyek aránya, akik az elmúlt 12 hónapban úgy érezték, hogy roma voltuk miatt (bármely területen) hátrányosan megkülönböztették őket, és jelentették az utolsó hátrányos megkülönböztetési esetet</w:t>
            </w:r>
          </w:p>
        </w:tc>
        <w:tc>
          <w:tcPr>
            <w:tcW w:w="1133"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p>
        </w:tc>
      </w:tr>
      <w:tr>
        <w:trPr>
          <w:trHeight w:val="292"/>
        </w:trPr>
        <w:tc>
          <w:tcPr>
            <w:tcW w:w="3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b/>
                <w:i/>
                <w:noProof/>
                <w:color w:val="1F497D" w:themeColor="text2"/>
                <w:sz w:val="20"/>
              </w:rPr>
            </w:pPr>
          </w:p>
        </w:tc>
        <w:tc>
          <w:tcPr>
            <w:tcW w:w="233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noProof/>
                <w:sz w:val="20"/>
              </w:rPr>
            </w:pP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5.</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Az aktív polgárságra és a részvételre vonatkozó, KIDOLGOZANDÓ mutatók</w:t>
            </w:r>
          </w:p>
        </w:tc>
        <w:tc>
          <w:tcPr>
            <w:tcW w:w="1133"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p>
        </w:tc>
      </w:tr>
      <w:tr>
        <w:trPr>
          <w:trHeight w:val="283"/>
        </w:trPr>
        <w:tc>
          <w:tcPr>
            <w:tcW w:w="318"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tcPr>
          <w:p>
            <w:pPr>
              <w:pStyle w:val="Caption"/>
              <w:keepLines/>
              <w:rPr>
                <w:rFonts w:ascii="Times New Roman" w:hAnsi="Times New Roman"/>
                <w:b/>
                <w:noProof/>
                <w:sz w:val="20"/>
              </w:rPr>
            </w:pPr>
          </w:p>
        </w:tc>
        <w:tc>
          <w:tcPr>
            <w:tcW w:w="2331"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pPr>
              <w:keepLines/>
              <w:rPr>
                <w:rFonts w:ascii="Times New Roman" w:hAnsi="Times New Roman"/>
                <w:i/>
                <w:noProof/>
                <w:sz w:val="20"/>
              </w:rPr>
            </w:pPr>
            <w:r>
              <w:rPr>
                <w:rFonts w:ascii="Times New Roman" w:hAnsi="Times New Roman"/>
                <w:b/>
                <w:i/>
                <w:noProof/>
                <w:sz w:val="20"/>
              </w:rPr>
              <w:t>Ágazati célkitűzések</w:t>
            </w:r>
          </w:p>
        </w:tc>
        <w:tc>
          <w:tcPr>
            <w:tcW w:w="60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pPr>
              <w:keepLines/>
              <w:rPr>
                <w:rFonts w:ascii="Times New Roman" w:hAnsi="Times New Roman"/>
                <w:i/>
                <w:noProof/>
                <w:sz w:val="20"/>
              </w:rPr>
            </w:pPr>
          </w:p>
        </w:tc>
        <w:tc>
          <w:tcPr>
            <w:tcW w:w="4958"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pPr>
              <w:keepLines/>
              <w:rPr>
                <w:rFonts w:ascii="Times New Roman" w:hAnsi="Times New Roman"/>
                <w:i/>
                <w:noProof/>
                <w:sz w:val="20"/>
              </w:rPr>
            </w:pPr>
            <w:r>
              <w:rPr>
                <w:rFonts w:ascii="Times New Roman" w:hAnsi="Times New Roman"/>
                <w:b/>
                <w:i/>
                <w:noProof/>
                <w:sz w:val="20"/>
              </w:rPr>
              <w:t>Kiemelt uniós mutatók</w:t>
            </w:r>
          </w:p>
        </w:tc>
        <w:tc>
          <w:tcPr>
            <w:tcW w:w="1133"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pPr>
              <w:keepLines/>
              <w:rPr>
                <w:rFonts w:ascii="Times New Roman" w:hAnsi="Times New Roman"/>
                <w:i/>
                <w:noProof/>
                <w:sz w:val="20"/>
              </w:rPr>
            </w:pPr>
            <w:r>
              <w:rPr>
                <w:rFonts w:ascii="Times New Roman" w:hAnsi="Times New Roman"/>
                <w:b/>
                <w:i/>
                <w:noProof/>
                <w:sz w:val="20"/>
              </w:rPr>
              <w:t>Vonatkozó fenntartható fejlődési cél</w:t>
            </w:r>
          </w:p>
        </w:tc>
      </w:tr>
      <w:tr>
        <w:trPr>
          <w:trHeight w:val="283"/>
        </w:trPr>
        <w:tc>
          <w:tcPr>
            <w:tcW w:w="318"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pPr>
              <w:pStyle w:val="Caption"/>
              <w:keepLines/>
              <w:rPr>
                <w:rFonts w:ascii="Times New Roman" w:hAnsi="Times New Roman"/>
                <w:b/>
                <w:noProof/>
                <w:sz w:val="20"/>
              </w:rPr>
            </w:pPr>
            <w:r>
              <w:rPr>
                <w:rFonts w:ascii="Times New Roman" w:hAnsi="Times New Roman"/>
                <w:b/>
                <w:noProof/>
                <w:sz w:val="20"/>
              </w:rPr>
              <w:t>4.</w:t>
            </w:r>
          </w:p>
        </w:tc>
        <w:tc>
          <w:tcPr>
            <w:tcW w:w="2331" w:type="dxa"/>
            <w:vMerge w:val="restart"/>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 xml:space="preserve">A színvonalas, inkluzív többségi </w:t>
            </w:r>
            <w:r>
              <w:rPr>
                <w:rFonts w:ascii="Times New Roman" w:hAnsi="Times New Roman"/>
                <w:b/>
                <w:noProof/>
                <w:sz w:val="20"/>
              </w:rPr>
              <w:t>oktatáshoz</w:t>
            </w:r>
            <w:r>
              <w:rPr>
                <w:rFonts w:ascii="Times New Roman" w:hAnsi="Times New Roman"/>
                <w:noProof/>
                <w:sz w:val="20"/>
              </w:rPr>
              <w:t xml:space="preserve"> való ténylegesen egyenlő hozzáférés javítása</w:t>
            </w: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6.</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Azon gyermekek aránya 3 éves kortól a tanköteles korig, akik koragyermekkori nevelésben és gondozásban részesülnek</w:t>
            </w:r>
          </w:p>
        </w:tc>
        <w:tc>
          <w:tcPr>
            <w:tcW w:w="1133"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r>
              <w:rPr>
                <w:rFonts w:ascii="Times New Roman" w:hAnsi="Times New Roman"/>
                <w:noProof/>
                <w:sz w:val="20"/>
              </w:rPr>
              <w:t>SDG 4.2.2.</w:t>
            </w:r>
          </w:p>
        </w:tc>
      </w:tr>
      <w:tr>
        <w:trPr>
          <w:trHeight w:val="431"/>
        </w:trPr>
        <w:tc>
          <w:tcPr>
            <w:tcW w:w="3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b/>
                <w:i/>
                <w:noProof/>
                <w:color w:val="1F497D" w:themeColor="text2"/>
                <w:sz w:val="20"/>
                <w:lang w:val="en-GB"/>
              </w:rPr>
            </w:pPr>
          </w:p>
        </w:tc>
        <w:tc>
          <w:tcPr>
            <w:tcW w:w="233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noProof/>
                <w:sz w:val="20"/>
                <w:lang w:val="en-GB"/>
              </w:rPr>
            </w:pP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7.</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20–24 év közötti, legalább felső középfokú végzettséggel rendelkező személyek aránya</w:t>
            </w:r>
          </w:p>
        </w:tc>
        <w:tc>
          <w:tcPr>
            <w:tcW w:w="1133"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SDG 4.3.</w:t>
            </w:r>
          </w:p>
        </w:tc>
      </w:tr>
      <w:tr>
        <w:trPr>
          <w:trHeight w:val="540"/>
        </w:trPr>
        <w:tc>
          <w:tcPr>
            <w:tcW w:w="3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b/>
                <w:i/>
                <w:noProof/>
                <w:color w:val="1F497D" w:themeColor="text2"/>
                <w:sz w:val="20"/>
                <w:lang w:val="en-GB"/>
              </w:rPr>
            </w:pPr>
          </w:p>
        </w:tc>
        <w:tc>
          <w:tcPr>
            <w:tcW w:w="233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noProof/>
                <w:sz w:val="20"/>
                <w:lang w:val="en-GB"/>
              </w:rPr>
            </w:pPr>
          </w:p>
        </w:tc>
        <w:tc>
          <w:tcPr>
            <w:tcW w:w="605"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r>
              <w:rPr>
                <w:rFonts w:ascii="Times New Roman" w:hAnsi="Times New Roman"/>
                <w:noProof/>
                <w:sz w:val="20"/>
              </w:rPr>
              <w:t>8.</w:t>
            </w:r>
          </w:p>
          <w:p>
            <w:pPr>
              <w:keepLines/>
              <w:rPr>
                <w:rFonts w:ascii="Times New Roman" w:hAnsi="Times New Roman"/>
                <w:noProof/>
                <w:sz w:val="20"/>
                <w:lang w:val="en-GB"/>
              </w:rPr>
            </w:pPr>
          </w:p>
        </w:tc>
        <w:tc>
          <w:tcPr>
            <w:tcW w:w="4958"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r>
              <w:rPr>
                <w:rFonts w:ascii="Times New Roman" w:hAnsi="Times New Roman"/>
                <w:noProof/>
                <w:sz w:val="20"/>
              </w:rPr>
              <w:t>Azon 6–15 év közötti gyermekek aránya, akik olyan iskolába járnak, ahol a válaszadók szerint „szinte valamennyi osztálytárs roma” (csak a kiválasztott országok)</w:t>
            </w:r>
          </w:p>
        </w:tc>
        <w:tc>
          <w:tcPr>
            <w:tcW w:w="1133"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lang w:val="en-GB"/>
              </w:rPr>
            </w:pPr>
          </w:p>
        </w:tc>
      </w:tr>
      <w:tr>
        <w:trPr>
          <w:trHeight w:val="900"/>
        </w:trPr>
        <w:tc>
          <w:tcPr>
            <w:tcW w:w="318"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pPr>
              <w:pStyle w:val="Caption"/>
              <w:keepLines/>
              <w:rPr>
                <w:rFonts w:ascii="Times New Roman" w:hAnsi="Times New Roman"/>
                <w:b/>
                <w:noProof/>
                <w:sz w:val="20"/>
              </w:rPr>
            </w:pPr>
            <w:r>
              <w:rPr>
                <w:rFonts w:ascii="Times New Roman" w:hAnsi="Times New Roman"/>
                <w:b/>
                <w:noProof/>
                <w:sz w:val="20"/>
              </w:rPr>
              <w:t>5.</w:t>
            </w:r>
          </w:p>
        </w:tc>
        <w:tc>
          <w:tcPr>
            <w:tcW w:w="2331" w:type="dxa"/>
            <w:vMerge w:val="restart"/>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 xml:space="preserve">A fizetett és fenntartható </w:t>
            </w:r>
            <w:r>
              <w:rPr>
                <w:rFonts w:ascii="Times New Roman" w:hAnsi="Times New Roman"/>
                <w:b/>
                <w:bCs/>
                <w:noProof/>
                <w:sz w:val="20"/>
              </w:rPr>
              <w:t>foglalkoztatáshoz</w:t>
            </w:r>
            <w:r>
              <w:rPr>
                <w:rFonts w:ascii="Times New Roman" w:hAnsi="Times New Roman"/>
                <w:noProof/>
                <w:sz w:val="20"/>
              </w:rPr>
              <w:t xml:space="preserve"> való ténylegesen egyenlő hozzáférés növelése</w:t>
            </w: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9.</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Azon személyek aránya, akik fő gazdasági aktivitása saját bevallásuk szerint „fizetett munka” (ideértve a teljes munkaidős, részmunkaidős, eseti munkákat, az önfoglalkoztatást és az alkalmi munkát vagy az elmúlt négy hétben végzett munkát is), 20–64 év közöttiek</w:t>
            </w:r>
          </w:p>
        </w:tc>
        <w:tc>
          <w:tcPr>
            <w:tcW w:w="1133"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SDG 8.5.</w:t>
            </w:r>
          </w:p>
        </w:tc>
      </w:tr>
      <w:tr>
        <w:trPr>
          <w:trHeight w:val="511"/>
        </w:trPr>
        <w:tc>
          <w:tcPr>
            <w:tcW w:w="3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b/>
                <w:i/>
                <w:noProof/>
                <w:color w:val="1F497D" w:themeColor="text2"/>
                <w:sz w:val="20"/>
                <w:lang w:val="en-GB"/>
              </w:rPr>
            </w:pPr>
          </w:p>
        </w:tc>
        <w:tc>
          <w:tcPr>
            <w:tcW w:w="233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noProof/>
                <w:sz w:val="20"/>
                <w:lang w:val="en-GB"/>
              </w:rPr>
            </w:pPr>
          </w:p>
        </w:tc>
        <w:tc>
          <w:tcPr>
            <w:tcW w:w="605" w:type="dxa"/>
            <w:tcBorders>
              <w:top w:val="single" w:sz="4" w:space="0" w:color="auto"/>
              <w:left w:val="single" w:sz="4" w:space="0" w:color="auto"/>
              <w:bottom w:val="single" w:sz="4" w:space="0" w:color="auto"/>
              <w:right w:val="single" w:sz="4" w:space="0" w:color="auto"/>
            </w:tcBorders>
            <w:hideMark/>
          </w:tcPr>
          <w:p>
            <w:pPr>
              <w:pStyle w:val="BVIfnrCarCarCarCarCharCharCharCharCar"/>
              <w:keepLines/>
              <w:spacing w:line="240" w:lineRule="auto"/>
              <w:rPr>
                <w:rFonts w:ascii="Times New Roman" w:hAnsi="Times New Roman"/>
                <w:noProof/>
                <w:sz w:val="20"/>
                <w:vertAlign w:val="baseline"/>
              </w:rPr>
            </w:pPr>
            <w:r>
              <w:rPr>
                <w:rFonts w:ascii="Times New Roman" w:hAnsi="Times New Roman"/>
                <w:noProof/>
                <w:sz w:val="20"/>
                <w:vertAlign w:val="baseline"/>
              </w:rPr>
              <w:t>10.</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Azon 15–29 év közötti fiatalok aránya***, akik jelenlegi fő gazdasági aktivitása „nem foglalkoztatott, oktatásban és képzésben nem részesülő” (NEET)</w:t>
            </w:r>
          </w:p>
        </w:tc>
        <w:tc>
          <w:tcPr>
            <w:tcW w:w="1133"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SDG 8.6.1.</w:t>
            </w:r>
          </w:p>
        </w:tc>
      </w:tr>
      <w:tr>
        <w:trPr>
          <w:trHeight w:val="435"/>
        </w:trPr>
        <w:tc>
          <w:tcPr>
            <w:tcW w:w="3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b/>
                <w:i/>
                <w:noProof/>
                <w:color w:val="1F497D" w:themeColor="text2"/>
                <w:sz w:val="20"/>
                <w:lang w:val="en-GB"/>
              </w:rPr>
            </w:pPr>
          </w:p>
        </w:tc>
        <w:tc>
          <w:tcPr>
            <w:tcW w:w="233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noProof/>
                <w:sz w:val="20"/>
                <w:lang w:val="en-GB"/>
              </w:rPr>
            </w:pP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11.</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Nemek közötti foglalkoztatási különbség: a nők és férfiak közötti különbség a fizetett munka arányát tekintve, 20–64 év közöttiek</w:t>
            </w:r>
          </w:p>
          <w:p>
            <w:pPr>
              <w:keepLines/>
              <w:rPr>
                <w:rFonts w:ascii="Times New Roman" w:hAnsi="Times New Roman"/>
                <w:noProof/>
                <w:sz w:val="20"/>
              </w:rPr>
            </w:pPr>
          </w:p>
        </w:tc>
        <w:tc>
          <w:tcPr>
            <w:tcW w:w="1133"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SDG 8.5.</w:t>
            </w:r>
          </w:p>
        </w:tc>
      </w:tr>
      <w:tr>
        <w:trPr>
          <w:trHeight w:val="501"/>
        </w:trPr>
        <w:tc>
          <w:tcPr>
            <w:tcW w:w="318"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pPr>
              <w:pStyle w:val="Caption"/>
              <w:keepLines/>
              <w:rPr>
                <w:rFonts w:ascii="Times New Roman" w:hAnsi="Times New Roman"/>
                <w:b/>
                <w:noProof/>
                <w:sz w:val="20"/>
              </w:rPr>
            </w:pPr>
            <w:r>
              <w:rPr>
                <w:rFonts w:ascii="Times New Roman" w:hAnsi="Times New Roman"/>
                <w:b/>
                <w:noProof/>
                <w:sz w:val="20"/>
              </w:rPr>
              <w:t>6.</w:t>
            </w:r>
          </w:p>
        </w:tc>
        <w:tc>
          <w:tcPr>
            <w:tcW w:w="2331" w:type="dxa"/>
            <w:vMerge w:val="restart"/>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 xml:space="preserve">A romák </w:t>
            </w:r>
            <w:r>
              <w:rPr>
                <w:rFonts w:ascii="Times New Roman" w:hAnsi="Times New Roman"/>
                <w:b/>
                <w:noProof/>
                <w:sz w:val="20"/>
              </w:rPr>
              <w:t>egészségének</w:t>
            </w:r>
            <w:r>
              <w:rPr>
                <w:rFonts w:ascii="Times New Roman" w:hAnsi="Times New Roman"/>
                <w:noProof/>
                <w:sz w:val="20"/>
              </w:rPr>
              <w:t xml:space="preserve"> javítása és a színvonalas </w:t>
            </w:r>
            <w:r>
              <w:rPr>
                <w:rFonts w:ascii="Times New Roman" w:hAnsi="Times New Roman"/>
                <w:b/>
                <w:noProof/>
                <w:sz w:val="20"/>
              </w:rPr>
              <w:t>egészségügyi ellátáshoz és szociális szolgáltatásokhoz</w:t>
            </w:r>
            <w:r>
              <w:rPr>
                <w:rFonts w:ascii="Times New Roman" w:hAnsi="Times New Roman"/>
                <w:noProof/>
                <w:sz w:val="20"/>
              </w:rPr>
              <w:t xml:space="preserve"> való tényleges, egyenlő hozzáférés javítása</w:t>
            </w: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12.</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Különbség a születéskor várható élettartam tekintetében (általános népesség/romák)</w:t>
            </w:r>
          </w:p>
        </w:tc>
        <w:tc>
          <w:tcPr>
            <w:tcW w:w="1133"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p>
        </w:tc>
      </w:tr>
      <w:tr>
        <w:trPr>
          <w:trHeight w:val="720"/>
        </w:trPr>
        <w:tc>
          <w:tcPr>
            <w:tcW w:w="3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b/>
                <w:i/>
                <w:noProof/>
                <w:color w:val="1F497D" w:themeColor="text2"/>
                <w:sz w:val="20"/>
              </w:rPr>
            </w:pPr>
          </w:p>
        </w:tc>
        <w:tc>
          <w:tcPr>
            <w:tcW w:w="233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noProof/>
                <w:sz w:val="20"/>
              </w:rPr>
            </w:pP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13.</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 xml:space="preserve">Azon személyek aránya, akik korlátozott hozzáféréssel rendelkeznek az egészségügyi és szociális szolgáltatásokhoz, KIDOLGOZANDÓ </w:t>
            </w:r>
          </w:p>
        </w:tc>
        <w:tc>
          <w:tcPr>
            <w:tcW w:w="1133"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p>
        </w:tc>
      </w:tr>
      <w:tr>
        <w:trPr>
          <w:trHeight w:val="675"/>
        </w:trPr>
        <w:tc>
          <w:tcPr>
            <w:tcW w:w="318"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pPr>
              <w:pStyle w:val="Caption"/>
              <w:keepLines/>
              <w:rPr>
                <w:rFonts w:ascii="Times New Roman" w:hAnsi="Times New Roman"/>
                <w:b/>
                <w:noProof/>
                <w:sz w:val="20"/>
              </w:rPr>
            </w:pPr>
            <w:r>
              <w:rPr>
                <w:rFonts w:ascii="Times New Roman" w:hAnsi="Times New Roman"/>
                <w:b/>
                <w:noProof/>
                <w:sz w:val="20"/>
              </w:rPr>
              <w:t>7.</w:t>
            </w:r>
          </w:p>
        </w:tc>
        <w:tc>
          <w:tcPr>
            <w:tcW w:w="2331" w:type="dxa"/>
            <w:vMerge w:val="restart"/>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 xml:space="preserve">A megfelelő deszegregált </w:t>
            </w:r>
            <w:r>
              <w:rPr>
                <w:rFonts w:ascii="Times New Roman" w:hAnsi="Times New Roman"/>
                <w:b/>
                <w:noProof/>
                <w:sz w:val="20"/>
              </w:rPr>
              <w:t>lakhatáshoz</w:t>
            </w:r>
            <w:r>
              <w:rPr>
                <w:rFonts w:ascii="Times New Roman" w:hAnsi="Times New Roman"/>
                <w:noProof/>
                <w:sz w:val="20"/>
              </w:rPr>
              <w:t xml:space="preserve"> és </w:t>
            </w:r>
            <w:r>
              <w:rPr>
                <w:rFonts w:ascii="Times New Roman" w:hAnsi="Times New Roman"/>
                <w:b/>
                <w:noProof/>
                <w:sz w:val="20"/>
              </w:rPr>
              <w:t>alapvető szolgáltatásokhoz</w:t>
            </w:r>
            <w:r>
              <w:rPr>
                <w:rFonts w:ascii="Times New Roman" w:hAnsi="Times New Roman"/>
                <w:noProof/>
                <w:sz w:val="20"/>
              </w:rPr>
              <w:t xml:space="preserve"> való tényleges, egyenlő hozzáférés növelése</w:t>
            </w:r>
            <w:r>
              <w:rPr>
                <w:rStyle w:val="FootnoteReference"/>
                <w:rFonts w:ascii="Times New Roman" w:hAnsi="Times New Roman"/>
                <w:noProof/>
                <w:sz w:val="20"/>
              </w:rPr>
              <w:footnoteReference w:id="4"/>
            </w: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14.</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A lakhatási deprivációban élő személyek aránya (túl sötét, beázó tetejű/nedves falú, padlójú, fürdőkád/zuhanyozó, belső WC nélküli lakásban élők)</w:t>
            </w:r>
          </w:p>
        </w:tc>
        <w:tc>
          <w:tcPr>
            <w:tcW w:w="1133"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SDG 11.1.</w:t>
            </w:r>
          </w:p>
        </w:tc>
      </w:tr>
      <w:tr>
        <w:trPr>
          <w:trHeight w:val="717"/>
        </w:trPr>
        <w:tc>
          <w:tcPr>
            <w:tcW w:w="3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b/>
                <w:i/>
                <w:noProof/>
                <w:color w:val="1F497D" w:themeColor="text2"/>
                <w:sz w:val="20"/>
                <w:lang w:val="en-GB"/>
              </w:rPr>
            </w:pPr>
          </w:p>
        </w:tc>
        <w:tc>
          <w:tcPr>
            <w:tcW w:w="233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noProof/>
                <w:sz w:val="20"/>
                <w:lang w:val="en-GB"/>
              </w:rPr>
            </w:pP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15.</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Olyan háztartásban élő személyek aránya, amelyek nem rendelkeznek az Eurostat túlzsúfoltságra vonatkozó meghatározásának megfelelő minimális szobaszámmal</w:t>
            </w:r>
          </w:p>
        </w:tc>
        <w:tc>
          <w:tcPr>
            <w:tcW w:w="1133" w:type="dxa"/>
            <w:tcBorders>
              <w:top w:val="single" w:sz="4" w:space="0" w:color="auto"/>
              <w:left w:val="single" w:sz="4" w:space="0" w:color="auto"/>
              <w:bottom w:val="single" w:sz="4" w:space="0" w:color="auto"/>
              <w:right w:val="single" w:sz="4" w:space="0" w:color="auto"/>
            </w:tcBorders>
          </w:tcPr>
          <w:p>
            <w:pPr>
              <w:keepLines/>
              <w:rPr>
                <w:rFonts w:ascii="Times New Roman" w:hAnsi="Times New Roman"/>
                <w:noProof/>
                <w:sz w:val="20"/>
              </w:rPr>
            </w:pPr>
          </w:p>
        </w:tc>
      </w:tr>
      <w:tr>
        <w:trPr>
          <w:trHeight w:val="390"/>
        </w:trPr>
        <w:tc>
          <w:tcPr>
            <w:tcW w:w="318"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b/>
                <w:i/>
                <w:noProof/>
                <w:color w:val="1F497D" w:themeColor="text2"/>
                <w:sz w:val="20"/>
              </w:rPr>
            </w:pPr>
          </w:p>
        </w:tc>
        <w:tc>
          <w:tcPr>
            <w:tcW w:w="2331" w:type="dxa"/>
            <w:vMerge/>
            <w:tcBorders>
              <w:top w:val="single" w:sz="4" w:space="0" w:color="auto"/>
              <w:left w:val="single" w:sz="4" w:space="0" w:color="auto"/>
              <w:bottom w:val="single" w:sz="4" w:space="0" w:color="auto"/>
              <w:right w:val="single" w:sz="4" w:space="0" w:color="auto"/>
            </w:tcBorders>
            <w:vAlign w:val="center"/>
            <w:hideMark/>
          </w:tcPr>
          <w:p>
            <w:pPr>
              <w:rPr>
                <w:rFonts w:ascii="Times New Roman" w:hAnsi="Times New Roman"/>
                <w:noProof/>
                <w:sz w:val="20"/>
              </w:rPr>
            </w:pPr>
          </w:p>
        </w:tc>
        <w:tc>
          <w:tcPr>
            <w:tcW w:w="605"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16.</w:t>
            </w:r>
          </w:p>
        </w:tc>
        <w:tc>
          <w:tcPr>
            <w:tcW w:w="4958"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A lakáson belüli vezetékes vízzel nem rendelkező háztartásban élő személyek aránya (csak a kiválasztott országok)</w:t>
            </w:r>
          </w:p>
        </w:tc>
        <w:tc>
          <w:tcPr>
            <w:tcW w:w="1133" w:type="dxa"/>
            <w:tcBorders>
              <w:top w:val="single" w:sz="4" w:space="0" w:color="auto"/>
              <w:left w:val="single" w:sz="4" w:space="0" w:color="auto"/>
              <w:bottom w:val="single" w:sz="4" w:space="0" w:color="auto"/>
              <w:right w:val="single" w:sz="4" w:space="0" w:color="auto"/>
            </w:tcBorders>
            <w:hideMark/>
          </w:tcPr>
          <w:p>
            <w:pPr>
              <w:keepLines/>
              <w:rPr>
                <w:rFonts w:ascii="Times New Roman" w:hAnsi="Times New Roman"/>
                <w:noProof/>
                <w:sz w:val="20"/>
              </w:rPr>
            </w:pPr>
            <w:r>
              <w:rPr>
                <w:rFonts w:ascii="Times New Roman" w:hAnsi="Times New Roman"/>
                <w:noProof/>
                <w:sz w:val="20"/>
              </w:rPr>
              <w:t>SDG 6.1.1.</w:t>
            </w:r>
          </w:p>
        </w:tc>
      </w:tr>
    </w:tbl>
    <w:p>
      <w:pPr>
        <w:spacing w:after="0"/>
        <w:rPr>
          <w:rFonts w:ascii="Times New Roman" w:hAnsi="Times New Roman" w:cs="Times New Roman"/>
          <w:i/>
          <w:noProof/>
          <w:sz w:val="20"/>
          <w:szCs w:val="20"/>
        </w:rPr>
      </w:pPr>
      <w:bookmarkStart w:id="15" w:name="_Toc44090785"/>
      <w:bookmarkStart w:id="16" w:name="_Toc42706926"/>
      <w:bookmarkStart w:id="17" w:name="_Toc42713771"/>
      <w:bookmarkStart w:id="18" w:name="_Toc42714173"/>
      <w:r>
        <w:rPr>
          <w:rFonts w:ascii="Times New Roman" w:hAnsi="Times New Roman"/>
          <w:i/>
          <w:noProof/>
          <w:sz w:val="20"/>
          <w:szCs w:val="20"/>
        </w:rPr>
        <w:t xml:space="preserve">A FRA mutatók kitöltésére szolgáló adati </w:t>
      </w:r>
      <w:r>
        <w:rPr>
          <w:rFonts w:ascii="Times New Roman" w:hAnsi="Times New Roman"/>
          <w:b/>
          <w:i/>
          <w:noProof/>
          <w:sz w:val="20"/>
          <w:szCs w:val="20"/>
        </w:rPr>
        <w:t>nem, életkor, urbanizáció foka (DEGURBA) szerint bonthatók</w:t>
      </w:r>
    </w:p>
    <w:p>
      <w:pPr>
        <w:spacing w:after="0"/>
        <w:rPr>
          <w:rFonts w:ascii="Times New Roman" w:hAnsi="Times New Roman" w:cs="Times New Roman"/>
          <w:i/>
          <w:noProof/>
          <w:sz w:val="19"/>
          <w:szCs w:val="19"/>
        </w:rPr>
      </w:pPr>
      <w:r>
        <w:rPr>
          <w:rFonts w:ascii="Times New Roman" w:hAnsi="Times New Roman"/>
          <w:i/>
          <w:noProof/>
          <w:sz w:val="20"/>
          <w:szCs w:val="20"/>
        </w:rPr>
        <w:t>*A teljes népességre vonatkozó, fenntartható fejlődési célokkal kapcsolatos jelentéstétel során a jövőben ennek helyébe a szociális és anyagi nélkülözés (Eurostat [</w:t>
      </w:r>
      <w:r>
        <w:rPr>
          <w:rStyle w:val="Strong"/>
          <w:rFonts w:ascii="Times New Roman" w:hAnsi="Times New Roman"/>
          <w:b w:val="0"/>
          <w:i/>
          <w:noProof/>
          <w:sz w:val="18"/>
          <w:szCs w:val="18"/>
        </w:rPr>
        <w:t>ilc_mdsd07</w:t>
      </w:r>
      <w:r>
        <w:rPr>
          <w:rFonts w:ascii="Times New Roman" w:hAnsi="Times New Roman"/>
          <w:i/>
          <w:noProof/>
          <w:sz w:val="20"/>
          <w:szCs w:val="20"/>
        </w:rPr>
        <w:t>]) valamint a gyerekekre vonatkozó megfelelő mutató fog lépni.</w:t>
      </w:r>
    </w:p>
    <w:p>
      <w:pPr>
        <w:spacing w:after="0"/>
        <w:rPr>
          <w:rFonts w:ascii="Times New Roman" w:hAnsi="Times New Roman" w:cs="Times New Roman"/>
          <w:i/>
          <w:noProof/>
          <w:sz w:val="20"/>
          <w:szCs w:val="20"/>
        </w:rPr>
      </w:pPr>
      <w:r>
        <w:rPr>
          <w:rFonts w:ascii="Times New Roman" w:hAnsi="Times New Roman"/>
          <w:i/>
          <w:noProof/>
          <w:sz w:val="20"/>
          <w:szCs w:val="20"/>
        </w:rPr>
        <w:t>**Az FRA-felméréseken alapuló jelenlegi adatok csak a 16–29 éves korosztályt fedik le</w:t>
      </w:r>
    </w:p>
    <w:p>
      <w:pPr>
        <w:pStyle w:val="Heading1"/>
        <w:spacing w:line="240" w:lineRule="auto"/>
        <w:rPr>
          <w:rFonts w:ascii="Times New Roman" w:eastAsia="Times New Roman" w:hAnsi="Times New Roman" w:cs="Times New Roman"/>
          <w:b/>
          <w:smallCaps/>
          <w:noProof/>
          <w:color w:val="auto"/>
          <w:sz w:val="24"/>
          <w:szCs w:val="20"/>
        </w:rPr>
      </w:pPr>
      <w:r>
        <w:rPr>
          <w:rFonts w:ascii="Times New Roman" w:hAnsi="Times New Roman"/>
          <w:b/>
          <w:smallCaps/>
          <w:noProof/>
          <w:color w:val="auto"/>
          <w:sz w:val="24"/>
          <w:szCs w:val="20"/>
        </w:rPr>
        <w:t>Helyettesítő mutatók</w:t>
      </w:r>
      <w:bookmarkEnd w:id="15"/>
    </w:p>
    <w:p>
      <w:pPr>
        <w:spacing w:line="240" w:lineRule="auto"/>
        <w:jc w:val="both"/>
        <w:rPr>
          <w:rFonts w:ascii="Times New Roman" w:hAnsi="Times New Roman" w:cs="Times New Roman"/>
          <w:noProof/>
        </w:rPr>
      </w:pPr>
      <w:r>
        <w:rPr>
          <w:rFonts w:ascii="Times New Roman" w:hAnsi="Times New Roman"/>
          <w:noProof/>
        </w:rPr>
        <w:t>Azokban az országokban, ahol az etnikai adatok gyűjtése nem lehetséges, például társadalmi-gazdasági adatokon alapuló helyettesítő adatokat lehet használni. Az adatgyűjtés szegregáltként azonosított vagy olyan települési és regionális egységekben végezhető, ahol magas a sérülékeny személyek aránya. Az alapul szolgáló feltételezés szerint az ilyen településeken magas a romák aránya, vagy romaként tekintenek rájuk, ezért sérülékenyek a társadalmi kirekesztés és a hátrányos megkülönböztetés szempontjából. Megjegyzendő, hogy az ilyen helyettesítő adatok az adatgyűjtést a leginkább marginalizált csoportokra korlátozhatják, és kizárhatják azokat, akik gazdasági szempontból ugyan nem nélkülöznek, de mindennapi életükben, vagy amikor felfedik identitásukat, a cigányellenesség következményeit szenvedik el. Ilyen esetekben fontos, hogy a helyettesítő adatokat kutatásokból és civil szervezetekkel, nemzeti emberjogi intézményekkel és helyi hatóságokkal folytatott konzultációkból származó minőségi és hivatalos adatokkal egészítsék ki. Ha nem állnak rendelkezésre mennyiségi adatok, arra ösztönözzük az országokat, hogy a folyamatmutatók szintjén gyűjtsenek minőségi adatokat.</w:t>
      </w:r>
    </w:p>
    <w:bookmarkEnd w:id="16"/>
    <w:bookmarkEnd w:id="17"/>
    <w:bookmarkEnd w:id="18"/>
    <w:p>
      <w:pPr>
        <w:spacing w:line="240" w:lineRule="auto"/>
        <w:jc w:val="both"/>
        <w:rPr>
          <w:rFonts w:ascii="Times New Roman" w:hAnsi="Times New Roman" w:cs="Times New Roman"/>
          <w:noProof/>
        </w:rPr>
      </w:pPr>
      <w:r>
        <w:rPr>
          <w:rFonts w:ascii="Times New Roman" w:hAnsi="Times New Roman"/>
          <w:noProof/>
        </w:rPr>
        <w:t>A minőségi folyamatmutatókhoz használt adatok számos forrásból származhatnak. A tagállamok 2016 óta jelentenek a Bizottságnak a harmonizált online jelentéstételi sablonról szóló 2013-as tanácsi ajánlásban említett lényeges szakpolitikai területekre vonatkozó folyamatmutatókra vonatkozóan. Azonban ezek az adatok, még ha összehasonlíthatók is az egyes országok között az átfogó folyamatszintű nyomon követéshez szükséges, a folyamat szempontjából lényeges információknak csak egy kis részét képviselik. A folyamat szempontjából lényeges információk – pl. a romák társadalmi befogadása jelentette kihívások és az egyes tagállamokban a kezelésükre szolgáló intézkedések – gyűjtésének második szárnya ugyanolyan lényeges egy átfogó nemzeti nyomonkövetési rendszer kidolgozásához, és ezért kulcsfontosságú eleme a sikeres nemzeti romastratégiai keretnek. Ezenkívül ajánlott, hogy a roma civil társadalom a nyomonkövetési eljárás, valamint a nemzeti adatgyűjtési és nyomonkövetési rendszerek kidolgozásának részét képezze. Az egyenlőséggel kapcsolatos adatok gyűjtésének javítására vonatkozó iránymutatásokat a megkülönböztetés tilalmával, az egyenlőséggel és a sokféleséggel foglalkozó magas szintű uniós munkacsoport készítette el</w:t>
      </w:r>
      <w:r>
        <w:rPr>
          <w:rStyle w:val="FootnoteReference"/>
          <w:rFonts w:ascii="Times New Roman" w:hAnsi="Times New Roman" w:cs="Times New Roman"/>
          <w:noProof/>
        </w:rPr>
        <w:footnoteReference w:id="5"/>
      </w:r>
      <w:r>
        <w:rPr>
          <w:rFonts w:ascii="Times New Roman" w:hAnsi="Times New Roman"/>
          <w:noProof/>
        </w:rPr>
        <w:t>.</w:t>
      </w:r>
    </w:p>
    <w:p>
      <w:pPr>
        <w:spacing w:line="240" w:lineRule="auto"/>
        <w:jc w:val="both"/>
        <w:rPr>
          <w:rFonts w:ascii="Times New Roman" w:hAnsi="Times New Roman" w:cs="Times New Roman"/>
          <w:noProof/>
        </w:rPr>
      </w:pPr>
      <w:r>
        <w:rPr>
          <w:rFonts w:ascii="Times New Roman" w:hAnsi="Times New Roman"/>
          <w:noProof/>
        </w:rPr>
        <w:t>A tagállamok 2016-ban kezdtek el folyamatmutatókra vonatkozó jelentéseket küldeni a Bizottságnak a romák integrációját célzó hatékony intézkedésekről szóló 2013-as tanácsi ajánlásnak megfelelően. Ezt a munkát a FRA mutatókkal és jelentéstétellel foglalkozó munkacsoportjával ö</w:t>
      </w:r>
      <w:bookmarkStart w:id="19" w:name="_Toc42625023"/>
      <w:r>
        <w:rPr>
          <w:rFonts w:ascii="Times New Roman" w:hAnsi="Times New Roman"/>
          <w:noProof/>
        </w:rPr>
        <w:t>sszefüggésben folytatni kell.</w:t>
      </w:r>
    </w:p>
    <w:p>
      <w:pPr>
        <w:pStyle w:val="Heading1"/>
        <w:spacing w:line="240" w:lineRule="auto"/>
        <w:rPr>
          <w:rFonts w:ascii="Times New Roman" w:eastAsia="Times New Roman" w:hAnsi="Times New Roman" w:cs="Times New Roman"/>
          <w:b/>
          <w:smallCaps/>
          <w:noProof/>
          <w:color w:val="auto"/>
          <w:sz w:val="24"/>
          <w:szCs w:val="20"/>
        </w:rPr>
      </w:pPr>
      <w:r>
        <w:rPr>
          <w:rFonts w:ascii="Times New Roman" w:hAnsi="Times New Roman"/>
          <w:b/>
          <w:smallCaps/>
          <w:noProof/>
          <w:color w:val="auto"/>
          <w:sz w:val="24"/>
          <w:szCs w:val="20"/>
        </w:rPr>
        <w:t>Horizontális célkitűzések</w:t>
      </w:r>
    </w:p>
    <w:p>
      <w:pPr>
        <w:keepNext/>
        <w:numPr>
          <w:ilvl w:val="1"/>
          <w:numId w:val="0"/>
        </w:numPr>
        <w:tabs>
          <w:tab w:val="num" w:pos="720"/>
        </w:tabs>
        <w:spacing w:after="240" w:line="240" w:lineRule="auto"/>
        <w:ind w:left="720" w:hanging="720"/>
        <w:jc w:val="both"/>
        <w:outlineLvl w:val="1"/>
        <w:rPr>
          <w:rFonts w:ascii="Times New Roman" w:eastAsia="Times New Roman" w:hAnsi="Times New Roman" w:cs="Times New Roman"/>
          <w:b/>
          <w:noProof/>
          <w:sz w:val="24"/>
          <w:szCs w:val="20"/>
        </w:rPr>
      </w:pPr>
      <w:bookmarkStart w:id="20" w:name="_Toc42697877"/>
      <w:bookmarkStart w:id="21" w:name="_Toc42698836"/>
      <w:bookmarkStart w:id="22" w:name="_Toc42706930"/>
      <w:bookmarkStart w:id="23" w:name="_Toc42713775"/>
      <w:bookmarkStart w:id="24" w:name="_Toc42714177"/>
      <w:bookmarkStart w:id="25" w:name="_Toc44090790"/>
      <w:r>
        <w:rPr>
          <w:rFonts w:ascii="Times New Roman" w:hAnsi="Times New Roman"/>
          <w:b/>
          <w:noProof/>
          <w:sz w:val="24"/>
          <w:szCs w:val="20"/>
        </w:rPr>
        <w:t>1. célkitűzés: A cigányellenesség és a hátrányos megkülönböztetés elleni küzdelem és megelőzés</w:t>
      </w:r>
      <w:bookmarkEnd w:id="19"/>
      <w:bookmarkEnd w:id="20"/>
      <w:bookmarkEnd w:id="21"/>
      <w:bookmarkEnd w:id="22"/>
      <w:bookmarkEnd w:id="23"/>
      <w:bookmarkEnd w:id="24"/>
      <w:bookmarkEnd w:id="25"/>
    </w:p>
    <w:tbl>
      <w:tblPr>
        <w:tblStyle w:val="TableGrid"/>
        <w:tblW w:w="9345" w:type="dxa"/>
        <w:tblInd w:w="0" w:type="dxa"/>
        <w:tblLayout w:type="fixed"/>
        <w:tblLook w:val="04A0" w:firstRow="1" w:lastRow="0" w:firstColumn="1" w:lastColumn="0" w:noHBand="0" w:noVBand="1"/>
      </w:tblPr>
      <w:tblGrid>
        <w:gridCol w:w="7361"/>
        <w:gridCol w:w="1984"/>
      </w:tblGrid>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22"/>
                <w:szCs w:val="22"/>
              </w:rPr>
            </w:pPr>
            <w:r>
              <w:rPr>
                <w:rStyle w:val="Strong"/>
                <w:rFonts w:ascii="Times New Roman" w:hAnsi="Times New Roman"/>
                <w:noProof/>
                <w:sz w:val="22"/>
                <w:szCs w:val="22"/>
              </w:rPr>
              <w:t xml:space="preserve">Fő mutatók: </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3"/>
              </w:numPr>
              <w:rPr>
                <w:rStyle w:val="Strong"/>
                <w:rFonts w:eastAsiaTheme="minorEastAsia"/>
                <w:noProof/>
                <w:sz w:val="22"/>
                <w:szCs w:val="22"/>
              </w:rPr>
            </w:pPr>
            <w:r>
              <w:rPr>
                <w:rStyle w:val="Strong"/>
                <w:noProof/>
                <w:sz w:val="22"/>
                <w:szCs w:val="22"/>
              </w:rPr>
              <w:t>Azon személyek aránya, akik az elmúlt 12 hónapban úgy érezték, hogy a felméréssel lefedett bármely területen roma voltuk miatt hátrányosan megkülönböztették őket</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18"/>
              </w:rPr>
            </w:pPr>
            <w:r>
              <w:rPr>
                <w:rStyle w:val="Strong"/>
                <w:rFonts w:ascii="Times New Roman" w:hAnsi="Times New Roman"/>
                <w:noProof/>
                <w:sz w:val="18"/>
              </w:rPr>
              <w:t>Potenciálisan FRS</w:t>
            </w:r>
            <w:r>
              <w:rPr>
                <w:rStyle w:val="FootnoteReference"/>
                <w:rFonts w:ascii="Times New Roman" w:hAnsi="Times New Roman"/>
                <w:b/>
                <w:noProof/>
                <w:sz w:val="18"/>
              </w:rPr>
              <w:footnoteReference w:id="6"/>
            </w:r>
          </w:p>
          <w:p>
            <w:pPr>
              <w:rPr>
                <w:rStyle w:val="Strong"/>
                <w:rFonts w:ascii="Times New Roman" w:hAnsi="Times New Roman"/>
                <w:b w:val="0"/>
                <w:noProof/>
                <w:sz w:val="18"/>
              </w:rPr>
            </w:pPr>
            <w:r>
              <w:rPr>
                <w:rFonts w:ascii="Times New Roman" w:hAnsi="Times New Roman"/>
                <w:noProof/>
                <w:sz w:val="18"/>
              </w:rPr>
              <w:t>SDG 10.3.1. és 16.b.1.</w:t>
            </w:r>
          </w:p>
        </w:tc>
      </w:tr>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3"/>
              </w:numPr>
              <w:rPr>
                <w:rStyle w:val="Strong"/>
                <w:rFonts w:eastAsiaTheme="minorEastAsia"/>
                <w:noProof/>
                <w:sz w:val="22"/>
                <w:szCs w:val="22"/>
              </w:rPr>
            </w:pPr>
            <w:r>
              <w:rPr>
                <w:rStyle w:val="Strong"/>
                <w:noProof/>
                <w:sz w:val="22"/>
                <w:szCs w:val="22"/>
              </w:rPr>
              <w:t>A teljes népesség azon aránya, amely kényelmetlenül érzi magát, ha roma szomszédai vannak</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18"/>
              </w:rPr>
            </w:pPr>
            <w:r>
              <w:rPr>
                <w:rStyle w:val="Strong"/>
                <w:rFonts w:ascii="Times New Roman" w:hAnsi="Times New Roman"/>
                <w:noProof/>
                <w:sz w:val="18"/>
              </w:rPr>
              <w:t>FRS</w:t>
            </w:r>
          </w:p>
        </w:tc>
      </w:tr>
    </w:tbl>
    <w:p>
      <w:pPr>
        <w:pStyle w:val="Heading3"/>
        <w:spacing w:line="240" w:lineRule="auto"/>
        <w:rPr>
          <w:rFonts w:ascii="Times New Roman" w:hAnsi="Times New Roman" w:cs="Times New Roman"/>
          <w:b/>
          <w:noProof/>
          <w:color w:val="auto"/>
          <w:sz w:val="20"/>
          <w:szCs w:val="20"/>
        </w:rPr>
      </w:pPr>
      <w:bookmarkStart w:id="26" w:name="_Toc42625024"/>
      <w:bookmarkStart w:id="27" w:name="_Toc42697878"/>
      <w:bookmarkStart w:id="28" w:name="_Toc42698837"/>
      <w:bookmarkStart w:id="29" w:name="_Toc42706931"/>
      <w:bookmarkStart w:id="30" w:name="_Toc42713776"/>
      <w:bookmarkStart w:id="31" w:name="_Toc42714178"/>
      <w:bookmarkStart w:id="32" w:name="_Toc44090791"/>
    </w:p>
    <w:p>
      <w:pPr>
        <w:pStyle w:val="Heading3"/>
        <w:spacing w:after="120" w:line="240" w:lineRule="auto"/>
        <w:rPr>
          <w:rFonts w:ascii="Times New Roman" w:eastAsia="Times New Roman" w:hAnsi="Times New Roman" w:cs="Times New Roman"/>
          <w:b/>
          <w:noProof/>
          <w:color w:val="auto"/>
          <w:sz w:val="20"/>
          <w:szCs w:val="20"/>
        </w:rPr>
      </w:pPr>
      <w:r>
        <w:rPr>
          <w:rFonts w:ascii="Times New Roman" w:hAnsi="Times New Roman"/>
          <w:b/>
          <w:noProof/>
          <w:color w:val="auto"/>
          <w:sz w:val="20"/>
          <w:szCs w:val="20"/>
        </w:rPr>
        <w:t>1-a. célkitűzés: A romák hátrányos megkülönböztetése, zaklatása, az ellenük irányuló gyűlölet-bűncselekmények és gyűlöletbeszéd elleni küzdelem</w:t>
      </w:r>
      <w:bookmarkEnd w:id="26"/>
      <w:bookmarkEnd w:id="27"/>
      <w:bookmarkEnd w:id="28"/>
      <w:bookmarkEnd w:id="29"/>
      <w:bookmarkEnd w:id="30"/>
      <w:bookmarkEnd w:id="31"/>
      <w:bookmarkEnd w:id="32"/>
      <w:r>
        <w:rPr>
          <w:rFonts w:ascii="Times New Roman" w:hAnsi="Times New Roman"/>
          <w:b/>
          <w:noProof/>
          <w:color w:val="auto"/>
          <w:sz w:val="20"/>
          <w:szCs w:val="20"/>
        </w:rPr>
        <w:t xml:space="preserve"> </w:t>
      </w:r>
    </w:p>
    <w:tbl>
      <w:tblPr>
        <w:tblStyle w:val="TableGrid"/>
        <w:tblW w:w="9351" w:type="dxa"/>
        <w:tblInd w:w="0" w:type="dxa"/>
        <w:tblLayout w:type="fixed"/>
        <w:tblLook w:val="04A0" w:firstRow="1" w:lastRow="0" w:firstColumn="1" w:lastColumn="0" w:noHBand="0" w:noVBand="1"/>
      </w:tblPr>
      <w:tblGrid>
        <w:gridCol w:w="6230"/>
        <w:gridCol w:w="3121"/>
      </w:tblGrid>
      <w:tr>
        <w:tc>
          <w:tcPr>
            <w:tcW w:w="9351" w:type="dxa"/>
            <w:gridSpan w:val="2"/>
            <w:shd w:val="clear" w:color="auto" w:fill="DBE5F1" w:themeFill="accent1" w:themeFillTint="33"/>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 xml:space="preserve">Eredménymutatók </w:t>
            </w:r>
          </w:p>
          <w:p>
            <w:pPr>
              <w:jc w:val="center"/>
              <w:rPr>
                <w:rStyle w:val="Strong"/>
                <w:rFonts w:ascii="Times New Roman" w:hAnsi="Times New Roman"/>
                <w:noProof/>
                <w:sz w:val="22"/>
                <w:szCs w:val="22"/>
              </w:rPr>
            </w:pPr>
            <w:r>
              <w:rPr>
                <w:rStyle w:val="Strong"/>
                <w:rFonts w:ascii="Times New Roman" w:hAnsi="Times New Roman"/>
                <w:noProof/>
                <w:sz w:val="22"/>
                <w:szCs w:val="22"/>
              </w:rPr>
              <w:t>Másodlagos (fakultatív)</w:t>
            </w:r>
          </w:p>
        </w:tc>
      </w:tr>
      <w:tr>
        <w:tc>
          <w:tcPr>
            <w:tcW w:w="6230" w:type="dxa"/>
            <w:shd w:val="clear" w:color="auto" w:fill="DBE5F1" w:themeFill="accent1" w:themeFillTint="33"/>
          </w:tcPr>
          <w:p>
            <w:pPr>
              <w:rPr>
                <w:rStyle w:val="Strong"/>
                <w:rFonts w:ascii="Times New Roman" w:hAnsi="Times New Roman"/>
                <w:noProof/>
                <w:sz w:val="22"/>
                <w:szCs w:val="22"/>
              </w:rPr>
            </w:pPr>
            <w:r>
              <w:rPr>
                <w:rStyle w:val="Strong"/>
                <w:rFonts w:ascii="Times New Roman" w:hAnsi="Times New Roman"/>
                <w:noProof/>
                <w:sz w:val="22"/>
                <w:szCs w:val="22"/>
              </w:rPr>
              <w:t>Mutató</w:t>
            </w:r>
          </w:p>
        </w:tc>
        <w:tc>
          <w:tcPr>
            <w:tcW w:w="3121" w:type="dxa"/>
            <w:shd w:val="clear" w:color="auto" w:fill="DBE5F1" w:themeFill="accent1" w:themeFillTint="33"/>
          </w:tcPr>
          <w:p>
            <w:pPr>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6230" w:type="dxa"/>
            <w:tcBorders>
              <w:bottom w:val="single" w:sz="4" w:space="0" w:color="auto"/>
            </w:tcBorders>
          </w:tcPr>
          <w:p>
            <w:pPr>
              <w:spacing w:after="60"/>
              <w:rPr>
                <w:rFonts w:ascii="Times New Roman" w:hAnsi="Times New Roman"/>
                <w:noProof/>
                <w:sz w:val="22"/>
                <w:szCs w:val="22"/>
              </w:rPr>
            </w:pPr>
            <w:r>
              <w:rPr>
                <w:rFonts w:ascii="Times New Roman" w:hAnsi="Times New Roman"/>
                <w:noProof/>
                <w:sz w:val="22"/>
                <w:szCs w:val="22"/>
              </w:rPr>
              <w:t xml:space="preserve">Azon 16 évesnél idősebb személyek aránya, akik a felmérést megelőző 12 hónapban legalább 5, gyűlölet motiválta zaklatást tapasztaltak roma voltuk miatt </w:t>
            </w:r>
          </w:p>
        </w:tc>
        <w:tc>
          <w:tcPr>
            <w:tcW w:w="3121" w:type="dxa"/>
            <w:tcBorders>
              <w:bottom w:val="single" w:sz="4" w:space="0" w:color="auto"/>
            </w:tcBorders>
          </w:tcPr>
          <w:p>
            <w:pPr>
              <w:spacing w:after="60"/>
              <w:rPr>
                <w:rFonts w:ascii="Times New Roman" w:hAnsi="Times New Roman"/>
                <w:noProof/>
                <w:sz w:val="18"/>
              </w:rPr>
            </w:pPr>
            <w:r>
              <w:rPr>
                <w:rFonts w:ascii="Times New Roman" w:hAnsi="Times New Roman"/>
                <w:noProof/>
                <w:sz w:val="18"/>
              </w:rPr>
              <w:t>n.a./potenciálisan FRS</w:t>
            </w:r>
          </w:p>
          <w:p>
            <w:pPr>
              <w:spacing w:after="60"/>
              <w:rPr>
                <w:rFonts w:ascii="Times New Roman" w:hAnsi="Times New Roman"/>
                <w:noProof/>
                <w:sz w:val="18"/>
              </w:rPr>
            </w:pPr>
            <w:r>
              <w:rPr>
                <w:rFonts w:ascii="Times New Roman" w:hAnsi="Times New Roman"/>
                <w:noProof/>
                <w:sz w:val="18"/>
              </w:rPr>
              <w:t>SDG 10.3.1.</w:t>
            </w:r>
          </w:p>
          <w:p>
            <w:pPr>
              <w:rPr>
                <w:rFonts w:ascii="Times New Roman" w:hAnsi="Times New Roman"/>
                <w:noProof/>
                <w:sz w:val="18"/>
              </w:rPr>
            </w:pPr>
            <w:r>
              <w:rPr>
                <w:rFonts w:ascii="Times New Roman" w:hAnsi="Times New Roman"/>
                <w:noProof/>
                <w:sz w:val="18"/>
              </w:rPr>
              <w:t>SDG 16.b.1.</w:t>
            </w:r>
          </w:p>
        </w:tc>
      </w:tr>
      <w:tr>
        <w:tc>
          <w:tcPr>
            <w:tcW w:w="6230" w:type="dxa"/>
            <w:tcBorders>
              <w:bottom w:val="single" w:sz="4" w:space="0" w:color="auto"/>
            </w:tcBorders>
          </w:tcPr>
          <w:p>
            <w:pPr>
              <w:spacing w:after="60"/>
              <w:rPr>
                <w:rFonts w:ascii="Times New Roman" w:hAnsi="Times New Roman"/>
                <w:noProof/>
                <w:sz w:val="22"/>
                <w:szCs w:val="22"/>
              </w:rPr>
            </w:pPr>
            <w:r>
              <w:rPr>
                <w:rFonts w:ascii="Times New Roman" w:hAnsi="Times New Roman"/>
                <w:noProof/>
                <w:sz w:val="22"/>
                <w:szCs w:val="22"/>
              </w:rPr>
              <w:t>Azon 16 évesnél idősebb személyek aránya (az összes válaszadó közül), akik az elmúlt 12 hónapban fizikai támadás áldozatai voltak roma voltuk miatt</w:t>
            </w:r>
          </w:p>
        </w:tc>
        <w:tc>
          <w:tcPr>
            <w:tcW w:w="3121" w:type="dxa"/>
            <w:tcBorders>
              <w:bottom w:val="single" w:sz="4" w:space="0" w:color="auto"/>
            </w:tcBorders>
          </w:tcPr>
          <w:p>
            <w:pPr>
              <w:spacing w:after="60"/>
              <w:rPr>
                <w:rFonts w:ascii="Times New Roman" w:hAnsi="Times New Roman"/>
                <w:noProof/>
                <w:sz w:val="18"/>
              </w:rPr>
            </w:pPr>
            <w:r>
              <w:rPr>
                <w:rFonts w:ascii="Times New Roman" w:hAnsi="Times New Roman"/>
                <w:noProof/>
                <w:sz w:val="18"/>
              </w:rPr>
              <w:t>n.a./potenciálisan FRS</w:t>
            </w:r>
          </w:p>
          <w:p>
            <w:pPr>
              <w:spacing w:after="60"/>
              <w:rPr>
                <w:rFonts w:ascii="Times New Roman" w:hAnsi="Times New Roman"/>
                <w:noProof/>
                <w:sz w:val="18"/>
              </w:rPr>
            </w:pPr>
            <w:r>
              <w:rPr>
                <w:rFonts w:ascii="Times New Roman" w:hAnsi="Times New Roman"/>
                <w:noProof/>
                <w:sz w:val="18"/>
              </w:rPr>
              <w:t>SDG 16.1.3.</w:t>
            </w:r>
          </w:p>
        </w:tc>
      </w:tr>
      <w:tr>
        <w:tc>
          <w:tcPr>
            <w:tcW w:w="9351" w:type="dxa"/>
            <w:gridSpan w:val="2"/>
            <w:tcBorders>
              <w:top w:val="single" w:sz="4" w:space="0" w:color="auto"/>
              <w:left w:val="nil"/>
              <w:bottom w:val="single" w:sz="4" w:space="0" w:color="auto"/>
              <w:right w:val="nil"/>
            </w:tcBorders>
            <w:shd w:val="clear" w:color="auto" w:fill="auto"/>
          </w:tcPr>
          <w:p>
            <w:pPr>
              <w:pStyle w:val="Heading3"/>
              <w:outlineLvl w:val="2"/>
              <w:rPr>
                <w:rStyle w:val="Strong"/>
                <w:rFonts w:ascii="Times New Roman" w:hAnsi="Times New Roman"/>
                <w:noProof/>
                <w:color w:val="auto"/>
                <w:sz w:val="22"/>
                <w:szCs w:val="22"/>
              </w:rPr>
            </w:pPr>
          </w:p>
        </w:tc>
      </w:tr>
      <w:tr>
        <w:tc>
          <w:tcPr>
            <w:tcW w:w="93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pPr>
              <w:pStyle w:val="Heading3"/>
              <w:outlineLvl w:val="2"/>
              <w:rPr>
                <w:rFonts w:ascii="Times New Roman" w:hAnsi="Times New Roman"/>
                <w:b/>
                <w:bCs/>
                <w:noProof/>
                <w:color w:val="auto"/>
                <w:sz w:val="22"/>
                <w:szCs w:val="22"/>
              </w:rPr>
            </w:pPr>
            <w:r>
              <w:rPr>
                <w:rStyle w:val="Strong"/>
                <w:rFonts w:ascii="Times New Roman" w:hAnsi="Times New Roman"/>
                <w:noProof/>
                <w:color w:val="auto"/>
                <w:sz w:val="22"/>
                <w:szCs w:val="22"/>
              </w:rPr>
              <w:t xml:space="preserve">Az 1-a. célkitűzés folyamatmutatói: A romák hátrányos megkülönböztetése, zaklatása, az ellenük irányuló gyűlölet-bűncselekmények és gyűlöletbeszéd elleni küzdelem </w:t>
            </w:r>
          </w:p>
        </w:tc>
      </w:tr>
      <w:tr>
        <w:tc>
          <w:tcPr>
            <w:tcW w:w="9351" w:type="dxa"/>
            <w:gridSpan w:val="2"/>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b/>
                <w:noProof/>
                <w:sz w:val="22"/>
                <w:szCs w:val="22"/>
              </w:rPr>
            </w:pPr>
            <w:r>
              <w:rPr>
                <w:rFonts w:ascii="Times New Roman" w:hAnsi="Times New Roman"/>
                <w:b/>
                <w:noProof/>
                <w:sz w:val="22"/>
                <w:szCs w:val="22"/>
              </w:rPr>
              <w:t>Mutató – A. dimenzió – Intézményi felépítés</w:t>
            </w:r>
          </w:p>
        </w:tc>
      </w:tr>
      <w:tr>
        <w:tc>
          <w:tcPr>
            <w:tcW w:w="9351" w:type="dxa"/>
            <w:gridSpan w:val="2"/>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4"/>
              </w:numPr>
              <w:spacing w:after="60"/>
              <w:rPr>
                <w:rFonts w:eastAsiaTheme="minorEastAsia"/>
                <w:noProof/>
                <w:sz w:val="22"/>
              </w:rPr>
            </w:pPr>
            <w:r>
              <w:rPr>
                <w:noProof/>
                <w:sz w:val="22"/>
              </w:rPr>
              <w:t>a romák egyenlőségét, társadalmi befogadását és részvételét célzó nemzeti stratégiai keretek vagy vonatkozó szakpolitikai dokumentumok kifejezetten tartalmaznak a cigányellenesség leküzdésére irányuló intézkedéseket;</w:t>
            </w:r>
          </w:p>
          <w:p>
            <w:pPr>
              <w:pStyle w:val="ListParagraph"/>
              <w:numPr>
                <w:ilvl w:val="0"/>
                <w:numId w:val="4"/>
              </w:numPr>
              <w:spacing w:after="60"/>
              <w:rPr>
                <w:rFonts w:eastAsiaTheme="minorEastAsia"/>
                <w:noProof/>
                <w:sz w:val="22"/>
              </w:rPr>
            </w:pPr>
            <w:r>
              <w:rPr>
                <w:noProof/>
                <w:sz w:val="22"/>
              </w:rPr>
              <w:t xml:space="preserve">az érintett uniós tagállamok romákkal kapcsolatos nemzeti stratégiai keretrendszereinek végrehajtására irányuló nemzeti cselekvési tervek a cigányellenesség és a hátrányos megkülönböztetés kezelésére szolgáló egyedi intézkedéseket tartalmaznak; </w:t>
            </w:r>
          </w:p>
          <w:p>
            <w:pPr>
              <w:pStyle w:val="ListParagraph"/>
              <w:numPr>
                <w:ilvl w:val="0"/>
                <w:numId w:val="4"/>
              </w:numPr>
              <w:spacing w:after="60"/>
              <w:rPr>
                <w:noProof/>
                <w:sz w:val="22"/>
              </w:rPr>
            </w:pPr>
            <w:r>
              <w:rPr>
                <w:noProof/>
                <w:sz w:val="22"/>
              </w:rPr>
              <w:t>az egyenlőséggel foglalkozó szervek rendszeresen nyomon követik a nemzeti roma stratégiai keretrendszereknek a faji egyenlőségről szóló irányelvnek és a rasszizmus és az idegengyűlölet egyes formái és megnyilvánulásai elleni, büntetőjogi eszközökkel történő küzdelemről szóló tanácsi kerethatározatnak való megfelelés tekintetében történő végrehajtását, és regisztrálják a romák hátrányos megkülönböztetésének eseteit;</w:t>
            </w:r>
          </w:p>
          <w:p>
            <w:pPr>
              <w:pStyle w:val="ListParagraph"/>
              <w:numPr>
                <w:ilvl w:val="0"/>
                <w:numId w:val="4"/>
              </w:numPr>
              <w:spacing w:after="60"/>
              <w:rPr>
                <w:noProof/>
                <w:sz w:val="22"/>
              </w:rPr>
            </w:pPr>
            <w:r>
              <w:rPr>
                <w:noProof/>
                <w:sz w:val="22"/>
              </w:rPr>
              <w:t>rendszeresen készülnek és kerülnek kiadásra a hátrányos megkülönböztetés tilalmáról szóló jelentések és felmérések;</w:t>
            </w:r>
          </w:p>
          <w:p>
            <w:pPr>
              <w:pStyle w:val="ListParagraph"/>
              <w:numPr>
                <w:ilvl w:val="0"/>
                <w:numId w:val="4"/>
              </w:numPr>
              <w:spacing w:after="60"/>
              <w:rPr>
                <w:noProof/>
                <w:sz w:val="22"/>
              </w:rPr>
            </w:pPr>
            <w:r>
              <w:rPr>
                <w:noProof/>
                <w:sz w:val="22"/>
              </w:rPr>
              <w:t>a cigányellenességet a tagállami jogi keretek, szakpolitikák, szakpolitikai dokumentumok és a szakpolitikák végrehajtását célzó intézkedések elismerik;</w:t>
            </w:r>
          </w:p>
          <w:p>
            <w:pPr>
              <w:pStyle w:val="ListParagraph"/>
              <w:numPr>
                <w:ilvl w:val="0"/>
                <w:numId w:val="4"/>
              </w:numPr>
              <w:spacing w:after="60"/>
              <w:rPr>
                <w:rFonts w:eastAsiaTheme="minorEastAsia"/>
                <w:noProof/>
                <w:sz w:val="22"/>
              </w:rPr>
            </w:pPr>
            <w:r>
              <w:rPr>
                <w:noProof/>
                <w:sz w:val="22"/>
              </w:rPr>
              <w:t>a cigányellenesség a gyűlölet-bűncselekményekkel kapcsolatos adatgyűjtés külön kategóriáját képezi;</w:t>
            </w:r>
          </w:p>
          <w:p>
            <w:pPr>
              <w:pStyle w:val="ListParagraph"/>
              <w:numPr>
                <w:ilvl w:val="0"/>
                <w:numId w:val="4"/>
              </w:numPr>
              <w:spacing w:after="60"/>
              <w:rPr>
                <w:rFonts w:eastAsiaTheme="minorEastAsia"/>
                <w:noProof/>
                <w:sz w:val="22"/>
              </w:rPr>
            </w:pPr>
            <w:r>
              <w:rPr>
                <w:noProof/>
                <w:sz w:val="22"/>
              </w:rPr>
              <w:t>a cigányellenesség és a hátrányos megkülönböztetés kezelésére szolgáló egyedi intézkedésekhez finanszírozás társul;</w:t>
            </w:r>
          </w:p>
          <w:p>
            <w:pPr>
              <w:pStyle w:val="ListParagraph"/>
              <w:numPr>
                <w:ilvl w:val="0"/>
                <w:numId w:val="4"/>
              </w:numPr>
              <w:spacing w:after="60"/>
              <w:rPr>
                <w:rFonts w:eastAsiaTheme="minorEastAsia"/>
                <w:noProof/>
                <w:sz w:val="22"/>
              </w:rPr>
            </w:pPr>
            <w:r>
              <w:rPr>
                <w:noProof/>
                <w:sz w:val="22"/>
              </w:rPr>
              <w:t>a jelentős roma népességgel rendelkező önkormányzatoknál van(nak) külön roma képviselői pozíció(k).</w:t>
            </w:r>
          </w:p>
        </w:tc>
      </w:tr>
      <w:tr>
        <w:trPr>
          <w:trHeight w:val="468"/>
        </w:trPr>
        <w:tc>
          <w:tcPr>
            <w:tcW w:w="9351" w:type="dxa"/>
            <w:gridSpan w:val="2"/>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b/>
                <w:noProof/>
                <w:sz w:val="22"/>
                <w:szCs w:val="22"/>
              </w:rPr>
              <w:t>Mutató – B. dimenzió – Konkrét intézkedések és fellépések</w:t>
            </w:r>
          </w:p>
        </w:tc>
      </w:tr>
      <w:tr>
        <w:trPr>
          <w:trHeight w:val="468"/>
        </w:trPr>
        <w:tc>
          <w:tcPr>
            <w:tcW w:w="9351" w:type="dxa"/>
            <w:gridSpan w:val="2"/>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4"/>
              </w:numPr>
              <w:spacing w:after="60"/>
              <w:rPr>
                <w:noProof/>
                <w:sz w:val="22"/>
              </w:rPr>
            </w:pPr>
            <w:r>
              <w:rPr>
                <w:noProof/>
                <w:sz w:val="22"/>
              </w:rPr>
              <w:t>létezik nyilvánosan elérhető, a cigányellenességgel kapcsolatos bírósági ügyek és az egyenlőséggel foglalkozó nemzeti szervekhez benyújtott panaszok nyomon követésére szolgáló rendszer;</w:t>
            </w:r>
          </w:p>
          <w:p>
            <w:pPr>
              <w:pStyle w:val="ListParagraph"/>
              <w:numPr>
                <w:ilvl w:val="0"/>
                <w:numId w:val="4"/>
              </w:numPr>
              <w:spacing w:after="60"/>
              <w:rPr>
                <w:rFonts w:eastAsiaTheme="minorEastAsia"/>
                <w:noProof/>
                <w:sz w:val="22"/>
              </w:rPr>
            </w:pPr>
            <w:r>
              <w:rPr>
                <w:noProof/>
                <w:sz w:val="22"/>
              </w:rPr>
              <w:t>létezik és működik nyilvánosan elérhető, a romák hátrányos megkülönböztetésével kapcsolatos esetek és cselekmények, az ellenük irányuló gyűlöletbeszéd és gyűlölet-bűncselekmények nyomon követésére, valamint ezeknek az egyenlőséggel foglalkozó nemzeti szervek vagy az ombudsmani hivatalok, ügyészségek vagy rendőrségek részére történő jelentésére szolgáló rendszer;</w:t>
            </w:r>
          </w:p>
          <w:p>
            <w:pPr>
              <w:pStyle w:val="ListParagraph"/>
              <w:numPr>
                <w:ilvl w:val="0"/>
                <w:numId w:val="4"/>
              </w:numPr>
              <w:spacing w:after="60"/>
              <w:rPr>
                <w:rFonts w:eastAsiaTheme="minorEastAsia"/>
                <w:noProof/>
                <w:sz w:val="22"/>
              </w:rPr>
            </w:pPr>
            <w:r>
              <w:rPr>
                <w:noProof/>
                <w:sz w:val="22"/>
              </w:rPr>
              <w:t>létezik a rendőrtisztviselők megkülönböztetés tilalmával és az előítélet által motivált bűncselekmények felismerésével kapcsolatos, a romák hátrányos megkülönböztetésére vonatkozó, specifikus modulokat tartalmazó képzési rendszer;</w:t>
            </w:r>
          </w:p>
          <w:p>
            <w:pPr>
              <w:pStyle w:val="ListParagraph"/>
              <w:numPr>
                <w:ilvl w:val="0"/>
                <w:numId w:val="4"/>
              </w:numPr>
              <w:spacing w:after="60"/>
              <w:rPr>
                <w:noProof/>
                <w:sz w:val="22"/>
              </w:rPr>
            </w:pPr>
            <w:r>
              <w:rPr>
                <w:noProof/>
                <w:sz w:val="22"/>
              </w:rPr>
              <w:t>a tagállamok a közmédiában műsoridőt biztosítanak a romáknak;</w:t>
            </w:r>
          </w:p>
          <w:p>
            <w:pPr>
              <w:pStyle w:val="ListParagraph"/>
              <w:numPr>
                <w:ilvl w:val="0"/>
                <w:numId w:val="4"/>
              </w:numPr>
              <w:spacing w:after="60"/>
              <w:rPr>
                <w:noProof/>
                <w:sz w:val="22"/>
              </w:rPr>
            </w:pPr>
            <w:r>
              <w:rPr>
                <w:noProof/>
                <w:sz w:val="22"/>
              </w:rPr>
              <w:t>a tagállamok tájékoztató kampányokat szerveznek;</w:t>
            </w:r>
          </w:p>
          <w:p>
            <w:pPr>
              <w:pStyle w:val="ListParagraph"/>
              <w:numPr>
                <w:ilvl w:val="0"/>
                <w:numId w:val="4"/>
              </w:numPr>
              <w:spacing w:after="60"/>
              <w:rPr>
                <w:rFonts w:eastAsiaTheme="minorEastAsia"/>
                <w:noProof/>
                <w:sz w:val="22"/>
              </w:rPr>
            </w:pPr>
            <w:r>
              <w:rPr>
                <w:noProof/>
                <w:sz w:val="22"/>
              </w:rPr>
              <w:t>léteznek és könnyen elérhetők a gyűlöletbeszéd és a gyűlölet-bűncselekmény jelentésére szolgáló eszközök;</w:t>
            </w:r>
          </w:p>
          <w:p>
            <w:pPr>
              <w:pStyle w:val="ListParagraph"/>
              <w:numPr>
                <w:ilvl w:val="0"/>
                <w:numId w:val="4"/>
              </w:numPr>
              <w:spacing w:after="60"/>
              <w:rPr>
                <w:rFonts w:eastAsiaTheme="minorEastAsia"/>
                <w:noProof/>
                <w:sz w:val="22"/>
              </w:rPr>
            </w:pPr>
            <w:r>
              <w:rPr>
                <w:noProof/>
                <w:sz w:val="22"/>
              </w:rPr>
              <w:t>kezdeményezéseket/képzéseket szerveznek informatikai vállalkozások (Google, Facebook, Twitter stb.) részvételével a közösségimédia-platformokon található cigányellenes tartalmak jobb azonosítására;</w:t>
            </w:r>
          </w:p>
          <w:p>
            <w:pPr>
              <w:pStyle w:val="ListParagraph"/>
              <w:numPr>
                <w:ilvl w:val="0"/>
                <w:numId w:val="4"/>
              </w:numPr>
              <w:spacing w:after="60"/>
              <w:rPr>
                <w:rFonts w:eastAsiaTheme="minorEastAsia"/>
                <w:noProof/>
                <w:sz w:val="22"/>
              </w:rPr>
            </w:pPr>
            <w:r>
              <w:rPr>
                <w:noProof/>
                <w:sz w:val="22"/>
              </w:rPr>
              <w:t>a cigányellenesség és a gyűlöletbeszéd eseteinek kiszűrésével és kezelésével kapcsolatos kezdeményezéseket/képzéseket szerveznek a médiaüzemeltetők részére;</w:t>
            </w:r>
          </w:p>
        </w:tc>
      </w:tr>
      <w:tr>
        <w:tc>
          <w:tcPr>
            <w:tcW w:w="9351" w:type="dxa"/>
            <w:gridSpan w:val="2"/>
            <w:tcBorders>
              <w:top w:val="single" w:sz="4" w:space="0" w:color="auto"/>
              <w:left w:val="single" w:sz="4" w:space="0" w:color="auto"/>
              <w:bottom w:val="single" w:sz="4" w:space="0" w:color="auto"/>
              <w:right w:val="single" w:sz="4" w:space="0" w:color="auto"/>
            </w:tcBorders>
            <w:vAlign w:val="center"/>
          </w:tcPr>
          <w:p>
            <w:pPr>
              <w:spacing w:after="60"/>
              <w:rPr>
                <w:rFonts w:ascii="Times New Roman" w:hAnsi="Times New Roman"/>
                <w:b/>
                <w:noProof/>
                <w:sz w:val="22"/>
                <w:szCs w:val="22"/>
              </w:rPr>
            </w:pPr>
            <w:r>
              <w:rPr>
                <w:rFonts w:ascii="Times New Roman" w:hAnsi="Times New Roman"/>
                <w:b/>
                <w:noProof/>
                <w:sz w:val="22"/>
                <w:szCs w:val="22"/>
              </w:rPr>
              <w:t>Mutató – C. dimenzió – A döntéshozatali eljárások minősége</w:t>
            </w:r>
          </w:p>
        </w:tc>
      </w:tr>
      <w:tr>
        <w:tc>
          <w:tcPr>
            <w:tcW w:w="9351" w:type="dxa"/>
            <w:gridSpan w:val="2"/>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4"/>
              </w:numPr>
              <w:spacing w:after="60"/>
              <w:rPr>
                <w:rFonts w:eastAsiaTheme="minorEastAsia"/>
                <w:noProof/>
                <w:sz w:val="22"/>
              </w:rPr>
            </w:pPr>
            <w:r>
              <w:rPr>
                <w:noProof/>
                <w:sz w:val="22"/>
              </w:rPr>
              <w:t xml:space="preserve">a roma civil szervezetek aktívan részt vesznek a cigányellenesség és a hátrányos megkülönböztetés kezelését célzó egyedi intézkedések kidolgozásában; </w:t>
            </w:r>
          </w:p>
          <w:p>
            <w:pPr>
              <w:pStyle w:val="ListParagraph"/>
              <w:numPr>
                <w:ilvl w:val="0"/>
                <w:numId w:val="4"/>
              </w:numPr>
              <w:spacing w:after="60"/>
              <w:rPr>
                <w:rFonts w:eastAsiaTheme="minorEastAsia"/>
                <w:noProof/>
                <w:sz w:val="22"/>
              </w:rPr>
            </w:pPr>
            <w:r>
              <w:rPr>
                <w:noProof/>
                <w:sz w:val="22"/>
              </w:rPr>
              <w:t>a roma civil szervezetek részt vesznek az uniós pénzeszközök operatív programjainak monitoringbizottságaiban, amelyek keretében a cigányellenesség és hátrányos megkülönböztetés kezelését célzó egyedi intézkedéseket végrehajtják;</w:t>
            </w:r>
          </w:p>
          <w:p>
            <w:pPr>
              <w:pStyle w:val="ListParagraph"/>
              <w:numPr>
                <w:ilvl w:val="0"/>
                <w:numId w:val="4"/>
              </w:numPr>
              <w:spacing w:after="60"/>
              <w:rPr>
                <w:rFonts w:eastAsiaTheme="minorEastAsia"/>
                <w:noProof/>
                <w:sz w:val="22"/>
              </w:rPr>
            </w:pPr>
            <w:r>
              <w:rPr>
                <w:noProof/>
                <w:sz w:val="22"/>
              </w:rPr>
              <w:t>a roma civil szervezetek részt vesznek a végrehajtott intézkedések eredményeinek nyomon követésében;</w:t>
            </w:r>
          </w:p>
        </w:tc>
      </w:tr>
    </w:tbl>
    <w:p>
      <w:pPr>
        <w:pStyle w:val="Heading3"/>
        <w:spacing w:line="240" w:lineRule="auto"/>
        <w:rPr>
          <w:rFonts w:ascii="Times New Roman" w:hAnsi="Times New Roman" w:cs="Times New Roman"/>
          <w:b/>
          <w:noProof/>
          <w:color w:val="auto"/>
          <w:sz w:val="20"/>
          <w:szCs w:val="20"/>
        </w:rPr>
      </w:pPr>
      <w:bookmarkStart w:id="33" w:name="_Toc42625025"/>
      <w:bookmarkStart w:id="34" w:name="_Toc42697879"/>
      <w:bookmarkStart w:id="35" w:name="_Toc42698838"/>
      <w:bookmarkStart w:id="36" w:name="_Toc42706932"/>
      <w:bookmarkStart w:id="37" w:name="_Toc42713777"/>
      <w:bookmarkStart w:id="38" w:name="_Toc42714179"/>
      <w:bookmarkStart w:id="39" w:name="_Toc44090792"/>
    </w:p>
    <w:p>
      <w:pPr>
        <w:pStyle w:val="Heading3"/>
        <w:spacing w:after="120" w:line="240" w:lineRule="auto"/>
        <w:rPr>
          <w:rFonts w:ascii="Times New Roman" w:hAnsi="Times New Roman" w:cs="Times New Roman"/>
          <w:b/>
          <w:noProof/>
          <w:color w:val="auto"/>
          <w:sz w:val="20"/>
          <w:szCs w:val="20"/>
        </w:rPr>
      </w:pPr>
      <w:r>
        <w:rPr>
          <w:rFonts w:ascii="Times New Roman" w:hAnsi="Times New Roman"/>
          <w:b/>
          <w:noProof/>
          <w:color w:val="auto"/>
          <w:sz w:val="20"/>
          <w:szCs w:val="20"/>
        </w:rPr>
        <w:t>1-b. célkitűzés: A roma történelemmel, kultúrával, a romák elismerésével és a romákkal való megbékéléssel kapcsolatos tudatosság előmozdítása</w:t>
      </w:r>
      <w:bookmarkEnd w:id="33"/>
      <w:bookmarkEnd w:id="34"/>
      <w:bookmarkEnd w:id="35"/>
      <w:bookmarkEnd w:id="36"/>
      <w:bookmarkEnd w:id="37"/>
      <w:bookmarkEnd w:id="38"/>
      <w:bookmarkEnd w:id="39"/>
    </w:p>
    <w:tbl>
      <w:tblPr>
        <w:tblStyle w:val="TableGrid"/>
        <w:tblW w:w="9345" w:type="dxa"/>
        <w:tblInd w:w="0" w:type="dxa"/>
        <w:tblLayout w:type="fixed"/>
        <w:tblLook w:val="04A0" w:firstRow="1" w:lastRow="0" w:firstColumn="1" w:lastColumn="0" w:noHBand="0" w:noVBand="1"/>
      </w:tblPr>
      <w:tblGrid>
        <w:gridCol w:w="9345"/>
      </w:tblGrid>
      <w:tr>
        <w:trPr>
          <w:trHeight w:val="2543"/>
        </w:trPr>
        <w:tc>
          <w:tcPr>
            <w:tcW w:w="93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BD4B4" w:themeFill="accent6" w:themeFillTint="66"/>
              <w:tabs>
                <w:tab w:val="left" w:pos="1440"/>
              </w:tabs>
              <w:rPr>
                <w:rStyle w:val="Strong"/>
                <w:rFonts w:ascii="Times New Roman" w:hAnsi="Times New Roman"/>
                <w:noProof/>
                <w:sz w:val="22"/>
                <w:szCs w:val="22"/>
              </w:rPr>
            </w:pPr>
            <w:r>
              <w:rPr>
                <w:rStyle w:val="Strong"/>
                <w:rFonts w:ascii="Times New Roman" w:hAnsi="Times New Roman"/>
                <w:noProof/>
                <w:sz w:val="22"/>
                <w:szCs w:val="22"/>
              </w:rPr>
              <w:t xml:space="preserve">Eredménymutatók: Másodlagos (fakultatív): Ezen a területen még nincsenek kidolgozott mutatók, az ilyen mutatók kidolgozására szolgáló néhány lehetséges tematikus terület az alábbiakat öleli fel: </w:t>
            </w:r>
          </w:p>
          <w:p>
            <w:pPr>
              <w:pStyle w:val="ListParagraph"/>
              <w:numPr>
                <w:ilvl w:val="0"/>
                <w:numId w:val="5"/>
              </w:numPr>
              <w:tabs>
                <w:tab w:val="left" w:pos="1440"/>
              </w:tabs>
              <w:ind w:left="451"/>
              <w:rPr>
                <w:noProof/>
                <w:sz w:val="22"/>
              </w:rPr>
            </w:pPr>
            <w:r>
              <w:rPr>
                <w:noProof/>
                <w:sz w:val="22"/>
              </w:rPr>
              <w:t xml:space="preserve">az általános népesség tudatossága arra vonatkozóan, hogy a romákat nemzeti kisebbségként ismerték el; </w:t>
            </w:r>
          </w:p>
          <w:p>
            <w:pPr>
              <w:pStyle w:val="ListParagraph"/>
              <w:numPr>
                <w:ilvl w:val="0"/>
                <w:numId w:val="5"/>
              </w:numPr>
              <w:tabs>
                <w:tab w:val="left" w:pos="1440"/>
              </w:tabs>
              <w:ind w:left="451"/>
              <w:rPr>
                <w:noProof/>
                <w:sz w:val="22"/>
              </w:rPr>
            </w:pPr>
            <w:r>
              <w:rPr>
                <w:noProof/>
                <w:sz w:val="22"/>
              </w:rPr>
              <w:t xml:space="preserve">az általános népesség roma történelemmel, irodalommal, művészetekkel, kultúrával, zenével és szakpolitikával kapcsolatos tudatossága; </w:t>
            </w:r>
          </w:p>
          <w:p>
            <w:pPr>
              <w:pStyle w:val="ListParagraph"/>
              <w:numPr>
                <w:ilvl w:val="0"/>
                <w:numId w:val="5"/>
              </w:numPr>
              <w:tabs>
                <w:tab w:val="left" w:pos="1440"/>
              </w:tabs>
              <w:ind w:left="451"/>
              <w:rPr>
                <w:rFonts w:eastAsiaTheme="minorEastAsia"/>
                <w:noProof/>
                <w:sz w:val="22"/>
              </w:rPr>
            </w:pPr>
            <w:r>
              <w:rPr>
                <w:noProof/>
                <w:sz w:val="22"/>
              </w:rPr>
              <w:t>az általános népesség roma kulturális fesztiválokon és egyéb nyilvános eseményeken való részvétele;</w:t>
            </w:r>
          </w:p>
          <w:p>
            <w:pPr>
              <w:pStyle w:val="ListParagraph"/>
              <w:numPr>
                <w:ilvl w:val="0"/>
                <w:numId w:val="5"/>
              </w:numPr>
              <w:tabs>
                <w:tab w:val="left" w:pos="1440"/>
              </w:tabs>
              <w:ind w:left="451"/>
              <w:rPr>
                <w:rFonts w:eastAsiaTheme="minorEastAsia"/>
                <w:noProof/>
                <w:sz w:val="22"/>
              </w:rPr>
            </w:pPr>
            <w:r>
              <w:rPr>
                <w:noProof/>
                <w:sz w:val="22"/>
              </w:rPr>
              <w:t>az általános népesség tudatossága arra vonatkozóan, hogy a romani nyelv az Európa Tanács Regionális vagy Kisebbségi Nyelvek Európai Kartája értelmében területhez nem köthető nyelvnek ismerték el;</w:t>
            </w:r>
          </w:p>
          <w:p>
            <w:pPr>
              <w:pStyle w:val="ListParagraph"/>
              <w:numPr>
                <w:ilvl w:val="0"/>
                <w:numId w:val="5"/>
              </w:numPr>
              <w:tabs>
                <w:tab w:val="left" w:pos="1440"/>
              </w:tabs>
              <w:ind w:left="451"/>
              <w:rPr>
                <w:rStyle w:val="Strong"/>
                <w:rFonts w:eastAsiaTheme="minorHAnsi"/>
                <w:noProof/>
              </w:rPr>
            </w:pPr>
            <w:r>
              <w:rPr>
                <w:noProof/>
                <w:sz w:val="22"/>
              </w:rPr>
              <w:t>az általános népesség roma holokauszttal kapcsolatos tudatossága.</w:t>
            </w:r>
          </w:p>
        </w:tc>
      </w:tr>
      <w:tr>
        <w:tc>
          <w:tcPr>
            <w:tcW w:w="9345" w:type="dxa"/>
            <w:tcBorders>
              <w:top w:val="single" w:sz="4" w:space="0" w:color="auto"/>
              <w:left w:val="nil"/>
              <w:bottom w:val="single" w:sz="4" w:space="0" w:color="auto"/>
              <w:right w:val="nil"/>
            </w:tcBorders>
            <w:shd w:val="clear" w:color="auto" w:fill="auto"/>
          </w:tcPr>
          <w:p>
            <w:pPr>
              <w:rPr>
                <w:rStyle w:val="Strong"/>
                <w:rFonts w:ascii="Times New Roman" w:hAnsi="Times New Roman"/>
                <w:noProof/>
              </w:rPr>
            </w:pPr>
          </w:p>
        </w:tc>
      </w:tr>
      <w:tr>
        <w:tc>
          <w:tcPr>
            <w:tcW w:w="9345" w:type="dxa"/>
            <w:tcBorders>
              <w:top w:val="single" w:sz="4" w:space="0" w:color="auto"/>
              <w:left w:val="single" w:sz="4" w:space="0" w:color="auto"/>
              <w:bottom w:val="single" w:sz="4" w:space="0" w:color="auto"/>
              <w:right w:val="single" w:sz="4" w:space="0" w:color="auto"/>
            </w:tcBorders>
            <w:shd w:val="clear" w:color="auto" w:fill="E0E0E0"/>
            <w:hideMark/>
          </w:tcPr>
          <w:p>
            <w:pPr>
              <w:rPr>
                <w:rStyle w:val="Strong"/>
                <w:rFonts w:ascii="Times New Roman" w:hAnsi="Times New Roman"/>
                <w:noProof/>
                <w:sz w:val="22"/>
                <w:szCs w:val="22"/>
              </w:rPr>
            </w:pPr>
            <w:r>
              <w:rPr>
                <w:rStyle w:val="Strong"/>
                <w:rFonts w:ascii="Times New Roman" w:hAnsi="Times New Roman"/>
                <w:noProof/>
                <w:sz w:val="22"/>
                <w:szCs w:val="22"/>
              </w:rPr>
              <w:t>Az 1-b. célkitűzés folyamatmutatói: A roma történelemmel, kultúrával, a romák elismerésével és a romákkal való megbékéléssel kapcsolatos tudatosság előmozdítása</w:t>
            </w:r>
          </w:p>
        </w:tc>
      </w:tr>
      <w:tr>
        <w:tc>
          <w:tcPr>
            <w:tcW w:w="9345" w:type="dxa"/>
            <w:tcBorders>
              <w:top w:val="single" w:sz="4" w:space="0" w:color="auto"/>
              <w:left w:val="single" w:sz="4" w:space="0" w:color="auto"/>
              <w:bottom w:val="single" w:sz="4" w:space="0" w:color="auto"/>
              <w:right w:val="single" w:sz="4" w:space="0" w:color="auto"/>
            </w:tcBorders>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A. dimenzió – Intézményi felépítés</w:t>
            </w:r>
          </w:p>
        </w:tc>
      </w:tr>
      <w:tr>
        <w:tc>
          <w:tcPr>
            <w:tcW w:w="9345" w:type="dxa"/>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rFonts w:eastAsiaTheme="minorEastAsia"/>
                <w:noProof/>
                <w:sz w:val="22"/>
              </w:rPr>
            </w:pPr>
            <w:r>
              <w:rPr>
                <w:noProof/>
                <w:sz w:val="22"/>
              </w:rPr>
              <w:t>a nemzeti romastratégiai keretek vagy a kapcsolódó szakpolitikai dokumentumok kifejezetten tartalmaznak a roma történelemmel és kultúrával kapcsolatos tudatosság előmozdítását célzó, mutatókkal és célokkal rendelkező intézkedéseket;</w:t>
            </w:r>
          </w:p>
          <w:p>
            <w:pPr>
              <w:pStyle w:val="ListParagraph"/>
              <w:numPr>
                <w:ilvl w:val="0"/>
                <w:numId w:val="6"/>
              </w:numPr>
              <w:tabs>
                <w:tab w:val="left" w:pos="1020"/>
              </w:tabs>
              <w:spacing w:after="60"/>
              <w:ind w:left="311" w:hanging="218"/>
              <w:rPr>
                <w:rFonts w:eastAsiaTheme="minorEastAsia"/>
                <w:noProof/>
                <w:sz w:val="22"/>
              </w:rPr>
            </w:pPr>
            <w:r>
              <w:rPr>
                <w:noProof/>
                <w:sz w:val="22"/>
              </w:rPr>
              <w:t>a roma holokauszt elismert, és a megemlékezésére szolgáló emléknap szerepel a hivatalos állami ünnepek között;</w:t>
            </w:r>
          </w:p>
          <w:p>
            <w:pPr>
              <w:pStyle w:val="ListParagraph"/>
              <w:numPr>
                <w:ilvl w:val="0"/>
                <w:numId w:val="6"/>
              </w:numPr>
              <w:tabs>
                <w:tab w:val="left" w:pos="1020"/>
              </w:tabs>
              <w:spacing w:after="60"/>
              <w:ind w:left="311" w:hanging="218"/>
              <w:rPr>
                <w:rFonts w:eastAsiaTheme="minorEastAsia"/>
                <w:noProof/>
                <w:sz w:val="22"/>
              </w:rPr>
            </w:pPr>
            <w:r>
              <w:rPr>
                <w:noProof/>
                <w:sz w:val="22"/>
              </w:rPr>
              <w:t>léteznek a roma holokausztról megemlékező emlékművek vagy emlékmúzeumok;</w:t>
            </w:r>
          </w:p>
          <w:p>
            <w:pPr>
              <w:pStyle w:val="ListParagraph"/>
              <w:numPr>
                <w:ilvl w:val="0"/>
                <w:numId w:val="6"/>
              </w:numPr>
              <w:tabs>
                <w:tab w:val="left" w:pos="1020"/>
              </w:tabs>
              <w:spacing w:after="60"/>
              <w:ind w:left="311" w:hanging="218"/>
              <w:rPr>
                <w:rFonts w:eastAsiaTheme="minorEastAsia"/>
                <w:noProof/>
                <w:sz w:val="22"/>
              </w:rPr>
            </w:pPr>
            <w:r>
              <w:rPr>
                <w:noProof/>
                <w:sz w:val="22"/>
              </w:rPr>
              <w:t xml:space="preserve">a roma személyiségeknek a tagállam történelméhez való hozzájárulása elismert, és szerepel a hivatalos állami ünnepek között; </w:t>
            </w:r>
          </w:p>
          <w:p>
            <w:pPr>
              <w:pStyle w:val="ListParagraph"/>
              <w:numPr>
                <w:ilvl w:val="0"/>
                <w:numId w:val="6"/>
              </w:numPr>
              <w:tabs>
                <w:tab w:val="left" w:pos="1020"/>
              </w:tabs>
              <w:spacing w:after="60"/>
              <w:ind w:left="311" w:hanging="218"/>
              <w:rPr>
                <w:rFonts w:eastAsiaTheme="minorEastAsia"/>
                <w:noProof/>
                <w:sz w:val="22"/>
              </w:rPr>
            </w:pPr>
            <w:r>
              <w:rPr>
                <w:noProof/>
                <w:sz w:val="22"/>
              </w:rPr>
              <w:t>a roma történelem, kultúra és művészetek az iskolák, egyetemek hivatalos tanterveinek és a tanulmányok részét képezik;</w:t>
            </w:r>
          </w:p>
          <w:p>
            <w:pPr>
              <w:pStyle w:val="ListParagraph"/>
              <w:numPr>
                <w:ilvl w:val="0"/>
                <w:numId w:val="6"/>
              </w:numPr>
              <w:tabs>
                <w:tab w:val="left" w:pos="1020"/>
              </w:tabs>
              <w:spacing w:after="60"/>
              <w:ind w:left="311" w:hanging="218"/>
              <w:rPr>
                <w:rFonts w:eastAsiaTheme="minorEastAsia"/>
                <w:noProof/>
                <w:sz w:val="22"/>
              </w:rPr>
            </w:pPr>
            <w:r>
              <w:rPr>
                <w:noProof/>
                <w:sz w:val="22"/>
              </w:rPr>
              <w:t>a roma kulturális kezdeményezések szerepelnek az érintett nemzeti magaskultúra eseménynaptárában;</w:t>
            </w:r>
          </w:p>
          <w:p>
            <w:pPr>
              <w:pStyle w:val="ListParagraph"/>
              <w:numPr>
                <w:ilvl w:val="0"/>
                <w:numId w:val="6"/>
              </w:numPr>
              <w:tabs>
                <w:tab w:val="left" w:pos="1020"/>
              </w:tabs>
              <w:spacing w:after="60"/>
              <w:ind w:left="311" w:hanging="218"/>
              <w:rPr>
                <w:rFonts w:eastAsiaTheme="minorEastAsia"/>
                <w:noProof/>
                <w:sz w:val="22"/>
              </w:rPr>
            </w:pPr>
            <w:r>
              <w:rPr>
                <w:noProof/>
                <w:sz w:val="22"/>
              </w:rPr>
              <w:t>léteznek cigányellenességgel foglalkozó szakértői bizottságok (igazságtételi, elismerési és megbékélési bizottságok), amelyek a tagállamokon belüli akadályok és kirekesztési mechanizmusok mélyebb megértése érdekében működnek;</w:t>
            </w:r>
          </w:p>
          <w:p>
            <w:pPr>
              <w:pStyle w:val="ListParagraph"/>
              <w:numPr>
                <w:ilvl w:val="0"/>
                <w:numId w:val="6"/>
              </w:numPr>
              <w:tabs>
                <w:tab w:val="left" w:pos="1020"/>
              </w:tabs>
              <w:spacing w:after="60"/>
              <w:ind w:left="311" w:hanging="218"/>
              <w:rPr>
                <w:rFonts w:eastAsiaTheme="minorEastAsia"/>
                <w:noProof/>
                <w:sz w:val="22"/>
              </w:rPr>
            </w:pPr>
            <w:r>
              <w:rPr>
                <w:noProof/>
                <w:sz w:val="22"/>
              </w:rPr>
              <w:t>léteznek az Európa Tanács Regionális vagy Kisebbségi Nyelvek Európai Kartájának végrehajtásához szükséges struktúrák;</w:t>
            </w:r>
          </w:p>
          <w:p>
            <w:pPr>
              <w:pStyle w:val="ListParagraph"/>
              <w:numPr>
                <w:ilvl w:val="0"/>
                <w:numId w:val="6"/>
              </w:numPr>
              <w:tabs>
                <w:tab w:val="left" w:pos="1020"/>
              </w:tabs>
              <w:spacing w:after="60"/>
              <w:ind w:left="311" w:hanging="218"/>
              <w:rPr>
                <w:rFonts w:eastAsiaTheme="minorEastAsia"/>
                <w:noProof/>
                <w:sz w:val="22"/>
              </w:rPr>
            </w:pPr>
            <w:r>
              <w:rPr>
                <w:noProof/>
                <w:sz w:val="22"/>
              </w:rPr>
              <w:t xml:space="preserve">a kijelölt kormányzati tanácsadó szervezeteken belül, politikai hatásgyakorlás céljából, rendszeres eszmecsere folyik a roma művészetekkel, kultúrával és történelemmel kapcsolatos témákról; </w:t>
            </w:r>
          </w:p>
          <w:p>
            <w:pPr>
              <w:pStyle w:val="ListParagraph"/>
              <w:numPr>
                <w:ilvl w:val="0"/>
                <w:numId w:val="6"/>
              </w:numPr>
              <w:tabs>
                <w:tab w:val="left" w:pos="1020"/>
              </w:tabs>
              <w:spacing w:after="60"/>
              <w:ind w:left="311" w:hanging="218"/>
              <w:rPr>
                <w:rFonts w:eastAsiaTheme="minorEastAsia"/>
                <w:noProof/>
                <w:sz w:val="22"/>
              </w:rPr>
            </w:pPr>
            <w:r>
              <w:rPr>
                <w:noProof/>
                <w:sz w:val="22"/>
              </w:rPr>
              <w:t>a roma kultúrát előmozdító roma kulturális szervezetek támogatására elkülönített éves állami költségvetés áll rendelkezése;</w:t>
            </w:r>
          </w:p>
          <w:p>
            <w:pPr>
              <w:pStyle w:val="ListParagraph"/>
              <w:numPr>
                <w:ilvl w:val="0"/>
                <w:numId w:val="6"/>
              </w:numPr>
              <w:tabs>
                <w:tab w:val="left" w:pos="1020"/>
              </w:tabs>
              <w:spacing w:after="60"/>
              <w:ind w:left="311" w:hanging="218"/>
              <w:rPr>
                <w:rFonts w:eastAsiaTheme="minorEastAsia"/>
                <w:noProof/>
                <w:sz w:val="22"/>
              </w:rPr>
            </w:pPr>
            <w:r>
              <w:rPr>
                <w:noProof/>
                <w:sz w:val="22"/>
              </w:rPr>
              <w:t>a helyi roma média (nyomtatott, online, TV, rádió) számára elkülönített éves állami költségvetés áll rendelkezésre;</w:t>
            </w:r>
          </w:p>
          <w:p>
            <w:pPr>
              <w:pStyle w:val="ListParagraph"/>
              <w:numPr>
                <w:ilvl w:val="0"/>
                <w:numId w:val="6"/>
              </w:numPr>
              <w:tabs>
                <w:tab w:val="left" w:pos="1020"/>
              </w:tabs>
              <w:spacing w:after="60"/>
              <w:ind w:left="311" w:hanging="218"/>
              <w:rPr>
                <w:rFonts w:eastAsiaTheme="minorEastAsia"/>
                <w:noProof/>
                <w:sz w:val="22"/>
              </w:rPr>
            </w:pPr>
            <w:r>
              <w:rPr>
                <w:noProof/>
                <w:sz w:val="22"/>
              </w:rPr>
              <w:t>a helyi roma média, valamint a roma művészetek és kultúra számára elkülönített települési és helyi költségvetés áll rendelkezésre;</w:t>
            </w:r>
          </w:p>
          <w:p>
            <w:pPr>
              <w:pStyle w:val="ListParagraph"/>
              <w:numPr>
                <w:ilvl w:val="0"/>
                <w:numId w:val="6"/>
              </w:numPr>
              <w:tabs>
                <w:tab w:val="left" w:pos="1020"/>
              </w:tabs>
              <w:spacing w:after="60"/>
              <w:ind w:left="311" w:hanging="218"/>
              <w:rPr>
                <w:rFonts w:eastAsiaTheme="minorEastAsia"/>
                <w:noProof/>
                <w:sz w:val="22"/>
              </w:rPr>
            </w:pPr>
            <w:r>
              <w:rPr>
                <w:noProof/>
                <w:sz w:val="22"/>
              </w:rPr>
              <w:t xml:space="preserve">az ifjúsági ügyekkel foglalkozó minisztériumok és állami ügynökségek rendelkeznek kifejezetten a roma fiatalok társadalmi befogadásával és a roma ifjúsági szervezeti kapacitások kiépítésével megbízott osztályokkal; </w:t>
            </w:r>
          </w:p>
        </w:tc>
      </w:tr>
      <w:tr>
        <w:trPr>
          <w:trHeight w:val="396"/>
        </w:trPr>
        <w:tc>
          <w:tcPr>
            <w:tcW w:w="9345" w:type="dxa"/>
            <w:tcBorders>
              <w:top w:val="single" w:sz="4" w:space="0" w:color="auto"/>
              <w:left w:val="single" w:sz="4" w:space="0" w:color="auto"/>
              <w:bottom w:val="single" w:sz="4" w:space="0" w:color="auto"/>
              <w:right w:val="single" w:sz="4" w:space="0" w:color="auto"/>
            </w:tcBorders>
          </w:tcPr>
          <w:p>
            <w:pPr>
              <w:tabs>
                <w:tab w:val="left" w:pos="1020"/>
              </w:tabs>
              <w:spacing w:after="60"/>
              <w:rPr>
                <w:rFonts w:ascii="Times New Roman" w:hAnsi="Times New Roman"/>
                <w:b/>
                <w:noProof/>
                <w:sz w:val="22"/>
                <w:szCs w:val="22"/>
              </w:rPr>
            </w:pPr>
            <w:r>
              <w:rPr>
                <w:rFonts w:ascii="Times New Roman" w:hAnsi="Times New Roman"/>
                <w:b/>
                <w:noProof/>
                <w:sz w:val="22"/>
                <w:szCs w:val="22"/>
              </w:rPr>
              <w:t>Mutató – B. dimenzió – Konkrét intézkedések és fellépések</w:t>
            </w:r>
          </w:p>
        </w:tc>
      </w:tr>
      <w:tr>
        <w:trPr>
          <w:trHeight w:val="716"/>
        </w:trPr>
        <w:tc>
          <w:tcPr>
            <w:tcW w:w="9345" w:type="dxa"/>
            <w:tcBorders>
              <w:top w:val="single" w:sz="4" w:space="0" w:color="auto"/>
              <w:left w:val="single" w:sz="4" w:space="0" w:color="auto"/>
              <w:bottom w:val="single" w:sz="4" w:space="0" w:color="auto"/>
              <w:right w:val="single" w:sz="4" w:space="0" w:color="auto"/>
            </w:tcBorders>
            <w:vAlign w:val="center"/>
          </w:tcPr>
          <w:p>
            <w:pPr>
              <w:pStyle w:val="ListParagraph"/>
              <w:numPr>
                <w:ilvl w:val="0"/>
                <w:numId w:val="6"/>
              </w:numPr>
              <w:tabs>
                <w:tab w:val="left" w:pos="1020"/>
              </w:tabs>
              <w:spacing w:after="60"/>
              <w:ind w:left="311" w:hanging="218"/>
              <w:rPr>
                <w:rFonts w:eastAsiaTheme="minorEastAsia"/>
                <w:noProof/>
                <w:sz w:val="22"/>
              </w:rPr>
            </w:pPr>
            <w:r>
              <w:rPr>
                <w:noProof/>
                <w:sz w:val="22"/>
              </w:rPr>
              <w:t>az iskolákban a roma történelemmel és kultúrával kapcsolatos oktatás folyik;</w:t>
            </w:r>
          </w:p>
          <w:p>
            <w:pPr>
              <w:pStyle w:val="ListParagraph"/>
              <w:numPr>
                <w:ilvl w:val="0"/>
                <w:numId w:val="6"/>
              </w:numPr>
              <w:tabs>
                <w:tab w:val="left" w:pos="1020"/>
              </w:tabs>
              <w:spacing w:after="60"/>
              <w:ind w:left="311" w:hanging="218"/>
              <w:rPr>
                <w:rFonts w:eastAsiaTheme="minorEastAsia"/>
                <w:noProof/>
                <w:sz w:val="22"/>
              </w:rPr>
            </w:pPr>
            <w:r>
              <w:rPr>
                <w:noProof/>
                <w:sz w:val="22"/>
              </w:rPr>
              <w:t>az iskolákban ingyenesen oktatják a romani nyelvet;</w:t>
            </w:r>
          </w:p>
          <w:p>
            <w:pPr>
              <w:pStyle w:val="ListParagraph"/>
              <w:numPr>
                <w:ilvl w:val="0"/>
                <w:numId w:val="6"/>
              </w:numPr>
              <w:tabs>
                <w:tab w:val="left" w:pos="1020"/>
              </w:tabs>
              <w:spacing w:after="60"/>
              <w:ind w:left="311" w:hanging="218"/>
              <w:rPr>
                <w:rFonts w:eastAsiaTheme="minorEastAsia"/>
                <w:noProof/>
                <w:sz w:val="22"/>
              </w:rPr>
            </w:pPr>
            <w:r>
              <w:rPr>
                <w:noProof/>
                <w:sz w:val="22"/>
              </w:rPr>
              <w:t>a tanárok és az iskolai személyzet az inkluzív oktatással és sokféleséggel kapcsolatos képzésben vett részt;</w:t>
            </w:r>
          </w:p>
          <w:p>
            <w:pPr>
              <w:pStyle w:val="ListParagraph"/>
              <w:numPr>
                <w:ilvl w:val="0"/>
                <w:numId w:val="6"/>
              </w:numPr>
              <w:tabs>
                <w:tab w:val="left" w:pos="1020"/>
              </w:tabs>
              <w:spacing w:after="60"/>
              <w:ind w:left="311" w:hanging="218"/>
              <w:rPr>
                <w:rFonts w:eastAsiaTheme="minorEastAsia"/>
                <w:noProof/>
                <w:sz w:val="22"/>
              </w:rPr>
            </w:pPr>
            <w:r>
              <w:rPr>
                <w:noProof/>
                <w:sz w:val="22"/>
              </w:rPr>
              <w:t>a tanárok és az iskolai személyzet a romakultúrával és történelemmel – a roma holokausztot is ideértve – kapcsolatos képzésben vett részt;</w:t>
            </w:r>
          </w:p>
          <w:p>
            <w:pPr>
              <w:pStyle w:val="ListParagraph"/>
              <w:numPr>
                <w:ilvl w:val="0"/>
                <w:numId w:val="6"/>
              </w:numPr>
              <w:tabs>
                <w:tab w:val="left" w:pos="1020"/>
              </w:tabs>
              <w:spacing w:after="60"/>
              <w:ind w:left="311" w:hanging="218"/>
              <w:rPr>
                <w:rFonts w:eastAsiaTheme="minorEastAsia"/>
                <w:noProof/>
                <w:sz w:val="22"/>
              </w:rPr>
            </w:pPr>
            <w:r>
              <w:rPr>
                <w:noProof/>
                <w:sz w:val="22"/>
              </w:rPr>
              <w:t>a közalkalmazottak, tanárok, rendőrtisztviselők stb. részére a roma művészetekkel, kultúrával é történelemmel kapcsolatos képzési lehetőségek biztosítottak;</w:t>
            </w:r>
          </w:p>
          <w:p>
            <w:pPr>
              <w:pStyle w:val="ListParagraph"/>
              <w:numPr>
                <w:ilvl w:val="0"/>
                <w:numId w:val="6"/>
              </w:numPr>
              <w:tabs>
                <w:tab w:val="left" w:pos="1020"/>
              </w:tabs>
              <w:spacing w:after="60"/>
              <w:ind w:left="311" w:hanging="218"/>
              <w:rPr>
                <w:rFonts w:eastAsiaTheme="minorEastAsia"/>
                <w:noProof/>
                <w:sz w:val="22"/>
              </w:rPr>
            </w:pPr>
            <w:r>
              <w:rPr>
                <w:noProof/>
                <w:sz w:val="22"/>
              </w:rPr>
              <w:t>a közmédiában a roma művészetek és kultúra számára fenntartott műsoridő áll rendelkezésre;</w:t>
            </w:r>
          </w:p>
          <w:p>
            <w:pPr>
              <w:pStyle w:val="ListParagraph"/>
              <w:numPr>
                <w:ilvl w:val="0"/>
                <w:numId w:val="6"/>
              </w:numPr>
              <w:tabs>
                <w:tab w:val="left" w:pos="1020"/>
              </w:tabs>
              <w:spacing w:after="60"/>
              <w:ind w:left="311" w:hanging="218"/>
              <w:rPr>
                <w:rFonts w:eastAsiaTheme="minorEastAsia"/>
                <w:noProof/>
                <w:sz w:val="22"/>
              </w:rPr>
            </w:pPr>
            <w:r>
              <w:rPr>
                <w:noProof/>
                <w:sz w:val="22"/>
              </w:rPr>
              <w:t xml:space="preserve">a közmédiában romani nyelvű hírek számára fenntartott műsoridő áll rendelkezésre; </w:t>
            </w:r>
          </w:p>
          <w:p>
            <w:pPr>
              <w:pStyle w:val="ListParagraph"/>
              <w:numPr>
                <w:ilvl w:val="0"/>
                <w:numId w:val="6"/>
              </w:numPr>
              <w:tabs>
                <w:tab w:val="left" w:pos="1020"/>
              </w:tabs>
              <w:spacing w:after="60"/>
              <w:ind w:left="311" w:hanging="218"/>
              <w:rPr>
                <w:rFonts w:eastAsiaTheme="minorEastAsia"/>
                <w:noProof/>
                <w:sz w:val="22"/>
              </w:rPr>
            </w:pPr>
            <w:r>
              <w:rPr>
                <w:noProof/>
                <w:sz w:val="22"/>
              </w:rPr>
              <w:t>a fesztiválokon roma kultúra bemutatására fenntartott, állami pénzeszközökből támogatott fellépési idő vehető igénybe;</w:t>
            </w:r>
          </w:p>
          <w:p>
            <w:pPr>
              <w:pStyle w:val="ListParagraph"/>
              <w:numPr>
                <w:ilvl w:val="0"/>
                <w:numId w:val="6"/>
              </w:numPr>
              <w:tabs>
                <w:tab w:val="left" w:pos="1020"/>
              </w:tabs>
              <w:spacing w:after="60"/>
              <w:ind w:left="311" w:hanging="218"/>
              <w:rPr>
                <w:rFonts w:eastAsiaTheme="minorEastAsia"/>
                <w:noProof/>
                <w:sz w:val="22"/>
              </w:rPr>
            </w:pPr>
            <w:r>
              <w:rPr>
                <w:noProof/>
                <w:sz w:val="22"/>
              </w:rPr>
              <w:t>a hagyományos médiában és a sajtóban növelik a romákkal kapcsolatos pozitív narratívákat a negatívakkal szemben.</w:t>
            </w:r>
          </w:p>
        </w:tc>
      </w:tr>
      <w:tr>
        <w:trPr>
          <w:trHeight w:val="412"/>
        </w:trPr>
        <w:tc>
          <w:tcPr>
            <w:tcW w:w="9345" w:type="dxa"/>
            <w:tcBorders>
              <w:top w:val="single" w:sz="4" w:space="0" w:color="auto"/>
              <w:left w:val="single" w:sz="4" w:space="0" w:color="auto"/>
              <w:bottom w:val="single" w:sz="4" w:space="0" w:color="auto"/>
              <w:right w:val="single" w:sz="4" w:space="0" w:color="auto"/>
            </w:tcBorders>
            <w:vAlign w:val="center"/>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C. dimenzió – A döntéshozatali eljárások minősége</w:t>
            </w:r>
          </w:p>
        </w:tc>
      </w:tr>
      <w:tr>
        <w:trPr>
          <w:trHeight w:val="716"/>
        </w:trPr>
        <w:tc>
          <w:tcPr>
            <w:tcW w:w="9345" w:type="dxa"/>
            <w:tcBorders>
              <w:top w:val="single" w:sz="4" w:space="0" w:color="auto"/>
              <w:left w:val="single" w:sz="4" w:space="0" w:color="auto"/>
              <w:right w:val="single" w:sz="4" w:space="0" w:color="auto"/>
            </w:tcBorders>
            <w:vAlign w:val="center"/>
          </w:tcPr>
          <w:p>
            <w:pPr>
              <w:pStyle w:val="ListParagraph"/>
              <w:numPr>
                <w:ilvl w:val="0"/>
                <w:numId w:val="6"/>
              </w:numPr>
              <w:tabs>
                <w:tab w:val="left" w:pos="1020"/>
              </w:tabs>
              <w:spacing w:after="60"/>
              <w:ind w:left="311" w:hanging="218"/>
              <w:rPr>
                <w:rFonts w:eastAsiaTheme="minorEastAsia"/>
                <w:noProof/>
                <w:sz w:val="22"/>
              </w:rPr>
            </w:pPr>
            <w:r>
              <w:rPr>
                <w:noProof/>
                <w:sz w:val="22"/>
              </w:rPr>
              <w:t>a civil szervezetekkel konzultálnak arról, hogy szükséges-e tagállami költségvetést előirányozni a roma művészet és kultúra támogatására;</w:t>
            </w:r>
          </w:p>
          <w:p>
            <w:pPr>
              <w:pStyle w:val="ListParagraph"/>
              <w:numPr>
                <w:ilvl w:val="0"/>
                <w:numId w:val="6"/>
              </w:numPr>
              <w:tabs>
                <w:tab w:val="left" w:pos="1020"/>
              </w:tabs>
              <w:spacing w:after="60"/>
              <w:ind w:left="311" w:hanging="218"/>
              <w:rPr>
                <w:rFonts w:eastAsiaTheme="minorEastAsia"/>
                <w:noProof/>
                <w:sz w:val="22"/>
              </w:rPr>
            </w:pPr>
            <w:r>
              <w:rPr>
                <w:noProof/>
                <w:sz w:val="22"/>
              </w:rPr>
              <w:t>a kormányzati tanácsadó szervek visszajelzést adnak arról, hogy a nemzeti romastratégiai keretek támogatására elkülönített költségvetési előirányzatok képesek-e előmozdítani a roma művészetekkel és kultúrával kapcsolatos projektekre vonatkozó javaslataikat;</w:t>
            </w:r>
          </w:p>
          <w:p>
            <w:pPr>
              <w:pStyle w:val="ListParagraph"/>
              <w:numPr>
                <w:ilvl w:val="0"/>
                <w:numId w:val="6"/>
              </w:numPr>
              <w:tabs>
                <w:tab w:val="left" w:pos="1020"/>
              </w:tabs>
              <w:spacing w:after="60"/>
              <w:ind w:left="311" w:hanging="218"/>
              <w:rPr>
                <w:rFonts w:eastAsiaTheme="minorEastAsia"/>
                <w:noProof/>
                <w:sz w:val="22"/>
              </w:rPr>
            </w:pPr>
            <w:r>
              <w:rPr>
                <w:noProof/>
                <w:sz w:val="22"/>
              </w:rPr>
              <w:t xml:space="preserve">a roma művészetek, kultúra és megemlékezések előmozdítását célzó egyedi intézkedéseket a roma civil szervezetekkel és a roma holokauszt túlélőivel vagy leszármazottaikkal partnerségben dolgozzák ki; </w:t>
            </w:r>
          </w:p>
          <w:p>
            <w:pPr>
              <w:pStyle w:val="ListParagraph"/>
              <w:numPr>
                <w:ilvl w:val="0"/>
                <w:numId w:val="6"/>
              </w:numPr>
              <w:tabs>
                <w:tab w:val="left" w:pos="1020"/>
              </w:tabs>
              <w:spacing w:after="60"/>
              <w:ind w:left="311" w:hanging="218"/>
              <w:rPr>
                <w:rFonts w:eastAsiaTheme="minorEastAsia"/>
                <w:noProof/>
                <w:sz w:val="22"/>
              </w:rPr>
            </w:pPr>
            <w:r>
              <w:rPr>
                <w:noProof/>
                <w:sz w:val="22"/>
              </w:rPr>
              <w:t>a roma civil szervezetek részt vesznek a roma művészetek és kultúra előmozdítását célzó egyedi intézkedésekkel és a hozzájuk finanszírozással kapcsolatos döntéshozatali eljárásokban;</w:t>
            </w:r>
          </w:p>
          <w:p>
            <w:pPr>
              <w:pStyle w:val="ListParagraph"/>
              <w:numPr>
                <w:ilvl w:val="0"/>
                <w:numId w:val="6"/>
              </w:numPr>
              <w:tabs>
                <w:tab w:val="left" w:pos="1020"/>
              </w:tabs>
              <w:spacing w:after="60"/>
              <w:ind w:left="311" w:hanging="218"/>
              <w:rPr>
                <w:rFonts w:eastAsiaTheme="minorEastAsia"/>
                <w:noProof/>
                <w:sz w:val="22"/>
              </w:rPr>
            </w:pPr>
            <w:r>
              <w:rPr>
                <w:noProof/>
                <w:sz w:val="22"/>
              </w:rPr>
              <w:t>a roma civil szervezetek részt vesznek az ezen operatív cél keretében végrehajtott intézkedések eredményeinek nyomon követésében.</w:t>
            </w:r>
          </w:p>
        </w:tc>
      </w:tr>
    </w:tbl>
    <w:p>
      <w:pPr>
        <w:spacing w:before="120" w:line="240" w:lineRule="auto"/>
        <w:rPr>
          <w:rFonts w:ascii="Times New Roman" w:eastAsia="Times New Roman" w:hAnsi="Times New Roman" w:cs="Times New Roman"/>
          <w:b/>
          <w:noProof/>
          <w:sz w:val="24"/>
          <w:szCs w:val="20"/>
        </w:rPr>
      </w:pPr>
      <w:r>
        <w:rPr>
          <w:rFonts w:ascii="Times New Roman" w:hAnsi="Times New Roman"/>
          <w:b/>
          <w:noProof/>
          <w:sz w:val="24"/>
          <w:szCs w:val="20"/>
        </w:rPr>
        <w:t>2. célkitűzés: A szegénység és a társadalmi kirekesztés csökkentése</w:t>
      </w:r>
    </w:p>
    <w:tbl>
      <w:tblPr>
        <w:tblStyle w:val="TableGrid"/>
        <w:tblW w:w="9351" w:type="dxa"/>
        <w:tblInd w:w="0" w:type="dxa"/>
        <w:tblLayout w:type="fixed"/>
        <w:tblLook w:val="04A0" w:firstRow="1" w:lastRow="0" w:firstColumn="1" w:lastColumn="0" w:noHBand="0" w:noVBand="1"/>
      </w:tblPr>
      <w:tblGrid>
        <w:gridCol w:w="7079"/>
        <w:gridCol w:w="2266"/>
        <w:gridCol w:w="6"/>
      </w:tblGrid>
      <w:tr>
        <w:trPr>
          <w:gridAfter w:val="1"/>
          <w:wAfter w:w="6" w:type="dxa"/>
          <w:trHeight w:val="345"/>
        </w:trPr>
        <w:tc>
          <w:tcPr>
            <w:tcW w:w="7079"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tabs>
                <w:tab w:val="left" w:pos="6060"/>
              </w:tabs>
              <w:rPr>
                <w:rStyle w:val="Strong"/>
                <w:rFonts w:ascii="Times New Roman" w:hAnsi="Times New Roman"/>
                <w:noProof/>
                <w:sz w:val="22"/>
                <w:szCs w:val="22"/>
              </w:rPr>
            </w:pPr>
            <w:bookmarkStart w:id="40" w:name="_Toc42625026"/>
            <w:bookmarkStart w:id="41" w:name="_Toc42697880"/>
            <w:bookmarkStart w:id="42" w:name="_Toc42698839"/>
            <w:bookmarkStart w:id="43" w:name="_Toc42706933"/>
            <w:bookmarkStart w:id="44" w:name="_Toc42713778"/>
            <w:bookmarkStart w:id="45" w:name="_Toc42714180"/>
            <w:r>
              <w:rPr>
                <w:rStyle w:val="Strong"/>
                <w:rFonts w:ascii="Times New Roman" w:hAnsi="Times New Roman"/>
                <w:noProof/>
                <w:sz w:val="22"/>
                <w:szCs w:val="22"/>
              </w:rPr>
              <w:t>Fő mutatók:</w:t>
            </w:r>
          </w:p>
        </w:tc>
        <w:tc>
          <w:tcPr>
            <w:tcW w:w="2266"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tabs>
                <w:tab w:val="left" w:pos="6060"/>
              </w:tabs>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rPr>
          <w:gridAfter w:val="1"/>
          <w:wAfter w:w="6" w:type="dxa"/>
          <w:trHeight w:val="548"/>
        </w:trPr>
        <w:tc>
          <w:tcPr>
            <w:tcW w:w="7079"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tabs>
                <w:tab w:val="left" w:pos="6060"/>
              </w:tabs>
              <w:rPr>
                <w:rStyle w:val="Strong"/>
                <w:rFonts w:eastAsiaTheme="minorEastAsia"/>
                <w:noProof/>
                <w:sz w:val="22"/>
                <w:szCs w:val="22"/>
              </w:rPr>
            </w:pPr>
            <w:r>
              <w:rPr>
                <w:rStyle w:val="Strong"/>
                <w:noProof/>
                <w:sz w:val="22"/>
                <w:szCs w:val="22"/>
              </w:rPr>
              <w:t xml:space="preserve">A szegénység kockázatának való kitettség aránya (a szociális transzferek utáni ekvivalens mediánjövedelem 60 %-a alatt) </w:t>
            </w:r>
          </w:p>
        </w:tc>
        <w:tc>
          <w:tcPr>
            <w:tcW w:w="2266"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tabs>
                <w:tab w:val="left" w:pos="6060"/>
              </w:tabs>
              <w:rPr>
                <w:rFonts w:ascii="Times New Roman" w:hAnsi="Times New Roman"/>
                <w:noProof/>
                <w:sz w:val="18"/>
              </w:rPr>
            </w:pPr>
            <w:r>
              <w:rPr>
                <w:rStyle w:val="Strong"/>
                <w:rFonts w:ascii="Times New Roman" w:hAnsi="Times New Roman"/>
                <w:noProof/>
                <w:sz w:val="18"/>
              </w:rPr>
              <w:t xml:space="preserve">Eurostat </w:t>
            </w:r>
            <w:r>
              <w:rPr>
                <w:rFonts w:ascii="Times New Roman" w:hAnsi="Times New Roman"/>
                <w:noProof/>
                <w:sz w:val="18"/>
              </w:rPr>
              <w:t>[ilc_li02]</w:t>
            </w:r>
          </w:p>
          <w:p>
            <w:pPr>
              <w:tabs>
                <w:tab w:val="left" w:pos="6060"/>
              </w:tabs>
              <w:rPr>
                <w:rStyle w:val="Strong"/>
                <w:rFonts w:ascii="Times New Roman" w:hAnsi="Times New Roman"/>
                <w:noProof/>
              </w:rPr>
            </w:pPr>
            <w:r>
              <w:rPr>
                <w:rFonts w:ascii="Times New Roman" w:hAnsi="Times New Roman"/>
                <w:noProof/>
                <w:sz w:val="18"/>
              </w:rPr>
              <w:t>SDG 1.2.1.</w:t>
            </w:r>
          </w:p>
        </w:tc>
      </w:tr>
      <w:tr>
        <w:trPr>
          <w:gridAfter w:val="1"/>
          <w:wAfter w:w="6" w:type="dxa"/>
          <w:trHeight w:val="159"/>
        </w:trPr>
        <w:tc>
          <w:tcPr>
            <w:tcW w:w="7079"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tabs>
                <w:tab w:val="left" w:pos="6060"/>
              </w:tabs>
              <w:rPr>
                <w:rStyle w:val="Strong"/>
                <w:noProof/>
                <w:sz w:val="22"/>
                <w:szCs w:val="22"/>
              </w:rPr>
            </w:pPr>
            <w:r>
              <w:rPr>
                <w:rStyle w:val="Strong"/>
                <w:noProof/>
                <w:sz w:val="22"/>
                <w:szCs w:val="22"/>
              </w:rPr>
              <w:t xml:space="preserve"> 3.1.) Szegénység kockázatának kitett 18 évesnél fiatalabb gyermekek</w:t>
            </w:r>
          </w:p>
        </w:tc>
        <w:tc>
          <w:tcPr>
            <w:tcW w:w="2266"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tabs>
                <w:tab w:val="left" w:pos="6060"/>
              </w:tabs>
              <w:rPr>
                <w:rFonts w:ascii="Times New Roman" w:hAnsi="Times New Roman"/>
                <w:noProof/>
                <w:sz w:val="18"/>
              </w:rPr>
            </w:pPr>
            <w:r>
              <w:rPr>
                <w:rStyle w:val="Strong"/>
                <w:rFonts w:ascii="Times New Roman" w:hAnsi="Times New Roman"/>
                <w:noProof/>
                <w:sz w:val="18"/>
              </w:rPr>
              <w:t xml:space="preserve">Eurostat </w:t>
            </w:r>
            <w:r>
              <w:rPr>
                <w:rFonts w:ascii="Times New Roman" w:hAnsi="Times New Roman"/>
                <w:noProof/>
                <w:sz w:val="18"/>
              </w:rPr>
              <w:t>[ilc_li02]</w:t>
            </w:r>
          </w:p>
          <w:p>
            <w:pPr>
              <w:tabs>
                <w:tab w:val="left" w:pos="6060"/>
              </w:tabs>
              <w:rPr>
                <w:rStyle w:val="Strong"/>
                <w:rFonts w:ascii="Times New Roman" w:hAnsi="Times New Roman"/>
                <w:noProof/>
              </w:rPr>
            </w:pPr>
            <w:r>
              <w:rPr>
                <w:rFonts w:ascii="Times New Roman" w:hAnsi="Times New Roman"/>
                <w:noProof/>
                <w:sz w:val="18"/>
              </w:rPr>
              <w:t>SDG 1.2.2.</w:t>
            </w:r>
          </w:p>
        </w:tc>
      </w:tr>
      <w:tr>
        <w:trPr>
          <w:gridAfter w:val="1"/>
          <w:wAfter w:w="6" w:type="dxa"/>
          <w:trHeight w:val="159"/>
        </w:trPr>
        <w:tc>
          <w:tcPr>
            <w:tcW w:w="7079"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pPr>
              <w:pStyle w:val="ListParagraph"/>
              <w:numPr>
                <w:ilvl w:val="0"/>
                <w:numId w:val="7"/>
              </w:numPr>
              <w:tabs>
                <w:tab w:val="left" w:pos="6060"/>
              </w:tabs>
              <w:rPr>
                <w:rStyle w:val="Strong"/>
                <w:rFonts w:eastAsiaTheme="minorEastAsia"/>
                <w:noProof/>
                <w:sz w:val="22"/>
                <w:szCs w:val="22"/>
              </w:rPr>
            </w:pPr>
            <w:r>
              <w:rPr>
                <w:rStyle w:val="Strong"/>
                <w:noProof/>
                <w:sz w:val="22"/>
                <w:szCs w:val="22"/>
              </w:rPr>
              <w:t>Súlyos anyagi nélkülözéstől szenvedő</w:t>
            </w:r>
            <w:r>
              <w:rPr>
                <w:rStyle w:val="FootnoteReference"/>
                <w:b/>
                <w:bCs/>
                <w:noProof/>
                <w:sz w:val="22"/>
                <w:szCs w:val="22"/>
              </w:rPr>
              <w:footnoteReference w:id="7"/>
            </w:r>
            <w:r>
              <w:rPr>
                <w:rStyle w:val="Strong"/>
                <w:noProof/>
                <w:sz w:val="22"/>
                <w:szCs w:val="22"/>
              </w:rPr>
              <w:t xml:space="preserve"> (9-ből 4 tételt, pl. élelmiszer, barátok meghívása stb. nem engedhet meg magának) háztartásban élő személyek aránya </w:t>
            </w:r>
          </w:p>
          <w:p>
            <w:pPr>
              <w:pStyle w:val="ListParagraph"/>
              <w:tabs>
                <w:tab w:val="left" w:pos="6060"/>
              </w:tabs>
              <w:rPr>
                <w:rStyle w:val="Strong"/>
                <w:rFonts w:eastAsiaTheme="minorEastAsia"/>
                <w:noProof/>
                <w:sz w:val="22"/>
                <w:szCs w:val="22"/>
              </w:rPr>
            </w:pPr>
            <w:r>
              <w:rPr>
                <w:rStyle w:val="Strong"/>
                <w:noProof/>
                <w:sz w:val="22"/>
                <w:szCs w:val="22"/>
              </w:rPr>
              <w:t xml:space="preserve">4.1.) Súlyos anyagi nélkülözésben élő 18 évesnél fiatalabb gyermekek </w:t>
            </w:r>
          </w:p>
        </w:tc>
        <w:tc>
          <w:tcPr>
            <w:tcW w:w="2266"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pPr>
              <w:tabs>
                <w:tab w:val="left" w:pos="6060"/>
              </w:tabs>
              <w:rPr>
                <w:rStyle w:val="Strong"/>
                <w:rFonts w:ascii="Times New Roman" w:hAnsi="Times New Roman" w:cs="Times New Roman"/>
                <w:noProof/>
                <w:sz w:val="18"/>
                <w:szCs w:val="18"/>
              </w:rPr>
            </w:pPr>
            <w:r>
              <w:rPr>
                <w:rStyle w:val="Strong"/>
                <w:rFonts w:ascii="Times New Roman" w:hAnsi="Times New Roman"/>
                <w:noProof/>
                <w:sz w:val="18"/>
                <w:szCs w:val="18"/>
              </w:rPr>
              <w:t xml:space="preserve">Eurostat </w:t>
            </w:r>
            <w:r>
              <w:rPr>
                <w:rStyle w:val="Strong"/>
                <w:rFonts w:ascii="Times New Roman" w:hAnsi="Times New Roman"/>
                <w:b w:val="0"/>
                <w:noProof/>
                <w:sz w:val="18"/>
                <w:szCs w:val="18"/>
              </w:rPr>
              <w:t>[ilc_mddd11]</w:t>
            </w:r>
          </w:p>
          <w:p>
            <w:pPr>
              <w:tabs>
                <w:tab w:val="left" w:pos="6060"/>
              </w:tabs>
              <w:rPr>
                <w:rStyle w:val="Strong"/>
                <w:rFonts w:ascii="Times New Roman" w:hAnsi="Times New Roman" w:cs="Times New Roman"/>
                <w:b w:val="0"/>
                <w:noProof/>
                <w:sz w:val="18"/>
                <w:szCs w:val="18"/>
              </w:rPr>
            </w:pPr>
            <w:r>
              <w:rPr>
                <w:rStyle w:val="Strong"/>
                <w:rFonts w:ascii="Times New Roman" w:hAnsi="Times New Roman"/>
                <w:b w:val="0"/>
                <w:noProof/>
                <w:sz w:val="18"/>
                <w:szCs w:val="18"/>
              </w:rPr>
              <w:t>SDG 1.</w:t>
            </w:r>
          </w:p>
          <w:p>
            <w:pPr>
              <w:tabs>
                <w:tab w:val="left" w:pos="6060"/>
              </w:tabs>
              <w:rPr>
                <w:rStyle w:val="Strong"/>
                <w:rFonts w:ascii="Times New Roman" w:hAnsi="Times New Roman" w:cs="Times New Roman"/>
                <w:noProof/>
                <w:sz w:val="18"/>
                <w:szCs w:val="18"/>
                <w:lang w:val="fr-BE"/>
              </w:rPr>
            </w:pPr>
          </w:p>
          <w:p>
            <w:pPr>
              <w:tabs>
                <w:tab w:val="left" w:pos="6060"/>
              </w:tabs>
              <w:rPr>
                <w:rStyle w:val="Strong"/>
                <w:rFonts w:ascii="Times New Roman" w:hAnsi="Times New Roman" w:cs="Times New Roman"/>
                <w:noProof/>
                <w:sz w:val="18"/>
                <w:szCs w:val="18"/>
              </w:rPr>
            </w:pPr>
            <w:r>
              <w:rPr>
                <w:rStyle w:val="Strong"/>
                <w:rFonts w:ascii="Times New Roman" w:hAnsi="Times New Roman"/>
                <w:noProof/>
                <w:sz w:val="18"/>
                <w:szCs w:val="18"/>
              </w:rPr>
              <w:t xml:space="preserve">Eurostat </w:t>
            </w:r>
            <w:r>
              <w:rPr>
                <w:rStyle w:val="Strong"/>
                <w:rFonts w:ascii="Times New Roman" w:hAnsi="Times New Roman"/>
                <w:b w:val="0"/>
                <w:noProof/>
                <w:sz w:val="18"/>
                <w:szCs w:val="18"/>
              </w:rPr>
              <w:t>[ilc_mddd11]</w:t>
            </w:r>
          </w:p>
          <w:p>
            <w:pPr>
              <w:tabs>
                <w:tab w:val="left" w:pos="6060"/>
              </w:tabs>
              <w:rPr>
                <w:rStyle w:val="Strong"/>
                <w:rFonts w:ascii="Times New Roman" w:hAnsi="Times New Roman"/>
                <w:b w:val="0"/>
                <w:noProof/>
                <w:sz w:val="18"/>
              </w:rPr>
            </w:pPr>
            <w:r>
              <w:rPr>
                <w:rStyle w:val="Strong"/>
                <w:rFonts w:ascii="Times New Roman" w:hAnsi="Times New Roman"/>
                <w:b w:val="0"/>
                <w:noProof/>
                <w:sz w:val="18"/>
              </w:rPr>
              <w:t>SDG 1.</w:t>
            </w:r>
          </w:p>
        </w:tc>
      </w:tr>
      <w:tr>
        <w:trPr>
          <w:gridAfter w:val="1"/>
          <w:wAfter w:w="6" w:type="dxa"/>
        </w:trPr>
        <w:tc>
          <w:tcPr>
            <w:tcW w:w="9345" w:type="dxa"/>
            <w:gridSpan w:val="2"/>
            <w:tcBorders>
              <w:top w:val="single" w:sz="4" w:space="0" w:color="auto"/>
              <w:left w:val="nil"/>
              <w:bottom w:val="single" w:sz="4" w:space="0" w:color="auto"/>
              <w:right w:val="nil"/>
            </w:tcBorders>
            <w:shd w:val="clear" w:color="auto" w:fill="auto"/>
          </w:tcPr>
          <w:p>
            <w:pPr>
              <w:spacing w:after="60"/>
              <w:jc w:val="center"/>
              <w:rPr>
                <w:rStyle w:val="Strong"/>
                <w:rFonts w:ascii="Times New Roman" w:hAnsi="Times New Roman"/>
                <w:noProof/>
                <w:lang w:val="en-GB"/>
              </w:rPr>
            </w:pPr>
          </w:p>
        </w:tc>
      </w:tr>
      <w:tr>
        <w:trPr>
          <w:gridAfter w:val="1"/>
          <w:wAfter w:w="6" w:type="dxa"/>
        </w:trPr>
        <w:tc>
          <w:tcPr>
            <w:tcW w:w="934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 xml:space="preserve">Eredménymutatók </w:t>
            </w:r>
          </w:p>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Másodlagos (fakultatív)</w:t>
            </w:r>
          </w:p>
        </w:tc>
      </w:tr>
      <w:tr>
        <w:trPr>
          <w:gridAfter w:val="1"/>
          <w:wAfter w:w="6" w:type="dxa"/>
        </w:trPr>
        <w:tc>
          <w:tcPr>
            <w:tcW w:w="707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Mutató</w:t>
            </w:r>
          </w:p>
        </w:tc>
        <w:tc>
          <w:tcPr>
            <w:tcW w:w="226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079" w:type="dxa"/>
            <w:shd w:val="clear" w:color="auto" w:fill="auto"/>
          </w:tcPr>
          <w:p>
            <w:pPr>
              <w:spacing w:after="60"/>
              <w:rPr>
                <w:rFonts w:ascii="Times New Roman" w:hAnsi="Times New Roman"/>
                <w:noProof/>
                <w:sz w:val="22"/>
                <w:szCs w:val="22"/>
              </w:rPr>
            </w:pPr>
            <w:r>
              <w:rPr>
                <w:rFonts w:ascii="Times New Roman" w:hAnsi="Times New Roman"/>
                <w:noProof/>
                <w:sz w:val="22"/>
                <w:szCs w:val="22"/>
              </w:rPr>
              <w:t>Olyan háztartásban élő személyek aránya, amelyek kétnaponta nem engedhetnek meg maguknak húst, csirkét, halat (vagy ezzel egyenértékű vegetáriánus) ételt</w:t>
            </w:r>
          </w:p>
        </w:tc>
        <w:tc>
          <w:tcPr>
            <w:tcW w:w="2272" w:type="dxa"/>
            <w:gridSpan w:val="2"/>
          </w:tcPr>
          <w:p>
            <w:pPr>
              <w:spacing w:after="60"/>
              <w:rPr>
                <w:rStyle w:val="Strong"/>
                <w:rFonts w:ascii="Times New Roman" w:hAnsi="Times New Roman"/>
                <w:noProof/>
                <w:sz w:val="18"/>
                <w:highlight w:val="yellow"/>
              </w:rPr>
            </w:pPr>
            <w:r>
              <w:rPr>
                <w:rStyle w:val="Strong"/>
                <w:rFonts w:ascii="Times New Roman" w:hAnsi="Times New Roman"/>
                <w:noProof/>
                <w:sz w:val="18"/>
              </w:rPr>
              <w:t>Eurostat</w:t>
            </w:r>
            <w:r>
              <w:rPr>
                <w:rFonts w:ascii="Times New Roman" w:hAnsi="Times New Roman"/>
                <w:noProof/>
                <w:sz w:val="18"/>
              </w:rPr>
              <w:t xml:space="preserve"> [ilc_mdes03]</w:t>
            </w:r>
          </w:p>
        </w:tc>
      </w:tr>
      <w:tr>
        <w:tc>
          <w:tcPr>
            <w:tcW w:w="7079" w:type="dxa"/>
            <w:shd w:val="clear" w:color="auto" w:fill="auto"/>
          </w:tcPr>
          <w:p>
            <w:pPr>
              <w:spacing w:after="60"/>
              <w:rPr>
                <w:rFonts w:ascii="Times New Roman" w:hAnsi="Times New Roman"/>
                <w:noProof/>
                <w:sz w:val="22"/>
                <w:szCs w:val="22"/>
              </w:rPr>
            </w:pPr>
            <w:r>
              <w:rPr>
                <w:rFonts w:ascii="Times New Roman" w:hAnsi="Times New Roman"/>
                <w:noProof/>
                <w:sz w:val="22"/>
                <w:szCs w:val="22"/>
              </w:rPr>
              <w:t xml:space="preserve">Olyan háztartásban élő személyek aránya, amelyben az elmúlt hónapban legalább egy személy éhesen feküdt le elegendő pénz vagy élelem miatt </w:t>
            </w:r>
          </w:p>
        </w:tc>
        <w:tc>
          <w:tcPr>
            <w:tcW w:w="2272" w:type="dxa"/>
            <w:gridSpan w:val="2"/>
          </w:tcPr>
          <w:p>
            <w:pPr>
              <w:spacing w:after="60"/>
              <w:rPr>
                <w:rFonts w:ascii="Times New Roman" w:hAnsi="Times New Roman"/>
                <w:noProof/>
                <w:sz w:val="18"/>
              </w:rPr>
            </w:pPr>
            <w:r>
              <w:rPr>
                <w:rFonts w:ascii="Times New Roman" w:hAnsi="Times New Roman"/>
                <w:noProof/>
                <w:sz w:val="18"/>
              </w:rPr>
              <w:t>n.a./FRS</w:t>
            </w:r>
          </w:p>
        </w:tc>
      </w:tr>
      <w:tr>
        <w:tc>
          <w:tcPr>
            <w:tcW w:w="7079" w:type="dxa"/>
            <w:shd w:val="clear" w:color="auto" w:fill="auto"/>
          </w:tcPr>
          <w:p>
            <w:pPr>
              <w:spacing w:after="60"/>
              <w:rPr>
                <w:rStyle w:val="Strong"/>
                <w:rFonts w:ascii="Times New Roman" w:hAnsi="Times New Roman"/>
                <w:b w:val="0"/>
                <w:noProof/>
                <w:sz w:val="22"/>
                <w:szCs w:val="22"/>
              </w:rPr>
            </w:pPr>
            <w:r>
              <w:rPr>
                <w:rFonts w:ascii="Times New Roman" w:hAnsi="Times New Roman"/>
                <w:noProof/>
                <w:sz w:val="22"/>
                <w:szCs w:val="22"/>
              </w:rPr>
              <w:t xml:space="preserve">Olyan háztartásban élő, 0–17 év közötti gyermekek aránya, amelyben az elmúlt hónapban legalább egy személy éhesen feküdt le elegendő pénz vagy élelem miatt </w:t>
            </w:r>
          </w:p>
        </w:tc>
        <w:tc>
          <w:tcPr>
            <w:tcW w:w="2272" w:type="dxa"/>
            <w:gridSpan w:val="2"/>
          </w:tcPr>
          <w:p>
            <w:pPr>
              <w:spacing w:after="60"/>
              <w:rPr>
                <w:rFonts w:ascii="Times New Roman" w:hAnsi="Times New Roman"/>
                <w:noProof/>
                <w:sz w:val="18"/>
              </w:rPr>
            </w:pPr>
            <w:r>
              <w:rPr>
                <w:rFonts w:ascii="Times New Roman" w:hAnsi="Times New Roman"/>
                <w:noProof/>
                <w:sz w:val="18"/>
              </w:rPr>
              <w:t>n.a./FRS</w:t>
            </w:r>
          </w:p>
        </w:tc>
      </w:tr>
      <w:tr>
        <w:tc>
          <w:tcPr>
            <w:tcW w:w="7079" w:type="dxa"/>
            <w:shd w:val="clear" w:color="auto" w:fill="auto"/>
          </w:tcPr>
          <w:p>
            <w:pPr>
              <w:spacing w:after="60"/>
              <w:rPr>
                <w:rStyle w:val="Strong"/>
                <w:rFonts w:ascii="Times New Roman" w:hAnsi="Times New Roman"/>
                <w:b w:val="0"/>
                <w:noProof/>
                <w:sz w:val="22"/>
                <w:szCs w:val="22"/>
              </w:rPr>
            </w:pPr>
            <w:r>
              <w:rPr>
                <w:rFonts w:ascii="Times New Roman" w:hAnsi="Times New Roman"/>
                <w:noProof/>
                <w:sz w:val="22"/>
                <w:szCs w:val="22"/>
              </w:rPr>
              <w:t>Olyan háztartásban elő személyek aránya, amelyek csak (nagy) nehézségek árán tudják kihúzni a hónap végéig</w:t>
            </w:r>
          </w:p>
        </w:tc>
        <w:tc>
          <w:tcPr>
            <w:tcW w:w="2272" w:type="dxa"/>
            <w:gridSpan w:val="2"/>
          </w:tcPr>
          <w:p>
            <w:pPr>
              <w:spacing w:after="60"/>
              <w:rPr>
                <w:rFonts w:ascii="Times New Roman" w:hAnsi="Times New Roman"/>
                <w:noProof/>
                <w:sz w:val="18"/>
              </w:rPr>
            </w:pPr>
            <w:r>
              <w:rPr>
                <w:rFonts w:ascii="Times New Roman" w:hAnsi="Times New Roman"/>
                <w:b/>
                <w:noProof/>
                <w:sz w:val="18"/>
              </w:rPr>
              <w:t>Eurostat</w:t>
            </w:r>
            <w:r>
              <w:rPr>
                <w:rFonts w:ascii="Times New Roman" w:hAnsi="Times New Roman"/>
                <w:noProof/>
                <w:sz w:val="18"/>
              </w:rPr>
              <w:t xml:space="preserve"> [</w:t>
            </w:r>
            <w:r>
              <w:rPr>
                <w:rFonts w:ascii="Times New Roman" w:hAnsi="Times New Roman"/>
                <w:noProof/>
                <w:color w:val="000000"/>
                <w:sz w:val="18"/>
                <w:shd w:val="clear" w:color="auto" w:fill="FCFCFC"/>
              </w:rPr>
              <w:t>ilc_mdes09]</w:t>
            </w:r>
          </w:p>
        </w:tc>
      </w:tr>
      <w:tr>
        <w:tc>
          <w:tcPr>
            <w:tcW w:w="7079" w:type="dxa"/>
            <w:shd w:val="clear" w:color="auto" w:fill="auto"/>
          </w:tcPr>
          <w:p>
            <w:pPr>
              <w:spacing w:after="60"/>
              <w:rPr>
                <w:rFonts w:ascii="Times New Roman" w:hAnsi="Times New Roman"/>
                <w:noProof/>
                <w:color w:val="FF0000"/>
                <w:sz w:val="22"/>
                <w:szCs w:val="22"/>
              </w:rPr>
            </w:pPr>
            <w:r>
              <w:rPr>
                <w:rFonts w:ascii="Times New Roman" w:hAnsi="Times New Roman"/>
                <w:noProof/>
                <w:sz w:val="22"/>
                <w:szCs w:val="22"/>
              </w:rPr>
              <w:t xml:space="preserve">Bankszámlával nem rendelkező személyek aránya </w:t>
            </w:r>
          </w:p>
        </w:tc>
        <w:tc>
          <w:tcPr>
            <w:tcW w:w="2272" w:type="dxa"/>
            <w:gridSpan w:val="2"/>
          </w:tcPr>
          <w:p>
            <w:pPr>
              <w:spacing w:after="60"/>
              <w:rPr>
                <w:rFonts w:ascii="Times New Roman" w:hAnsi="Times New Roman"/>
                <w:noProof/>
              </w:rPr>
            </w:pPr>
            <w:r>
              <w:rPr>
                <w:rFonts w:ascii="Times New Roman" w:hAnsi="Times New Roman"/>
                <w:noProof/>
                <w:sz w:val="18"/>
              </w:rPr>
              <w:t>n.a./FRS</w:t>
            </w:r>
          </w:p>
        </w:tc>
      </w:tr>
    </w:tbl>
    <w:p>
      <w:pPr>
        <w:spacing w:after="0" w:line="240" w:lineRule="auto"/>
        <w:rPr>
          <w:rFonts w:ascii="Times New Roman" w:hAnsi="Times New Roman" w:cs="Times New Roman"/>
          <w:noProof/>
        </w:rPr>
      </w:pPr>
    </w:p>
    <w:tbl>
      <w:tblPr>
        <w:tblStyle w:val="TableGrid"/>
        <w:tblW w:w="9345" w:type="dxa"/>
        <w:tblInd w:w="0" w:type="dxa"/>
        <w:tblLayout w:type="fixed"/>
        <w:tblLook w:val="04A0" w:firstRow="1" w:lastRow="0" w:firstColumn="1" w:lastColumn="0" w:noHBand="0" w:noVBand="1"/>
      </w:tblPr>
      <w:tblGrid>
        <w:gridCol w:w="9345"/>
      </w:tblGrid>
      <w:tr>
        <w:tc>
          <w:tcPr>
            <w:tcW w:w="9345" w:type="dxa"/>
            <w:tcBorders>
              <w:top w:val="single" w:sz="4" w:space="0" w:color="auto"/>
              <w:left w:val="single" w:sz="4" w:space="0" w:color="auto"/>
              <w:bottom w:val="single" w:sz="4" w:space="0" w:color="auto"/>
              <w:right w:val="single" w:sz="4" w:space="0" w:color="auto"/>
            </w:tcBorders>
            <w:shd w:val="clear" w:color="auto" w:fill="E0E0E0"/>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 xml:space="preserve">A 2b. horizontális célkitűzés folyamatmutatói: A szegénység és a társadalmi kirekesztés csökkentése </w:t>
            </w:r>
          </w:p>
        </w:tc>
      </w:tr>
      <w:tr>
        <w:tc>
          <w:tcPr>
            <w:tcW w:w="9345" w:type="dxa"/>
            <w:tcBorders>
              <w:top w:val="single" w:sz="4" w:space="0" w:color="auto"/>
              <w:left w:val="single" w:sz="4" w:space="0" w:color="auto"/>
              <w:bottom w:val="single" w:sz="4" w:space="0" w:color="auto"/>
              <w:right w:val="single" w:sz="4" w:space="0" w:color="auto"/>
            </w:tcBorders>
            <w:shd w:val="clear" w:color="auto" w:fill="FFFFFF" w:themeFill="background1"/>
          </w:tcPr>
          <w:p>
            <w:pPr>
              <w:pBdr>
                <w:top w:val="single" w:sz="4" w:space="1" w:color="auto"/>
                <w:left w:val="single" w:sz="4" w:space="4" w:color="auto"/>
                <w:bottom w:val="single" w:sz="4" w:space="1" w:color="auto"/>
                <w:right w:val="single" w:sz="4" w:space="4" w:color="auto"/>
                <w:between w:val="single" w:sz="4" w:space="1" w:color="auto"/>
                <w:bar w:val="single" w:sz="4" w:color="auto"/>
              </w:pBdr>
              <w:spacing w:after="60"/>
              <w:rPr>
                <w:rFonts w:ascii="Times New Roman" w:hAnsi="Times New Roman"/>
                <w:noProof/>
                <w:sz w:val="22"/>
                <w:szCs w:val="22"/>
              </w:rPr>
            </w:pPr>
            <w:r>
              <w:rPr>
                <w:rFonts w:ascii="Times New Roman" w:hAnsi="Times New Roman"/>
                <w:b/>
                <w:noProof/>
                <w:sz w:val="22"/>
                <w:szCs w:val="22"/>
              </w:rPr>
              <w:t>Mutató – A. dimenzió – Intézményi felépítés</w:t>
            </w:r>
            <w:r>
              <w:rPr>
                <w:rFonts w:ascii="Times New Roman" w:hAnsi="Times New Roman"/>
                <w:noProof/>
                <w:sz w:val="22"/>
                <w:szCs w:val="22"/>
              </w:rPr>
              <w:t xml:space="preserve"> </w:t>
            </w:r>
          </w:p>
          <w:p>
            <w:pPr>
              <w:pStyle w:val="ListParagraph"/>
              <w:numPr>
                <w:ilvl w:val="0"/>
                <w:numId w:val="4"/>
              </w:numPr>
              <w:tabs>
                <w:tab w:val="left" w:pos="1020"/>
              </w:tabs>
              <w:spacing w:after="60"/>
              <w:rPr>
                <w:noProof/>
                <w:sz w:val="22"/>
                <w:szCs w:val="22"/>
              </w:rPr>
            </w:pPr>
            <w:r>
              <w:rPr>
                <w:noProof/>
                <w:sz w:val="22"/>
                <w:szCs w:val="22"/>
              </w:rPr>
              <w:t>a nemzeti romastratégiai keretek vagy a kapcsolódó szakpolitikai dokumentumok kifejezetten tartalmaznak a romákat érintő szegénység és társadalmi kirekesztés csökkentését célzó, mutatókat és célokat tartalmazó, kifejezetten a gyermekszegénységre összpontosító intézkedéseket;</w:t>
            </w:r>
          </w:p>
          <w:p>
            <w:pPr>
              <w:pStyle w:val="ListParagraph"/>
              <w:numPr>
                <w:ilvl w:val="0"/>
                <w:numId w:val="4"/>
              </w:numPr>
              <w:tabs>
                <w:tab w:val="left" w:pos="1020"/>
              </w:tabs>
              <w:spacing w:after="60"/>
              <w:rPr>
                <w:noProof/>
                <w:sz w:val="22"/>
                <w:szCs w:val="22"/>
              </w:rPr>
            </w:pPr>
            <w:r>
              <w:rPr>
                <w:noProof/>
                <w:sz w:val="22"/>
                <w:szCs w:val="22"/>
              </w:rPr>
              <w:t>a szociális védelemre és ellátásra vonatkozó végrehajtási iránymutatások hátrányos megkülönböztetést tiltó rendelkezéseket tartalmaznak a romák egyenlő hozzáférésének biztosítása érdekében;</w:t>
            </w:r>
          </w:p>
          <w:p>
            <w:pPr>
              <w:pStyle w:val="ListParagraph"/>
              <w:numPr>
                <w:ilvl w:val="0"/>
                <w:numId w:val="4"/>
              </w:numPr>
              <w:tabs>
                <w:tab w:val="left" w:pos="1020"/>
              </w:tabs>
              <w:spacing w:after="60"/>
              <w:rPr>
                <w:noProof/>
                <w:sz w:val="22"/>
                <w:szCs w:val="22"/>
              </w:rPr>
            </w:pPr>
            <w:r>
              <w:rPr>
                <w:noProof/>
                <w:sz w:val="22"/>
                <w:szCs w:val="22"/>
              </w:rPr>
              <w:t>létezik olyan mechanizmus, amely biztosítja a bankszámlanyitás lehetőségét;</w:t>
            </w:r>
          </w:p>
          <w:p>
            <w:pPr>
              <w:pStyle w:val="ListParagraph"/>
              <w:numPr>
                <w:ilvl w:val="0"/>
                <w:numId w:val="4"/>
              </w:numPr>
              <w:tabs>
                <w:tab w:val="left" w:pos="1020"/>
              </w:tabs>
              <w:spacing w:after="60"/>
              <w:rPr>
                <w:noProof/>
                <w:sz w:val="22"/>
                <w:szCs w:val="22"/>
              </w:rPr>
            </w:pPr>
            <w:r>
              <w:rPr>
                <w:noProof/>
                <w:sz w:val="22"/>
                <w:szCs w:val="22"/>
              </w:rPr>
              <w:t>rendelkezésre állnak az alacsony jövedelmű háztartások által felvehető mikrohitelekhez nyújtott bankgaranciák.</w:t>
            </w:r>
          </w:p>
          <w:p>
            <w:pPr>
              <w:pBdr>
                <w:top w:val="single" w:sz="4" w:space="1" w:color="auto"/>
                <w:left w:val="single" w:sz="4" w:space="4" w:color="auto"/>
                <w:bottom w:val="single" w:sz="4" w:space="1" w:color="auto"/>
                <w:right w:val="single" w:sz="4" w:space="4" w:color="auto"/>
                <w:between w:val="single" w:sz="4" w:space="1" w:color="auto"/>
                <w:bar w:val="single" w:sz="4" w:color="auto"/>
              </w:pBdr>
              <w:spacing w:after="60"/>
              <w:rPr>
                <w:rFonts w:ascii="Times New Roman" w:hAnsi="Times New Roman"/>
                <w:noProof/>
                <w:sz w:val="22"/>
                <w:szCs w:val="22"/>
              </w:rPr>
            </w:pPr>
            <w:r>
              <w:rPr>
                <w:rFonts w:ascii="Times New Roman" w:hAnsi="Times New Roman"/>
                <w:b/>
                <w:noProof/>
                <w:sz w:val="22"/>
                <w:szCs w:val="22"/>
              </w:rPr>
              <w:t>Mutató – B. dimenzió – Konkrét intézkedések és fellépések</w:t>
            </w:r>
          </w:p>
          <w:p>
            <w:pPr>
              <w:pStyle w:val="ListParagraph"/>
              <w:numPr>
                <w:ilvl w:val="0"/>
                <w:numId w:val="4"/>
              </w:numPr>
              <w:tabs>
                <w:tab w:val="left" w:pos="1020"/>
              </w:tabs>
              <w:spacing w:after="60"/>
              <w:rPr>
                <w:noProof/>
                <w:sz w:val="22"/>
                <w:szCs w:val="22"/>
              </w:rPr>
            </w:pPr>
            <w:r>
              <w:rPr>
                <w:noProof/>
                <w:sz w:val="22"/>
                <w:szCs w:val="22"/>
              </w:rPr>
              <w:t>léteznek iskolás gyermekeknek szóló élelmiszer- és táplálkozási programok;</w:t>
            </w:r>
          </w:p>
          <w:p>
            <w:pPr>
              <w:pStyle w:val="ListParagraph"/>
              <w:numPr>
                <w:ilvl w:val="0"/>
                <w:numId w:val="4"/>
              </w:numPr>
              <w:tabs>
                <w:tab w:val="left" w:pos="1020"/>
              </w:tabs>
              <w:spacing w:after="60"/>
              <w:rPr>
                <w:noProof/>
                <w:sz w:val="22"/>
                <w:szCs w:val="22"/>
              </w:rPr>
            </w:pPr>
            <w:r>
              <w:rPr>
                <w:noProof/>
                <w:sz w:val="22"/>
                <w:szCs w:val="22"/>
              </w:rPr>
              <w:t>a hátrányos megkülönböztetés leküzdésével és a cigányellenességgel kapcsolatos, célzott képzéseket szerveznek a szociális szolgálatok személyzete számára;</w:t>
            </w:r>
          </w:p>
          <w:p>
            <w:pPr>
              <w:pStyle w:val="ListParagraph"/>
              <w:numPr>
                <w:ilvl w:val="0"/>
                <w:numId w:val="4"/>
              </w:numPr>
              <w:tabs>
                <w:tab w:val="left" w:pos="1020"/>
              </w:tabs>
              <w:spacing w:after="60"/>
              <w:rPr>
                <w:noProof/>
                <w:sz w:val="22"/>
                <w:szCs w:val="22"/>
              </w:rPr>
            </w:pPr>
            <w:r>
              <w:rPr>
                <w:noProof/>
                <w:sz w:val="22"/>
                <w:szCs w:val="22"/>
              </w:rPr>
              <w:t>egyedi nemzeti intézkedéseket hajtottak végre a generációk közötti szegénység és a roma gyermekek és családjaik oktatás, lakhatás, egészségügyi ellátás és a szegénység csökkentése tekintetében történő támogatása szükségességének figyelembevétele érdekében;</w:t>
            </w:r>
          </w:p>
          <w:p>
            <w:pPr>
              <w:pStyle w:val="ListParagraph"/>
              <w:numPr>
                <w:ilvl w:val="0"/>
                <w:numId w:val="4"/>
              </w:numPr>
              <w:tabs>
                <w:tab w:val="left" w:pos="1020"/>
              </w:tabs>
              <w:spacing w:after="60"/>
              <w:rPr>
                <w:rFonts w:eastAsiaTheme="minorEastAsia"/>
                <w:noProof/>
                <w:sz w:val="22"/>
                <w:szCs w:val="22"/>
              </w:rPr>
            </w:pPr>
            <w:r>
              <w:rPr>
                <w:noProof/>
                <w:sz w:val="22"/>
                <w:szCs w:val="22"/>
              </w:rPr>
              <w:t>rendelkezésre állnak a pénzügyi tájékozottsággal és a pénzügyi kirekesztés felszámolásának támogatásával kapcsolatos képzések.</w:t>
            </w:r>
          </w:p>
          <w:p>
            <w:pPr>
              <w:pBdr>
                <w:top w:val="single" w:sz="4" w:space="1" w:color="auto"/>
                <w:left w:val="single" w:sz="4" w:space="4" w:color="auto"/>
                <w:bottom w:val="single" w:sz="4" w:space="1" w:color="auto"/>
                <w:right w:val="single" w:sz="4" w:space="4" w:color="auto"/>
                <w:between w:val="single" w:sz="4" w:space="1" w:color="auto"/>
                <w:bar w:val="single" w:sz="4" w:color="auto"/>
              </w:pBdr>
              <w:spacing w:after="60"/>
              <w:rPr>
                <w:rFonts w:ascii="Times New Roman" w:hAnsi="Times New Roman"/>
                <w:noProof/>
                <w:sz w:val="22"/>
                <w:szCs w:val="22"/>
              </w:rPr>
            </w:pPr>
            <w:r>
              <w:rPr>
                <w:rFonts w:ascii="Times New Roman" w:hAnsi="Times New Roman"/>
                <w:b/>
                <w:noProof/>
                <w:sz w:val="22"/>
                <w:szCs w:val="22"/>
              </w:rPr>
              <w:t>Mutató – C. dimenzió – A döntéshozatali eljárások minősége</w:t>
            </w:r>
            <w:r>
              <w:rPr>
                <w:rFonts w:ascii="Times New Roman" w:hAnsi="Times New Roman"/>
                <w:noProof/>
                <w:sz w:val="22"/>
                <w:szCs w:val="22"/>
              </w:rPr>
              <w:t xml:space="preserve"> </w:t>
            </w:r>
          </w:p>
          <w:p>
            <w:pPr>
              <w:pStyle w:val="ListParagraph"/>
              <w:numPr>
                <w:ilvl w:val="0"/>
                <w:numId w:val="4"/>
              </w:numPr>
              <w:tabs>
                <w:tab w:val="left" w:pos="1020"/>
              </w:tabs>
              <w:spacing w:after="60"/>
              <w:rPr>
                <w:rFonts w:eastAsiaTheme="minorEastAsia"/>
                <w:noProof/>
                <w:sz w:val="22"/>
                <w:szCs w:val="22"/>
              </w:rPr>
            </w:pPr>
            <w:r>
              <w:rPr>
                <w:noProof/>
                <w:sz w:val="22"/>
                <w:szCs w:val="22"/>
              </w:rPr>
              <w:t>léteznek olyan intézkedések, amelyek biztosítják a romák részvételét a társadalmi befogadással/szegénységcsökkentéssel kapcsolatos szakpolitikai válaszok kidolgozásában;</w:t>
            </w:r>
          </w:p>
          <w:p>
            <w:pPr>
              <w:pStyle w:val="ListParagraph"/>
              <w:numPr>
                <w:ilvl w:val="0"/>
                <w:numId w:val="4"/>
              </w:numPr>
              <w:spacing w:after="60"/>
              <w:rPr>
                <w:rFonts w:eastAsiaTheme="minorEastAsia"/>
                <w:noProof/>
                <w:sz w:val="22"/>
                <w:szCs w:val="22"/>
              </w:rPr>
            </w:pPr>
            <w:r>
              <w:rPr>
                <w:noProof/>
                <w:sz w:val="22"/>
                <w:szCs w:val="22"/>
              </w:rPr>
              <w:t>a szegénységcsökkentés és a társadalmi befogadás terén meglévő (különösen a marginalizálódás nagy kockázatának kitett romákra irányuló) egyedi intézkedéseket a roma civil szervezetekkel partnerségben dolgozzák ki;</w:t>
            </w:r>
          </w:p>
          <w:p>
            <w:pPr>
              <w:pStyle w:val="ListParagraph"/>
              <w:numPr>
                <w:ilvl w:val="0"/>
                <w:numId w:val="4"/>
              </w:numPr>
              <w:spacing w:after="60"/>
              <w:rPr>
                <w:rFonts w:eastAsiaTheme="minorEastAsia"/>
                <w:noProof/>
                <w:sz w:val="22"/>
                <w:szCs w:val="22"/>
              </w:rPr>
            </w:pPr>
            <w:r>
              <w:rPr>
                <w:noProof/>
                <w:sz w:val="22"/>
                <w:szCs w:val="22"/>
              </w:rPr>
              <w:t>a szegénységcsökkentés és a társadalmi befogadás terén meglévő (különösen a marginalizálódás nagy kockázatának kitett romákra irányuló) beavatkozásokat a roma civil szervezetekkel partnerségben hajtják végre;</w:t>
            </w:r>
          </w:p>
          <w:p>
            <w:pPr>
              <w:pStyle w:val="ListParagraph"/>
              <w:numPr>
                <w:ilvl w:val="0"/>
                <w:numId w:val="4"/>
              </w:numPr>
              <w:spacing w:after="60"/>
              <w:rPr>
                <w:rFonts w:eastAsiaTheme="minorEastAsia"/>
                <w:noProof/>
                <w:sz w:val="22"/>
                <w:szCs w:val="22"/>
              </w:rPr>
            </w:pPr>
            <w:r>
              <w:rPr>
                <w:noProof/>
                <w:sz w:val="22"/>
                <w:szCs w:val="22"/>
              </w:rPr>
              <w:t>a roma civil szervezetek részt vesznek az uniós pénzeszközök operatív programjainak monitoringbizottságaiban, amelyek keretében a szegénység és a társadalmi kirekesztés csökkentését célzó (különösen a marginalizálódás nagy kockázatának kitett romákat célzó) egyedi intézkedéseket végrehajtják;</w:t>
            </w:r>
          </w:p>
          <w:p>
            <w:pPr>
              <w:pStyle w:val="ListParagraph"/>
              <w:numPr>
                <w:ilvl w:val="0"/>
                <w:numId w:val="4"/>
              </w:numPr>
              <w:spacing w:after="60"/>
              <w:rPr>
                <w:noProof/>
                <w:sz w:val="22"/>
                <w:szCs w:val="22"/>
              </w:rPr>
            </w:pPr>
            <w:r>
              <w:rPr>
                <w:noProof/>
                <w:sz w:val="22"/>
                <w:szCs w:val="22"/>
              </w:rPr>
              <w:t>a roma civil szervezetek részt vesznek a szegénység és a társadalmi kirekesztés csökkentését célzó (különösen a marginalizálódás nagy kockázatának kitett romákra irányuló) egyedi intézkedések eredményeinek nyomon követésében;</w:t>
            </w:r>
          </w:p>
          <w:p>
            <w:pPr>
              <w:pStyle w:val="ListParagraph"/>
              <w:numPr>
                <w:ilvl w:val="0"/>
                <w:numId w:val="4"/>
              </w:numPr>
              <w:spacing w:after="60"/>
              <w:rPr>
                <w:rStyle w:val="Strong"/>
                <w:b w:val="0"/>
                <w:bCs w:val="0"/>
                <w:noProof/>
                <w:sz w:val="22"/>
                <w:szCs w:val="22"/>
              </w:rPr>
            </w:pPr>
            <w:r>
              <w:rPr>
                <w:noProof/>
                <w:sz w:val="22"/>
                <w:szCs w:val="22"/>
              </w:rPr>
              <w:t>az állami intézmények és a (központi és helyi) közigazgatási szervek a társadalmi befogadással/szegénységcsökkentéssel kapcsolatos döntéshozatali eljárásaik során figyelembe veszik a roma civil szervezetektől, a vállalkozásoktól és az ipartól, a tudományos világtól és a kutatástól érkező inputokat.</w:t>
            </w:r>
          </w:p>
        </w:tc>
      </w:tr>
    </w:tbl>
    <w:p>
      <w:pPr>
        <w:spacing w:line="240" w:lineRule="auto"/>
        <w:rPr>
          <w:rFonts w:ascii="Times New Roman" w:hAnsi="Times New Roman" w:cs="Times New Roman"/>
          <w:noProof/>
        </w:rPr>
      </w:pPr>
    </w:p>
    <w:p>
      <w:pPr>
        <w:rPr>
          <w:rFonts w:ascii="Times New Roman" w:hAnsi="Times New Roman" w:cs="Times New Roman"/>
          <w:noProof/>
        </w:rPr>
      </w:pPr>
      <w:r>
        <w:rPr>
          <w:noProof/>
        </w:rPr>
        <w:br w:type="page"/>
      </w:r>
    </w:p>
    <w:p>
      <w:pPr>
        <w:pStyle w:val="Heading2"/>
        <w:spacing w:after="120"/>
        <w:rPr>
          <w:rFonts w:ascii="Times New Roman" w:eastAsia="Times New Roman" w:hAnsi="Times New Roman" w:cs="Times New Roman"/>
          <w:b/>
          <w:noProof/>
          <w:color w:val="auto"/>
          <w:sz w:val="24"/>
          <w:szCs w:val="20"/>
        </w:rPr>
      </w:pPr>
      <w:bookmarkStart w:id="46" w:name="_Toc44090794"/>
      <w:r>
        <w:rPr>
          <w:rFonts w:ascii="Times New Roman" w:hAnsi="Times New Roman"/>
          <w:b/>
          <w:noProof/>
          <w:color w:val="auto"/>
          <w:sz w:val="24"/>
          <w:szCs w:val="20"/>
        </w:rPr>
        <w:t>3. célkitűzés: A részvétel előmozdítása a társadalmi szerepvállalás lehetővé tétele, valamint az együttműködés és a közintézményekbe vetett bizalom javítása révén</w:t>
      </w:r>
      <w:bookmarkEnd w:id="40"/>
      <w:bookmarkEnd w:id="41"/>
      <w:bookmarkEnd w:id="42"/>
      <w:bookmarkEnd w:id="43"/>
      <w:bookmarkEnd w:id="44"/>
      <w:bookmarkEnd w:id="45"/>
      <w:bookmarkEnd w:id="46"/>
    </w:p>
    <w:tbl>
      <w:tblPr>
        <w:tblStyle w:val="TableGrid"/>
        <w:tblW w:w="9345" w:type="dxa"/>
        <w:tblInd w:w="0" w:type="dxa"/>
        <w:tblLayout w:type="fixed"/>
        <w:tblLook w:val="04A0" w:firstRow="1" w:lastRow="0" w:firstColumn="1" w:lastColumn="0" w:noHBand="0" w:noVBand="1"/>
      </w:tblPr>
      <w:tblGrid>
        <w:gridCol w:w="7220"/>
        <w:gridCol w:w="2125"/>
      </w:tblGrid>
      <w:tr>
        <w:tc>
          <w:tcPr>
            <w:tcW w:w="722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pPr>
              <w:rPr>
                <w:rStyle w:val="Strong"/>
                <w:rFonts w:ascii="Times New Roman" w:hAnsi="Times New Roman"/>
                <w:noProof/>
                <w:sz w:val="22"/>
                <w:szCs w:val="22"/>
              </w:rPr>
            </w:pPr>
            <w:r>
              <w:rPr>
                <w:rStyle w:val="Strong"/>
                <w:rFonts w:ascii="Times New Roman" w:hAnsi="Times New Roman"/>
                <w:noProof/>
                <w:sz w:val="22"/>
                <w:szCs w:val="22"/>
              </w:rPr>
              <w:t xml:space="preserve">Kiemelt mutató: </w:t>
            </w:r>
          </w:p>
        </w:tc>
        <w:tc>
          <w:tcPr>
            <w:tcW w:w="212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pPr>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22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pPr>
              <w:pStyle w:val="ListParagraph"/>
              <w:numPr>
                <w:ilvl w:val="0"/>
                <w:numId w:val="7"/>
              </w:numPr>
              <w:rPr>
                <w:rStyle w:val="Strong"/>
                <w:rFonts w:eastAsiaTheme="minorEastAsia"/>
                <w:noProof/>
                <w:sz w:val="22"/>
                <w:szCs w:val="22"/>
              </w:rPr>
            </w:pPr>
            <w:r>
              <w:rPr>
                <w:rStyle w:val="Strong"/>
                <w:noProof/>
                <w:sz w:val="22"/>
                <w:szCs w:val="22"/>
              </w:rPr>
              <w:t>Azon személyek aránya, akik az elmúlt 12 hónapban úgy érezték, hogy roma voltuk miatt (bármely területen) hátrányosan megkülönböztették őket, és jelentették a legutóbbi hátrányos megkülönböztetési esetet</w:t>
            </w:r>
          </w:p>
        </w:tc>
        <w:tc>
          <w:tcPr>
            <w:tcW w:w="212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pPr>
              <w:rPr>
                <w:rFonts w:ascii="Times New Roman" w:hAnsi="Times New Roman"/>
                <w:noProof/>
                <w:sz w:val="18"/>
              </w:rPr>
            </w:pPr>
            <w:r>
              <w:rPr>
                <w:rStyle w:val="Strong"/>
                <w:rFonts w:ascii="Times New Roman" w:hAnsi="Times New Roman"/>
                <w:b w:val="0"/>
                <w:noProof/>
                <w:sz w:val="18"/>
              </w:rPr>
              <w:t>n.a.</w:t>
            </w:r>
            <w:r>
              <w:rPr>
                <w:rFonts w:ascii="Times New Roman" w:hAnsi="Times New Roman"/>
                <w:noProof/>
                <w:sz w:val="18"/>
              </w:rPr>
              <w:t>/potenciálisan FRS</w:t>
            </w:r>
          </w:p>
          <w:p>
            <w:pPr>
              <w:rPr>
                <w:rStyle w:val="Strong"/>
                <w:rFonts w:ascii="Times New Roman" w:hAnsi="Times New Roman"/>
                <w:b w:val="0"/>
                <w:noProof/>
                <w:lang w:val="en-GB"/>
              </w:rPr>
            </w:pPr>
          </w:p>
        </w:tc>
      </w:tr>
      <w:tr>
        <w:tc>
          <w:tcPr>
            <w:tcW w:w="722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pPr>
              <w:pStyle w:val="ListParagraph"/>
              <w:numPr>
                <w:ilvl w:val="0"/>
                <w:numId w:val="7"/>
              </w:numPr>
              <w:rPr>
                <w:rStyle w:val="Strong"/>
                <w:rFonts w:eastAsiaTheme="minorEastAsia"/>
                <w:noProof/>
                <w:sz w:val="22"/>
                <w:szCs w:val="22"/>
              </w:rPr>
            </w:pPr>
            <w:r>
              <w:rPr>
                <w:rStyle w:val="Strong"/>
                <w:noProof/>
                <w:sz w:val="22"/>
                <w:szCs w:val="22"/>
              </w:rPr>
              <w:t>Az aktív polgári szerepvállalásra és a részvételre vonatkozó mutató – KIDOLGOZANDÓ</w:t>
            </w:r>
          </w:p>
        </w:tc>
        <w:tc>
          <w:tcPr>
            <w:tcW w:w="212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pPr>
              <w:rPr>
                <w:rStyle w:val="Strong"/>
                <w:rFonts w:ascii="Times New Roman" w:hAnsi="Times New Roman"/>
                <w:noProof/>
              </w:rPr>
            </w:pPr>
            <w:r>
              <w:rPr>
                <w:rFonts w:ascii="Times New Roman" w:hAnsi="Times New Roman"/>
                <w:noProof/>
                <w:sz w:val="18"/>
              </w:rPr>
              <w:t>potenciálisan FRS</w:t>
            </w:r>
          </w:p>
        </w:tc>
      </w:tr>
      <w:tr>
        <w:tc>
          <w:tcPr>
            <w:tcW w:w="9345" w:type="dxa"/>
            <w:gridSpan w:val="2"/>
            <w:tcBorders>
              <w:top w:val="single" w:sz="4" w:space="0" w:color="auto"/>
              <w:left w:val="nil"/>
              <w:bottom w:val="single" w:sz="4" w:space="0" w:color="auto"/>
              <w:right w:val="nil"/>
            </w:tcBorders>
            <w:shd w:val="clear" w:color="auto" w:fill="FFFFFF" w:themeFill="background1"/>
          </w:tcPr>
          <w:p>
            <w:pPr>
              <w:tabs>
                <w:tab w:val="left" w:pos="1440"/>
              </w:tabs>
              <w:jc w:val="center"/>
              <w:rPr>
                <w:rStyle w:val="Strong"/>
                <w:rFonts w:ascii="Times New Roman" w:hAnsi="Times New Roman"/>
                <w:noProof/>
                <w:lang w:val="en-GB"/>
              </w:rPr>
            </w:pP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pPr>
              <w:tabs>
                <w:tab w:val="left" w:pos="1440"/>
              </w:tabs>
              <w:jc w:val="center"/>
              <w:rPr>
                <w:rStyle w:val="Strong"/>
                <w:rFonts w:ascii="Times New Roman" w:hAnsi="Times New Roman"/>
                <w:noProof/>
                <w:sz w:val="22"/>
                <w:szCs w:val="22"/>
              </w:rPr>
            </w:pPr>
            <w:r>
              <w:rPr>
                <w:rStyle w:val="Strong"/>
                <w:rFonts w:ascii="Times New Roman" w:hAnsi="Times New Roman"/>
                <w:noProof/>
                <w:sz w:val="22"/>
                <w:szCs w:val="22"/>
              </w:rPr>
              <w:t>Eredménymutatók</w:t>
            </w:r>
          </w:p>
          <w:p>
            <w:pPr>
              <w:tabs>
                <w:tab w:val="left" w:pos="1440"/>
              </w:tabs>
              <w:jc w:val="center"/>
              <w:rPr>
                <w:rStyle w:val="Strong"/>
                <w:rFonts w:ascii="Times New Roman" w:hAnsi="Times New Roman"/>
                <w:noProof/>
                <w:sz w:val="22"/>
                <w:szCs w:val="22"/>
              </w:rPr>
            </w:pPr>
            <w:r>
              <w:rPr>
                <w:rStyle w:val="Strong"/>
                <w:rFonts w:ascii="Times New Roman" w:hAnsi="Times New Roman"/>
                <w:noProof/>
                <w:sz w:val="22"/>
                <w:szCs w:val="22"/>
              </w:rPr>
              <w:t>Másodlagos (fakultatív)</w:t>
            </w:r>
          </w:p>
        </w:tc>
      </w:tr>
      <w:tr>
        <w:tc>
          <w:tcPr>
            <w:tcW w:w="722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pPr>
              <w:rPr>
                <w:rStyle w:val="Strong"/>
                <w:rFonts w:ascii="Times New Roman" w:hAnsi="Times New Roman"/>
                <w:noProof/>
                <w:sz w:val="22"/>
                <w:szCs w:val="22"/>
              </w:rPr>
            </w:pPr>
            <w:r>
              <w:rPr>
                <w:rStyle w:val="Strong"/>
                <w:rFonts w:ascii="Times New Roman" w:hAnsi="Times New Roman"/>
                <w:noProof/>
                <w:sz w:val="22"/>
                <w:szCs w:val="22"/>
              </w:rPr>
              <w:t>Mutató</w:t>
            </w:r>
          </w:p>
        </w:tc>
        <w:tc>
          <w:tcPr>
            <w:tcW w:w="212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pPr>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220"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Azon 16 évesnél idősebb személyek aránya, akik NEM jelentették a roma voltuk miatt elszenvedett legutóbbi zaklatási cselekményt (a zaklatást tapasztaló összes személyhez képest)</w:t>
            </w:r>
          </w:p>
        </w:tc>
        <w:tc>
          <w:tcPr>
            <w:tcW w:w="2125"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noProof/>
                <w:sz w:val="18"/>
              </w:rPr>
              <w:t>n.a./potenciálisan FRS</w:t>
            </w:r>
          </w:p>
        </w:tc>
      </w:tr>
      <w:tr>
        <w:tc>
          <w:tcPr>
            <w:tcW w:w="7220"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 xml:space="preserve">Azon 16 évesnél idősebb személyek aránya, akik NEM jelentették a roma voltuk miatt elszenvedett legutóbbi fizikai támadást </w:t>
            </w:r>
          </w:p>
        </w:tc>
        <w:tc>
          <w:tcPr>
            <w:tcW w:w="2125"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noProof/>
                <w:sz w:val="18"/>
              </w:rPr>
              <w:t>n.a./potenciálisan FRS</w:t>
            </w:r>
          </w:p>
          <w:p>
            <w:pPr>
              <w:spacing w:after="60"/>
              <w:rPr>
                <w:rFonts w:ascii="Times New Roman" w:hAnsi="Times New Roman"/>
                <w:noProof/>
                <w:sz w:val="18"/>
              </w:rPr>
            </w:pPr>
            <w:r>
              <w:rPr>
                <w:rFonts w:ascii="Times New Roman" w:hAnsi="Times New Roman"/>
                <w:noProof/>
                <w:sz w:val="18"/>
              </w:rPr>
              <w:t>SDG 16.3.1.</w:t>
            </w:r>
          </w:p>
        </w:tc>
      </w:tr>
      <w:tr>
        <w:tc>
          <w:tcPr>
            <w:tcW w:w="7220"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Azon 16 évesnél idősebb személyek aránya, akik hallottak legalább egy egyenlőséggel foglalkozó szervről, nemzeti emberi jogi intézményről vagy ombudsmani hivatalról</w:t>
            </w:r>
          </w:p>
        </w:tc>
        <w:tc>
          <w:tcPr>
            <w:tcW w:w="2125"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noProof/>
                <w:sz w:val="18"/>
              </w:rPr>
              <w:t>Potenciálisan FRS</w:t>
            </w:r>
          </w:p>
        </w:tc>
      </w:tr>
      <w:tr>
        <w:tc>
          <w:tcPr>
            <w:tcW w:w="7220"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Azon 16 évesnél idősebb személyek aránya, akik bíznak a rendőrségben</w:t>
            </w:r>
          </w:p>
        </w:tc>
        <w:tc>
          <w:tcPr>
            <w:tcW w:w="2125"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b/>
                <w:noProof/>
                <w:sz w:val="18"/>
              </w:rPr>
              <w:t>Eurostat</w:t>
            </w:r>
            <w:r>
              <w:rPr>
                <w:rFonts w:ascii="Times New Roman" w:hAnsi="Times New Roman"/>
                <w:noProof/>
                <w:sz w:val="18"/>
              </w:rPr>
              <w:t xml:space="preserve"> [Ilc_pw03]</w:t>
            </w:r>
          </w:p>
        </w:tc>
      </w:tr>
      <w:tr>
        <w:tc>
          <w:tcPr>
            <w:tcW w:w="7220"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Azon 16 évesnél idősebb személyek aránya, akik bíznak az igazságszolgáltatási rendszerben</w:t>
            </w:r>
          </w:p>
        </w:tc>
        <w:tc>
          <w:tcPr>
            <w:tcW w:w="2125"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rPr>
            </w:pPr>
            <w:r>
              <w:rPr>
                <w:rFonts w:ascii="Times New Roman" w:hAnsi="Times New Roman"/>
                <w:b/>
                <w:noProof/>
                <w:sz w:val="18"/>
              </w:rPr>
              <w:t>Eurostat</w:t>
            </w:r>
            <w:r>
              <w:rPr>
                <w:rFonts w:ascii="Times New Roman" w:hAnsi="Times New Roman"/>
                <w:noProof/>
                <w:sz w:val="18"/>
              </w:rPr>
              <w:t xml:space="preserve"> [Ilc_pw03]</w:t>
            </w:r>
          </w:p>
        </w:tc>
      </w:tr>
      <w:tr>
        <w:tc>
          <w:tcPr>
            <w:tcW w:w="7220" w:type="dxa"/>
            <w:tcBorders>
              <w:top w:val="single" w:sz="4" w:space="0" w:color="auto"/>
              <w:left w:val="single" w:sz="4" w:space="0" w:color="auto"/>
              <w:bottom w:val="single" w:sz="4" w:space="0" w:color="auto"/>
              <w:right w:val="single" w:sz="4" w:space="0" w:color="auto"/>
            </w:tcBorders>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A részvétellel kapcsolatos további, kidolgozandó mutatók:</w:t>
            </w:r>
          </w:p>
          <w:p>
            <w:pPr>
              <w:spacing w:after="60"/>
              <w:rPr>
                <w:rFonts w:ascii="Times New Roman" w:hAnsi="Times New Roman"/>
                <w:noProof/>
                <w:sz w:val="22"/>
                <w:szCs w:val="22"/>
              </w:rPr>
            </w:pPr>
            <w:r>
              <w:rPr>
                <w:rFonts w:ascii="Times New Roman" w:hAnsi="Times New Roman"/>
                <w:noProof/>
                <w:sz w:val="22"/>
                <w:szCs w:val="22"/>
              </w:rPr>
              <w:t>A közszolgálatban foglalkoztatott személyek aránya (O. NACE</w:t>
            </w:r>
            <w:r>
              <w:rPr>
                <w:rStyle w:val="FootnoteReference"/>
                <w:rFonts w:ascii="Times New Roman" w:hAnsi="Times New Roman" w:cs="Times New Roman"/>
                <w:noProof/>
                <w:sz w:val="22"/>
                <w:szCs w:val="22"/>
                <w:lang w:val="en-GB"/>
              </w:rPr>
              <w:footnoteReference w:id="8"/>
            </w:r>
            <w:r>
              <w:rPr>
                <w:rFonts w:ascii="Times New Roman" w:hAnsi="Times New Roman"/>
                <w:noProof/>
                <w:sz w:val="22"/>
                <w:szCs w:val="22"/>
              </w:rPr>
              <w:t>-kategória)</w:t>
            </w:r>
          </w:p>
          <w:p>
            <w:pPr>
              <w:spacing w:after="60"/>
              <w:rPr>
                <w:rFonts w:ascii="Times New Roman" w:hAnsi="Times New Roman"/>
                <w:noProof/>
                <w:sz w:val="22"/>
                <w:szCs w:val="22"/>
              </w:rPr>
            </w:pPr>
            <w:r>
              <w:rPr>
                <w:rFonts w:ascii="Times New Roman" w:hAnsi="Times New Roman"/>
                <w:noProof/>
                <w:sz w:val="22"/>
                <w:szCs w:val="22"/>
              </w:rPr>
              <w:t>A szakemberként vagy menedzserként foglalkoztatott személyek aránya (ISCO</w:t>
            </w:r>
            <w:r>
              <w:rPr>
                <w:rStyle w:val="FootnoteReference"/>
                <w:rFonts w:ascii="Times New Roman" w:hAnsi="Times New Roman" w:cs="Times New Roman"/>
                <w:noProof/>
                <w:sz w:val="22"/>
                <w:szCs w:val="22"/>
                <w:lang w:val="en-GB"/>
              </w:rPr>
              <w:footnoteReference w:id="9"/>
            </w:r>
            <w:r>
              <w:rPr>
                <w:rFonts w:ascii="Times New Roman" w:hAnsi="Times New Roman"/>
                <w:noProof/>
                <w:sz w:val="22"/>
                <w:szCs w:val="22"/>
              </w:rPr>
              <w:t xml:space="preserve"> 8+9)</w:t>
            </w:r>
          </w:p>
          <w:p>
            <w:pPr>
              <w:spacing w:after="60"/>
              <w:rPr>
                <w:rFonts w:ascii="Times New Roman" w:hAnsi="Times New Roman"/>
                <w:noProof/>
              </w:rPr>
            </w:pPr>
            <w:r>
              <w:rPr>
                <w:rFonts w:ascii="Times New Roman" w:hAnsi="Times New Roman"/>
                <w:noProof/>
                <w:sz w:val="22"/>
                <w:szCs w:val="22"/>
              </w:rPr>
              <w:t>A (legutóbbi) nemzeti választásokon szavazó személyek aránya</w:t>
            </w:r>
          </w:p>
        </w:tc>
        <w:tc>
          <w:tcPr>
            <w:tcW w:w="2125" w:type="dxa"/>
            <w:tcBorders>
              <w:top w:val="single" w:sz="4" w:space="0" w:color="auto"/>
              <w:left w:val="single" w:sz="4" w:space="0" w:color="auto"/>
              <w:bottom w:val="single" w:sz="4" w:space="0" w:color="auto"/>
              <w:right w:val="single" w:sz="4" w:space="0" w:color="auto"/>
            </w:tcBorders>
          </w:tcPr>
          <w:p>
            <w:pPr>
              <w:spacing w:after="60"/>
              <w:rPr>
                <w:rStyle w:val="Strong"/>
                <w:rFonts w:ascii="Times New Roman" w:hAnsi="Times New Roman"/>
                <w:noProof/>
              </w:rPr>
            </w:pPr>
          </w:p>
          <w:p>
            <w:pPr>
              <w:spacing w:after="60"/>
              <w:rPr>
                <w:rFonts w:ascii="Times New Roman" w:hAnsi="Times New Roman"/>
                <w:noProof/>
                <w:color w:val="000000"/>
                <w:sz w:val="18"/>
                <w:shd w:val="clear" w:color="auto" w:fill="FCFCFC"/>
              </w:rPr>
            </w:pPr>
            <w:r>
              <w:rPr>
                <w:rFonts w:ascii="Times New Roman" w:hAnsi="Times New Roman"/>
                <w:b/>
                <w:noProof/>
                <w:color w:val="000000"/>
                <w:sz w:val="18"/>
                <w:shd w:val="clear" w:color="auto" w:fill="FCFCFC"/>
              </w:rPr>
              <w:t xml:space="preserve">Eurostat </w:t>
            </w:r>
            <w:r>
              <w:rPr>
                <w:rFonts w:ascii="Times New Roman" w:hAnsi="Times New Roman"/>
                <w:noProof/>
                <w:color w:val="000000"/>
                <w:sz w:val="18"/>
                <w:shd w:val="clear" w:color="auto" w:fill="FCFCFC"/>
              </w:rPr>
              <w:t>[lfsa_eisn2]</w:t>
            </w:r>
          </w:p>
          <w:p>
            <w:pPr>
              <w:spacing w:after="60"/>
              <w:rPr>
                <w:rStyle w:val="Strong"/>
                <w:rFonts w:ascii="Times New Roman" w:hAnsi="Times New Roman"/>
                <w:noProof/>
                <w:lang w:val="en-GB"/>
              </w:rPr>
            </w:pPr>
          </w:p>
        </w:tc>
      </w:tr>
    </w:tbl>
    <w:p>
      <w:pPr>
        <w:spacing w:line="240" w:lineRule="auto"/>
        <w:rPr>
          <w:rFonts w:ascii="Times New Roman" w:eastAsia="Times New Roman" w:hAnsi="Times New Roman" w:cs="Times New Roman"/>
          <w:noProof/>
          <w:lang w:eastAsia="en-GB"/>
        </w:rPr>
      </w:pPr>
    </w:p>
    <w:tbl>
      <w:tblPr>
        <w:tblStyle w:val="TableGrid"/>
        <w:tblW w:w="9345" w:type="dxa"/>
        <w:tblInd w:w="0" w:type="dxa"/>
        <w:tblLayout w:type="fixed"/>
        <w:tblLook w:val="04A0" w:firstRow="1" w:lastRow="0" w:firstColumn="1" w:lastColumn="0" w:noHBand="0" w:noVBand="1"/>
      </w:tblPr>
      <w:tblGrid>
        <w:gridCol w:w="9345"/>
      </w:tblGrid>
      <w:tr>
        <w:tc>
          <w:tcPr>
            <w:tcW w:w="9345" w:type="dxa"/>
            <w:tcBorders>
              <w:top w:val="single" w:sz="4" w:space="0" w:color="auto"/>
              <w:left w:val="single" w:sz="4" w:space="0" w:color="auto"/>
              <w:bottom w:val="single" w:sz="4" w:space="0" w:color="auto"/>
              <w:right w:val="single" w:sz="4" w:space="0" w:color="auto"/>
            </w:tcBorders>
            <w:shd w:val="clear" w:color="auto" w:fill="E0E0E0"/>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A 3. horizontális célkitűzés folyamatmutatói: A részvétel szerepvállalás, valamint az együttműködés és a bizalom építése révén történő előmozdítása</w:t>
            </w:r>
          </w:p>
        </w:tc>
      </w:tr>
      <w:tr>
        <w:tc>
          <w:tcPr>
            <w:tcW w:w="9345"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22"/>
                <w:szCs w:val="22"/>
              </w:rPr>
            </w:pPr>
            <w:r>
              <w:rPr>
                <w:rFonts w:ascii="Times New Roman" w:hAnsi="Times New Roman"/>
                <w:b/>
                <w:noProof/>
                <w:sz w:val="22"/>
                <w:szCs w:val="22"/>
              </w:rPr>
              <w:t>Mutató – A. dimenzió – Intézményi felépítés</w:t>
            </w:r>
            <w:r>
              <w:rPr>
                <w:rFonts w:ascii="Times New Roman" w:hAnsi="Times New Roman"/>
                <w:noProof/>
                <w:sz w:val="22"/>
                <w:szCs w:val="22"/>
              </w:rPr>
              <w:t xml:space="preserve"> </w:t>
            </w:r>
          </w:p>
        </w:tc>
      </w:tr>
      <w:tr>
        <w:tc>
          <w:tcPr>
            <w:tcW w:w="9345" w:type="dxa"/>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rFonts w:eastAsiaTheme="minorEastAsia"/>
                <w:noProof/>
                <w:sz w:val="22"/>
              </w:rPr>
            </w:pPr>
            <w:r>
              <w:rPr>
                <w:noProof/>
                <w:sz w:val="22"/>
              </w:rPr>
              <w:t xml:space="preserve">a nemzeti romastratégiai keretek vagy a kapcsolódó szakpolitikai dokumentumok kifejezetten tartalmaznak a </w:t>
            </w:r>
            <w:r>
              <w:rPr>
                <w:noProof/>
                <w:sz w:val="22"/>
                <w:szCs w:val="22"/>
              </w:rPr>
              <w:t>részvétel szerepvállalás, valamint az együttműködés és a bizalom építése révén történő előmozdítását célzó, mutatókkal és célokkal rendelkező intézkedéseket;</w:t>
            </w:r>
            <w:r>
              <w:rPr>
                <w:noProof/>
                <w:sz w:val="22"/>
              </w:rPr>
              <w:t xml:space="preserve"> </w:t>
            </w:r>
          </w:p>
          <w:p>
            <w:pPr>
              <w:pStyle w:val="ListParagraph"/>
              <w:numPr>
                <w:ilvl w:val="0"/>
                <w:numId w:val="6"/>
              </w:numPr>
              <w:tabs>
                <w:tab w:val="left" w:pos="1020"/>
              </w:tabs>
              <w:spacing w:after="60"/>
              <w:ind w:left="311" w:hanging="218"/>
              <w:rPr>
                <w:rFonts w:eastAsiaTheme="minorEastAsia"/>
                <w:noProof/>
                <w:sz w:val="22"/>
              </w:rPr>
            </w:pPr>
            <w:r>
              <w:rPr>
                <w:noProof/>
                <w:sz w:val="22"/>
              </w:rPr>
              <w:t>a helyi és közösségi szintű civil szervezetek részt vesznek a stratégia végrehajtásának egész Unióra kiterjedő, összehangolt civil nyomon követésében;</w:t>
            </w:r>
          </w:p>
          <w:p>
            <w:pPr>
              <w:pStyle w:val="ListParagraph"/>
              <w:numPr>
                <w:ilvl w:val="0"/>
                <w:numId w:val="6"/>
              </w:numPr>
              <w:tabs>
                <w:tab w:val="left" w:pos="1020"/>
              </w:tabs>
              <w:spacing w:after="60"/>
              <w:ind w:left="311" w:hanging="218"/>
              <w:rPr>
                <w:rFonts w:eastAsiaTheme="minorEastAsia"/>
                <w:noProof/>
                <w:sz w:val="22"/>
              </w:rPr>
            </w:pPr>
            <w:r>
              <w:rPr>
                <w:noProof/>
                <w:sz w:val="22"/>
              </w:rPr>
              <w:t>a roma civil szervezetek képviselőit rendszeresen meghívják, hogy rendes tagként vegyenek részt az uniós pénzeszközök operatív programjainak monitoringbizottságaiban;</w:t>
            </w:r>
          </w:p>
          <w:p>
            <w:pPr>
              <w:pStyle w:val="ListParagraph"/>
              <w:numPr>
                <w:ilvl w:val="0"/>
                <w:numId w:val="6"/>
              </w:numPr>
              <w:tabs>
                <w:tab w:val="left" w:pos="1020"/>
              </w:tabs>
              <w:spacing w:after="60"/>
              <w:ind w:left="311" w:hanging="218"/>
              <w:rPr>
                <w:rFonts w:eastAsiaTheme="minorEastAsia"/>
                <w:noProof/>
                <w:sz w:val="22"/>
              </w:rPr>
            </w:pPr>
            <w:r>
              <w:rPr>
                <w:noProof/>
                <w:sz w:val="22"/>
              </w:rPr>
              <w:t>A jelentős roma lakosságaránnyal rendelkező önkormányzatokban a roma mediátori funkció hivatalos tisztség a helyi közigazgatásban;</w:t>
            </w:r>
          </w:p>
          <w:p>
            <w:pPr>
              <w:pStyle w:val="ListParagraph"/>
              <w:numPr>
                <w:ilvl w:val="0"/>
                <w:numId w:val="6"/>
              </w:numPr>
              <w:tabs>
                <w:tab w:val="left" w:pos="1020"/>
              </w:tabs>
              <w:spacing w:after="60"/>
              <w:ind w:left="311" w:hanging="218"/>
              <w:rPr>
                <w:rFonts w:eastAsiaTheme="minorEastAsia"/>
                <w:noProof/>
                <w:sz w:val="22"/>
              </w:rPr>
            </w:pPr>
            <w:r>
              <w:rPr>
                <w:noProof/>
                <w:sz w:val="22"/>
              </w:rPr>
              <w:t>a jelentős roma lakosságaránnyal rendelkező önkormányzatok személyzetében van egy vagy több külön roma képviselő;</w:t>
            </w:r>
          </w:p>
          <w:p>
            <w:pPr>
              <w:pStyle w:val="ListParagraph"/>
              <w:numPr>
                <w:ilvl w:val="0"/>
                <w:numId w:val="6"/>
              </w:numPr>
              <w:tabs>
                <w:tab w:val="left" w:pos="1020"/>
              </w:tabs>
              <w:spacing w:after="60"/>
              <w:ind w:left="311" w:hanging="218"/>
              <w:rPr>
                <w:rFonts w:eastAsiaTheme="minorEastAsia"/>
                <w:noProof/>
                <w:sz w:val="22"/>
              </w:rPr>
            </w:pPr>
            <w:r>
              <w:rPr>
                <w:noProof/>
                <w:sz w:val="22"/>
              </w:rPr>
              <w:t>a fő politikai pártok felajánlják, hogy az országgyűlési, valamint a regionális és helyi önkormányzatok képviselő-testületeinek választásakor roma jelölteket is felvesznek a választási listák választható helyeire;</w:t>
            </w:r>
          </w:p>
          <w:p>
            <w:pPr>
              <w:pStyle w:val="ListParagraph"/>
              <w:numPr>
                <w:ilvl w:val="0"/>
                <w:numId w:val="6"/>
              </w:numPr>
              <w:tabs>
                <w:tab w:val="left" w:pos="1020"/>
              </w:tabs>
              <w:spacing w:after="60"/>
              <w:ind w:left="311" w:hanging="218"/>
              <w:rPr>
                <w:rFonts w:eastAsiaTheme="minorEastAsia"/>
                <w:noProof/>
                <w:sz w:val="22"/>
              </w:rPr>
            </w:pPr>
            <w:r>
              <w:rPr>
                <w:noProof/>
                <w:sz w:val="22"/>
              </w:rPr>
              <w:t xml:space="preserve">a jelentős roma lakosságaránnyal rendelkező városok és települések intézményi felépítésük keretein belül roma tanácsadó testületeket vagy roma szakpolitikai koordinátorokat hoznak létre a romák társadalmi befogadását célzó szakpolitikák végrehajtására; </w:t>
            </w:r>
          </w:p>
          <w:p>
            <w:pPr>
              <w:pStyle w:val="ListParagraph"/>
              <w:numPr>
                <w:ilvl w:val="0"/>
                <w:numId w:val="6"/>
              </w:numPr>
              <w:tabs>
                <w:tab w:val="left" w:pos="1020"/>
              </w:tabs>
              <w:spacing w:after="60"/>
              <w:ind w:left="311" w:hanging="218"/>
              <w:rPr>
                <w:rFonts w:eastAsiaTheme="minorEastAsia"/>
                <w:noProof/>
                <w:sz w:val="22"/>
              </w:rPr>
            </w:pPr>
            <w:r>
              <w:rPr>
                <w:noProof/>
                <w:sz w:val="22"/>
              </w:rPr>
              <w:t xml:space="preserve">létezik és ténylegesen működik a bizalom és a romák szerepvállalásának növelésével megbízott, szakosított intézmény; </w:t>
            </w:r>
          </w:p>
          <w:p>
            <w:pPr>
              <w:pStyle w:val="ListParagraph"/>
              <w:numPr>
                <w:ilvl w:val="0"/>
                <w:numId w:val="6"/>
              </w:numPr>
              <w:tabs>
                <w:tab w:val="left" w:pos="1020"/>
              </w:tabs>
              <w:spacing w:after="60"/>
              <w:ind w:left="311" w:hanging="218"/>
              <w:rPr>
                <w:rFonts w:eastAsiaTheme="minorEastAsia"/>
                <w:noProof/>
                <w:sz w:val="22"/>
              </w:rPr>
            </w:pPr>
            <w:r>
              <w:rPr>
                <w:noProof/>
                <w:sz w:val="22"/>
              </w:rPr>
              <w:t xml:space="preserve">a nemzeti emberi jogi intézmények, az ombudsmani hivatal és az egyenlőséggel foglalkozó szervek rendszeresen konzultálnak a civil társadalommal a romák helyzetéről, és/vagy bevonják a roma civil társadalmat a rendszeres konzultációba; </w:t>
            </w:r>
          </w:p>
          <w:p>
            <w:pPr>
              <w:pStyle w:val="ListParagraph"/>
              <w:numPr>
                <w:ilvl w:val="0"/>
                <w:numId w:val="6"/>
              </w:numPr>
              <w:tabs>
                <w:tab w:val="left" w:pos="1020"/>
              </w:tabs>
              <w:spacing w:after="60"/>
              <w:ind w:left="311" w:hanging="218"/>
              <w:rPr>
                <w:rFonts w:eastAsiaTheme="minorEastAsia"/>
                <w:noProof/>
                <w:sz w:val="22"/>
              </w:rPr>
            </w:pPr>
            <w:r>
              <w:rPr>
                <w:noProof/>
                <w:sz w:val="22"/>
              </w:rPr>
              <w:t xml:space="preserve">a cigányellenesség eseteinek kezelésére szolgáló jogi segítségnyújtási mechanizmusok rendelkeznek a hatékony működéshez szükséges pénzügyi erőforrásokkal; </w:t>
            </w:r>
          </w:p>
          <w:p>
            <w:pPr>
              <w:pStyle w:val="ListParagraph"/>
              <w:numPr>
                <w:ilvl w:val="0"/>
                <w:numId w:val="6"/>
              </w:numPr>
              <w:tabs>
                <w:tab w:val="left" w:pos="1020"/>
              </w:tabs>
              <w:spacing w:after="60"/>
              <w:ind w:left="311" w:hanging="218"/>
              <w:rPr>
                <w:rFonts w:eastAsiaTheme="minorEastAsia"/>
                <w:noProof/>
                <w:sz w:val="22"/>
              </w:rPr>
            </w:pPr>
            <w:r>
              <w:rPr>
                <w:noProof/>
                <w:sz w:val="22"/>
              </w:rPr>
              <w:t>mechanizmusok állnak rendelkezésre a roma/pro-roma civil szervezeteknek a nemzeti romastratégiai keretek végrehajtásának összehangolt nyomon követésében, valamint az online gyűlöletbeszéd nyomon követésében és jelentésében való részvételének biztosítására és elősegítésére;</w:t>
            </w:r>
          </w:p>
          <w:p>
            <w:pPr>
              <w:pStyle w:val="ListParagraph"/>
              <w:numPr>
                <w:ilvl w:val="0"/>
                <w:numId w:val="6"/>
              </w:numPr>
              <w:tabs>
                <w:tab w:val="left" w:pos="1020"/>
              </w:tabs>
              <w:spacing w:after="60"/>
              <w:ind w:left="311" w:hanging="218"/>
              <w:rPr>
                <w:rFonts w:eastAsiaTheme="minorEastAsia"/>
                <w:noProof/>
                <w:sz w:val="22"/>
              </w:rPr>
            </w:pPr>
            <w:r>
              <w:rPr>
                <w:noProof/>
                <w:sz w:val="22"/>
              </w:rPr>
              <w:t xml:space="preserve">költségvetést különítettek el a civil társadalomnak a romák szerepvállalásával, valamint az együttműködés és a közintézményekben való bizalom építésével kapcsolatos projektek tekintetében történő támogatására; </w:t>
            </w:r>
          </w:p>
          <w:p>
            <w:pPr>
              <w:pStyle w:val="ListParagraph"/>
              <w:numPr>
                <w:ilvl w:val="0"/>
                <w:numId w:val="6"/>
              </w:numPr>
              <w:tabs>
                <w:tab w:val="left" w:pos="1020"/>
              </w:tabs>
              <w:spacing w:after="60"/>
              <w:ind w:left="311" w:hanging="218"/>
              <w:rPr>
                <w:rFonts w:eastAsiaTheme="minorEastAsia"/>
                <w:noProof/>
              </w:rPr>
            </w:pPr>
            <w:r>
              <w:rPr>
                <w:noProof/>
                <w:sz w:val="22"/>
              </w:rPr>
              <w:t>költségvetést különítettek el a romákkal kapcsolatos sztereotípiák felszámolását célzó tájékoztató kampányokra.</w:t>
            </w:r>
          </w:p>
        </w:tc>
      </w:tr>
      <w:tr>
        <w:trPr>
          <w:trHeight w:val="468"/>
        </w:trPr>
        <w:tc>
          <w:tcPr>
            <w:tcW w:w="9345" w:type="dxa"/>
            <w:tcBorders>
              <w:top w:val="single" w:sz="4" w:space="0" w:color="auto"/>
              <w:left w:val="single" w:sz="4" w:space="0" w:color="auto"/>
              <w:bottom w:val="single" w:sz="4" w:space="0" w:color="auto"/>
              <w:right w:val="single" w:sz="4" w:space="0" w:color="auto"/>
            </w:tcBorders>
            <w:vAlign w:val="center"/>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B. dimenzió – Konkrét intézkedések és fellépések</w:t>
            </w:r>
          </w:p>
        </w:tc>
      </w:tr>
      <w:tr>
        <w:trPr>
          <w:trHeight w:val="468"/>
        </w:trPr>
        <w:tc>
          <w:tcPr>
            <w:tcW w:w="9345" w:type="dxa"/>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jogi esethez vezető jelentett esetek százalékos aránya;</w:t>
            </w:r>
          </w:p>
          <w:p>
            <w:pPr>
              <w:pStyle w:val="ListParagraph"/>
              <w:numPr>
                <w:ilvl w:val="0"/>
                <w:numId w:val="6"/>
              </w:numPr>
              <w:tabs>
                <w:tab w:val="left" w:pos="1020"/>
              </w:tabs>
              <w:spacing w:after="60"/>
              <w:ind w:left="311" w:hanging="218"/>
              <w:rPr>
                <w:rFonts w:eastAsiaTheme="minorEastAsia"/>
                <w:strike/>
                <w:noProof/>
                <w:sz w:val="22"/>
                <w:szCs w:val="22"/>
              </w:rPr>
            </w:pPr>
            <w:r>
              <w:rPr>
                <w:noProof/>
                <w:sz w:val="22"/>
                <w:szCs w:val="22"/>
              </w:rPr>
              <w:t xml:space="preserve">a felelős szervek cigányellenességgel é a hátrányos megkülönböztetés tilalmával kapcsolatos képzése. </w:t>
            </w:r>
          </w:p>
        </w:tc>
      </w:tr>
      <w:tr>
        <w:tc>
          <w:tcPr>
            <w:tcW w:w="9345" w:type="dxa"/>
            <w:tcBorders>
              <w:top w:val="single" w:sz="4" w:space="0" w:color="auto"/>
              <w:left w:val="single" w:sz="4" w:space="0" w:color="auto"/>
              <w:bottom w:val="single" w:sz="4" w:space="0" w:color="auto"/>
              <w:right w:val="single" w:sz="4" w:space="0" w:color="auto"/>
            </w:tcBorders>
            <w:vAlign w:val="center"/>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C. dimenzió – A döntéshozatali eljárások minősége</w:t>
            </w:r>
            <w:r>
              <w:rPr>
                <w:rFonts w:ascii="Times New Roman" w:hAnsi="Times New Roman"/>
                <w:noProof/>
                <w:sz w:val="22"/>
                <w:szCs w:val="22"/>
              </w:rPr>
              <w:t xml:space="preserve"> </w:t>
            </w:r>
          </w:p>
        </w:tc>
      </w:tr>
      <w:tr>
        <w:tc>
          <w:tcPr>
            <w:tcW w:w="9345" w:type="dxa"/>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nemzeti romastratégiai keretek kifejezetten meghatározzák a romáknak a szakpolitikák nemzeti szintű kialakításában, végrehajtásában és nyomon követésében való részvételét elősegítő mechanizmusokat;</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 xml:space="preserve">léteznek olyan mechanizmusok, amelyek elősegítik a romák részvételét a helyzetüket helyi szinten befolyásoló bármely szakpolitika kialakításában, végrehajtásában és nyomon követésében; </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romák részt vesznek a médiatanácsokban;</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roma civil szervezetek részt vesznek az e horizontális célkitűzés keretében végrehajtott intézkedések eredményeinek nyomon követésében;</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romák vezetői vagy döntéshozói pozíciókban való részvétele a romák társadalmi befogadását célzó területen tevékenykedő szervezetekben;</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nemzeti roma kapcsolattartó pontok (NRCP) és a romák társadalmi befogadásával kapcsolatos más szervezetek romákat foglalkoztatnak;</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helyi hatóságok különösen a helyi szinten működő roma civil szervezetekkel együttműködve helyi terveket hoztak létre (a nemzeti roma stratégiai keretrendszerekkel összhangban) és hajtanak végre.</w:t>
            </w:r>
          </w:p>
        </w:tc>
      </w:tr>
    </w:tbl>
    <w:p>
      <w:pPr>
        <w:pStyle w:val="Heading1"/>
        <w:spacing w:after="120" w:line="240" w:lineRule="auto"/>
        <w:rPr>
          <w:rFonts w:ascii="Times New Roman" w:eastAsia="Times New Roman" w:hAnsi="Times New Roman" w:cs="Times New Roman"/>
          <w:b/>
          <w:smallCaps/>
          <w:noProof/>
          <w:color w:val="auto"/>
          <w:sz w:val="24"/>
          <w:szCs w:val="20"/>
        </w:rPr>
      </w:pPr>
      <w:bookmarkStart w:id="47" w:name="_Toc42625027"/>
      <w:bookmarkStart w:id="48" w:name="_Toc42697881"/>
      <w:bookmarkStart w:id="49" w:name="_Toc42698840"/>
      <w:bookmarkStart w:id="50" w:name="_Toc42706934"/>
      <w:bookmarkStart w:id="51" w:name="_Toc42713779"/>
      <w:bookmarkStart w:id="52" w:name="_Toc42714181"/>
      <w:r>
        <w:rPr>
          <w:rFonts w:ascii="Times New Roman" w:hAnsi="Times New Roman"/>
          <w:b/>
          <w:smallCaps/>
          <w:noProof/>
          <w:color w:val="auto"/>
          <w:sz w:val="24"/>
          <w:szCs w:val="20"/>
        </w:rPr>
        <w:t>Ágazati célkitűzések</w:t>
      </w:r>
    </w:p>
    <w:p>
      <w:pPr>
        <w:spacing w:after="120" w:line="240" w:lineRule="auto"/>
        <w:rPr>
          <w:rFonts w:ascii="Times New Roman" w:eastAsia="Times New Roman" w:hAnsi="Times New Roman" w:cs="Times New Roman"/>
          <w:b/>
          <w:noProof/>
          <w:sz w:val="24"/>
          <w:szCs w:val="20"/>
        </w:rPr>
      </w:pPr>
      <w:bookmarkStart w:id="53" w:name="_Toc44090795"/>
      <w:r>
        <w:rPr>
          <w:rFonts w:ascii="Times New Roman" w:hAnsi="Times New Roman"/>
          <w:b/>
          <w:noProof/>
          <w:sz w:val="24"/>
          <w:szCs w:val="20"/>
        </w:rPr>
        <w:t>4. célkitűzés: A színvonalas, inkluzív többségi oktatáshoz való ténylegesen egyenlő hozzáférés javítása</w:t>
      </w:r>
      <w:bookmarkEnd w:id="47"/>
      <w:bookmarkEnd w:id="48"/>
      <w:bookmarkEnd w:id="49"/>
      <w:bookmarkEnd w:id="50"/>
      <w:bookmarkEnd w:id="51"/>
      <w:bookmarkEnd w:id="52"/>
      <w:bookmarkEnd w:id="53"/>
    </w:p>
    <w:tbl>
      <w:tblPr>
        <w:tblStyle w:val="TableGrid"/>
        <w:tblW w:w="9345" w:type="dxa"/>
        <w:tblInd w:w="0" w:type="dxa"/>
        <w:tblLayout w:type="fixed"/>
        <w:tblLook w:val="04A0" w:firstRow="1" w:lastRow="0" w:firstColumn="1" w:lastColumn="0" w:noHBand="0" w:noVBand="1"/>
      </w:tblPr>
      <w:tblGrid>
        <w:gridCol w:w="7361"/>
        <w:gridCol w:w="1984"/>
      </w:tblGrid>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b w:val="0"/>
                <w:i/>
                <w:noProof/>
                <w:sz w:val="22"/>
                <w:szCs w:val="22"/>
              </w:rPr>
            </w:pPr>
            <w:r>
              <w:rPr>
                <w:rStyle w:val="Strong"/>
                <w:rFonts w:ascii="Times New Roman" w:hAnsi="Times New Roman"/>
                <w:noProof/>
                <w:sz w:val="22"/>
                <w:szCs w:val="22"/>
              </w:rPr>
              <w:t xml:space="preserve">Kiemelt mutató: </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sz w:val="22"/>
              </w:rPr>
            </w:pPr>
            <w:r>
              <w:rPr>
                <w:rStyle w:val="Strong"/>
                <w:noProof/>
                <w:sz w:val="22"/>
              </w:rPr>
              <w:t>Azon gyermekek aránya 3 éves kortól a tanköteles korig, akik koragyermekkori nevelésben és gondozásban részesülnek</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Fonts w:ascii="Times New Roman" w:hAnsi="Times New Roman"/>
                <w:noProof/>
                <w:sz w:val="18"/>
              </w:rPr>
            </w:pPr>
            <w:r>
              <w:rPr>
                <w:rFonts w:ascii="Times New Roman" w:hAnsi="Times New Roman"/>
                <w:b/>
                <w:noProof/>
                <w:sz w:val="18"/>
              </w:rPr>
              <w:t>Eurostat</w:t>
            </w:r>
            <w:r>
              <w:rPr>
                <w:rFonts w:ascii="Times New Roman" w:hAnsi="Times New Roman"/>
                <w:noProof/>
                <w:sz w:val="18"/>
              </w:rPr>
              <w:t xml:space="preserve"> [sdg_04_30]</w:t>
            </w:r>
          </w:p>
          <w:p>
            <w:pPr>
              <w:rPr>
                <w:rStyle w:val="Strong"/>
                <w:rFonts w:ascii="Times New Roman" w:hAnsi="Times New Roman"/>
                <w:noProof/>
                <w:sz w:val="18"/>
              </w:rPr>
            </w:pPr>
            <w:r>
              <w:rPr>
                <w:rFonts w:ascii="Times New Roman" w:hAnsi="Times New Roman"/>
                <w:noProof/>
                <w:sz w:val="18"/>
              </w:rPr>
              <w:t>SDG 4.2.2.</w:t>
            </w:r>
          </w:p>
        </w:tc>
      </w:tr>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rPr>
            </w:pPr>
            <w:r>
              <w:rPr>
                <w:rStyle w:val="Strong"/>
                <w:noProof/>
                <w:sz w:val="22"/>
              </w:rPr>
              <w:t xml:space="preserve">20–24 év közötti, legalább felső középfokú végzettséggel rendelkező személyek aránya </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Fonts w:ascii="Times New Roman" w:hAnsi="Times New Roman"/>
                <w:noProof/>
                <w:sz w:val="18"/>
              </w:rPr>
            </w:pPr>
            <w:r>
              <w:rPr>
                <w:rFonts w:ascii="Times New Roman" w:hAnsi="Times New Roman"/>
                <w:b/>
                <w:noProof/>
                <w:sz w:val="18"/>
              </w:rPr>
              <w:t xml:space="preserve">Eurostat </w:t>
            </w:r>
            <w:r>
              <w:rPr>
                <w:rFonts w:ascii="Times New Roman" w:hAnsi="Times New Roman"/>
                <w:noProof/>
                <w:sz w:val="18"/>
              </w:rPr>
              <w:t>[edat_lfs_9903]</w:t>
            </w:r>
          </w:p>
          <w:p>
            <w:pPr>
              <w:rPr>
                <w:rStyle w:val="Strong"/>
                <w:rFonts w:ascii="Times New Roman" w:hAnsi="Times New Roman"/>
                <w:noProof/>
              </w:rPr>
            </w:pPr>
            <w:r>
              <w:rPr>
                <w:rFonts w:ascii="Times New Roman" w:hAnsi="Times New Roman"/>
                <w:noProof/>
                <w:sz w:val="18"/>
              </w:rPr>
              <w:t>SDG 4.3.</w:t>
            </w:r>
          </w:p>
        </w:tc>
      </w:tr>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sz w:val="22"/>
              </w:rPr>
            </w:pPr>
            <w:r>
              <w:rPr>
                <w:rStyle w:val="Strong"/>
                <w:noProof/>
                <w:sz w:val="22"/>
              </w:rPr>
              <w:t>Azon 6–15 év közötti gyermekek aránya, akik olyan iskolába járnak, ahol a válaszadók szerint „szinte valamennyi osztálytárs roma” (csak a kiválasztott országok)</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Fonts w:ascii="Times New Roman" w:hAnsi="Times New Roman"/>
                <w:noProof/>
                <w:sz w:val="18"/>
              </w:rPr>
            </w:pPr>
            <w:r>
              <w:rPr>
                <w:rFonts w:ascii="Times New Roman" w:hAnsi="Times New Roman"/>
                <w:b/>
                <w:noProof/>
                <w:sz w:val="18"/>
              </w:rPr>
              <w:t>Nem alkalmazandó</w:t>
            </w:r>
          </w:p>
        </w:tc>
      </w:tr>
      <w:tr>
        <w:tc>
          <w:tcPr>
            <w:tcW w:w="9345" w:type="dxa"/>
            <w:gridSpan w:val="2"/>
            <w:tcBorders>
              <w:top w:val="single" w:sz="4" w:space="0" w:color="auto"/>
              <w:left w:val="nil"/>
              <w:bottom w:val="nil"/>
              <w:right w:val="nil"/>
            </w:tcBorders>
            <w:shd w:val="clear" w:color="auto" w:fill="FFFFFF" w:themeFill="background1"/>
          </w:tcPr>
          <w:p>
            <w:pPr>
              <w:tabs>
                <w:tab w:val="left" w:pos="1440"/>
              </w:tabs>
              <w:rPr>
                <w:rStyle w:val="Strong"/>
                <w:rFonts w:ascii="Times New Roman" w:hAnsi="Times New Roman"/>
                <w:noProof/>
              </w:rPr>
            </w:pPr>
          </w:p>
        </w:tc>
      </w:tr>
      <w:tr>
        <w:tc>
          <w:tcPr>
            <w:tcW w:w="9345" w:type="dxa"/>
            <w:gridSpan w:val="2"/>
            <w:tcBorders>
              <w:top w:val="nil"/>
              <w:left w:val="nil"/>
              <w:bottom w:val="nil"/>
              <w:right w:val="nil"/>
            </w:tcBorders>
            <w:shd w:val="clear" w:color="auto" w:fill="FFFFFF" w:themeFill="background1"/>
          </w:tcPr>
          <w:p>
            <w:pPr>
              <w:tabs>
                <w:tab w:val="left" w:pos="1440"/>
              </w:tabs>
              <w:rPr>
                <w:rStyle w:val="Strong"/>
                <w:rFonts w:ascii="Times New Roman" w:hAnsi="Times New Roman"/>
                <w:noProof/>
              </w:rPr>
            </w:pPr>
          </w:p>
          <w:p>
            <w:pPr>
              <w:tabs>
                <w:tab w:val="left" w:pos="1440"/>
              </w:tabs>
              <w:rPr>
                <w:rStyle w:val="Strong"/>
                <w:rFonts w:ascii="Times New Roman" w:hAnsi="Times New Roman"/>
                <w:noProof/>
              </w:rPr>
            </w:pPr>
          </w:p>
          <w:p>
            <w:pPr>
              <w:tabs>
                <w:tab w:val="left" w:pos="1440"/>
              </w:tabs>
              <w:rPr>
                <w:rStyle w:val="Strong"/>
                <w:rFonts w:ascii="Times New Roman" w:hAnsi="Times New Roman"/>
                <w:noProof/>
              </w:rPr>
            </w:pPr>
          </w:p>
          <w:p>
            <w:pPr>
              <w:tabs>
                <w:tab w:val="left" w:pos="1440"/>
              </w:tabs>
              <w:rPr>
                <w:rStyle w:val="Strong"/>
                <w:rFonts w:ascii="Times New Roman" w:hAnsi="Times New Roman"/>
                <w:noProof/>
              </w:rPr>
            </w:pPr>
          </w:p>
        </w:tc>
      </w:tr>
      <w:tr>
        <w:tc>
          <w:tcPr>
            <w:tcW w:w="9345" w:type="dxa"/>
            <w:gridSpan w:val="2"/>
            <w:tcBorders>
              <w:top w:val="nil"/>
              <w:left w:val="single" w:sz="4" w:space="0" w:color="auto"/>
              <w:bottom w:val="single" w:sz="4" w:space="0" w:color="auto"/>
              <w:right w:val="single" w:sz="4" w:space="0" w:color="auto"/>
            </w:tcBorders>
            <w:shd w:val="clear" w:color="auto" w:fill="DBE5F1" w:themeFill="accent1" w:themeFillTint="33"/>
          </w:tcPr>
          <w:p>
            <w:pPr>
              <w:pBdr>
                <w:top w:val="single" w:sz="4" w:space="1" w:color="auto"/>
              </w:pBdr>
              <w:tabs>
                <w:tab w:val="left" w:pos="1440"/>
              </w:tabs>
              <w:jc w:val="center"/>
              <w:rPr>
                <w:rStyle w:val="Strong"/>
                <w:rFonts w:ascii="Times New Roman" w:hAnsi="Times New Roman"/>
                <w:noProof/>
                <w:sz w:val="22"/>
                <w:szCs w:val="22"/>
              </w:rPr>
            </w:pPr>
            <w:r>
              <w:rPr>
                <w:rStyle w:val="Strong"/>
                <w:rFonts w:ascii="Times New Roman" w:hAnsi="Times New Roman"/>
                <w:noProof/>
                <w:sz w:val="22"/>
                <w:szCs w:val="22"/>
              </w:rPr>
              <w:t>Eredménymutatók</w:t>
            </w:r>
          </w:p>
          <w:p>
            <w:pPr>
              <w:pBdr>
                <w:top w:val="single" w:sz="4" w:space="1" w:color="auto"/>
              </w:pBdr>
              <w:tabs>
                <w:tab w:val="left" w:pos="1440"/>
              </w:tabs>
              <w:jc w:val="center"/>
              <w:rPr>
                <w:rStyle w:val="Strong"/>
                <w:rFonts w:ascii="Times New Roman" w:hAnsi="Times New Roman"/>
                <w:noProof/>
                <w:sz w:val="22"/>
                <w:szCs w:val="22"/>
              </w:rPr>
            </w:pPr>
            <w:r>
              <w:rPr>
                <w:rStyle w:val="Strong"/>
                <w:rFonts w:ascii="Times New Roman" w:hAnsi="Times New Roman"/>
                <w:noProof/>
                <w:sz w:val="22"/>
                <w:szCs w:val="22"/>
              </w:rPr>
              <w:t>Másodlagos (fakultatív)</w:t>
            </w:r>
          </w:p>
        </w:tc>
      </w:tr>
      <w:tr>
        <w:tc>
          <w:tcPr>
            <w:tcW w:w="736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rPr>
                <w:rStyle w:val="Strong"/>
                <w:rFonts w:ascii="Times New Roman" w:hAnsi="Times New Roman"/>
                <w:noProof/>
                <w:sz w:val="22"/>
                <w:szCs w:val="22"/>
              </w:rPr>
            </w:pPr>
            <w:r>
              <w:rPr>
                <w:rStyle w:val="Strong"/>
                <w:rFonts w:ascii="Times New Roman" w:hAnsi="Times New Roman"/>
                <w:noProof/>
                <w:sz w:val="22"/>
                <w:szCs w:val="22"/>
              </w:rPr>
              <w:t>Mutató</w:t>
            </w:r>
          </w:p>
        </w:tc>
        <w:tc>
          <w:tcPr>
            <w:tcW w:w="198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 xml:space="preserve">Oktatásban részt vevő, iskolaköteles korú (5–18) gyermekek aránya, háztartás tagjai (országtól függően) </w:t>
            </w:r>
          </w:p>
        </w:tc>
        <w:tc>
          <w:tcPr>
            <w:tcW w:w="1984"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noProof/>
                <w:sz w:val="18"/>
              </w:rPr>
              <w:t>n. a.</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Azon 16 évesnél idősebb személyek aránya, akik az elmúlt 12 hónapban úgy érezték, hogy roma voltuk miatt hátrányosan megkülönböztették őket, amikor kapcsolatban kerültek (szülőként/gondviselőként vagy diákként) az iskolai hatóságokkal</w:t>
            </w:r>
          </w:p>
        </w:tc>
        <w:tc>
          <w:tcPr>
            <w:tcW w:w="1984"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noProof/>
                <w:sz w:val="18"/>
              </w:rPr>
              <w:t>n.a./potenciálisan FRS</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Korai iskolaelhagyók, 18–24 év közöttiek</w:t>
            </w:r>
          </w:p>
        </w:tc>
        <w:tc>
          <w:tcPr>
            <w:tcW w:w="1984"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b/>
                <w:noProof/>
                <w:sz w:val="18"/>
              </w:rPr>
            </w:pPr>
            <w:r>
              <w:rPr>
                <w:rFonts w:ascii="Times New Roman" w:hAnsi="Times New Roman"/>
                <w:b/>
                <w:noProof/>
                <w:sz w:val="18"/>
              </w:rPr>
              <w:t>Eurostat</w:t>
            </w:r>
            <w:r>
              <w:rPr>
                <w:rFonts w:ascii="Times New Roman" w:hAnsi="Times New Roman"/>
                <w:noProof/>
                <w:sz w:val="18"/>
              </w:rPr>
              <w:t xml:space="preserve"> [edat_lfse_14]</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 xml:space="preserve">30–34 év közötti, legalább felsőfokú végzettséggel rendelkező személyek aránya </w:t>
            </w:r>
          </w:p>
        </w:tc>
        <w:tc>
          <w:tcPr>
            <w:tcW w:w="1984"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b/>
                <w:noProof/>
                <w:sz w:val="18"/>
              </w:rPr>
            </w:pPr>
            <w:r>
              <w:rPr>
                <w:rFonts w:ascii="Times New Roman" w:hAnsi="Times New Roman"/>
                <w:b/>
                <w:noProof/>
                <w:sz w:val="18"/>
              </w:rPr>
              <w:t>Eurostat</w:t>
            </w:r>
            <w:r>
              <w:rPr>
                <w:rFonts w:ascii="Times New Roman" w:hAnsi="Times New Roman"/>
                <w:noProof/>
                <w:sz w:val="18"/>
              </w:rPr>
              <w:t xml:space="preserve"> [t2020_41]</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A gyermekeket (roma voltuk miatt) az elmúlt 12 hónapban érintő, gyűlölet motiválta iskolai bántalmazás/zaklatás előfordulási gyakorisága az iskoláskorú gyermeket nevelő összes szülő/gondviselő válaszadó között</w:t>
            </w:r>
          </w:p>
        </w:tc>
        <w:tc>
          <w:tcPr>
            <w:tcW w:w="1984"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noProof/>
                <w:sz w:val="18"/>
              </w:rPr>
              <w:t>n.a./FRS</w:t>
            </w:r>
          </w:p>
        </w:tc>
      </w:tr>
      <w:tr>
        <w:tc>
          <w:tcPr>
            <w:tcW w:w="7361" w:type="dxa"/>
            <w:tcBorders>
              <w:top w:val="single" w:sz="4" w:space="0" w:color="auto"/>
              <w:left w:val="single" w:sz="4" w:space="0" w:color="auto"/>
              <w:bottom w:val="single" w:sz="4" w:space="0" w:color="auto"/>
              <w:right w:val="single" w:sz="4" w:space="0" w:color="auto"/>
            </w:tcBorders>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További kidolgozásra vár:</w:t>
            </w:r>
          </w:p>
          <w:p>
            <w:pPr>
              <w:pStyle w:val="ListParagraph"/>
              <w:numPr>
                <w:ilvl w:val="0"/>
                <w:numId w:val="8"/>
              </w:numPr>
              <w:spacing w:after="60"/>
              <w:rPr>
                <w:rStyle w:val="Strong"/>
                <w:rFonts w:eastAsiaTheme="minorEastAsia"/>
                <w:b w:val="0"/>
                <w:noProof/>
                <w:sz w:val="22"/>
                <w:szCs w:val="22"/>
              </w:rPr>
            </w:pPr>
            <w:r>
              <w:rPr>
                <w:rStyle w:val="Strong"/>
                <w:b w:val="0"/>
                <w:noProof/>
                <w:sz w:val="22"/>
                <w:szCs w:val="22"/>
              </w:rPr>
              <w:t>Olyan háztartásban élő, iskoláskorú gyermekek aránya, ahol nincs számítógép</w:t>
            </w:r>
          </w:p>
          <w:p>
            <w:pPr>
              <w:pStyle w:val="ListParagraph"/>
              <w:numPr>
                <w:ilvl w:val="0"/>
                <w:numId w:val="8"/>
              </w:numPr>
              <w:spacing w:after="60"/>
              <w:rPr>
                <w:rStyle w:val="Strong"/>
                <w:rFonts w:eastAsiaTheme="minorEastAsia"/>
                <w:b w:val="0"/>
                <w:noProof/>
                <w:sz w:val="22"/>
                <w:szCs w:val="22"/>
              </w:rPr>
            </w:pPr>
            <w:r>
              <w:rPr>
                <w:rStyle w:val="Strong"/>
                <w:b w:val="0"/>
                <w:noProof/>
                <w:sz w:val="22"/>
                <w:szCs w:val="22"/>
              </w:rPr>
              <w:t>Olyan háztartásban élő, iskoláskorú gyermekek aránya, ahol nincs internet-hozzáférés</w:t>
            </w:r>
          </w:p>
          <w:p>
            <w:pPr>
              <w:pStyle w:val="ListParagraph"/>
              <w:numPr>
                <w:ilvl w:val="0"/>
                <w:numId w:val="8"/>
              </w:numPr>
              <w:spacing w:after="60"/>
              <w:rPr>
                <w:rStyle w:val="Strong"/>
                <w:rFonts w:eastAsiaTheme="minorEastAsia"/>
                <w:b w:val="0"/>
                <w:noProof/>
                <w:sz w:val="22"/>
                <w:szCs w:val="22"/>
              </w:rPr>
            </w:pPr>
            <w:r>
              <w:rPr>
                <w:rStyle w:val="Strong"/>
                <w:b w:val="0"/>
                <w:noProof/>
                <w:sz w:val="22"/>
                <w:szCs w:val="22"/>
              </w:rPr>
              <w:t>Olyan háztartásban élő, 16–24 év közötti roma fiatalok aránya, ahol nincs számítógép</w:t>
            </w:r>
          </w:p>
          <w:p>
            <w:pPr>
              <w:pStyle w:val="ListParagraph"/>
              <w:numPr>
                <w:ilvl w:val="0"/>
                <w:numId w:val="8"/>
              </w:numPr>
              <w:spacing w:after="60"/>
              <w:rPr>
                <w:rFonts w:eastAsiaTheme="minorEastAsia"/>
                <w:b/>
                <w:noProof/>
              </w:rPr>
            </w:pPr>
            <w:r>
              <w:rPr>
                <w:rStyle w:val="Strong"/>
                <w:b w:val="0"/>
                <w:noProof/>
                <w:sz w:val="22"/>
                <w:szCs w:val="22"/>
              </w:rPr>
              <w:t>Olyan háztartásban élő, 16–24 év közötti roma fiatalok aránya, ahol nincs internet-hozzáférés</w:t>
            </w:r>
          </w:p>
        </w:tc>
        <w:tc>
          <w:tcPr>
            <w:tcW w:w="1984" w:type="dxa"/>
            <w:tcBorders>
              <w:top w:val="single" w:sz="4" w:space="0" w:color="auto"/>
              <w:left w:val="single" w:sz="4" w:space="0" w:color="auto"/>
              <w:bottom w:val="single" w:sz="4" w:space="0" w:color="auto"/>
              <w:right w:val="single" w:sz="4" w:space="0" w:color="auto"/>
            </w:tcBorders>
          </w:tcPr>
          <w:p>
            <w:pPr>
              <w:spacing w:after="60"/>
              <w:rPr>
                <w:rStyle w:val="Strong"/>
                <w:rFonts w:ascii="Times New Roman" w:hAnsi="Times New Roman"/>
                <w:noProof/>
                <w:sz w:val="18"/>
              </w:rPr>
            </w:pPr>
          </w:p>
        </w:tc>
      </w:tr>
      <w:tr>
        <w:tc>
          <w:tcPr>
            <w:tcW w:w="9345" w:type="dxa"/>
            <w:gridSpan w:val="2"/>
            <w:tcBorders>
              <w:top w:val="single" w:sz="4" w:space="0" w:color="auto"/>
              <w:left w:val="nil"/>
              <w:bottom w:val="single" w:sz="4" w:space="0" w:color="auto"/>
              <w:right w:val="nil"/>
            </w:tcBorders>
            <w:shd w:val="clear" w:color="auto" w:fill="auto"/>
          </w:tcPr>
          <w:p>
            <w:pPr>
              <w:spacing w:after="60"/>
              <w:jc w:val="center"/>
              <w:rPr>
                <w:rStyle w:val="Strong"/>
                <w:rFonts w:ascii="Times New Roman" w:hAnsi="Times New Roman"/>
                <w:noProof/>
              </w:rPr>
            </w:pP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E0E0E0"/>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A 4. célkitűzés folyamatmutatói: A romák minőségi, inkluzív általános oktatáshoz való tényleges hozzáférésének növelése</w:t>
            </w:r>
          </w:p>
        </w:tc>
      </w:tr>
      <w:tr>
        <w:tc>
          <w:tcPr>
            <w:tcW w:w="9345" w:type="dxa"/>
            <w:gridSpan w:val="2"/>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22"/>
                <w:szCs w:val="22"/>
              </w:rPr>
            </w:pPr>
            <w:r>
              <w:rPr>
                <w:rFonts w:ascii="Times New Roman" w:hAnsi="Times New Roman"/>
                <w:b/>
                <w:noProof/>
                <w:sz w:val="22"/>
                <w:szCs w:val="22"/>
              </w:rPr>
              <w:t>Mutató – A. dimenzió – Intézményi felépítés</w:t>
            </w:r>
            <w:r>
              <w:rPr>
                <w:rFonts w:ascii="Times New Roman" w:hAnsi="Times New Roman"/>
                <w:noProof/>
                <w:sz w:val="22"/>
                <w:szCs w:val="22"/>
              </w:rPr>
              <w:t xml:space="preserve"> </w:t>
            </w:r>
          </w:p>
        </w:tc>
      </w:tr>
      <w:tr>
        <w:tc>
          <w:tcPr>
            <w:tcW w:w="9345" w:type="dxa"/>
            <w:gridSpan w:val="2"/>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noProof/>
                <w:sz w:val="22"/>
              </w:rPr>
            </w:pPr>
            <w:r>
              <w:rPr>
                <w:noProof/>
                <w:sz w:val="22"/>
              </w:rPr>
              <w:t>az általános oktatással kapcsolatos szakpolitikák inkluzivitásának nyomon követése szerepel a nemzeti romastratégiai keretrendszerekben;</w:t>
            </w:r>
          </w:p>
          <w:p>
            <w:pPr>
              <w:pStyle w:val="ListParagraph"/>
              <w:numPr>
                <w:ilvl w:val="0"/>
                <w:numId w:val="6"/>
              </w:numPr>
              <w:tabs>
                <w:tab w:val="left" w:pos="1020"/>
              </w:tabs>
              <w:spacing w:after="60"/>
              <w:ind w:left="311" w:hanging="218"/>
              <w:rPr>
                <w:noProof/>
                <w:sz w:val="22"/>
              </w:rPr>
            </w:pPr>
            <w:r>
              <w:rPr>
                <w:noProof/>
                <w:sz w:val="22"/>
              </w:rPr>
              <w:t>létezik nemzeti/regionális deszegregációs program;</w:t>
            </w:r>
          </w:p>
          <w:p>
            <w:pPr>
              <w:pStyle w:val="ListParagraph"/>
              <w:numPr>
                <w:ilvl w:val="0"/>
                <w:numId w:val="6"/>
              </w:numPr>
              <w:tabs>
                <w:tab w:val="left" w:pos="1020"/>
              </w:tabs>
              <w:spacing w:after="60"/>
              <w:ind w:left="311" w:hanging="218"/>
              <w:rPr>
                <w:noProof/>
                <w:sz w:val="22"/>
              </w:rPr>
            </w:pPr>
            <w:r>
              <w:rPr>
                <w:noProof/>
                <w:sz w:val="22"/>
              </w:rPr>
              <w:t>folyamatban van a roma tanulók sajátos nevelési igényű tanulók oktatásába történő irányítását eredményező téves diagnózisának megelőzését vagy felszámolását célzó nemzeti terv;</w:t>
            </w:r>
          </w:p>
          <w:p>
            <w:pPr>
              <w:pStyle w:val="ListParagraph"/>
              <w:numPr>
                <w:ilvl w:val="0"/>
                <w:numId w:val="6"/>
              </w:numPr>
              <w:tabs>
                <w:tab w:val="left" w:pos="1020"/>
              </w:tabs>
              <w:spacing w:after="60"/>
              <w:ind w:left="311" w:hanging="218"/>
              <w:rPr>
                <w:noProof/>
                <w:sz w:val="22"/>
              </w:rPr>
            </w:pPr>
            <w:r>
              <w:rPr>
                <w:noProof/>
                <w:sz w:val="22"/>
              </w:rPr>
              <w:t>léteznek pozitív diszkriminációs intézkedések, hogy roma tanárokat alkalmazzanak az általános oktatásban;</w:t>
            </w:r>
          </w:p>
          <w:p>
            <w:pPr>
              <w:pStyle w:val="ListParagraph"/>
              <w:numPr>
                <w:ilvl w:val="0"/>
                <w:numId w:val="6"/>
              </w:numPr>
              <w:tabs>
                <w:tab w:val="left" w:pos="1020"/>
              </w:tabs>
              <w:spacing w:after="60"/>
              <w:ind w:left="311" w:hanging="218"/>
              <w:rPr>
                <w:noProof/>
                <w:sz w:val="22"/>
              </w:rPr>
            </w:pPr>
            <w:r>
              <w:rPr>
                <w:noProof/>
                <w:sz w:val="22"/>
              </w:rPr>
              <w:t>a roma iskolai mediátori és oktatási asszisztensi funkciók az oktatási rendszer részei;</w:t>
            </w:r>
          </w:p>
          <w:p>
            <w:pPr>
              <w:pStyle w:val="ListParagraph"/>
              <w:numPr>
                <w:ilvl w:val="0"/>
                <w:numId w:val="6"/>
              </w:numPr>
              <w:tabs>
                <w:tab w:val="left" w:pos="1020"/>
              </w:tabs>
              <w:spacing w:after="60"/>
              <w:ind w:left="311" w:hanging="218"/>
              <w:rPr>
                <w:noProof/>
                <w:sz w:val="22"/>
              </w:rPr>
            </w:pPr>
            <w:r>
              <w:rPr>
                <w:noProof/>
                <w:sz w:val="22"/>
              </w:rPr>
              <w:t>az általános oktatással kapcsolatos szakpolitikák inkluzivitásának kifejezett garanciái és kritériumai megjelennek a nemzeti roma stratégiai keretrendszerekben;</w:t>
            </w:r>
          </w:p>
          <w:p>
            <w:pPr>
              <w:pStyle w:val="ListParagraph"/>
              <w:numPr>
                <w:ilvl w:val="0"/>
                <w:numId w:val="6"/>
              </w:numPr>
              <w:tabs>
                <w:tab w:val="left" w:pos="1020"/>
              </w:tabs>
              <w:spacing w:after="60"/>
              <w:ind w:left="311" w:hanging="218"/>
              <w:rPr>
                <w:noProof/>
                <w:sz w:val="22"/>
              </w:rPr>
            </w:pPr>
            <w:r>
              <w:rPr>
                <w:noProof/>
                <w:sz w:val="22"/>
              </w:rPr>
              <w:t>létezik olyan rendszer, amely – különös tekintettel a lányokra – helyet biztosít a roma fiataloknak a felső középfokú vagy szakoktatásban, és támogatja részvételüket;</w:t>
            </w:r>
          </w:p>
          <w:p>
            <w:pPr>
              <w:pStyle w:val="ListParagraph"/>
              <w:numPr>
                <w:ilvl w:val="0"/>
                <w:numId w:val="6"/>
              </w:numPr>
              <w:tabs>
                <w:tab w:val="left" w:pos="1020"/>
              </w:tabs>
              <w:spacing w:after="60"/>
              <w:ind w:left="311" w:hanging="218"/>
              <w:rPr>
                <w:noProof/>
                <w:sz w:val="22"/>
              </w:rPr>
            </w:pPr>
            <w:r>
              <w:rPr>
                <w:noProof/>
                <w:sz w:val="22"/>
              </w:rPr>
              <w:t>létezik olyan rendszer, amely – különös tekintettel a lányokra –, támogatja azokat a romákat, akik ösztöndíjak, mentorálás vagy tanácsadás révén keresik a felsőoktatásban való részvétel lehetőségét.</w:t>
            </w:r>
          </w:p>
        </w:tc>
      </w:tr>
      <w:tr>
        <w:trPr>
          <w:trHeight w:val="468"/>
        </w:trPr>
        <w:tc>
          <w:tcPr>
            <w:tcW w:w="9345" w:type="dxa"/>
            <w:gridSpan w:val="2"/>
            <w:tcBorders>
              <w:top w:val="single" w:sz="4" w:space="0" w:color="auto"/>
              <w:left w:val="single" w:sz="4" w:space="0" w:color="auto"/>
              <w:bottom w:val="single" w:sz="4" w:space="0" w:color="auto"/>
              <w:right w:val="single" w:sz="4" w:space="0" w:color="auto"/>
            </w:tcBorders>
            <w:vAlign w:val="center"/>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B. dimenzió – Konkrét intézkedések és fellépések</w:t>
            </w:r>
          </w:p>
        </w:tc>
      </w:tr>
      <w:tr>
        <w:trPr>
          <w:trHeight w:val="468"/>
        </w:trPr>
        <w:tc>
          <w:tcPr>
            <w:tcW w:w="9345" w:type="dxa"/>
            <w:gridSpan w:val="2"/>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rFonts w:eastAsiaTheme="minorEastAsia"/>
                <w:noProof/>
                <w:sz w:val="22"/>
              </w:rPr>
            </w:pPr>
            <w:r>
              <w:rPr>
                <w:noProof/>
                <w:sz w:val="22"/>
                <w:szCs w:val="22"/>
              </w:rPr>
              <w:t>l</w:t>
            </w:r>
            <w:r>
              <w:rPr>
                <w:noProof/>
                <w:sz w:val="22"/>
              </w:rPr>
              <w:t>éteznek olyan intézkedések, amelyek azzal a hosszú távú céllal biztosítják a romák minőségi, inkluzív általános oktatáshoz való tényleges hozzáférését, hogy a tényleges hozzáférés tekintetében az általános népességgel azonos tényleges hozzáférést érjenek el;</w:t>
            </w:r>
          </w:p>
          <w:p>
            <w:pPr>
              <w:pStyle w:val="ListParagraph"/>
              <w:numPr>
                <w:ilvl w:val="0"/>
                <w:numId w:val="6"/>
              </w:numPr>
              <w:tabs>
                <w:tab w:val="left" w:pos="1020"/>
              </w:tabs>
              <w:spacing w:after="60"/>
              <w:ind w:left="311" w:hanging="218"/>
              <w:rPr>
                <w:rFonts w:eastAsiaTheme="minorEastAsia"/>
                <w:noProof/>
                <w:sz w:val="22"/>
              </w:rPr>
            </w:pPr>
            <w:r>
              <w:rPr>
                <w:noProof/>
                <w:sz w:val="22"/>
                <w:szCs w:val="22"/>
              </w:rPr>
              <w:t>l</w:t>
            </w:r>
            <w:r>
              <w:rPr>
                <w:noProof/>
                <w:sz w:val="22"/>
              </w:rPr>
              <w:t>éteznek és működnek a roma gyermekek kisgyermekkori neveléshez és gondozáshoz való tényleges hozzáférését biztosító garanciák;</w:t>
            </w:r>
          </w:p>
          <w:p>
            <w:pPr>
              <w:pStyle w:val="ListParagraph"/>
              <w:numPr>
                <w:ilvl w:val="0"/>
                <w:numId w:val="6"/>
              </w:numPr>
              <w:tabs>
                <w:tab w:val="left" w:pos="1020"/>
              </w:tabs>
              <w:spacing w:after="60"/>
              <w:ind w:left="311" w:hanging="218"/>
              <w:rPr>
                <w:rFonts w:eastAsiaTheme="minorEastAsia"/>
                <w:noProof/>
                <w:sz w:val="22"/>
              </w:rPr>
            </w:pPr>
            <w:r>
              <w:rPr>
                <w:noProof/>
                <w:sz w:val="22"/>
              </w:rPr>
              <w:t>a tanárok és az oktatási személyzet más tagjai részére a hátrányos megkülönböztetés és a cigányellenesség megelőzésével kapcsolatos képzéseket szerveznek;</w:t>
            </w:r>
          </w:p>
          <w:p>
            <w:pPr>
              <w:pStyle w:val="ListParagraph"/>
              <w:numPr>
                <w:ilvl w:val="0"/>
                <w:numId w:val="6"/>
              </w:numPr>
              <w:tabs>
                <w:tab w:val="left" w:pos="1020"/>
              </w:tabs>
              <w:spacing w:after="60"/>
              <w:ind w:left="311" w:hanging="218"/>
              <w:rPr>
                <w:rFonts w:eastAsiaTheme="minorEastAsia"/>
                <w:noProof/>
                <w:sz w:val="22"/>
              </w:rPr>
            </w:pPr>
            <w:r>
              <w:rPr>
                <w:noProof/>
                <w:sz w:val="22"/>
              </w:rPr>
              <w:t>a tanárokat kiképzik az inkluzív oktatási megközelítés biztosítására/alkalmazására</w:t>
            </w:r>
            <w:r>
              <w:rPr>
                <w:noProof/>
              </w:rPr>
              <w:t>;</w:t>
            </w:r>
          </w:p>
          <w:p>
            <w:pPr>
              <w:pStyle w:val="ListParagraph"/>
              <w:numPr>
                <w:ilvl w:val="0"/>
                <w:numId w:val="6"/>
              </w:numPr>
              <w:tabs>
                <w:tab w:val="left" w:pos="1020"/>
              </w:tabs>
              <w:spacing w:after="60"/>
              <w:ind w:left="311" w:hanging="218"/>
              <w:rPr>
                <w:rFonts w:eastAsiaTheme="minorEastAsia"/>
                <w:noProof/>
                <w:sz w:val="22"/>
              </w:rPr>
            </w:pPr>
            <w:r>
              <w:rPr>
                <w:noProof/>
                <w:sz w:val="22"/>
              </w:rPr>
              <w:t>az általános oktatás terén képzett személyzet egyéni pedagógiai támogatást nyújt a roma tanulók részére;</w:t>
            </w:r>
          </w:p>
          <w:p>
            <w:pPr>
              <w:pStyle w:val="ListParagraph"/>
              <w:numPr>
                <w:ilvl w:val="0"/>
                <w:numId w:val="6"/>
              </w:numPr>
              <w:tabs>
                <w:tab w:val="left" w:pos="1020"/>
              </w:tabs>
              <w:spacing w:after="60"/>
              <w:ind w:left="311" w:hanging="218"/>
              <w:rPr>
                <w:noProof/>
                <w:sz w:val="22"/>
              </w:rPr>
            </w:pPr>
            <w:r>
              <w:rPr>
                <w:noProof/>
                <w:sz w:val="22"/>
              </w:rPr>
              <w:t>rendelkezésre áll a roma kultúrát, történelmet és nyelvet bemutató tanterv és oktatási anyag;</w:t>
            </w:r>
          </w:p>
          <w:p>
            <w:pPr>
              <w:pStyle w:val="ListParagraph"/>
              <w:numPr>
                <w:ilvl w:val="0"/>
                <w:numId w:val="6"/>
              </w:numPr>
              <w:tabs>
                <w:tab w:val="left" w:pos="1020"/>
              </w:tabs>
              <w:spacing w:after="60"/>
              <w:ind w:left="311" w:hanging="218"/>
              <w:rPr>
                <w:noProof/>
                <w:sz w:val="22"/>
              </w:rPr>
            </w:pPr>
            <w:r>
              <w:rPr>
                <w:noProof/>
                <w:sz w:val="22"/>
              </w:rPr>
              <w:t>léteznek a roma gyermekek tanórán kívüli, kulturális és szabadidős tevékenységekhez való, multikulturális közegben történő hozzáférését elősegítő intézkedések;</w:t>
            </w:r>
          </w:p>
          <w:p>
            <w:pPr>
              <w:pStyle w:val="ListParagraph"/>
              <w:numPr>
                <w:ilvl w:val="0"/>
                <w:numId w:val="6"/>
              </w:numPr>
              <w:tabs>
                <w:tab w:val="left" w:pos="1020"/>
              </w:tabs>
              <w:spacing w:after="60"/>
              <w:ind w:left="311" w:hanging="218"/>
              <w:rPr>
                <w:noProof/>
                <w:sz w:val="22"/>
              </w:rPr>
            </w:pPr>
            <w:r>
              <w:rPr>
                <w:noProof/>
                <w:sz w:val="22"/>
              </w:rPr>
              <w:t>a támogatási programokat (például egyéni támogatás, ösztöndíjak, mentorálás, a digitális jártassággal kapcsolatosakat is ideértve) igénybe vevő romák;</w:t>
            </w:r>
          </w:p>
          <w:p>
            <w:pPr>
              <w:pStyle w:val="ListParagraph"/>
              <w:numPr>
                <w:ilvl w:val="0"/>
                <w:numId w:val="6"/>
              </w:numPr>
              <w:tabs>
                <w:tab w:val="left" w:pos="1020"/>
              </w:tabs>
              <w:spacing w:after="60"/>
              <w:ind w:left="311" w:hanging="218"/>
              <w:rPr>
                <w:noProof/>
                <w:sz w:val="22"/>
              </w:rPr>
            </w:pPr>
            <w:r>
              <w:rPr>
                <w:noProof/>
                <w:sz w:val="22"/>
              </w:rPr>
              <w:t>létezik az iskolai romaellenes rasszizmus elleni küzdelemre elkülönített költségvetés;</w:t>
            </w:r>
          </w:p>
          <w:p>
            <w:pPr>
              <w:pStyle w:val="ListParagraph"/>
              <w:numPr>
                <w:ilvl w:val="0"/>
                <w:numId w:val="6"/>
              </w:numPr>
              <w:tabs>
                <w:tab w:val="left" w:pos="1020"/>
              </w:tabs>
              <w:spacing w:after="60"/>
              <w:ind w:left="311" w:hanging="218"/>
              <w:rPr>
                <w:noProof/>
                <w:sz w:val="22"/>
              </w:rPr>
            </w:pPr>
            <w:r>
              <w:rPr>
                <w:noProof/>
                <w:sz w:val="22"/>
              </w:rPr>
              <w:t>léteznek az egyetemre felvett romák támogatására szolgáló ösztöndíjak;</w:t>
            </w:r>
          </w:p>
          <w:p>
            <w:pPr>
              <w:pStyle w:val="ListParagraph"/>
              <w:numPr>
                <w:ilvl w:val="0"/>
                <w:numId w:val="6"/>
              </w:numPr>
              <w:tabs>
                <w:tab w:val="left" w:pos="1020"/>
              </w:tabs>
              <w:spacing w:after="60"/>
              <w:ind w:left="311" w:hanging="218"/>
              <w:rPr>
                <w:noProof/>
                <w:sz w:val="22"/>
              </w:rPr>
            </w:pPr>
            <w:r>
              <w:rPr>
                <w:noProof/>
                <w:sz w:val="22"/>
              </w:rPr>
              <w:t>a romológia vagy a roma tanulmányok egyetemi szintű tantervek részét képezik;</w:t>
            </w:r>
          </w:p>
          <w:p>
            <w:pPr>
              <w:pStyle w:val="ListParagraph"/>
              <w:numPr>
                <w:ilvl w:val="0"/>
                <w:numId w:val="6"/>
              </w:numPr>
              <w:tabs>
                <w:tab w:val="left" w:pos="1020"/>
              </w:tabs>
              <w:spacing w:after="60"/>
              <w:ind w:left="311" w:hanging="218"/>
              <w:rPr>
                <w:noProof/>
              </w:rPr>
            </w:pPr>
            <w:r>
              <w:rPr>
                <w:noProof/>
                <w:sz w:val="22"/>
              </w:rPr>
              <w:t>az iskolákban ingyenesen oktatják a romani nyelvet;</w:t>
            </w:r>
          </w:p>
          <w:p>
            <w:pPr>
              <w:pStyle w:val="ListParagraph"/>
              <w:numPr>
                <w:ilvl w:val="0"/>
                <w:numId w:val="6"/>
              </w:numPr>
              <w:tabs>
                <w:tab w:val="left" w:pos="1020"/>
              </w:tabs>
              <w:spacing w:after="60"/>
              <w:ind w:left="311" w:hanging="218"/>
              <w:rPr>
                <w:noProof/>
                <w:sz w:val="22"/>
              </w:rPr>
            </w:pPr>
            <w:r>
              <w:rPr>
                <w:noProof/>
                <w:sz w:val="22"/>
              </w:rPr>
              <w:t>léteznek az informális oktatás és a szakmai tapasztalat elismerésére szolgáló, célzott intézkedések;</w:t>
            </w:r>
          </w:p>
        </w:tc>
      </w:tr>
      <w:tr>
        <w:tc>
          <w:tcPr>
            <w:tcW w:w="9345" w:type="dxa"/>
            <w:gridSpan w:val="2"/>
            <w:tcBorders>
              <w:top w:val="single" w:sz="4" w:space="0" w:color="auto"/>
              <w:left w:val="single" w:sz="4" w:space="0" w:color="auto"/>
              <w:bottom w:val="single" w:sz="4" w:space="0" w:color="auto"/>
              <w:right w:val="single" w:sz="4" w:space="0" w:color="auto"/>
            </w:tcBorders>
            <w:vAlign w:val="center"/>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C. dimenzió – A döntéshozatali eljárások minősége</w:t>
            </w:r>
            <w:r>
              <w:rPr>
                <w:rFonts w:ascii="Times New Roman" w:hAnsi="Times New Roman"/>
                <w:noProof/>
                <w:sz w:val="22"/>
                <w:szCs w:val="22"/>
              </w:rPr>
              <w:t xml:space="preserve"> </w:t>
            </w:r>
          </w:p>
        </w:tc>
      </w:tr>
      <w:tr>
        <w:tc>
          <w:tcPr>
            <w:tcW w:w="9345" w:type="dxa"/>
            <w:gridSpan w:val="2"/>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rFonts w:eastAsiaTheme="minorEastAsia"/>
                <w:noProof/>
                <w:sz w:val="22"/>
              </w:rPr>
            </w:pPr>
            <w:r>
              <w:rPr>
                <w:noProof/>
                <w:sz w:val="22"/>
                <w:szCs w:val="22"/>
              </w:rPr>
              <w:t>l</w:t>
            </w:r>
            <w:r>
              <w:rPr>
                <w:noProof/>
                <w:sz w:val="22"/>
              </w:rPr>
              <w:t>éteznek olyan intézkedések, amelyek biztosítják a romák részvételét az oktatással kapcsolatos szakpolitikai válaszok kidolgozásában;</w:t>
            </w:r>
          </w:p>
          <w:p>
            <w:pPr>
              <w:pStyle w:val="ListParagraph"/>
              <w:numPr>
                <w:ilvl w:val="0"/>
                <w:numId w:val="6"/>
              </w:numPr>
              <w:tabs>
                <w:tab w:val="left" w:pos="1020"/>
              </w:tabs>
              <w:spacing w:after="60"/>
              <w:ind w:left="311" w:hanging="218"/>
              <w:rPr>
                <w:rFonts w:eastAsiaTheme="minorEastAsia"/>
                <w:noProof/>
                <w:sz w:val="22"/>
              </w:rPr>
            </w:pPr>
            <w:r>
              <w:rPr>
                <w:noProof/>
                <w:sz w:val="22"/>
              </w:rPr>
              <w:t>Az iskolafelügyeletek részt vesznek az e cél keretében végrehajtott intézkedések eredményeinek nyomon követésében;</w:t>
            </w:r>
          </w:p>
          <w:p>
            <w:pPr>
              <w:pStyle w:val="ListParagraph"/>
              <w:numPr>
                <w:ilvl w:val="0"/>
                <w:numId w:val="6"/>
              </w:numPr>
              <w:tabs>
                <w:tab w:val="left" w:pos="1020"/>
              </w:tabs>
              <w:spacing w:after="60"/>
              <w:ind w:left="311" w:hanging="218"/>
              <w:rPr>
                <w:rFonts w:eastAsiaTheme="minorEastAsia"/>
                <w:noProof/>
                <w:sz w:val="22"/>
              </w:rPr>
            </w:pPr>
            <w:r>
              <w:rPr>
                <w:noProof/>
                <w:sz w:val="22"/>
              </w:rPr>
              <w:t>a roma civil szervezetek részt vesznek az uniós pénzeszközök operatív programjainak monitoringbizottságaiban, amelyek keretében az oktatáshoz való egyenlő hozzáférés előmozdítását (különös tekintettel minden szinten a szegregáció elleni küzdelemre és az inkluzív oktatás előmozdítására) célzó egyedi intézkedéseket végrehajtják</w:t>
            </w:r>
          </w:p>
        </w:tc>
      </w:tr>
    </w:tbl>
    <w:p>
      <w:pPr>
        <w:pStyle w:val="Heading2"/>
        <w:spacing w:before="120" w:after="200"/>
        <w:rPr>
          <w:rFonts w:ascii="Times New Roman" w:eastAsia="Times New Roman" w:hAnsi="Times New Roman" w:cs="Times New Roman"/>
          <w:b/>
          <w:noProof/>
          <w:color w:val="auto"/>
          <w:sz w:val="24"/>
          <w:szCs w:val="20"/>
        </w:rPr>
      </w:pPr>
      <w:bookmarkStart w:id="54" w:name="_Toc42625028"/>
      <w:bookmarkStart w:id="55" w:name="_Toc42697882"/>
      <w:bookmarkStart w:id="56" w:name="_Toc42698841"/>
      <w:bookmarkStart w:id="57" w:name="_Toc42706935"/>
      <w:bookmarkStart w:id="58" w:name="_Toc42713780"/>
      <w:bookmarkStart w:id="59" w:name="_Toc42714182"/>
      <w:bookmarkStart w:id="60" w:name="_Toc44090796"/>
      <w:r>
        <w:rPr>
          <w:rFonts w:ascii="Times New Roman" w:hAnsi="Times New Roman"/>
          <w:b/>
          <w:noProof/>
          <w:color w:val="auto"/>
          <w:sz w:val="24"/>
          <w:szCs w:val="20"/>
        </w:rPr>
        <w:t>5. célkitűzés: A színvonalas és fenntartható foglalkoztatáshoz való tényleges egyenlő hozzáférés növelése</w:t>
      </w:r>
      <w:bookmarkEnd w:id="54"/>
      <w:bookmarkEnd w:id="55"/>
      <w:bookmarkEnd w:id="56"/>
      <w:bookmarkEnd w:id="57"/>
      <w:bookmarkEnd w:id="58"/>
      <w:bookmarkEnd w:id="59"/>
      <w:bookmarkEnd w:id="60"/>
    </w:p>
    <w:tbl>
      <w:tblPr>
        <w:tblStyle w:val="TableGrid"/>
        <w:tblW w:w="9345" w:type="dxa"/>
        <w:tblInd w:w="0" w:type="dxa"/>
        <w:tblLayout w:type="fixed"/>
        <w:tblLook w:val="04A0" w:firstRow="1" w:lastRow="0" w:firstColumn="1" w:lastColumn="0" w:noHBand="0" w:noVBand="1"/>
      </w:tblPr>
      <w:tblGrid>
        <w:gridCol w:w="7361"/>
        <w:gridCol w:w="1984"/>
      </w:tblGrid>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22"/>
                <w:szCs w:val="22"/>
              </w:rPr>
            </w:pPr>
            <w:r>
              <w:rPr>
                <w:rStyle w:val="Strong"/>
                <w:rFonts w:ascii="Times New Roman" w:hAnsi="Times New Roman"/>
                <w:noProof/>
                <w:sz w:val="22"/>
                <w:szCs w:val="22"/>
              </w:rPr>
              <w:t xml:space="preserve">Kiemelt mutató: </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sz w:val="22"/>
                <w:szCs w:val="22"/>
              </w:rPr>
            </w:pPr>
            <w:r>
              <w:rPr>
                <w:rStyle w:val="Strong"/>
                <w:noProof/>
                <w:sz w:val="22"/>
                <w:szCs w:val="22"/>
              </w:rPr>
              <w:t>Azon 20–64 év közötti személyek aránya, akik fő tevékenysége saját bevallásuk szerint „fizetett munka” (ideértve a teljes munkaidős, részmunkaidős, eseti munkákat, az önfoglalkoztatást és az alkalmi munkát vagy az elmúlt négy hétben végzett munkát is)</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Fonts w:ascii="Times New Roman" w:hAnsi="Times New Roman"/>
                <w:noProof/>
                <w:sz w:val="18"/>
              </w:rPr>
            </w:pPr>
            <w:r>
              <w:rPr>
                <w:rFonts w:ascii="Times New Roman" w:hAnsi="Times New Roman"/>
                <w:b/>
                <w:noProof/>
                <w:sz w:val="18"/>
              </w:rPr>
              <w:t>Eurostat</w:t>
            </w:r>
            <w:r>
              <w:rPr>
                <w:rFonts w:ascii="Times New Roman" w:hAnsi="Times New Roman"/>
                <w:noProof/>
                <w:sz w:val="18"/>
              </w:rPr>
              <w:t xml:space="preserve"> [lfsa_ergan]</w:t>
            </w:r>
          </w:p>
          <w:p>
            <w:pPr>
              <w:rPr>
                <w:rStyle w:val="Strong"/>
                <w:rFonts w:ascii="Times New Roman" w:hAnsi="Times New Roman"/>
                <w:noProof/>
              </w:rPr>
            </w:pPr>
            <w:r>
              <w:rPr>
                <w:rFonts w:ascii="Times New Roman" w:hAnsi="Times New Roman"/>
                <w:noProof/>
                <w:sz w:val="18"/>
              </w:rPr>
              <w:t>SDG 8.5.</w:t>
            </w:r>
          </w:p>
        </w:tc>
      </w:tr>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sz w:val="22"/>
                <w:szCs w:val="22"/>
              </w:rPr>
            </w:pPr>
            <w:r>
              <w:rPr>
                <w:rStyle w:val="Strong"/>
                <w:noProof/>
                <w:sz w:val="22"/>
                <w:szCs w:val="22"/>
              </w:rPr>
              <w:t>Azon 15–29 év közötti fiatalok aránya**, akik jelenlegi fő gazdasági aktivitása „nem foglalkoztatott, oktatásban és képzésben nem részesülő” (NEET)</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Fonts w:ascii="Times New Roman" w:hAnsi="Times New Roman"/>
                <w:noProof/>
                <w:sz w:val="18"/>
              </w:rPr>
            </w:pPr>
            <w:r>
              <w:rPr>
                <w:rFonts w:ascii="Times New Roman" w:hAnsi="Times New Roman"/>
                <w:b/>
                <w:noProof/>
                <w:sz w:val="18"/>
              </w:rPr>
              <w:t>Eurostat</w:t>
            </w:r>
            <w:r>
              <w:rPr>
                <w:rFonts w:ascii="Times New Roman" w:hAnsi="Times New Roman"/>
                <w:noProof/>
                <w:sz w:val="18"/>
              </w:rPr>
              <w:t xml:space="preserve">  [edat_lfse_20]</w:t>
            </w:r>
          </w:p>
          <w:p>
            <w:pPr>
              <w:rPr>
                <w:rStyle w:val="Strong"/>
                <w:rFonts w:ascii="Times New Roman" w:hAnsi="Times New Roman"/>
                <w:noProof/>
              </w:rPr>
            </w:pPr>
            <w:r>
              <w:rPr>
                <w:rFonts w:ascii="Times New Roman" w:hAnsi="Times New Roman"/>
                <w:noProof/>
                <w:sz w:val="18"/>
              </w:rPr>
              <w:t>SDG 8.6.1.</w:t>
            </w:r>
          </w:p>
        </w:tc>
      </w:tr>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sz w:val="22"/>
                <w:szCs w:val="22"/>
              </w:rPr>
            </w:pPr>
            <w:r>
              <w:rPr>
                <w:rStyle w:val="Strong"/>
                <w:noProof/>
                <w:sz w:val="22"/>
                <w:szCs w:val="22"/>
              </w:rPr>
              <w:t>Nemek közötti foglalkoztatási különbség: A 20–64 év közötti nők és férfiak közötti különbség a fizetett munka arányát tekintve</w:t>
            </w:r>
          </w:p>
          <w:p>
            <w:pPr>
              <w:pStyle w:val="ListParagraph"/>
              <w:rPr>
                <w:rStyle w:val="Strong"/>
                <w:rFonts w:eastAsiaTheme="minorEastAsia"/>
                <w:noProof/>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Fonts w:ascii="Times New Roman" w:hAnsi="Times New Roman"/>
                <w:noProof/>
                <w:sz w:val="18"/>
              </w:rPr>
            </w:pPr>
            <w:r>
              <w:rPr>
                <w:rFonts w:ascii="Times New Roman" w:hAnsi="Times New Roman"/>
                <w:b/>
                <w:noProof/>
                <w:sz w:val="18"/>
              </w:rPr>
              <w:t>Eurostat</w:t>
            </w:r>
            <w:r>
              <w:rPr>
                <w:rFonts w:ascii="Times New Roman" w:hAnsi="Times New Roman"/>
                <w:noProof/>
                <w:sz w:val="18"/>
              </w:rPr>
              <w:t xml:space="preserve"> [lfsa_ergan]</w:t>
            </w:r>
          </w:p>
          <w:p>
            <w:pPr>
              <w:rPr>
                <w:rStyle w:val="Strong"/>
                <w:rFonts w:ascii="Times New Roman" w:hAnsi="Times New Roman"/>
                <w:noProof/>
              </w:rPr>
            </w:pPr>
            <w:r>
              <w:rPr>
                <w:rFonts w:ascii="Times New Roman" w:hAnsi="Times New Roman"/>
                <w:noProof/>
                <w:sz w:val="18"/>
              </w:rPr>
              <w:t>SDG 8.5.</w:t>
            </w: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 xml:space="preserve">Eredménymutatók </w:t>
            </w:r>
          </w:p>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Másodlagos (fakultatív)</w:t>
            </w:r>
          </w:p>
        </w:tc>
      </w:tr>
      <w:tr>
        <w:tc>
          <w:tcPr>
            <w:tcW w:w="736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Mutató</w:t>
            </w:r>
          </w:p>
        </w:tc>
        <w:tc>
          <w:tcPr>
            <w:tcW w:w="198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Azon 16 évesnél idősebb személyek aránya, akik az elmúlt 12 hónapban úgy érezték, hogy roma voltuk miatt a munkában hátrányosan megkülönböztették őket</w:t>
            </w:r>
          </w:p>
        </w:tc>
        <w:tc>
          <w:tcPr>
            <w:tcW w:w="1984"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noProof/>
                <w:sz w:val="18"/>
              </w:rPr>
              <w:t>n.a./potenciálisan FRS</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 xml:space="preserve">Azon 16 évesnél idősebb személyek aránya, akik az elmúlt 12 hónapban úgy érezték, hogy roma voltuk miatt álláskereséskor hátrányosan megkülönböztették őket </w:t>
            </w:r>
          </w:p>
        </w:tc>
        <w:tc>
          <w:tcPr>
            <w:tcW w:w="1984"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noProof/>
                <w:sz w:val="18"/>
              </w:rPr>
              <w:t>n.a./potenciálisan FRS</w:t>
            </w:r>
          </w:p>
        </w:tc>
      </w:tr>
      <w:tr>
        <w:tc>
          <w:tcPr>
            <w:tcW w:w="7361"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22"/>
                <w:szCs w:val="22"/>
              </w:rPr>
            </w:pPr>
            <w:r>
              <w:rPr>
                <w:rFonts w:ascii="Times New Roman" w:hAnsi="Times New Roman"/>
                <w:b/>
                <w:noProof/>
                <w:sz w:val="22"/>
                <w:szCs w:val="22"/>
              </w:rPr>
              <w:t>A munka minőségével kapcsolatos további, kidolgozásra váró mutatók</w:t>
            </w:r>
            <w:r>
              <w:rPr>
                <w:rFonts w:ascii="Times New Roman" w:hAnsi="Times New Roman"/>
                <w:noProof/>
                <w:sz w:val="22"/>
                <w:szCs w:val="22"/>
              </w:rPr>
              <w:t xml:space="preserve">: határozatlan idejű szerződések, képesítést igénylő munkák, a közszolgálatban dolgozók aránya, dolgozói szegénység, továbbás szakoktatás és –képzés) </w:t>
            </w:r>
          </w:p>
        </w:tc>
        <w:tc>
          <w:tcPr>
            <w:tcW w:w="1984"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18"/>
              </w:rPr>
            </w:pPr>
          </w:p>
        </w:tc>
      </w:tr>
      <w:tr>
        <w:tc>
          <w:tcPr>
            <w:tcW w:w="9345" w:type="dxa"/>
            <w:gridSpan w:val="2"/>
            <w:tcBorders>
              <w:top w:val="single" w:sz="4" w:space="0" w:color="auto"/>
              <w:left w:val="nil"/>
              <w:bottom w:val="single" w:sz="4" w:space="0" w:color="auto"/>
              <w:right w:val="nil"/>
            </w:tcBorders>
            <w:shd w:val="clear" w:color="auto" w:fill="auto"/>
          </w:tcPr>
          <w:p>
            <w:pPr>
              <w:keepNext/>
              <w:keepLines/>
              <w:spacing w:after="60"/>
              <w:jc w:val="center"/>
              <w:rPr>
                <w:rStyle w:val="Strong"/>
                <w:rFonts w:ascii="Times New Roman" w:hAnsi="Times New Roman"/>
                <w:noProof/>
              </w:rPr>
            </w:pP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keepNext/>
              <w:keepLines/>
              <w:spacing w:after="60"/>
              <w:jc w:val="center"/>
              <w:rPr>
                <w:rStyle w:val="Strong"/>
                <w:rFonts w:ascii="Times New Roman" w:hAnsi="Times New Roman"/>
                <w:noProof/>
                <w:sz w:val="22"/>
                <w:szCs w:val="22"/>
              </w:rPr>
            </w:pPr>
            <w:r>
              <w:rPr>
                <w:rStyle w:val="Strong"/>
                <w:rFonts w:ascii="Times New Roman" w:hAnsi="Times New Roman"/>
                <w:noProof/>
                <w:sz w:val="22"/>
                <w:szCs w:val="22"/>
              </w:rPr>
              <w:t>Az 5. célkitűzés folyamatmutatói: A romák fizetett, minőségi és fenntartható foglalkoztatáshoz való tényleges hozzáférésének növelése</w:t>
            </w:r>
          </w:p>
        </w:tc>
      </w:tr>
      <w:tr>
        <w:tc>
          <w:tcPr>
            <w:tcW w:w="9345" w:type="dxa"/>
            <w:gridSpan w:val="2"/>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22"/>
                <w:szCs w:val="22"/>
              </w:rPr>
            </w:pPr>
            <w:r>
              <w:rPr>
                <w:rFonts w:ascii="Times New Roman" w:hAnsi="Times New Roman"/>
                <w:b/>
                <w:noProof/>
                <w:sz w:val="22"/>
                <w:szCs w:val="22"/>
              </w:rPr>
              <w:t>Mutató – A. dimenzió – Intézményi felépítés</w:t>
            </w:r>
            <w:r>
              <w:rPr>
                <w:rFonts w:ascii="Times New Roman" w:hAnsi="Times New Roman"/>
                <w:noProof/>
                <w:sz w:val="22"/>
                <w:szCs w:val="22"/>
              </w:rPr>
              <w:t xml:space="preserve"> </w:t>
            </w:r>
          </w:p>
        </w:tc>
      </w:tr>
      <w:tr>
        <w:tc>
          <w:tcPr>
            <w:tcW w:w="9345" w:type="dxa"/>
            <w:gridSpan w:val="2"/>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noProof/>
                <w:sz w:val="22"/>
              </w:rPr>
            </w:pPr>
            <w:r>
              <w:rPr>
                <w:noProof/>
                <w:sz w:val="22"/>
                <w:szCs w:val="22"/>
              </w:rPr>
              <w:t>l</w:t>
            </w:r>
            <w:r>
              <w:rPr>
                <w:noProof/>
                <w:sz w:val="22"/>
              </w:rPr>
              <w:t>étezik, és rendelkezik a szükséges erőforrásokkal a romák minőségi foglalkoztatásának támogatására szolgáló mechanizmus;</w:t>
            </w:r>
          </w:p>
          <w:p>
            <w:pPr>
              <w:pStyle w:val="ListParagraph"/>
              <w:numPr>
                <w:ilvl w:val="0"/>
                <w:numId w:val="6"/>
              </w:numPr>
              <w:tabs>
                <w:tab w:val="left" w:pos="1020"/>
              </w:tabs>
              <w:spacing w:after="60"/>
              <w:ind w:left="311" w:hanging="218"/>
              <w:rPr>
                <w:noProof/>
                <w:sz w:val="22"/>
              </w:rPr>
            </w:pPr>
            <w:r>
              <w:rPr>
                <w:noProof/>
                <w:sz w:val="22"/>
              </w:rPr>
              <w:t>a roma szervezetek megfigyelőként részt vesznek a szakszervezetekben és a háromoldalú bizottságokban;</w:t>
            </w:r>
          </w:p>
          <w:p>
            <w:pPr>
              <w:pStyle w:val="ListParagraph"/>
              <w:numPr>
                <w:ilvl w:val="0"/>
                <w:numId w:val="6"/>
              </w:numPr>
              <w:tabs>
                <w:tab w:val="left" w:pos="1020"/>
              </w:tabs>
              <w:spacing w:after="60"/>
              <w:ind w:left="311" w:hanging="218"/>
              <w:rPr>
                <w:noProof/>
                <w:sz w:val="22"/>
              </w:rPr>
            </w:pPr>
            <w:r>
              <w:rPr>
                <w:noProof/>
                <w:sz w:val="22"/>
              </w:rPr>
              <w:t>léteznek a roma szakemberek közigazgatásban való alkalmazásának támogatására szolgáló mentori és szakmai előmeneteli programok;</w:t>
            </w:r>
          </w:p>
          <w:p>
            <w:pPr>
              <w:pStyle w:val="ListParagraph"/>
              <w:numPr>
                <w:ilvl w:val="0"/>
                <w:numId w:val="6"/>
              </w:numPr>
              <w:tabs>
                <w:tab w:val="left" w:pos="1020"/>
              </w:tabs>
              <w:spacing w:after="60"/>
              <w:ind w:left="311" w:hanging="218"/>
              <w:rPr>
                <w:noProof/>
                <w:sz w:val="22"/>
              </w:rPr>
            </w:pPr>
            <w:r>
              <w:rPr>
                <w:noProof/>
                <w:sz w:val="22"/>
              </w:rPr>
              <w:t>léteznek a romák munkaügyi központok és egyéb közigazgatási ágak teljes munkaidős személyzetében történő foglalkoztatásnak támogatására szolgáló mechanizmusok;</w:t>
            </w:r>
          </w:p>
          <w:p>
            <w:pPr>
              <w:pStyle w:val="ListParagraph"/>
              <w:numPr>
                <w:ilvl w:val="0"/>
                <w:numId w:val="6"/>
              </w:numPr>
              <w:tabs>
                <w:tab w:val="left" w:pos="1020"/>
              </w:tabs>
              <w:spacing w:after="60"/>
              <w:ind w:left="311" w:hanging="218"/>
              <w:rPr>
                <w:rFonts w:eastAsiaTheme="minorEastAsia"/>
                <w:noProof/>
                <w:sz w:val="22"/>
              </w:rPr>
            </w:pPr>
            <w:r>
              <w:rPr>
                <w:noProof/>
                <w:sz w:val="22"/>
              </w:rPr>
              <w:t>a jelentős roma lakosságaránnyal rendelkező önkormányzatok igazgatási struktúrájában léteznek roma „foglalkoztatási és ifjúsági közvetítő” pozíciók;</w:t>
            </w:r>
          </w:p>
          <w:p>
            <w:pPr>
              <w:pStyle w:val="ListParagraph"/>
              <w:numPr>
                <w:ilvl w:val="0"/>
                <w:numId w:val="6"/>
              </w:numPr>
              <w:tabs>
                <w:tab w:val="left" w:pos="1020"/>
              </w:tabs>
              <w:spacing w:after="60"/>
              <w:ind w:left="311" w:hanging="218"/>
              <w:rPr>
                <w:noProof/>
                <w:sz w:val="22"/>
              </w:rPr>
            </w:pPr>
            <w:r>
              <w:rPr>
                <w:noProof/>
                <w:sz w:val="22"/>
              </w:rPr>
              <w:t>léteznek a roma kisvállalkozásokat, induló vállalkozásokat és a vállalkozói kezdeményezéseket támogató rendszerek.</w:t>
            </w:r>
          </w:p>
        </w:tc>
      </w:tr>
      <w:tr>
        <w:trPr>
          <w:trHeight w:val="468"/>
        </w:trPr>
        <w:tc>
          <w:tcPr>
            <w:tcW w:w="9345" w:type="dxa"/>
            <w:gridSpan w:val="2"/>
            <w:tcBorders>
              <w:top w:val="single" w:sz="4" w:space="0" w:color="auto"/>
              <w:left w:val="single" w:sz="4" w:space="0" w:color="auto"/>
              <w:bottom w:val="single" w:sz="4" w:space="0" w:color="auto"/>
              <w:right w:val="single" w:sz="4" w:space="0" w:color="auto"/>
            </w:tcBorders>
            <w:vAlign w:val="center"/>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B. dimenzió – Konkrét intézkedések és fellépések</w:t>
            </w:r>
          </w:p>
        </w:tc>
      </w:tr>
      <w:tr>
        <w:trPr>
          <w:trHeight w:val="468"/>
        </w:trPr>
        <w:tc>
          <w:tcPr>
            <w:tcW w:w="9345" w:type="dxa"/>
            <w:gridSpan w:val="2"/>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léteznek a roma vállalkozások és önfoglakoztatás támogatására szolgáló, célzott intézkedések, különösen a fiatalok körében;</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léteznek az informális foglalkoztatás formalizálásának támogatására szolgáló, célzott intézkedések;</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léteznek a romák közigazgatásban történő foglalkoztatására szolgáló, célzott intézkedések;</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jelentős roma lakosságaránnyal rendelkező településeket célzó közmunkaprogramok kifejezett készségépítő és képesítési összetevőkkel rendelkező kimeneti stratégiákat tartalmaznak;</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léteznek és erőforrásokkal vannak ellátva a roma fiatalokat célzó, az első munkatapasztalat, a munkaközvetítés és a tanulószerződéses gyakorlati képzés, valamint a szakmai előmenetel támogatására szolgáló programok;</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befogadó munkáltatók támogatására és a munkahelyi esélyegyenlőség előmozdítására szolgáló programokat hajtanak végre;</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foglalkoztatási szolgálatok, szövetségek és munkaadók számára a munkaerőpiaci hátrányos megkülönböztetés és cigányellenesség leküzdését célzó ismeretterjesztő kampányokat és célzott képzéseket szerveznek;</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léteznek és teljes mértékben működnek a kifejezetten a roma közösségeket célzó kisvállalkozói mikrohitelek;</w:t>
            </w:r>
          </w:p>
        </w:tc>
      </w:tr>
      <w:tr>
        <w:tc>
          <w:tcPr>
            <w:tcW w:w="9345" w:type="dxa"/>
            <w:gridSpan w:val="2"/>
            <w:tcBorders>
              <w:top w:val="single" w:sz="4" w:space="0" w:color="auto"/>
              <w:left w:val="single" w:sz="4" w:space="0" w:color="auto"/>
              <w:bottom w:val="single" w:sz="4" w:space="0" w:color="auto"/>
              <w:right w:val="single" w:sz="4" w:space="0" w:color="auto"/>
            </w:tcBorders>
            <w:vAlign w:val="center"/>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C. dimenzió – A döntéshozatali eljárások minősége</w:t>
            </w:r>
            <w:r>
              <w:rPr>
                <w:rFonts w:ascii="Times New Roman" w:hAnsi="Times New Roman"/>
                <w:noProof/>
                <w:sz w:val="22"/>
                <w:szCs w:val="22"/>
              </w:rPr>
              <w:t xml:space="preserve"> </w:t>
            </w:r>
          </w:p>
        </w:tc>
      </w:tr>
      <w:tr>
        <w:tc>
          <w:tcPr>
            <w:tcW w:w="9345" w:type="dxa"/>
            <w:gridSpan w:val="2"/>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léteznek olyan intézkedések, amelyek biztosítják a romák részvételét a foglalkoztatással kapcsolatos szakpolitikai válaszok kidolgozásában;</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 roma civil szervezetek részt vesznek az uniós pénzeszközök operatív programjainak monitoringbizottságaiban, amelyek keretében a minőségi fizetett és fenntartható foglalkoztatásban való részvétel növelését célzó egyedi intézkedéseket végrehajtják;</w:t>
            </w:r>
          </w:p>
          <w:p>
            <w:pPr>
              <w:pStyle w:val="ListParagraph"/>
              <w:numPr>
                <w:ilvl w:val="0"/>
                <w:numId w:val="6"/>
              </w:numPr>
              <w:tabs>
                <w:tab w:val="left" w:pos="1020"/>
              </w:tabs>
              <w:spacing w:after="60"/>
              <w:ind w:left="311" w:hanging="218"/>
              <w:rPr>
                <w:noProof/>
                <w:sz w:val="22"/>
                <w:szCs w:val="22"/>
              </w:rPr>
            </w:pPr>
            <w:r>
              <w:rPr>
                <w:noProof/>
                <w:sz w:val="22"/>
                <w:szCs w:val="22"/>
              </w:rPr>
              <w:t>a roma civil szervezetek részt vesznek a végrehajtott intézkedések eredményeinek nyomon követésében;</w:t>
            </w:r>
          </w:p>
          <w:p>
            <w:pPr>
              <w:pStyle w:val="ListParagraph"/>
              <w:numPr>
                <w:ilvl w:val="0"/>
                <w:numId w:val="6"/>
              </w:numPr>
              <w:tabs>
                <w:tab w:val="left" w:pos="1020"/>
              </w:tabs>
              <w:spacing w:after="60"/>
              <w:ind w:left="311" w:hanging="218"/>
              <w:rPr>
                <w:noProof/>
                <w:sz w:val="22"/>
                <w:szCs w:val="22"/>
              </w:rPr>
            </w:pPr>
            <w:r>
              <w:rPr>
                <w:noProof/>
                <w:sz w:val="22"/>
                <w:szCs w:val="22"/>
              </w:rPr>
              <w:t xml:space="preserve">az állami intézmények és a (központi és helyi) közigazgatási szervek a foglalkoztatással kapcsolatos döntéshozatali eljárásaik során figyelembe veszik a roma civil szervezetektől, és különösen a roma vállalkozóktól és sikeres roma szakemberektől érkező inputokat </w:t>
            </w:r>
          </w:p>
        </w:tc>
      </w:tr>
    </w:tbl>
    <w:p>
      <w:pPr>
        <w:rPr>
          <w:rFonts w:ascii="Times New Roman" w:hAnsi="Times New Roman" w:cs="Times New Roman"/>
          <w:noProof/>
        </w:rPr>
      </w:pPr>
      <w:r>
        <w:rPr>
          <w:rFonts w:ascii="Times New Roman" w:hAnsi="Times New Roman"/>
          <w:noProof/>
        </w:rPr>
        <w:t xml:space="preserve">*Az </w:t>
      </w:r>
      <w:r>
        <w:rPr>
          <w:rFonts w:ascii="Times New Roman" w:hAnsi="Times New Roman"/>
          <w:noProof/>
          <w:sz w:val="18"/>
          <w:szCs w:val="18"/>
        </w:rPr>
        <w:t>FRA-felméréseken alapuló jelenlegi adatok csak a 16–29</w:t>
      </w:r>
      <w:r>
        <w:rPr>
          <w:rFonts w:ascii="Times New Roman" w:hAnsi="Times New Roman"/>
          <w:noProof/>
        </w:rPr>
        <w:t xml:space="preserve"> éves korosztályt fedik le</w:t>
      </w:r>
    </w:p>
    <w:p>
      <w:pPr>
        <w:pStyle w:val="Heading2"/>
        <w:spacing w:after="120"/>
        <w:rPr>
          <w:rFonts w:ascii="Times New Roman" w:eastAsia="Times New Roman" w:hAnsi="Times New Roman" w:cs="Times New Roman"/>
          <w:b/>
          <w:noProof/>
          <w:color w:val="auto"/>
          <w:sz w:val="24"/>
          <w:szCs w:val="20"/>
        </w:rPr>
      </w:pPr>
      <w:bookmarkStart w:id="61" w:name="_Toc42625029"/>
      <w:bookmarkStart w:id="62" w:name="_Toc42697883"/>
      <w:bookmarkStart w:id="63" w:name="_Toc42698842"/>
      <w:bookmarkStart w:id="64" w:name="_Toc42706936"/>
      <w:bookmarkStart w:id="65" w:name="_Toc42713781"/>
      <w:bookmarkStart w:id="66" w:name="_Toc42714183"/>
      <w:bookmarkStart w:id="67" w:name="_Toc44090797"/>
      <w:r>
        <w:rPr>
          <w:rFonts w:ascii="Times New Roman" w:hAnsi="Times New Roman"/>
          <w:b/>
          <w:noProof/>
          <w:color w:val="auto"/>
          <w:sz w:val="24"/>
          <w:szCs w:val="20"/>
        </w:rPr>
        <w:t>6. célkitűzés: A romák egészségének javítása, valamint a minőségi egészségügyi szolgáltatásokhoz való ténylegesen egyenlő hozzáférés növelése</w:t>
      </w:r>
      <w:bookmarkEnd w:id="61"/>
      <w:bookmarkEnd w:id="62"/>
      <w:bookmarkEnd w:id="63"/>
      <w:bookmarkEnd w:id="64"/>
      <w:bookmarkEnd w:id="65"/>
      <w:bookmarkEnd w:id="66"/>
      <w:bookmarkEnd w:id="67"/>
    </w:p>
    <w:tbl>
      <w:tblPr>
        <w:tblStyle w:val="TableGrid"/>
        <w:tblW w:w="9345" w:type="dxa"/>
        <w:tblInd w:w="0" w:type="dxa"/>
        <w:shd w:val="clear" w:color="auto" w:fill="B8CCE4" w:themeFill="accent1" w:themeFillTint="66"/>
        <w:tblLayout w:type="fixed"/>
        <w:tblLook w:val="04A0" w:firstRow="1" w:lastRow="0" w:firstColumn="1" w:lastColumn="0" w:noHBand="0" w:noVBand="1"/>
      </w:tblPr>
      <w:tblGrid>
        <w:gridCol w:w="7361"/>
        <w:gridCol w:w="1984"/>
      </w:tblGrid>
      <w:tr>
        <w:trPr>
          <w:trHeight w:val="283"/>
        </w:trP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spacing w:after="120"/>
              <w:rPr>
                <w:rStyle w:val="Strong"/>
                <w:rFonts w:ascii="Times New Roman" w:hAnsi="Times New Roman"/>
                <w:noProof/>
                <w:sz w:val="22"/>
                <w:szCs w:val="22"/>
              </w:rPr>
            </w:pPr>
            <w:r>
              <w:rPr>
                <w:rStyle w:val="Strong"/>
                <w:rFonts w:ascii="Times New Roman" w:hAnsi="Times New Roman"/>
                <w:noProof/>
                <w:sz w:val="22"/>
                <w:szCs w:val="22"/>
              </w:rPr>
              <w:t xml:space="preserve">Kiemelt mutató: </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spacing w:after="120"/>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sz w:val="22"/>
                <w:szCs w:val="22"/>
              </w:rPr>
            </w:pPr>
            <w:r>
              <w:rPr>
                <w:rStyle w:val="Strong"/>
                <w:noProof/>
                <w:sz w:val="22"/>
                <w:szCs w:val="22"/>
              </w:rPr>
              <w:t>Különbség a születéskor várható élettartam tekintetében (általános népesség/romák)</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18"/>
              </w:rPr>
            </w:pPr>
            <w:r>
              <w:rPr>
                <w:rStyle w:val="Strong"/>
                <w:rFonts w:ascii="Times New Roman" w:hAnsi="Times New Roman"/>
                <w:noProof/>
                <w:sz w:val="18"/>
              </w:rPr>
              <w:t>Human Mortality Database / Eurostat [demo_mlexpec]</w:t>
            </w:r>
          </w:p>
        </w:tc>
      </w:tr>
      <w:t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sz w:val="22"/>
                <w:szCs w:val="22"/>
              </w:rPr>
            </w:pPr>
            <w:r>
              <w:rPr>
                <w:rStyle w:val="Strong"/>
                <w:noProof/>
                <w:sz w:val="22"/>
                <w:szCs w:val="22"/>
              </w:rPr>
              <w:t>Azon személyek aránya, akik korlátozott hozzáféréssel rendelkeznek az egészségügyi és szociális szolgáltatásokhoz, KIDOLGOZANDÓ</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18"/>
              </w:rPr>
            </w:pPr>
            <w:r>
              <w:rPr>
                <w:rStyle w:val="Strong"/>
                <w:rFonts w:ascii="Times New Roman" w:hAnsi="Times New Roman"/>
                <w:noProof/>
                <w:sz w:val="18"/>
              </w:rPr>
              <w:t>n.a.</w:t>
            </w:r>
            <w:r>
              <w:rPr>
                <w:rFonts w:ascii="Times New Roman" w:hAnsi="Times New Roman"/>
                <w:noProof/>
                <w:sz w:val="18"/>
              </w:rPr>
              <w:t>/potenciálisan FRS</w:t>
            </w: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 xml:space="preserve">Eredménymutatók </w:t>
            </w:r>
          </w:p>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Másodlagos (fakultatív)</w:t>
            </w:r>
          </w:p>
        </w:tc>
      </w:tr>
      <w:tr>
        <w:tc>
          <w:tcPr>
            <w:tcW w:w="736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 xml:space="preserve">Mutató </w:t>
            </w:r>
          </w:p>
        </w:tc>
        <w:tc>
          <w:tcPr>
            <w:tcW w:w="198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361" w:type="dxa"/>
            <w:tcBorders>
              <w:top w:val="single" w:sz="4" w:space="0" w:color="auto"/>
              <w:left w:val="single" w:sz="4" w:space="0" w:color="auto"/>
              <w:bottom w:val="single" w:sz="4" w:space="0" w:color="auto"/>
              <w:right w:val="single" w:sz="4" w:space="0" w:color="auto"/>
            </w:tcBorders>
            <w:shd w:val="clear" w:color="auto" w:fill="auto"/>
          </w:tcPr>
          <w:p>
            <w:pPr>
              <w:spacing w:after="60"/>
              <w:rPr>
                <w:rStyle w:val="Strong"/>
                <w:rFonts w:ascii="Times New Roman" w:hAnsi="Times New Roman"/>
                <w:noProof/>
                <w:sz w:val="22"/>
                <w:szCs w:val="22"/>
              </w:rPr>
            </w:pPr>
            <w:r>
              <w:rPr>
                <w:rFonts w:ascii="Times New Roman" w:hAnsi="Times New Roman"/>
                <w:noProof/>
                <w:sz w:val="22"/>
                <w:szCs w:val="22"/>
              </w:rPr>
              <w:t>Azon 16 évesnél idősebb személyek aránya, akik egészségi állapotukat általában „nagyon jónak” vagy „jónak” értékelik</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pPr>
              <w:spacing w:after="60"/>
              <w:rPr>
                <w:rFonts w:ascii="Times New Roman" w:hAnsi="Times New Roman"/>
                <w:b/>
                <w:noProof/>
                <w:sz w:val="18"/>
              </w:rPr>
            </w:pPr>
            <w:r>
              <w:rPr>
                <w:rFonts w:ascii="Times New Roman" w:hAnsi="Times New Roman"/>
                <w:b/>
                <w:noProof/>
                <w:sz w:val="18"/>
              </w:rPr>
              <w:t>Eurostat</w:t>
            </w:r>
            <w:r>
              <w:rPr>
                <w:rFonts w:ascii="Times New Roman" w:hAnsi="Times New Roman"/>
                <w:noProof/>
                <w:sz w:val="18"/>
              </w:rPr>
              <w:t xml:space="preserve"> [hlth_silc_01]</w:t>
            </w:r>
          </w:p>
        </w:tc>
      </w:tr>
      <w:tr>
        <w:tc>
          <w:tcPr>
            <w:tcW w:w="7361" w:type="dxa"/>
            <w:tcBorders>
              <w:top w:val="single" w:sz="4" w:space="0" w:color="auto"/>
              <w:left w:val="single" w:sz="4" w:space="0" w:color="auto"/>
              <w:bottom w:val="single" w:sz="4" w:space="0" w:color="auto"/>
              <w:right w:val="single" w:sz="4" w:space="0" w:color="auto"/>
            </w:tcBorders>
            <w:shd w:val="clear" w:color="auto" w:fill="auto"/>
          </w:tcPr>
          <w:p>
            <w:pPr>
              <w:spacing w:after="60"/>
              <w:rPr>
                <w:rFonts w:ascii="Times New Roman" w:hAnsi="Times New Roman"/>
                <w:noProof/>
                <w:sz w:val="22"/>
                <w:szCs w:val="22"/>
              </w:rPr>
            </w:pPr>
            <w:r>
              <w:rPr>
                <w:rFonts w:ascii="Times New Roman" w:hAnsi="Times New Roman"/>
                <w:noProof/>
                <w:sz w:val="22"/>
                <w:szCs w:val="22"/>
              </w:rPr>
              <w:t>Az egészségbiztosítással rendelkező 16 évesnél idősebb személyek aránya</w:t>
            </w:r>
          </w:p>
        </w:tc>
        <w:tc>
          <w:tcPr>
            <w:tcW w:w="1984" w:type="dxa"/>
            <w:tcBorders>
              <w:top w:val="single" w:sz="4" w:space="0" w:color="auto"/>
              <w:left w:val="single" w:sz="4" w:space="0" w:color="auto"/>
              <w:bottom w:val="single" w:sz="4" w:space="0" w:color="auto"/>
              <w:right w:val="single" w:sz="4" w:space="0" w:color="auto"/>
            </w:tcBorders>
            <w:shd w:val="clear" w:color="auto" w:fill="auto"/>
          </w:tcPr>
          <w:p>
            <w:pPr>
              <w:spacing w:after="60"/>
              <w:rPr>
                <w:rFonts w:ascii="Times New Roman" w:hAnsi="Times New Roman"/>
                <w:b/>
                <w:noProof/>
                <w:sz w:val="18"/>
              </w:rPr>
            </w:pPr>
            <w:r>
              <w:rPr>
                <w:rFonts w:ascii="Times New Roman" w:hAnsi="Times New Roman"/>
                <w:b/>
                <w:noProof/>
                <w:sz w:val="18"/>
              </w:rPr>
              <w:t>OECD [ECHI 76]</w:t>
            </w:r>
          </w:p>
        </w:tc>
      </w:tr>
      <w:tr>
        <w:tc>
          <w:tcPr>
            <w:tcW w:w="7361" w:type="dxa"/>
            <w:tcBorders>
              <w:top w:val="single" w:sz="4" w:space="0" w:color="auto"/>
              <w:left w:val="single" w:sz="4" w:space="0" w:color="auto"/>
              <w:bottom w:val="single" w:sz="4" w:space="0" w:color="auto"/>
              <w:right w:val="single" w:sz="4" w:space="0" w:color="auto"/>
            </w:tcBorders>
            <w:shd w:val="clear" w:color="auto" w:fill="auto"/>
          </w:tcPr>
          <w:p>
            <w:pPr>
              <w:spacing w:after="60"/>
              <w:rPr>
                <w:rFonts w:ascii="Times New Roman" w:hAnsi="Times New Roman" w:cs="Times New Roman"/>
                <w:b/>
                <w:noProof/>
                <w:sz w:val="22"/>
                <w:szCs w:val="22"/>
              </w:rPr>
            </w:pPr>
            <w:r>
              <w:rPr>
                <w:rStyle w:val="Strong"/>
                <w:rFonts w:ascii="Times New Roman" w:hAnsi="Times New Roman"/>
                <w:b w:val="0"/>
                <w:noProof/>
                <w:sz w:val="22"/>
                <w:szCs w:val="22"/>
              </w:rPr>
              <w:t>Azon 16 évesnél idősebb személyek aránya, akik az elmúlt 12 hónapban úgy érezték, hogy roma voltuk miatt hátrányosan megkülönböztették őket, amikor kapcsolatban kerültek az egészségügyi szolgáltatásokkal</w:t>
            </w:r>
          </w:p>
        </w:tc>
        <w:tc>
          <w:tcPr>
            <w:tcW w:w="1984" w:type="dxa"/>
            <w:tcBorders>
              <w:top w:val="single" w:sz="4" w:space="0" w:color="auto"/>
              <w:left w:val="single" w:sz="4" w:space="0" w:color="auto"/>
              <w:bottom w:val="single" w:sz="4" w:space="0" w:color="auto"/>
              <w:right w:val="single" w:sz="4" w:space="0" w:color="auto"/>
            </w:tcBorders>
            <w:shd w:val="clear" w:color="auto" w:fill="auto"/>
          </w:tcPr>
          <w:p>
            <w:pPr>
              <w:spacing w:after="60"/>
              <w:rPr>
                <w:rFonts w:ascii="Times New Roman" w:hAnsi="Times New Roman"/>
                <w:b/>
                <w:noProof/>
                <w:sz w:val="18"/>
              </w:rPr>
            </w:pPr>
            <w:r>
              <w:rPr>
                <w:rStyle w:val="Strong"/>
                <w:rFonts w:ascii="Times New Roman" w:hAnsi="Times New Roman"/>
                <w:noProof/>
                <w:sz w:val="18"/>
              </w:rPr>
              <w:t>n.a.</w:t>
            </w:r>
            <w:r>
              <w:rPr>
                <w:rFonts w:ascii="Times New Roman" w:hAnsi="Times New Roman"/>
                <w:noProof/>
                <w:sz w:val="18"/>
              </w:rPr>
              <w:t>/potenciálisan FRS</w:t>
            </w:r>
          </w:p>
        </w:tc>
      </w:tr>
      <w:tr>
        <w:tc>
          <w:tcPr>
            <w:tcW w:w="7361" w:type="dxa"/>
            <w:tcBorders>
              <w:top w:val="single" w:sz="4" w:space="0" w:color="auto"/>
              <w:left w:val="single" w:sz="4" w:space="0" w:color="auto"/>
              <w:bottom w:val="single" w:sz="4" w:space="0" w:color="auto"/>
              <w:right w:val="single" w:sz="4" w:space="0" w:color="auto"/>
            </w:tcBorders>
            <w:shd w:val="clear" w:color="auto" w:fill="auto"/>
            <w:hideMark/>
          </w:tcPr>
          <w:p>
            <w:pPr>
              <w:spacing w:after="60"/>
              <w:rPr>
                <w:rFonts w:ascii="Times New Roman" w:hAnsi="Times New Roman"/>
                <w:b/>
                <w:noProof/>
                <w:sz w:val="22"/>
                <w:szCs w:val="22"/>
              </w:rPr>
            </w:pPr>
            <w:r>
              <w:rPr>
                <w:rFonts w:ascii="Times New Roman" w:hAnsi="Times New Roman"/>
                <w:b/>
                <w:noProof/>
                <w:sz w:val="22"/>
                <w:szCs w:val="22"/>
              </w:rPr>
              <w:t>További kidolgozásra vár:</w:t>
            </w:r>
          </w:p>
          <w:p>
            <w:pPr>
              <w:spacing w:after="60"/>
              <w:rPr>
                <w:rFonts w:ascii="Times New Roman" w:hAnsi="Times New Roman"/>
                <w:noProof/>
                <w:sz w:val="22"/>
                <w:szCs w:val="22"/>
              </w:rPr>
            </w:pPr>
            <w:r>
              <w:rPr>
                <w:rFonts w:ascii="Times New Roman" w:hAnsi="Times New Roman"/>
                <w:noProof/>
                <w:sz w:val="22"/>
                <w:szCs w:val="22"/>
              </w:rPr>
              <w:t xml:space="preserve">Első gyermeküknek 20 éves koruk előtt életet adó roma nők aránya. </w:t>
            </w:r>
          </w:p>
          <w:p>
            <w:pPr>
              <w:spacing w:after="60"/>
              <w:rPr>
                <w:rStyle w:val="Strong"/>
                <w:rFonts w:ascii="Times New Roman" w:hAnsi="Times New Roman"/>
                <w:b w:val="0"/>
                <w:noProof/>
                <w:sz w:val="22"/>
                <w:szCs w:val="22"/>
              </w:rPr>
            </w:pPr>
            <w:r>
              <w:rPr>
                <w:rFonts w:ascii="Times New Roman" w:hAnsi="Times New Roman"/>
                <w:noProof/>
                <w:sz w:val="22"/>
                <w:szCs w:val="22"/>
              </w:rPr>
              <w:t>Nem teljesült egészségügyi szükséglet</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pPr>
              <w:spacing w:after="60"/>
              <w:rPr>
                <w:rFonts w:ascii="Times New Roman" w:hAnsi="Times New Roman"/>
                <w:b/>
                <w:noProof/>
                <w:sz w:val="18"/>
              </w:rPr>
            </w:pPr>
            <w:r>
              <w:rPr>
                <w:rFonts w:ascii="Times New Roman" w:hAnsi="Times New Roman"/>
                <w:b/>
                <w:noProof/>
                <w:sz w:val="18"/>
              </w:rPr>
              <w:t xml:space="preserve">Eurostat </w:t>
            </w:r>
          </w:p>
          <w:p>
            <w:pPr>
              <w:spacing w:after="60"/>
              <w:rPr>
                <w:rFonts w:ascii="Times New Roman" w:hAnsi="Times New Roman"/>
                <w:noProof/>
                <w:color w:val="000000"/>
                <w:sz w:val="18"/>
                <w:shd w:val="clear" w:color="auto" w:fill="FCFCFC"/>
              </w:rPr>
            </w:pPr>
            <w:r>
              <w:rPr>
                <w:rFonts w:ascii="Times New Roman" w:hAnsi="Times New Roman"/>
                <w:b/>
                <w:noProof/>
                <w:sz w:val="18"/>
              </w:rPr>
              <w:t>[</w:t>
            </w:r>
            <w:r>
              <w:rPr>
                <w:rFonts w:ascii="Times New Roman" w:hAnsi="Times New Roman"/>
                <w:noProof/>
                <w:color w:val="000000"/>
                <w:sz w:val="18"/>
                <w:shd w:val="clear" w:color="auto" w:fill="FCFCFC"/>
              </w:rPr>
              <w:t>demo_fordager]</w:t>
            </w:r>
          </w:p>
          <w:p>
            <w:pPr>
              <w:spacing w:after="60"/>
              <w:rPr>
                <w:rFonts w:ascii="Times New Roman" w:hAnsi="Times New Roman"/>
                <w:noProof/>
                <w:color w:val="000000"/>
                <w:sz w:val="18"/>
                <w:shd w:val="clear" w:color="auto" w:fill="FCFCFC"/>
              </w:rPr>
            </w:pPr>
            <w:r>
              <w:rPr>
                <w:rFonts w:ascii="Times New Roman" w:hAnsi="Times New Roman"/>
                <w:noProof/>
                <w:color w:val="000000"/>
                <w:sz w:val="18"/>
                <w:shd w:val="clear" w:color="auto" w:fill="FCFCFC"/>
              </w:rPr>
              <w:t>SDG 3.7.</w:t>
            </w:r>
          </w:p>
          <w:p>
            <w:pPr>
              <w:spacing w:after="60"/>
              <w:rPr>
                <w:rFonts w:ascii="Times New Roman" w:hAnsi="Times New Roman"/>
                <w:b/>
                <w:noProof/>
                <w:sz w:val="18"/>
              </w:rPr>
            </w:pPr>
            <w:r>
              <w:rPr>
                <w:rFonts w:ascii="Times New Roman" w:hAnsi="Times New Roman"/>
                <w:b/>
                <w:noProof/>
                <w:sz w:val="18"/>
              </w:rPr>
              <w:t xml:space="preserve">Eurostat </w:t>
            </w:r>
            <w:r>
              <w:rPr>
                <w:rFonts w:ascii="Times New Roman" w:hAnsi="Times New Roman"/>
                <w:noProof/>
                <w:sz w:val="18"/>
              </w:rPr>
              <w:t>[SDG_03_60]</w:t>
            </w:r>
          </w:p>
        </w:tc>
      </w:tr>
      <w:tr>
        <w:tc>
          <w:tcPr>
            <w:tcW w:w="9345" w:type="dxa"/>
            <w:gridSpan w:val="2"/>
            <w:tcBorders>
              <w:top w:val="single" w:sz="4" w:space="0" w:color="auto"/>
              <w:left w:val="nil"/>
              <w:bottom w:val="single" w:sz="4" w:space="0" w:color="auto"/>
              <w:right w:val="nil"/>
            </w:tcBorders>
            <w:shd w:val="clear" w:color="auto" w:fill="auto"/>
          </w:tcPr>
          <w:p>
            <w:pPr>
              <w:spacing w:after="60"/>
              <w:jc w:val="center"/>
              <w:rPr>
                <w:rStyle w:val="Strong"/>
                <w:rFonts w:ascii="Times New Roman" w:hAnsi="Times New Roman"/>
                <w:noProof/>
                <w:lang w:val="fr-BE"/>
              </w:rPr>
            </w:pP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E0E0E0"/>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A 6. célkitűzés folyamatmutatói: A romák egészségének javítása, valamint a romák minőségi egészségügyi szolgáltatásokhoz való tényleges hozzáférésének növelése</w:t>
            </w: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auto"/>
            <w:hideMark/>
          </w:tcPr>
          <w:p>
            <w:pPr>
              <w:spacing w:after="60"/>
              <w:rPr>
                <w:rFonts w:ascii="Times New Roman" w:hAnsi="Times New Roman"/>
                <w:noProof/>
                <w:sz w:val="22"/>
                <w:szCs w:val="22"/>
              </w:rPr>
            </w:pPr>
            <w:r>
              <w:rPr>
                <w:rFonts w:ascii="Times New Roman" w:hAnsi="Times New Roman"/>
                <w:b/>
                <w:noProof/>
                <w:sz w:val="22"/>
                <w:szCs w:val="22"/>
              </w:rPr>
              <w:t>Mutató – A. dimenzió – Intézményi felépítés</w:t>
            </w:r>
            <w:r>
              <w:rPr>
                <w:rFonts w:ascii="Times New Roman" w:hAnsi="Times New Roman"/>
                <w:noProof/>
                <w:sz w:val="22"/>
                <w:szCs w:val="22"/>
              </w:rPr>
              <w:t xml:space="preserve"> </w:t>
            </w: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ListParagraph"/>
              <w:numPr>
                <w:ilvl w:val="0"/>
                <w:numId w:val="4"/>
              </w:numPr>
              <w:spacing w:after="60"/>
              <w:rPr>
                <w:noProof/>
                <w:sz w:val="22"/>
              </w:rPr>
            </w:pPr>
            <w:r>
              <w:rPr>
                <w:noProof/>
                <w:sz w:val="22"/>
                <w:szCs w:val="22"/>
              </w:rPr>
              <w:t>l</w:t>
            </w:r>
            <w:r>
              <w:rPr>
                <w:noProof/>
                <w:sz w:val="22"/>
              </w:rPr>
              <w:t>étezik intézményes, a vonatkozó egészségügyi irányítási struktúrákba integrált egészségügyi közvetítői rendszer;</w:t>
            </w:r>
          </w:p>
          <w:p>
            <w:pPr>
              <w:pStyle w:val="ListParagraph"/>
              <w:numPr>
                <w:ilvl w:val="0"/>
                <w:numId w:val="4"/>
              </w:numPr>
              <w:spacing w:after="60"/>
              <w:rPr>
                <w:rFonts w:eastAsiaTheme="minorEastAsia"/>
                <w:noProof/>
                <w:sz w:val="22"/>
              </w:rPr>
            </w:pPr>
            <w:r>
              <w:rPr>
                <w:noProof/>
                <w:sz w:val="22"/>
              </w:rPr>
              <w:t>létezik az egészségügyi szakemberré válni kívánó egészségügyi közvetítők szakmai előmenetelének elősegítésére és támogatására szolgáló rendszer;</w:t>
            </w:r>
          </w:p>
          <w:p>
            <w:pPr>
              <w:pStyle w:val="ListParagraph"/>
              <w:numPr>
                <w:ilvl w:val="0"/>
                <w:numId w:val="4"/>
              </w:numPr>
              <w:spacing w:after="60"/>
              <w:rPr>
                <w:rFonts w:eastAsiaTheme="minorEastAsia"/>
                <w:noProof/>
                <w:sz w:val="22"/>
              </w:rPr>
            </w:pPr>
            <w:r>
              <w:rPr>
                <w:noProof/>
                <w:sz w:val="22"/>
              </w:rPr>
              <w:t>létezik a gettókban és szegregált/távoli településeken élő romák részére megelőző egészségügyi szolgáltatásokat nyújtó rendszer;</w:t>
            </w:r>
          </w:p>
          <w:p>
            <w:pPr>
              <w:pStyle w:val="ListParagraph"/>
              <w:numPr>
                <w:ilvl w:val="0"/>
                <w:numId w:val="4"/>
              </w:numPr>
              <w:spacing w:after="60"/>
              <w:rPr>
                <w:rFonts w:eastAsiaTheme="minorEastAsia"/>
                <w:strike/>
                <w:noProof/>
                <w:sz w:val="22"/>
              </w:rPr>
            </w:pPr>
            <w:r>
              <w:rPr>
                <w:noProof/>
                <w:sz w:val="22"/>
              </w:rPr>
              <w:t>a regionális egészségügyi felügyeletek rendelkeznek (pénzügyi és emberi) erőforrásokkal annak biztosítására, hogy a roma közösségekhez is elérjenek a gyermekek és idősek részére szóló, nemzeti szintű védőoltási és immunizációs programok, valamint az olyan preventív szolgáltatások, mint például a vérvétel vagy a rákszűrések</w:t>
            </w:r>
          </w:p>
        </w:tc>
      </w:tr>
      <w:tr>
        <w:trPr>
          <w:trHeight w:val="468"/>
        </w:trPr>
        <w:tc>
          <w:tcPr>
            <w:tcW w:w="93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spacing w:after="60"/>
              <w:rPr>
                <w:rFonts w:ascii="Times New Roman" w:hAnsi="Times New Roman"/>
                <w:noProof/>
                <w:sz w:val="22"/>
                <w:szCs w:val="22"/>
              </w:rPr>
            </w:pPr>
            <w:r>
              <w:rPr>
                <w:rFonts w:ascii="Times New Roman" w:hAnsi="Times New Roman"/>
                <w:b/>
                <w:noProof/>
                <w:sz w:val="22"/>
                <w:szCs w:val="22"/>
              </w:rPr>
              <w:t>Mutató – B. dimenzió – Konkrét intézkedések és fellépések</w:t>
            </w:r>
          </w:p>
        </w:tc>
      </w:tr>
      <w:tr>
        <w:trPr>
          <w:trHeight w:val="468"/>
        </w:trPr>
        <w:tc>
          <w:tcPr>
            <w:tcW w:w="93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ListParagraph"/>
              <w:numPr>
                <w:ilvl w:val="0"/>
                <w:numId w:val="4"/>
              </w:numPr>
              <w:spacing w:after="60"/>
              <w:rPr>
                <w:noProof/>
                <w:sz w:val="22"/>
                <w:szCs w:val="22"/>
              </w:rPr>
            </w:pPr>
            <w:r>
              <w:rPr>
                <w:noProof/>
                <w:sz w:val="22"/>
                <w:szCs w:val="22"/>
              </w:rPr>
              <w:t>léteznek a romákat érintő sajátos egészségügyi kihívásokra szabott egészségügyi felvilágosító programok (ideértve az egészséges életmódot és a táplálkozást is);</w:t>
            </w:r>
          </w:p>
          <w:p>
            <w:pPr>
              <w:pStyle w:val="ListParagraph"/>
              <w:numPr>
                <w:ilvl w:val="0"/>
                <w:numId w:val="4"/>
              </w:numPr>
              <w:spacing w:after="60"/>
              <w:rPr>
                <w:noProof/>
                <w:sz w:val="22"/>
                <w:szCs w:val="22"/>
              </w:rPr>
            </w:pPr>
            <w:r>
              <w:rPr>
                <w:noProof/>
                <w:sz w:val="22"/>
                <w:szCs w:val="22"/>
              </w:rPr>
              <w:t>léteznek és működnek a kockázati csoportokat – ezen belül a romákat – elérő megelőző egészségügyi programok;</w:t>
            </w:r>
          </w:p>
          <w:p>
            <w:pPr>
              <w:pStyle w:val="ListParagraph"/>
              <w:numPr>
                <w:ilvl w:val="0"/>
                <w:numId w:val="4"/>
              </w:numPr>
              <w:spacing w:after="60"/>
              <w:rPr>
                <w:noProof/>
                <w:sz w:val="22"/>
                <w:szCs w:val="22"/>
              </w:rPr>
            </w:pPr>
            <w:r>
              <w:rPr>
                <w:noProof/>
                <w:sz w:val="22"/>
                <w:szCs w:val="22"/>
              </w:rPr>
              <w:t>a védőoltások szükségességének megértését előmozdító ismeretterjesztő kampányokat szerveznek;</w:t>
            </w:r>
          </w:p>
          <w:p>
            <w:pPr>
              <w:pStyle w:val="ListParagraph"/>
              <w:numPr>
                <w:ilvl w:val="0"/>
                <w:numId w:val="4"/>
              </w:numPr>
              <w:spacing w:after="60"/>
              <w:rPr>
                <w:noProof/>
                <w:sz w:val="22"/>
                <w:szCs w:val="22"/>
              </w:rPr>
            </w:pPr>
            <w:r>
              <w:rPr>
                <w:noProof/>
                <w:sz w:val="22"/>
                <w:szCs w:val="22"/>
              </w:rPr>
              <w:t>a gyermekek és az idősek (influenza) védőoltása megfizethető és azt elvégzik;</w:t>
            </w:r>
          </w:p>
          <w:p>
            <w:pPr>
              <w:pStyle w:val="ListParagraph"/>
              <w:numPr>
                <w:ilvl w:val="0"/>
                <w:numId w:val="4"/>
              </w:numPr>
              <w:spacing w:after="60"/>
              <w:rPr>
                <w:noProof/>
                <w:sz w:val="22"/>
                <w:szCs w:val="22"/>
              </w:rPr>
            </w:pPr>
            <w:r>
              <w:rPr>
                <w:noProof/>
                <w:sz w:val="22"/>
                <w:szCs w:val="22"/>
              </w:rPr>
              <w:t>rendszeresen és ingyenesen elvégzik a gyermekek preventív egészségügyi szűrését, a kockázati csoportokat nyomon követik;</w:t>
            </w:r>
          </w:p>
          <w:p>
            <w:pPr>
              <w:pStyle w:val="ListParagraph"/>
              <w:numPr>
                <w:ilvl w:val="0"/>
                <w:numId w:val="4"/>
              </w:numPr>
              <w:spacing w:after="60"/>
              <w:rPr>
                <w:rFonts w:eastAsiaTheme="minorEastAsia"/>
                <w:noProof/>
                <w:sz w:val="22"/>
                <w:szCs w:val="22"/>
              </w:rPr>
            </w:pPr>
            <w:r>
              <w:rPr>
                <w:noProof/>
                <w:sz w:val="22"/>
                <w:szCs w:val="22"/>
              </w:rPr>
              <w:t>léteznek a hátrányos helyzetű nőkre irányuló terhesgondozási programok, és rendszeresen biztosítanak terhesgondozási szolgáltatásokat;</w:t>
            </w:r>
          </w:p>
          <w:p>
            <w:pPr>
              <w:pStyle w:val="ListParagraph"/>
              <w:numPr>
                <w:ilvl w:val="0"/>
                <w:numId w:val="4"/>
              </w:numPr>
              <w:spacing w:after="60"/>
              <w:rPr>
                <w:noProof/>
                <w:sz w:val="22"/>
                <w:szCs w:val="22"/>
              </w:rPr>
            </w:pPr>
            <w:r>
              <w:rPr>
                <w:noProof/>
                <w:sz w:val="22"/>
                <w:szCs w:val="22"/>
              </w:rPr>
              <w:t>léteznek a 0–3 éves korú gyermekekre irányuló, különösen a hátrányos helyzetű csoportokra összpontosító, anya-gyermek egészségügyi nyomonkövetési rendszerek;</w:t>
            </w:r>
          </w:p>
          <w:p>
            <w:pPr>
              <w:pStyle w:val="ListParagraph"/>
              <w:numPr>
                <w:ilvl w:val="0"/>
                <w:numId w:val="4"/>
              </w:numPr>
              <w:spacing w:after="60"/>
              <w:rPr>
                <w:noProof/>
                <w:sz w:val="22"/>
                <w:szCs w:val="22"/>
              </w:rPr>
            </w:pPr>
            <w:r>
              <w:rPr>
                <w:noProof/>
                <w:sz w:val="22"/>
                <w:szCs w:val="22"/>
              </w:rPr>
              <w:t>képzéseket szerveznek az egészségügyi személyzet részére a hátrányos megkülönböztetés és a cigányellenesség megelőzésével kapcsolatban;</w:t>
            </w:r>
          </w:p>
          <w:p>
            <w:pPr>
              <w:pStyle w:val="ListParagraph"/>
              <w:numPr>
                <w:ilvl w:val="0"/>
                <w:numId w:val="4"/>
              </w:numPr>
              <w:spacing w:after="60"/>
              <w:rPr>
                <w:noProof/>
                <w:sz w:val="22"/>
                <w:szCs w:val="22"/>
              </w:rPr>
            </w:pPr>
            <w:r>
              <w:rPr>
                <w:noProof/>
                <w:sz w:val="22"/>
                <w:szCs w:val="22"/>
              </w:rPr>
              <w:t>léteznek a roma közösségre irányuló, egészséggel kapcsolatos tájékoztató programok és kampányok.</w:t>
            </w: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spacing w:after="60"/>
              <w:rPr>
                <w:rFonts w:ascii="Times New Roman" w:hAnsi="Times New Roman"/>
                <w:noProof/>
                <w:sz w:val="22"/>
                <w:szCs w:val="22"/>
              </w:rPr>
            </w:pPr>
            <w:r>
              <w:rPr>
                <w:rFonts w:ascii="Times New Roman" w:hAnsi="Times New Roman"/>
                <w:b/>
                <w:noProof/>
                <w:sz w:val="22"/>
                <w:szCs w:val="22"/>
              </w:rPr>
              <w:t>Mutató – C. dimenzió – A döntéshozatali eljárások minősége</w:t>
            </w:r>
            <w:r>
              <w:rPr>
                <w:rFonts w:ascii="Times New Roman" w:hAnsi="Times New Roman"/>
                <w:noProof/>
                <w:sz w:val="22"/>
                <w:szCs w:val="22"/>
              </w:rPr>
              <w:t xml:space="preserve"> </w:t>
            </w: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ListParagraph"/>
              <w:numPr>
                <w:ilvl w:val="0"/>
                <w:numId w:val="4"/>
              </w:numPr>
              <w:spacing w:after="60"/>
              <w:rPr>
                <w:rFonts w:eastAsiaTheme="minorEastAsia"/>
                <w:noProof/>
                <w:sz w:val="22"/>
                <w:szCs w:val="22"/>
              </w:rPr>
            </w:pPr>
            <w:r>
              <w:rPr>
                <w:noProof/>
                <w:sz w:val="22"/>
                <w:szCs w:val="22"/>
              </w:rPr>
              <w:t>bevezetésre kerültek olyan intézkedések, amelyek biztosítják a romák részvételét az egészséggel kapcsolatos szakpolitikai válaszok kidolgozásában;</w:t>
            </w:r>
          </w:p>
          <w:p>
            <w:pPr>
              <w:pStyle w:val="ListParagraph"/>
              <w:numPr>
                <w:ilvl w:val="0"/>
                <w:numId w:val="4"/>
              </w:numPr>
              <w:spacing w:after="60"/>
              <w:rPr>
                <w:rFonts w:eastAsiaTheme="minorEastAsia"/>
                <w:noProof/>
                <w:sz w:val="22"/>
                <w:szCs w:val="22"/>
              </w:rPr>
            </w:pPr>
            <w:r>
              <w:rPr>
                <w:noProof/>
                <w:sz w:val="22"/>
                <w:szCs w:val="22"/>
              </w:rPr>
              <w:t>az egészségügy terén meglévő kihívások kezelését célzó egyedi intézkedéseket dolgoznak ki a roma civil szervezetekkel partnerségben;</w:t>
            </w:r>
          </w:p>
          <w:p>
            <w:pPr>
              <w:pStyle w:val="ListParagraph"/>
              <w:numPr>
                <w:ilvl w:val="0"/>
                <w:numId w:val="4"/>
              </w:numPr>
              <w:spacing w:after="60"/>
              <w:rPr>
                <w:rFonts w:eastAsiaTheme="minorEastAsia"/>
                <w:noProof/>
                <w:sz w:val="22"/>
                <w:szCs w:val="22"/>
              </w:rPr>
            </w:pPr>
            <w:r>
              <w:rPr>
                <w:noProof/>
                <w:sz w:val="22"/>
                <w:szCs w:val="22"/>
              </w:rPr>
              <w:t>a roma civil szervezetek részt vesznek az uniós pénzeszközök operatív programjainak monitoringbizottságaiban, amelyek keretében az egészségügyi szolgáltatásokhoz való hozzáférés javítását célzó egyedi intézkedéseket végrehajtják;</w:t>
            </w:r>
          </w:p>
          <w:p>
            <w:pPr>
              <w:pStyle w:val="ListParagraph"/>
              <w:numPr>
                <w:ilvl w:val="0"/>
                <w:numId w:val="4"/>
              </w:numPr>
              <w:spacing w:after="60"/>
              <w:rPr>
                <w:noProof/>
                <w:sz w:val="22"/>
                <w:szCs w:val="22"/>
              </w:rPr>
            </w:pPr>
            <w:r>
              <w:rPr>
                <w:noProof/>
                <w:sz w:val="22"/>
                <w:szCs w:val="22"/>
              </w:rPr>
              <w:t>a roma civil szervezetek részt vesznek az egészségügy terén végrehajtott intézkedések eredményeinek nyomon követésében;</w:t>
            </w:r>
          </w:p>
          <w:p>
            <w:pPr>
              <w:pStyle w:val="ListParagraph"/>
              <w:numPr>
                <w:ilvl w:val="0"/>
                <w:numId w:val="4"/>
              </w:numPr>
              <w:spacing w:after="60"/>
              <w:rPr>
                <w:noProof/>
                <w:sz w:val="22"/>
                <w:szCs w:val="22"/>
              </w:rPr>
            </w:pPr>
            <w:r>
              <w:rPr>
                <w:noProof/>
                <w:sz w:val="22"/>
                <w:szCs w:val="22"/>
              </w:rPr>
              <w:t>az állami intézmények és a (központi és helyi) közigazgatási szervek az egészségüggyel kapcsolatos döntéshozatali eljárásaik során figyelembe veszik a roma civil szervezetektől, különösen a roma egészségügyi közvetítők hálózatától érkező inputokat.</w:t>
            </w:r>
          </w:p>
        </w:tc>
      </w:tr>
    </w:tbl>
    <w:p>
      <w:pPr>
        <w:spacing w:line="240" w:lineRule="auto"/>
        <w:rPr>
          <w:rFonts w:ascii="Times New Roman" w:hAnsi="Times New Roman" w:cs="Times New Roman"/>
          <w:noProof/>
        </w:rPr>
      </w:pPr>
    </w:p>
    <w:p>
      <w:pPr>
        <w:pStyle w:val="Heading2"/>
        <w:spacing w:after="120"/>
        <w:rPr>
          <w:rFonts w:ascii="Times New Roman" w:eastAsia="Times New Roman" w:hAnsi="Times New Roman" w:cs="Times New Roman"/>
          <w:b/>
          <w:noProof/>
          <w:color w:val="auto"/>
          <w:sz w:val="24"/>
          <w:szCs w:val="20"/>
        </w:rPr>
      </w:pPr>
      <w:bookmarkStart w:id="68" w:name="_Toc42625030"/>
      <w:bookmarkStart w:id="69" w:name="_Toc42697884"/>
      <w:bookmarkStart w:id="70" w:name="_Toc42698843"/>
      <w:bookmarkStart w:id="71" w:name="_Toc42706937"/>
      <w:bookmarkStart w:id="72" w:name="_Toc42713782"/>
      <w:bookmarkStart w:id="73" w:name="_Toc42714184"/>
      <w:bookmarkStart w:id="74" w:name="_Toc44090798"/>
      <w:r>
        <w:rPr>
          <w:rFonts w:ascii="Times New Roman" w:hAnsi="Times New Roman"/>
          <w:b/>
          <w:noProof/>
          <w:color w:val="auto"/>
          <w:sz w:val="24"/>
          <w:szCs w:val="20"/>
        </w:rPr>
        <w:t>7. célkitűzés: A megfelelő deszegregált lakhatáshoz és alapvető szolgáltatásokhoz való tényleges, egyenlő hozzáférés növelése</w:t>
      </w:r>
      <w:bookmarkEnd w:id="68"/>
      <w:bookmarkEnd w:id="69"/>
      <w:bookmarkEnd w:id="70"/>
      <w:bookmarkEnd w:id="71"/>
      <w:bookmarkEnd w:id="72"/>
      <w:bookmarkEnd w:id="73"/>
      <w:bookmarkEnd w:id="74"/>
      <w:r>
        <w:rPr>
          <w:rStyle w:val="FootnoteReference"/>
          <w:rFonts w:ascii="Times New Roman" w:eastAsia="Times New Roman" w:hAnsi="Times New Roman" w:cs="Times New Roman"/>
          <w:b/>
          <w:noProof/>
          <w:color w:val="auto"/>
          <w:sz w:val="24"/>
          <w:szCs w:val="20"/>
          <w:lang w:eastAsia="en-GB"/>
        </w:rPr>
        <w:footnoteReference w:id="10"/>
      </w:r>
    </w:p>
    <w:tbl>
      <w:tblPr>
        <w:tblStyle w:val="TableGrid"/>
        <w:tblW w:w="9345" w:type="dxa"/>
        <w:tblInd w:w="0" w:type="dxa"/>
        <w:tblLayout w:type="fixed"/>
        <w:tblLook w:val="04A0" w:firstRow="1" w:lastRow="0" w:firstColumn="1" w:lastColumn="0" w:noHBand="0" w:noVBand="1"/>
      </w:tblPr>
      <w:tblGrid>
        <w:gridCol w:w="7361"/>
        <w:gridCol w:w="1984"/>
      </w:tblGrid>
      <w:tr>
        <w:trPr>
          <w:trHeight w:val="237"/>
        </w:trP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22"/>
                <w:szCs w:val="22"/>
              </w:rPr>
            </w:pPr>
            <w:r>
              <w:rPr>
                <w:rStyle w:val="Strong"/>
                <w:rFonts w:ascii="Times New Roman" w:hAnsi="Times New Roman"/>
                <w:noProof/>
                <w:sz w:val="22"/>
                <w:szCs w:val="22"/>
              </w:rPr>
              <w:t xml:space="preserve">Kiemelt mutató: </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rPr>
          <w:trHeight w:val="357"/>
        </w:trP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sz w:val="22"/>
                <w:szCs w:val="22"/>
              </w:rPr>
            </w:pPr>
            <w:r>
              <w:rPr>
                <w:rStyle w:val="Strong"/>
                <w:noProof/>
                <w:sz w:val="22"/>
                <w:szCs w:val="22"/>
              </w:rPr>
              <w:t>A lakhatási deprivációban élő személyek aránya (túl sötét, beázó tetejű vagy nedves falú, padlójú, illetve fürdőkád/zuhanyozó, belső WC nélküli lakásban élők)</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Style w:val="Strong"/>
                <w:rFonts w:ascii="Times New Roman" w:hAnsi="Times New Roman"/>
                <w:noProof/>
              </w:rPr>
            </w:pPr>
            <w:r>
              <w:rPr>
                <w:rFonts w:ascii="Times New Roman" w:hAnsi="Times New Roman"/>
                <w:b/>
                <w:noProof/>
                <w:sz w:val="18"/>
              </w:rPr>
              <w:t>Eurostat</w:t>
            </w:r>
            <w:r>
              <w:rPr>
                <w:rFonts w:ascii="Times New Roman" w:hAnsi="Times New Roman"/>
                <w:noProof/>
                <w:sz w:val="18"/>
              </w:rPr>
              <w:t xml:space="preserve"> [tessi 291]</w:t>
            </w:r>
          </w:p>
        </w:tc>
      </w:tr>
      <w:tr>
        <w:trPr>
          <w:trHeight w:val="357"/>
        </w:trP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sz w:val="22"/>
                <w:szCs w:val="22"/>
              </w:rPr>
            </w:pPr>
            <w:r>
              <w:rPr>
                <w:rStyle w:val="Strong"/>
                <w:noProof/>
                <w:sz w:val="22"/>
                <w:szCs w:val="22"/>
              </w:rPr>
              <w:t xml:space="preserve">Olyan háztartásban élő személyek aránya, amelyek nem rendelkeznek az Eurostat túlzsúfoltságra vonatkozó meghatározásának megfelelő minimális szobaszámmal </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Fonts w:ascii="Times New Roman" w:hAnsi="Times New Roman"/>
                <w:noProof/>
                <w:sz w:val="18"/>
              </w:rPr>
            </w:pPr>
            <w:r>
              <w:rPr>
                <w:rFonts w:ascii="Times New Roman" w:hAnsi="Times New Roman"/>
                <w:b/>
                <w:noProof/>
                <w:sz w:val="18"/>
              </w:rPr>
              <w:t>Eurostat</w:t>
            </w:r>
            <w:r>
              <w:rPr>
                <w:rFonts w:ascii="Times New Roman" w:hAnsi="Times New Roman"/>
                <w:noProof/>
                <w:sz w:val="18"/>
              </w:rPr>
              <w:t xml:space="preserve"> [ilc_lvho05a / SDG_11_10]</w:t>
            </w:r>
          </w:p>
          <w:p>
            <w:pPr>
              <w:rPr>
                <w:rStyle w:val="Strong"/>
                <w:rFonts w:ascii="Times New Roman" w:hAnsi="Times New Roman"/>
                <w:noProof/>
              </w:rPr>
            </w:pPr>
            <w:r>
              <w:rPr>
                <w:rFonts w:ascii="Times New Roman" w:hAnsi="Times New Roman"/>
                <w:noProof/>
                <w:sz w:val="18"/>
              </w:rPr>
              <w:t>SDG 1., SDG 11.</w:t>
            </w:r>
          </w:p>
        </w:tc>
      </w:tr>
      <w:tr>
        <w:trPr>
          <w:trHeight w:val="357"/>
        </w:trPr>
        <w:tc>
          <w:tcPr>
            <w:tcW w:w="736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pStyle w:val="ListParagraph"/>
              <w:numPr>
                <w:ilvl w:val="0"/>
                <w:numId w:val="7"/>
              </w:numPr>
              <w:rPr>
                <w:rStyle w:val="Strong"/>
                <w:rFonts w:eastAsiaTheme="minorEastAsia"/>
                <w:noProof/>
                <w:sz w:val="22"/>
                <w:szCs w:val="22"/>
              </w:rPr>
            </w:pPr>
            <w:r>
              <w:rPr>
                <w:rStyle w:val="Strong"/>
                <w:noProof/>
                <w:sz w:val="22"/>
                <w:szCs w:val="22"/>
              </w:rPr>
              <w:t>A lakáson belüli vezetékes vízzel nem rendelkező háztartásban élő személyek aránya (csak a kiválasztott országok)</w:t>
            </w:r>
          </w:p>
        </w:tc>
        <w:tc>
          <w:tcPr>
            <w:tcW w:w="198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pPr>
              <w:rPr>
                <w:rFonts w:ascii="Times New Roman" w:hAnsi="Times New Roman"/>
                <w:noProof/>
                <w:sz w:val="18"/>
              </w:rPr>
            </w:pPr>
            <w:r>
              <w:rPr>
                <w:rFonts w:ascii="Times New Roman" w:hAnsi="Times New Roman"/>
                <w:b/>
                <w:noProof/>
                <w:sz w:val="18"/>
              </w:rPr>
              <w:t>Eurostat</w:t>
            </w:r>
            <w:r>
              <w:rPr>
                <w:rFonts w:ascii="Times New Roman" w:hAnsi="Times New Roman"/>
                <w:noProof/>
                <w:sz w:val="18"/>
              </w:rPr>
              <w:t xml:space="preserve"> [ilc_mdho05]</w:t>
            </w:r>
          </w:p>
          <w:p>
            <w:pPr>
              <w:rPr>
                <w:rStyle w:val="Strong"/>
                <w:rFonts w:ascii="Times New Roman" w:hAnsi="Times New Roman"/>
                <w:noProof/>
              </w:rPr>
            </w:pPr>
            <w:r>
              <w:rPr>
                <w:rFonts w:ascii="Times New Roman" w:hAnsi="Times New Roman"/>
                <w:noProof/>
                <w:sz w:val="18"/>
              </w:rPr>
              <w:t>SDG 6.1.1.</w:t>
            </w:r>
          </w:p>
        </w:tc>
      </w:tr>
      <w:tr>
        <w:tc>
          <w:tcPr>
            <w:tcW w:w="934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 xml:space="preserve">Eredménymutatók </w:t>
            </w:r>
          </w:p>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Másodlagos (fakultatív)</w:t>
            </w:r>
          </w:p>
        </w:tc>
      </w:tr>
      <w:tr>
        <w:tc>
          <w:tcPr>
            <w:tcW w:w="736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Mutató</w:t>
            </w:r>
          </w:p>
        </w:tc>
        <w:tc>
          <w:tcPr>
            <w:tcW w:w="198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361" w:type="dxa"/>
            <w:tcBorders>
              <w:top w:val="single" w:sz="4" w:space="0" w:color="auto"/>
              <w:left w:val="single" w:sz="4" w:space="0" w:color="auto"/>
              <w:bottom w:val="single" w:sz="4" w:space="0" w:color="auto"/>
              <w:right w:val="single" w:sz="4" w:space="0" w:color="auto"/>
            </w:tcBorders>
          </w:tcPr>
          <w:p>
            <w:pPr>
              <w:spacing w:after="60"/>
              <w:rPr>
                <w:rStyle w:val="Strong"/>
                <w:rFonts w:ascii="Times New Roman" w:hAnsi="Times New Roman"/>
                <w:b w:val="0"/>
                <w:noProof/>
                <w:sz w:val="22"/>
                <w:szCs w:val="22"/>
              </w:rPr>
            </w:pPr>
            <w:r>
              <w:rPr>
                <w:rFonts w:ascii="Times New Roman" w:hAnsi="Times New Roman"/>
                <w:noProof/>
                <w:sz w:val="22"/>
                <w:szCs w:val="22"/>
              </w:rPr>
              <w:t xml:space="preserve">Lakáson belüli WC, zuhanyozó vagy fürdőszoba nélküli háztartásban élő személyek aránya </w:t>
            </w:r>
          </w:p>
        </w:tc>
        <w:tc>
          <w:tcPr>
            <w:tcW w:w="1984" w:type="dxa"/>
            <w:tcBorders>
              <w:top w:val="single" w:sz="4" w:space="0" w:color="auto"/>
              <w:left w:val="single" w:sz="4" w:space="0" w:color="auto"/>
              <w:bottom w:val="single" w:sz="4" w:space="0" w:color="auto"/>
              <w:right w:val="single" w:sz="4" w:space="0" w:color="auto"/>
            </w:tcBorders>
            <w:hideMark/>
          </w:tcPr>
          <w:p>
            <w:pPr>
              <w:spacing w:after="60"/>
              <w:rPr>
                <w:rFonts w:ascii="Times New Roman" w:eastAsia="Times New Roman" w:hAnsi="Times New Roman" w:cs="Times New Roman"/>
                <w:noProof/>
                <w:sz w:val="18"/>
                <w:szCs w:val="18"/>
              </w:rPr>
            </w:pPr>
            <w:r>
              <w:rPr>
                <w:rFonts w:ascii="Times New Roman" w:hAnsi="Times New Roman"/>
                <w:b/>
                <w:noProof/>
                <w:sz w:val="18"/>
                <w:szCs w:val="18"/>
              </w:rPr>
              <w:t>Eurostat</w:t>
            </w:r>
            <w:r>
              <w:rPr>
                <w:rFonts w:ascii="Times New Roman" w:hAnsi="Times New Roman"/>
                <w:noProof/>
                <w:sz w:val="18"/>
                <w:szCs w:val="18"/>
              </w:rPr>
              <w:t xml:space="preserve"> [ilc_mdho05 / SDG_06_10]</w:t>
            </w:r>
          </w:p>
          <w:p>
            <w:pPr>
              <w:spacing w:after="60"/>
              <w:rPr>
                <w:rFonts w:ascii="Times New Roman" w:eastAsia="Times New Roman" w:hAnsi="Times New Roman" w:cs="Times New Roman"/>
                <w:noProof/>
                <w:sz w:val="18"/>
                <w:szCs w:val="18"/>
              </w:rPr>
            </w:pPr>
            <w:r>
              <w:rPr>
                <w:rFonts w:ascii="Times New Roman" w:hAnsi="Times New Roman"/>
                <w:noProof/>
                <w:sz w:val="18"/>
                <w:szCs w:val="18"/>
              </w:rPr>
              <w:t>SDG 6.</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Beázó tetejű, nedves falú, padlójú vagy alapú, penészes ablakkeretű vagy padlójú lakásban élő személyek aránya</w:t>
            </w:r>
          </w:p>
        </w:tc>
        <w:tc>
          <w:tcPr>
            <w:tcW w:w="1984"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18"/>
              </w:rPr>
            </w:pPr>
            <w:r>
              <w:rPr>
                <w:rFonts w:ascii="Times New Roman" w:hAnsi="Times New Roman"/>
                <w:b/>
                <w:noProof/>
                <w:sz w:val="18"/>
              </w:rPr>
              <w:t>Eurostat</w:t>
            </w:r>
            <w:r>
              <w:rPr>
                <w:rFonts w:ascii="Times New Roman" w:hAnsi="Times New Roman"/>
                <w:noProof/>
                <w:sz w:val="18"/>
              </w:rPr>
              <w:t xml:space="preserve"> [SDG_01_60]</w:t>
            </w:r>
          </w:p>
          <w:p>
            <w:pPr>
              <w:spacing w:after="60"/>
              <w:rPr>
                <w:rFonts w:ascii="Times New Roman" w:hAnsi="Times New Roman"/>
                <w:noProof/>
                <w:sz w:val="18"/>
              </w:rPr>
            </w:pPr>
            <w:r>
              <w:rPr>
                <w:rFonts w:ascii="Times New Roman" w:hAnsi="Times New Roman"/>
                <w:noProof/>
                <w:sz w:val="18"/>
              </w:rPr>
              <w:t>SDG 1.</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 xml:space="preserve">Azon személyek aránya, akik az elmúlt 12 hónapban bármikor is kénytelenek voltak elhagyni a szálláshelyet vagy a táborhelyet </w:t>
            </w:r>
          </w:p>
        </w:tc>
        <w:tc>
          <w:tcPr>
            <w:tcW w:w="1984"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noProof/>
                <w:sz w:val="18"/>
              </w:rPr>
              <w:t>n. a.</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Azon 16 évesnél idősebb személyek aránya, akik az elmúlt 5 hónapban úgy érezték, hogy roma voltuk miatt lakáskereséskor hátrányosan megkülönböztették őket</w:t>
            </w:r>
          </w:p>
        </w:tc>
        <w:tc>
          <w:tcPr>
            <w:tcW w:w="1984"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18"/>
              </w:rPr>
            </w:pPr>
            <w:r>
              <w:rPr>
                <w:rFonts w:ascii="Times New Roman" w:hAnsi="Times New Roman"/>
                <w:noProof/>
                <w:sz w:val="18"/>
              </w:rPr>
              <w:t>n.a./potenciálisan FRS</w:t>
            </w:r>
          </w:p>
        </w:tc>
      </w:tr>
      <w:tr>
        <w:tc>
          <w:tcPr>
            <w:tcW w:w="7361"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b/>
                <w:noProof/>
                <w:sz w:val="22"/>
                <w:szCs w:val="22"/>
              </w:rPr>
            </w:pPr>
            <w:r>
              <w:rPr>
                <w:rFonts w:ascii="Times New Roman" w:hAnsi="Times New Roman"/>
                <w:b/>
                <w:noProof/>
                <w:sz w:val="22"/>
                <w:szCs w:val="22"/>
              </w:rPr>
              <w:t xml:space="preserve">További kidolgozásra vár: </w:t>
            </w:r>
          </w:p>
          <w:p>
            <w:pPr>
              <w:spacing w:after="60"/>
              <w:rPr>
                <w:rFonts w:ascii="Times New Roman" w:hAnsi="Times New Roman"/>
                <w:noProof/>
                <w:sz w:val="22"/>
                <w:szCs w:val="22"/>
              </w:rPr>
            </w:pPr>
            <w:r>
              <w:rPr>
                <w:rFonts w:ascii="Times New Roman" w:hAnsi="Times New Roman"/>
                <w:noProof/>
                <w:sz w:val="22"/>
                <w:szCs w:val="22"/>
              </w:rPr>
              <w:t>Lakóhelyi szegregáció.</w:t>
            </w:r>
          </w:p>
          <w:p>
            <w:pPr>
              <w:spacing w:after="60"/>
              <w:rPr>
                <w:rFonts w:ascii="Times New Roman" w:hAnsi="Times New Roman"/>
                <w:noProof/>
                <w:sz w:val="22"/>
                <w:szCs w:val="22"/>
              </w:rPr>
            </w:pPr>
            <w:r>
              <w:rPr>
                <w:rFonts w:ascii="Times New Roman" w:hAnsi="Times New Roman"/>
                <w:noProof/>
                <w:sz w:val="22"/>
                <w:szCs w:val="22"/>
              </w:rPr>
              <w:t xml:space="preserve">A romák helyzetének földrajzi szempontjait tükröző mutató(k). </w:t>
            </w:r>
          </w:p>
          <w:p>
            <w:pPr>
              <w:spacing w:after="60"/>
              <w:rPr>
                <w:rFonts w:ascii="Times New Roman" w:hAnsi="Times New Roman"/>
                <w:noProof/>
                <w:sz w:val="22"/>
                <w:szCs w:val="22"/>
              </w:rPr>
            </w:pPr>
            <w:r>
              <w:rPr>
                <w:rFonts w:ascii="Times New Roman" w:hAnsi="Times New Roman"/>
                <w:noProof/>
                <w:sz w:val="22"/>
                <w:szCs w:val="22"/>
              </w:rPr>
              <w:t>A területen található alapvető szolgáltatásokhoz és infrastruktúrához (egészségügyi szolgáltatások, tömegközlekedés) való hozzáférés a távolság, a költségek, a nyitvatartási idők vagy a szolgáltatások hiánya miatt.</w:t>
            </w:r>
          </w:p>
          <w:p>
            <w:pPr>
              <w:tabs>
                <w:tab w:val="left" w:pos="1020"/>
              </w:tabs>
              <w:spacing w:after="60"/>
              <w:rPr>
                <w:rFonts w:ascii="Times New Roman" w:hAnsi="Times New Roman"/>
                <w:noProof/>
                <w:sz w:val="22"/>
                <w:szCs w:val="22"/>
              </w:rPr>
            </w:pPr>
            <w:r>
              <w:rPr>
                <w:rFonts w:ascii="Times New Roman" w:hAnsi="Times New Roman"/>
                <w:noProof/>
                <w:sz w:val="22"/>
                <w:szCs w:val="22"/>
              </w:rPr>
              <w:t>Illegális vagy szabályozatlan lakásban élő személyek aránya.</w:t>
            </w:r>
          </w:p>
        </w:tc>
        <w:tc>
          <w:tcPr>
            <w:tcW w:w="1984"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b/>
                <w:noProof/>
                <w:sz w:val="18"/>
              </w:rPr>
            </w:pPr>
          </w:p>
          <w:p>
            <w:pPr>
              <w:spacing w:after="60"/>
              <w:rPr>
                <w:rFonts w:ascii="Times New Roman" w:hAnsi="Times New Roman"/>
                <w:noProof/>
                <w:sz w:val="18"/>
              </w:rPr>
            </w:pPr>
            <w:r>
              <w:rPr>
                <w:rFonts w:ascii="Times New Roman" w:hAnsi="Times New Roman"/>
                <w:noProof/>
                <w:sz w:val="18"/>
              </w:rPr>
              <w:t>n. a.</w:t>
            </w:r>
          </w:p>
          <w:p>
            <w:pPr>
              <w:spacing w:after="60"/>
              <w:rPr>
                <w:rFonts w:ascii="Times New Roman" w:hAnsi="Times New Roman"/>
                <w:b/>
                <w:noProof/>
                <w:sz w:val="18"/>
              </w:rPr>
            </w:pPr>
            <w:r>
              <w:rPr>
                <w:rFonts w:ascii="Times New Roman" w:hAnsi="Times New Roman"/>
                <w:noProof/>
                <w:sz w:val="18"/>
              </w:rPr>
              <w:t>n. a.</w:t>
            </w:r>
          </w:p>
        </w:tc>
      </w:tr>
    </w:tbl>
    <w:p>
      <w:pPr>
        <w:spacing w:after="0" w:line="240" w:lineRule="auto"/>
        <w:rPr>
          <w:rFonts w:ascii="Times New Roman" w:hAnsi="Times New Roman" w:cs="Times New Roman"/>
          <w:noProof/>
        </w:rPr>
      </w:pPr>
    </w:p>
    <w:tbl>
      <w:tblPr>
        <w:tblStyle w:val="TableGrid"/>
        <w:tblW w:w="9345" w:type="dxa"/>
        <w:tblInd w:w="0" w:type="dxa"/>
        <w:tblLayout w:type="fixed"/>
        <w:tblLook w:val="04A0" w:firstRow="1" w:lastRow="0" w:firstColumn="1" w:lastColumn="0" w:noHBand="0" w:noVBand="1"/>
      </w:tblPr>
      <w:tblGrid>
        <w:gridCol w:w="9345"/>
      </w:tblGrid>
      <w:tr>
        <w:tc>
          <w:tcPr>
            <w:tcW w:w="9345" w:type="dxa"/>
            <w:tcBorders>
              <w:top w:val="single" w:sz="4" w:space="0" w:color="auto"/>
              <w:left w:val="single" w:sz="4" w:space="0" w:color="auto"/>
              <w:bottom w:val="single" w:sz="4" w:space="0" w:color="auto"/>
              <w:right w:val="single" w:sz="4" w:space="0" w:color="auto"/>
            </w:tcBorders>
            <w:shd w:val="clear" w:color="auto" w:fill="E0E0E0"/>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A 7. célkitűzés folyamatmutatói: A megfelelő, deszegregált, lakhatási és alapvető szolgáltatásokhoz való tényleges hozzáférés növelése</w:t>
            </w:r>
          </w:p>
        </w:tc>
      </w:tr>
      <w:tr>
        <w:tc>
          <w:tcPr>
            <w:tcW w:w="9345"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22"/>
                <w:szCs w:val="22"/>
              </w:rPr>
            </w:pPr>
            <w:r>
              <w:rPr>
                <w:rFonts w:ascii="Times New Roman" w:hAnsi="Times New Roman"/>
                <w:b/>
                <w:noProof/>
                <w:sz w:val="22"/>
                <w:szCs w:val="22"/>
              </w:rPr>
              <w:t>Mutató – A. dimenzió – Intézményi felépítés</w:t>
            </w:r>
            <w:r>
              <w:rPr>
                <w:rFonts w:ascii="Times New Roman" w:hAnsi="Times New Roman"/>
                <w:noProof/>
                <w:sz w:val="22"/>
                <w:szCs w:val="22"/>
              </w:rPr>
              <w:t xml:space="preserve"> </w:t>
            </w:r>
          </w:p>
        </w:tc>
      </w:tr>
      <w:tr>
        <w:tc>
          <w:tcPr>
            <w:tcW w:w="9345" w:type="dxa"/>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rFonts w:eastAsiaTheme="minorEastAsia"/>
                <w:noProof/>
                <w:sz w:val="22"/>
              </w:rPr>
            </w:pPr>
            <w:r>
              <w:rPr>
                <w:noProof/>
                <w:sz w:val="22"/>
                <w:szCs w:val="22"/>
              </w:rPr>
              <w:t>a</w:t>
            </w:r>
            <w:r>
              <w:rPr>
                <w:noProof/>
                <w:sz w:val="22"/>
              </w:rPr>
              <w:t xml:space="preserve"> nemzeti romastratégiai keretek vagy a kapcsolódó dokumentumok a lakhatási szegregáció leküzdését célzó, kifejezett intézkedéseket tartalmaznak;</w:t>
            </w:r>
          </w:p>
          <w:p>
            <w:pPr>
              <w:pStyle w:val="ListParagraph"/>
              <w:numPr>
                <w:ilvl w:val="0"/>
                <w:numId w:val="6"/>
              </w:numPr>
              <w:tabs>
                <w:tab w:val="left" w:pos="1020"/>
              </w:tabs>
              <w:spacing w:after="60"/>
              <w:ind w:left="311" w:hanging="218"/>
              <w:rPr>
                <w:rFonts w:eastAsiaTheme="minorEastAsia"/>
                <w:noProof/>
                <w:sz w:val="22"/>
              </w:rPr>
            </w:pPr>
            <w:r>
              <w:rPr>
                <w:noProof/>
                <w:sz w:val="22"/>
              </w:rPr>
              <w:t>léteznek és ténylegesen végrehajtják a jogellenes kilakoltatások elleni védelemre vonatkozó egyértelmű iránymutatásokat;</w:t>
            </w:r>
          </w:p>
          <w:p>
            <w:pPr>
              <w:pStyle w:val="ListParagraph"/>
              <w:numPr>
                <w:ilvl w:val="0"/>
                <w:numId w:val="6"/>
              </w:numPr>
              <w:tabs>
                <w:tab w:val="left" w:pos="1020"/>
              </w:tabs>
              <w:spacing w:after="60"/>
              <w:ind w:left="311" w:hanging="218"/>
              <w:rPr>
                <w:rFonts w:eastAsiaTheme="minorEastAsia"/>
                <w:noProof/>
                <w:sz w:val="22"/>
              </w:rPr>
            </w:pPr>
            <w:r>
              <w:rPr>
                <w:noProof/>
                <w:sz w:val="22"/>
              </w:rPr>
              <w:t>léteznek és ténylegesen végrehajtják a kilakoltatásokra vonatkozó egyértelmű iránymutatásokat a gyermeket nevelő háztartások védelme érdekében;</w:t>
            </w:r>
          </w:p>
          <w:p>
            <w:pPr>
              <w:pStyle w:val="ListParagraph"/>
              <w:numPr>
                <w:ilvl w:val="0"/>
                <w:numId w:val="6"/>
              </w:numPr>
              <w:tabs>
                <w:tab w:val="left" w:pos="1020"/>
              </w:tabs>
              <w:spacing w:after="60"/>
              <w:ind w:left="311" w:hanging="218"/>
              <w:rPr>
                <w:rFonts w:eastAsiaTheme="minorEastAsia"/>
                <w:noProof/>
                <w:sz w:val="22"/>
              </w:rPr>
            </w:pPr>
            <w:r>
              <w:rPr>
                <w:noProof/>
                <w:sz w:val="22"/>
              </w:rPr>
              <w:t>megszüntették a lakhatási szabályozásban meglévő, a romák lakta környékeken található szabályozatlan lakásállomány felszámolását megakadályozó joghézagokat;</w:t>
            </w:r>
          </w:p>
          <w:p>
            <w:pPr>
              <w:pStyle w:val="ListParagraph"/>
              <w:numPr>
                <w:ilvl w:val="0"/>
                <w:numId w:val="6"/>
              </w:numPr>
              <w:tabs>
                <w:tab w:val="left" w:pos="1020"/>
              </w:tabs>
              <w:spacing w:after="60"/>
              <w:ind w:left="311" w:hanging="218"/>
              <w:rPr>
                <w:noProof/>
                <w:sz w:val="22"/>
              </w:rPr>
            </w:pPr>
            <w:r>
              <w:rPr>
                <w:noProof/>
                <w:sz w:val="22"/>
              </w:rPr>
              <w:t>a magas roma lakosságaránnyal rendelkező települések infrastruktúrájának fejlesztését célzó, uniós finanszírozású projektek támogathatósági és értékelési kritériumai különleges pontokat tartalmaznak a romákat foglakoztató vagy romák által működtetett társaságokra vonatkozóan;</w:t>
            </w:r>
          </w:p>
          <w:p>
            <w:pPr>
              <w:pStyle w:val="ListParagraph"/>
              <w:numPr>
                <w:ilvl w:val="0"/>
                <w:numId w:val="6"/>
              </w:numPr>
              <w:tabs>
                <w:tab w:val="left" w:pos="1020"/>
              </w:tabs>
              <w:spacing w:after="60"/>
              <w:ind w:left="311" w:hanging="218"/>
              <w:rPr>
                <w:noProof/>
                <w:sz w:val="22"/>
              </w:rPr>
            </w:pPr>
            <w:r>
              <w:rPr>
                <w:noProof/>
                <w:sz w:val="22"/>
              </w:rPr>
              <w:t>léteznek a lakhatás terén közösségi szintű helyi önsegélyező kezdeményezések ösztönzését és támogatását célzó szakpolitikák;</w:t>
            </w:r>
          </w:p>
          <w:p>
            <w:pPr>
              <w:pStyle w:val="ListParagraph"/>
              <w:numPr>
                <w:ilvl w:val="0"/>
                <w:numId w:val="6"/>
              </w:numPr>
              <w:tabs>
                <w:tab w:val="left" w:pos="1020"/>
              </w:tabs>
              <w:spacing w:after="60"/>
              <w:ind w:left="311" w:hanging="218"/>
              <w:rPr>
                <w:noProof/>
                <w:sz w:val="22"/>
              </w:rPr>
            </w:pPr>
            <w:r>
              <w:rPr>
                <w:noProof/>
                <w:sz w:val="22"/>
              </w:rPr>
              <w:t>rendszeresen felérik a táborhelyek és a karavántáborok iránti igényeket;</w:t>
            </w:r>
          </w:p>
          <w:p>
            <w:pPr>
              <w:pStyle w:val="ListParagraph"/>
              <w:numPr>
                <w:ilvl w:val="0"/>
                <w:numId w:val="6"/>
              </w:numPr>
              <w:tabs>
                <w:tab w:val="left" w:pos="1020"/>
              </w:tabs>
              <w:spacing w:after="60"/>
              <w:ind w:left="311" w:hanging="218"/>
              <w:rPr>
                <w:noProof/>
                <w:sz w:val="22"/>
              </w:rPr>
            </w:pPr>
            <w:r>
              <w:rPr>
                <w:noProof/>
                <w:sz w:val="22"/>
              </w:rPr>
              <w:t>léteznek a romák biztonságos vízhez és megfelelő higiéniás létesítményekhez való jogának tényleges gyakorlását biztosító mechanizmusok;</w:t>
            </w:r>
          </w:p>
        </w:tc>
      </w:tr>
      <w:tr>
        <w:trPr>
          <w:trHeight w:val="468"/>
        </w:trPr>
        <w:tc>
          <w:tcPr>
            <w:tcW w:w="9345" w:type="dxa"/>
            <w:tcBorders>
              <w:top w:val="single" w:sz="4" w:space="0" w:color="auto"/>
              <w:left w:val="single" w:sz="4" w:space="0" w:color="auto"/>
              <w:bottom w:val="single" w:sz="4" w:space="0" w:color="auto"/>
              <w:right w:val="single" w:sz="4" w:space="0" w:color="auto"/>
            </w:tcBorders>
            <w:vAlign w:val="center"/>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B. dimenzió – Konkrét intézkedések és fellépések</w:t>
            </w:r>
          </w:p>
        </w:tc>
      </w:tr>
      <w:tr>
        <w:trPr>
          <w:trHeight w:val="468"/>
        </w:trPr>
        <w:tc>
          <w:tcPr>
            <w:tcW w:w="9345" w:type="dxa"/>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az általános lakhatási szolgáltatások és programok inkluzivitásának kifejezett garanciái és kritériumai megjelennek a nemzeti roma stratégiai keretrendszerekben;</w:t>
            </w:r>
          </w:p>
          <w:p>
            <w:pPr>
              <w:pStyle w:val="ListParagraph"/>
              <w:numPr>
                <w:ilvl w:val="0"/>
                <w:numId w:val="6"/>
              </w:numPr>
              <w:tabs>
                <w:tab w:val="left" w:pos="1020"/>
              </w:tabs>
              <w:spacing w:after="60"/>
              <w:ind w:left="311" w:hanging="218"/>
              <w:rPr>
                <w:b/>
                <w:noProof/>
                <w:sz w:val="22"/>
                <w:szCs w:val="22"/>
              </w:rPr>
            </w:pPr>
            <w:r>
              <w:rPr>
                <w:noProof/>
                <w:sz w:val="22"/>
                <w:szCs w:val="22"/>
              </w:rPr>
              <w:t>léteznek a szociálisan hátrányos helyzetben lévő területek szegregáció csökkentése érdekében történő támogatására irányuló, célzott intézkedések;</w:t>
            </w:r>
          </w:p>
          <w:p>
            <w:pPr>
              <w:pStyle w:val="ListParagraph"/>
              <w:numPr>
                <w:ilvl w:val="0"/>
                <w:numId w:val="6"/>
              </w:numPr>
              <w:tabs>
                <w:tab w:val="left" w:pos="1020"/>
              </w:tabs>
              <w:spacing w:after="60"/>
              <w:ind w:left="311" w:hanging="218"/>
              <w:rPr>
                <w:noProof/>
                <w:sz w:val="22"/>
                <w:szCs w:val="22"/>
              </w:rPr>
            </w:pPr>
            <w:r>
              <w:rPr>
                <w:noProof/>
                <w:sz w:val="22"/>
                <w:szCs w:val="22"/>
              </w:rPr>
              <w:t>léteznek biztosított pénzügyi erőforrásokkal ellátott, a hátrányos helyzetű települések közinfrastruktúrájának utak, víz, megfelelő higiéniás létesítmények, közszolgáltatásokhoz való hozzáférés és csatornalétesítmények tekintetében történő javítására szolgáló, célzott intézkedések;</w:t>
            </w:r>
          </w:p>
          <w:p>
            <w:pPr>
              <w:pStyle w:val="ListParagraph"/>
              <w:numPr>
                <w:ilvl w:val="0"/>
                <w:numId w:val="6"/>
              </w:numPr>
              <w:tabs>
                <w:tab w:val="left" w:pos="1020"/>
              </w:tabs>
              <w:spacing w:after="60"/>
              <w:ind w:left="311" w:hanging="218"/>
              <w:rPr>
                <w:noProof/>
                <w:sz w:val="22"/>
                <w:szCs w:val="22"/>
              </w:rPr>
            </w:pPr>
            <w:r>
              <w:rPr>
                <w:noProof/>
                <w:sz w:val="22"/>
                <w:szCs w:val="22"/>
              </w:rPr>
              <w:t>létezik „lakhatás az első” program;</w:t>
            </w:r>
          </w:p>
          <w:p>
            <w:pPr>
              <w:pStyle w:val="ListParagraph"/>
              <w:numPr>
                <w:ilvl w:val="0"/>
                <w:numId w:val="6"/>
              </w:numPr>
              <w:tabs>
                <w:tab w:val="left" w:pos="1020"/>
              </w:tabs>
              <w:spacing w:after="60"/>
              <w:ind w:left="311" w:hanging="218"/>
              <w:rPr>
                <w:noProof/>
                <w:sz w:val="22"/>
                <w:szCs w:val="22"/>
              </w:rPr>
            </w:pPr>
            <w:r>
              <w:rPr>
                <w:noProof/>
                <w:sz w:val="22"/>
                <w:szCs w:val="22"/>
              </w:rPr>
              <w:t xml:space="preserve">A lakhatás terén történő hátrányos megkülönböztetés és cigányellenesség leküzdésével kapcsolatos, célzott képzéseket nyújtanak a lakhatással foglalkozó szolgálatok és az önkormányzati hivatalok személyzete számára; </w:t>
            </w:r>
          </w:p>
          <w:p>
            <w:pPr>
              <w:pStyle w:val="ListParagraph"/>
              <w:numPr>
                <w:ilvl w:val="0"/>
                <w:numId w:val="6"/>
              </w:numPr>
              <w:tabs>
                <w:tab w:val="left" w:pos="1020"/>
              </w:tabs>
              <w:spacing w:after="60"/>
              <w:ind w:left="311" w:hanging="218"/>
              <w:rPr>
                <w:noProof/>
                <w:sz w:val="22"/>
                <w:szCs w:val="22"/>
              </w:rPr>
            </w:pPr>
            <w:r>
              <w:rPr>
                <w:noProof/>
                <w:sz w:val="22"/>
                <w:szCs w:val="22"/>
              </w:rPr>
              <w:t>rendszeresen feltérképezik és nyomon követik a hátrányos helyzetű településeket és táborokat;</w:t>
            </w:r>
          </w:p>
          <w:p>
            <w:pPr>
              <w:pStyle w:val="ListParagraph"/>
              <w:numPr>
                <w:ilvl w:val="0"/>
                <w:numId w:val="6"/>
              </w:numPr>
              <w:tabs>
                <w:tab w:val="left" w:pos="1020"/>
              </w:tabs>
              <w:spacing w:after="60"/>
              <w:ind w:left="311" w:hanging="218"/>
              <w:rPr>
                <w:rFonts w:eastAsiaTheme="minorEastAsia"/>
                <w:noProof/>
                <w:sz w:val="22"/>
                <w:szCs w:val="22"/>
              </w:rPr>
            </w:pPr>
            <w:r>
              <w:rPr>
                <w:noProof/>
                <w:sz w:val="22"/>
                <w:szCs w:val="22"/>
              </w:rPr>
              <w:t>rendszeresen nyomon követik a lakhatási szempontokat (értékelendő helyi lakásegységek száma).</w:t>
            </w:r>
          </w:p>
        </w:tc>
      </w:tr>
      <w:tr>
        <w:tc>
          <w:tcPr>
            <w:tcW w:w="9345" w:type="dxa"/>
            <w:tcBorders>
              <w:top w:val="single" w:sz="4" w:space="0" w:color="auto"/>
              <w:left w:val="single" w:sz="4" w:space="0" w:color="auto"/>
              <w:bottom w:val="single" w:sz="4" w:space="0" w:color="auto"/>
              <w:right w:val="single" w:sz="4" w:space="0" w:color="auto"/>
            </w:tcBorders>
            <w:vAlign w:val="center"/>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C. dimenzió – A döntéshozatali eljárások minősége</w:t>
            </w:r>
            <w:r>
              <w:rPr>
                <w:rFonts w:ascii="Times New Roman" w:hAnsi="Times New Roman"/>
                <w:noProof/>
                <w:sz w:val="22"/>
                <w:szCs w:val="22"/>
              </w:rPr>
              <w:t xml:space="preserve"> </w:t>
            </w:r>
          </w:p>
        </w:tc>
      </w:tr>
      <w:tr>
        <w:tc>
          <w:tcPr>
            <w:tcW w:w="9345" w:type="dxa"/>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4"/>
              </w:numPr>
              <w:spacing w:after="60"/>
              <w:rPr>
                <w:rFonts w:eastAsiaTheme="minorEastAsia"/>
                <w:noProof/>
                <w:sz w:val="22"/>
                <w:szCs w:val="22"/>
              </w:rPr>
            </w:pPr>
            <w:r>
              <w:rPr>
                <w:noProof/>
                <w:sz w:val="22"/>
                <w:szCs w:val="22"/>
              </w:rPr>
              <w:t>léteznek olyan intézkedések, amelyek biztosítják a romák részvételét a lakhatással kapcsolatos szakpolitikai válaszok kidolgozásában;</w:t>
            </w:r>
          </w:p>
          <w:p>
            <w:pPr>
              <w:pStyle w:val="ListParagraph"/>
              <w:numPr>
                <w:ilvl w:val="0"/>
                <w:numId w:val="4"/>
              </w:numPr>
              <w:spacing w:after="60"/>
              <w:rPr>
                <w:rFonts w:eastAsiaTheme="minorEastAsia"/>
                <w:noProof/>
                <w:sz w:val="22"/>
                <w:szCs w:val="22"/>
              </w:rPr>
            </w:pPr>
            <w:r>
              <w:rPr>
                <w:noProof/>
                <w:sz w:val="22"/>
                <w:szCs w:val="22"/>
              </w:rPr>
              <w:t>a lakhatás terén meglévő kihívások kezelését célzó egyedi intézkedéseket dolgoznak ki a roma civil szervezetekkel partnerségben;</w:t>
            </w:r>
          </w:p>
          <w:p>
            <w:pPr>
              <w:pStyle w:val="ListParagraph"/>
              <w:numPr>
                <w:ilvl w:val="0"/>
                <w:numId w:val="4"/>
              </w:numPr>
              <w:spacing w:after="60"/>
              <w:rPr>
                <w:rFonts w:eastAsiaTheme="minorEastAsia"/>
                <w:noProof/>
                <w:sz w:val="22"/>
                <w:szCs w:val="22"/>
              </w:rPr>
            </w:pPr>
            <w:r>
              <w:rPr>
                <w:noProof/>
                <w:sz w:val="22"/>
                <w:szCs w:val="22"/>
              </w:rPr>
              <w:t>a romákra irányuló lakhatási (különösen deszegregációs) beavatkozásokat dolgoznak ki és hajtanak végre a roma közösségi szervezetek részvételével;</w:t>
            </w:r>
          </w:p>
          <w:p>
            <w:pPr>
              <w:pStyle w:val="ListParagraph"/>
              <w:numPr>
                <w:ilvl w:val="0"/>
                <w:numId w:val="4"/>
              </w:numPr>
              <w:spacing w:after="60"/>
              <w:rPr>
                <w:rFonts w:eastAsiaTheme="minorEastAsia"/>
                <w:noProof/>
                <w:sz w:val="22"/>
                <w:szCs w:val="22"/>
              </w:rPr>
            </w:pPr>
            <w:r>
              <w:rPr>
                <w:noProof/>
                <w:sz w:val="22"/>
                <w:szCs w:val="22"/>
              </w:rPr>
              <w:t>a roma civil szervezetek részt vesznek az uniós pénzeszközök operatív programjainak monitoringbizottságaiban, amelyek keretében a lakhatási helyzet javítását, különösen a deszegregációt célzó egyedi intézkedéseket végrehajtják;</w:t>
            </w:r>
          </w:p>
          <w:p>
            <w:pPr>
              <w:pStyle w:val="ListParagraph"/>
              <w:numPr>
                <w:ilvl w:val="0"/>
                <w:numId w:val="4"/>
              </w:numPr>
              <w:spacing w:after="60"/>
              <w:rPr>
                <w:noProof/>
                <w:sz w:val="22"/>
                <w:szCs w:val="22"/>
              </w:rPr>
            </w:pPr>
            <w:r>
              <w:rPr>
                <w:noProof/>
                <w:sz w:val="22"/>
                <w:szCs w:val="22"/>
              </w:rPr>
              <w:t>a roma civil szervezetek részt vesznek a lakhatás, különösen a deszegregáció terén végrehajtott intézkedések eredményeinek nyomon követésében.</w:t>
            </w:r>
          </w:p>
          <w:p>
            <w:pPr>
              <w:pStyle w:val="ListParagraph"/>
              <w:numPr>
                <w:ilvl w:val="0"/>
                <w:numId w:val="4"/>
              </w:numPr>
              <w:spacing w:after="60"/>
              <w:rPr>
                <w:noProof/>
                <w:sz w:val="22"/>
                <w:szCs w:val="22"/>
              </w:rPr>
            </w:pPr>
            <w:r>
              <w:rPr>
                <w:noProof/>
                <w:sz w:val="22"/>
                <w:szCs w:val="22"/>
              </w:rPr>
              <w:t>az állami intézmények és a (központi és helyi) közigazgatási szervek a lakhatással kapcsolatos döntéshozatali eljárásaik során figyelembe veszik a roma civil szervezetektől, különösen a roma egészségügyi és oktatási közvetítőktől érkező inputokat.</w:t>
            </w:r>
          </w:p>
        </w:tc>
      </w:tr>
    </w:tbl>
    <w:p>
      <w:pPr>
        <w:spacing w:after="0" w:line="240" w:lineRule="auto"/>
        <w:rPr>
          <w:rFonts w:ascii="Times New Roman" w:hAnsi="Times New Roman" w:cs="Times New Roman"/>
          <w:noProof/>
        </w:rPr>
      </w:pPr>
    </w:p>
    <w:p>
      <w:pPr>
        <w:pStyle w:val="Heading3"/>
        <w:spacing w:after="120" w:line="240" w:lineRule="auto"/>
        <w:rPr>
          <w:rFonts w:ascii="Times New Roman" w:hAnsi="Times New Roman" w:cs="Times New Roman"/>
          <w:b/>
          <w:noProof/>
          <w:color w:val="auto"/>
          <w:sz w:val="20"/>
          <w:szCs w:val="20"/>
        </w:rPr>
      </w:pPr>
      <w:bookmarkStart w:id="75" w:name="_Toc42625031"/>
      <w:bookmarkStart w:id="76" w:name="_Toc42697885"/>
      <w:bookmarkStart w:id="77" w:name="_Toc42698844"/>
      <w:bookmarkStart w:id="78" w:name="_Toc42706938"/>
      <w:bookmarkStart w:id="79" w:name="_Toc42713783"/>
      <w:bookmarkStart w:id="80" w:name="_Toc42714185"/>
      <w:bookmarkStart w:id="81" w:name="_Toc44090799"/>
      <w:r>
        <w:rPr>
          <w:rFonts w:ascii="Times New Roman" w:hAnsi="Times New Roman"/>
          <w:b/>
          <w:noProof/>
          <w:color w:val="auto"/>
          <w:sz w:val="20"/>
          <w:szCs w:val="20"/>
        </w:rPr>
        <w:t>7-a. célkitűzés: A környezeti depriváció leküzdése, a környezeti igazságosság előmozdítása</w:t>
      </w:r>
      <w:bookmarkEnd w:id="75"/>
      <w:bookmarkEnd w:id="76"/>
      <w:bookmarkEnd w:id="77"/>
      <w:bookmarkEnd w:id="78"/>
      <w:bookmarkEnd w:id="79"/>
      <w:bookmarkEnd w:id="80"/>
      <w:bookmarkEnd w:id="81"/>
    </w:p>
    <w:tbl>
      <w:tblPr>
        <w:tblStyle w:val="TableGrid"/>
        <w:tblW w:w="9345" w:type="dxa"/>
        <w:tblInd w:w="0" w:type="dxa"/>
        <w:tblLayout w:type="fixed"/>
        <w:tblLook w:val="04A0" w:firstRow="1" w:lastRow="0" w:firstColumn="1" w:lastColumn="0" w:noHBand="0" w:noVBand="1"/>
      </w:tblPr>
      <w:tblGrid>
        <w:gridCol w:w="7361"/>
        <w:gridCol w:w="1984"/>
      </w:tblGrid>
      <w:tr>
        <w:tc>
          <w:tcPr>
            <w:tcW w:w="934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 xml:space="preserve">Eredménymutatók </w:t>
            </w:r>
          </w:p>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Másodlagos (fakultatív)</w:t>
            </w:r>
          </w:p>
        </w:tc>
      </w:tr>
      <w:tr>
        <w:tc>
          <w:tcPr>
            <w:tcW w:w="736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 xml:space="preserve">Mutató </w:t>
            </w:r>
          </w:p>
        </w:tc>
        <w:tc>
          <w:tcPr>
            <w:tcW w:w="198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pPr>
              <w:spacing w:after="60"/>
              <w:rPr>
                <w:rStyle w:val="Strong"/>
                <w:rFonts w:ascii="Times New Roman" w:hAnsi="Times New Roman"/>
                <w:noProof/>
                <w:sz w:val="22"/>
                <w:szCs w:val="22"/>
              </w:rPr>
            </w:pPr>
            <w:r>
              <w:rPr>
                <w:rStyle w:val="Strong"/>
                <w:rFonts w:ascii="Times New Roman" w:hAnsi="Times New Roman"/>
                <w:noProof/>
                <w:sz w:val="22"/>
                <w:szCs w:val="22"/>
              </w:rPr>
              <w:t>Általános népesség</w:t>
            </w:r>
          </w:p>
        </w:tc>
      </w:tr>
      <w:tr>
        <w:tc>
          <w:tcPr>
            <w:tcW w:w="7361" w:type="dxa"/>
            <w:tcBorders>
              <w:top w:val="single" w:sz="4" w:space="0" w:color="auto"/>
              <w:left w:val="single" w:sz="4" w:space="0" w:color="auto"/>
              <w:bottom w:val="single" w:sz="4" w:space="0" w:color="auto"/>
              <w:right w:val="single" w:sz="4" w:space="0" w:color="auto"/>
            </w:tcBorders>
          </w:tcPr>
          <w:p>
            <w:pPr>
              <w:spacing w:after="60"/>
              <w:rPr>
                <w:rFonts w:ascii="Times New Roman" w:hAnsi="Times New Roman"/>
                <w:noProof/>
                <w:sz w:val="22"/>
                <w:szCs w:val="22"/>
              </w:rPr>
            </w:pPr>
            <w:r>
              <w:rPr>
                <w:rFonts w:ascii="Times New Roman" w:hAnsi="Times New Roman"/>
                <w:noProof/>
                <w:sz w:val="22"/>
                <w:szCs w:val="22"/>
              </w:rPr>
              <w:t xml:space="preserve">A lakásukban a következő problémákkal küzdő háztartásokban élő romák aránya: szennyezés, korom vagy a helyi környezetben tapasztalt egyéb problémák, például: füst, por, kellemetlen szagok vagy szennyezett víz </w:t>
            </w:r>
          </w:p>
        </w:tc>
        <w:tc>
          <w:tcPr>
            <w:tcW w:w="1984"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b/>
                <w:noProof/>
                <w:sz w:val="18"/>
              </w:rPr>
            </w:pPr>
            <w:r>
              <w:rPr>
                <w:rFonts w:ascii="Times New Roman" w:hAnsi="Times New Roman"/>
                <w:b/>
                <w:noProof/>
                <w:sz w:val="18"/>
              </w:rPr>
              <w:t>Eurostat</w:t>
            </w:r>
            <w:r>
              <w:rPr>
                <w:rFonts w:ascii="Times New Roman" w:hAnsi="Times New Roman"/>
                <w:noProof/>
                <w:sz w:val="18"/>
              </w:rPr>
              <w:t xml:space="preserve"> </w:t>
            </w:r>
            <w:r>
              <w:rPr>
                <w:rFonts w:ascii="Times New Roman" w:hAnsi="Times New Roman"/>
                <w:noProof/>
                <w:color w:val="000000"/>
                <w:sz w:val="18"/>
              </w:rPr>
              <w:t>[ilc_mddw02]</w:t>
            </w:r>
          </w:p>
        </w:tc>
      </w:tr>
      <w:tr>
        <w:tc>
          <w:tcPr>
            <w:tcW w:w="9345" w:type="dxa"/>
            <w:gridSpan w:val="2"/>
            <w:tcBorders>
              <w:top w:val="single" w:sz="4" w:space="0" w:color="auto"/>
              <w:left w:val="single" w:sz="4" w:space="0" w:color="auto"/>
              <w:bottom w:val="single" w:sz="4" w:space="0" w:color="auto"/>
              <w:right w:val="single" w:sz="4" w:space="0" w:color="auto"/>
            </w:tcBorders>
            <w:hideMark/>
          </w:tcPr>
          <w:p>
            <w:pPr>
              <w:tabs>
                <w:tab w:val="left" w:pos="1440"/>
              </w:tabs>
              <w:rPr>
                <w:rStyle w:val="Strong"/>
                <w:rFonts w:ascii="Times New Roman" w:hAnsi="Times New Roman"/>
                <w:noProof/>
                <w:sz w:val="22"/>
                <w:szCs w:val="22"/>
              </w:rPr>
            </w:pPr>
            <w:r>
              <w:rPr>
                <w:rStyle w:val="Strong"/>
                <w:rFonts w:ascii="Times New Roman" w:hAnsi="Times New Roman"/>
                <w:noProof/>
                <w:sz w:val="22"/>
                <w:szCs w:val="22"/>
              </w:rPr>
              <w:t xml:space="preserve">Eredménymutatók: Másodlagos (fakultatív): Ezen a területen még nincsenek kidolgozott mutatók, néhány lehetséges tematikus terület az alábbiakat öleli fel: </w:t>
            </w:r>
          </w:p>
          <w:p>
            <w:pPr>
              <w:spacing w:after="60"/>
              <w:rPr>
                <w:rFonts w:ascii="Times New Roman" w:hAnsi="Times New Roman"/>
                <w:noProof/>
                <w:sz w:val="22"/>
                <w:szCs w:val="22"/>
              </w:rPr>
            </w:pPr>
            <w:r>
              <w:rPr>
                <w:rFonts w:ascii="Times New Roman" w:hAnsi="Times New Roman"/>
                <w:noProof/>
                <w:sz w:val="22"/>
                <w:szCs w:val="22"/>
              </w:rPr>
              <w:t>veszélyes vagy egészségügyi kockázatokkal társuló környezeti életkörülményeknek való kitettség:</w:t>
            </w:r>
          </w:p>
          <w:p>
            <w:pPr>
              <w:pStyle w:val="ListParagraph"/>
              <w:numPr>
                <w:ilvl w:val="0"/>
                <w:numId w:val="9"/>
              </w:numPr>
              <w:spacing w:after="60"/>
              <w:jc w:val="both"/>
              <w:rPr>
                <w:noProof/>
                <w:sz w:val="22"/>
                <w:szCs w:val="22"/>
              </w:rPr>
            </w:pPr>
            <w:r>
              <w:rPr>
                <w:noProof/>
                <w:sz w:val="22"/>
                <w:szCs w:val="22"/>
              </w:rPr>
              <w:t>természeti katasztrófákkal (katasztrófa alatt értendő a folyók kiöntése, árvizek, földcsuszamlások stb.) gyakran sújtott területeken élők;</w:t>
            </w:r>
          </w:p>
          <w:p>
            <w:pPr>
              <w:pStyle w:val="ListParagraph"/>
              <w:numPr>
                <w:ilvl w:val="0"/>
                <w:numId w:val="9"/>
              </w:numPr>
              <w:spacing w:after="60"/>
              <w:jc w:val="both"/>
              <w:rPr>
                <w:noProof/>
                <w:sz w:val="22"/>
                <w:szCs w:val="22"/>
              </w:rPr>
            </w:pPr>
            <w:r>
              <w:rPr>
                <w:noProof/>
                <w:sz w:val="22"/>
                <w:szCs w:val="22"/>
              </w:rPr>
              <w:t>környezeti szempontból veszélyes területen (veszélyes terület alatt értendő a hulladéklerakók vagy a lerakóhelyek, az elhagyott ipari telephelyek, bányák stb.) élők;</w:t>
            </w:r>
          </w:p>
          <w:p>
            <w:pPr>
              <w:pStyle w:val="ListParagraph"/>
              <w:numPr>
                <w:ilvl w:val="0"/>
                <w:numId w:val="9"/>
              </w:numPr>
              <w:spacing w:after="60"/>
              <w:jc w:val="both"/>
              <w:rPr>
                <w:noProof/>
                <w:sz w:val="22"/>
                <w:szCs w:val="22"/>
              </w:rPr>
            </w:pPr>
            <w:r>
              <w:rPr>
                <w:noProof/>
                <w:sz w:val="22"/>
                <w:szCs w:val="22"/>
              </w:rPr>
              <w:t>veszélyes tényezőknek (típus szerint – szennyezett, kezeletlen és szennyezett vízforrásokra támaszkodó területen élés, mérgező kibocsátásoknak való kitettség, elektromágneses sugárzás stb.) való kitettség;</w:t>
            </w:r>
          </w:p>
          <w:p>
            <w:pPr>
              <w:pStyle w:val="ListParagraph"/>
              <w:numPr>
                <w:ilvl w:val="0"/>
                <w:numId w:val="9"/>
              </w:numPr>
              <w:spacing w:after="60"/>
              <w:jc w:val="both"/>
              <w:rPr>
                <w:noProof/>
                <w:sz w:val="22"/>
                <w:szCs w:val="22"/>
              </w:rPr>
            </w:pPr>
            <w:r>
              <w:rPr>
                <w:noProof/>
                <w:sz w:val="22"/>
                <w:szCs w:val="22"/>
              </w:rPr>
              <w:t>veszélyes munkahelyen – például szeméttelepeken, kukákkal stb. –, megfelelő védelem nélkül végzett munka;</w:t>
            </w:r>
          </w:p>
          <w:p>
            <w:pPr>
              <w:pStyle w:val="ListParagraph"/>
              <w:numPr>
                <w:ilvl w:val="0"/>
                <w:numId w:val="9"/>
              </w:numPr>
              <w:spacing w:after="60"/>
              <w:jc w:val="both"/>
              <w:rPr>
                <w:noProof/>
                <w:sz w:val="22"/>
                <w:szCs w:val="22"/>
              </w:rPr>
            </w:pPr>
            <w:r>
              <w:rPr>
                <w:noProof/>
                <w:sz w:val="22"/>
                <w:szCs w:val="22"/>
              </w:rPr>
              <w:t>infrastruktúra, például biztonságos ivóvíz, szennyvízkezelés, burkolt utak, hulladékgyűjtés stb. nélküli területeken élők;</w:t>
            </w:r>
          </w:p>
          <w:p>
            <w:pPr>
              <w:pStyle w:val="ListParagraph"/>
              <w:numPr>
                <w:ilvl w:val="0"/>
                <w:numId w:val="9"/>
              </w:numPr>
              <w:spacing w:after="60"/>
              <w:jc w:val="both"/>
              <w:rPr>
                <w:rStyle w:val="Strong"/>
                <w:b w:val="0"/>
                <w:bCs w:val="0"/>
                <w:noProof/>
                <w:sz w:val="22"/>
                <w:szCs w:val="22"/>
              </w:rPr>
            </w:pPr>
            <w:r>
              <w:rPr>
                <w:noProof/>
                <w:sz w:val="22"/>
                <w:szCs w:val="22"/>
              </w:rPr>
              <w:t xml:space="preserve">a lakás fűtésére szilárd hulladékot égető háztartások aránya. </w:t>
            </w:r>
          </w:p>
        </w:tc>
      </w:tr>
    </w:tbl>
    <w:p>
      <w:pPr>
        <w:spacing w:line="240" w:lineRule="auto"/>
        <w:rPr>
          <w:rFonts w:ascii="Times New Roman" w:hAnsi="Times New Roman" w:cs="Times New Roman"/>
          <w:noProof/>
        </w:rPr>
      </w:pPr>
    </w:p>
    <w:tbl>
      <w:tblPr>
        <w:tblStyle w:val="TableGrid"/>
        <w:tblW w:w="9345" w:type="dxa"/>
        <w:tblInd w:w="0" w:type="dxa"/>
        <w:tblLayout w:type="fixed"/>
        <w:tblLook w:val="04A0" w:firstRow="1" w:lastRow="0" w:firstColumn="1" w:lastColumn="0" w:noHBand="0" w:noVBand="1"/>
      </w:tblPr>
      <w:tblGrid>
        <w:gridCol w:w="9345"/>
      </w:tblGrid>
      <w:tr>
        <w:tc>
          <w:tcPr>
            <w:tcW w:w="9345" w:type="dxa"/>
            <w:tcBorders>
              <w:top w:val="single" w:sz="4" w:space="0" w:color="auto"/>
              <w:left w:val="single" w:sz="4" w:space="0" w:color="auto"/>
              <w:bottom w:val="single" w:sz="4" w:space="0" w:color="auto"/>
              <w:right w:val="single" w:sz="4" w:space="0" w:color="auto"/>
            </w:tcBorders>
            <w:shd w:val="clear" w:color="auto" w:fill="E0E0E0"/>
            <w:hideMark/>
          </w:tcPr>
          <w:p>
            <w:pPr>
              <w:spacing w:after="60"/>
              <w:jc w:val="center"/>
              <w:rPr>
                <w:rStyle w:val="Strong"/>
                <w:rFonts w:ascii="Times New Roman" w:hAnsi="Times New Roman"/>
                <w:noProof/>
                <w:sz w:val="22"/>
                <w:szCs w:val="22"/>
              </w:rPr>
            </w:pPr>
            <w:r>
              <w:rPr>
                <w:rStyle w:val="Strong"/>
                <w:rFonts w:ascii="Times New Roman" w:hAnsi="Times New Roman"/>
                <w:noProof/>
                <w:sz w:val="22"/>
                <w:szCs w:val="22"/>
              </w:rPr>
              <w:t>A 7-a. célkitűzés folyamatmutatói: A környezeti depriváció leküzdése, a környezeti igazságosság előmozdítása</w:t>
            </w:r>
          </w:p>
        </w:tc>
      </w:tr>
      <w:tr>
        <w:tc>
          <w:tcPr>
            <w:tcW w:w="9345" w:type="dxa"/>
            <w:tcBorders>
              <w:top w:val="single" w:sz="4" w:space="0" w:color="auto"/>
              <w:left w:val="single" w:sz="4" w:space="0" w:color="auto"/>
              <w:bottom w:val="single" w:sz="4" w:space="0" w:color="auto"/>
              <w:right w:val="single" w:sz="4" w:space="0" w:color="auto"/>
            </w:tcBorders>
            <w:hideMark/>
          </w:tcPr>
          <w:p>
            <w:pPr>
              <w:spacing w:after="60"/>
              <w:rPr>
                <w:rFonts w:ascii="Times New Roman" w:hAnsi="Times New Roman"/>
                <w:noProof/>
                <w:sz w:val="22"/>
                <w:szCs w:val="22"/>
              </w:rPr>
            </w:pPr>
            <w:r>
              <w:rPr>
                <w:rFonts w:ascii="Times New Roman" w:hAnsi="Times New Roman"/>
                <w:b/>
                <w:noProof/>
                <w:sz w:val="22"/>
                <w:szCs w:val="22"/>
              </w:rPr>
              <w:t>Mutató – A. dimenzió – Intézményi felépítés</w:t>
            </w:r>
            <w:r>
              <w:rPr>
                <w:rFonts w:ascii="Times New Roman" w:hAnsi="Times New Roman"/>
                <w:noProof/>
                <w:sz w:val="22"/>
                <w:szCs w:val="22"/>
              </w:rPr>
              <w:t xml:space="preserve"> </w:t>
            </w:r>
          </w:p>
        </w:tc>
      </w:tr>
      <w:tr>
        <w:tc>
          <w:tcPr>
            <w:tcW w:w="9345" w:type="dxa"/>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4"/>
              </w:numPr>
              <w:tabs>
                <w:tab w:val="left" w:pos="1020"/>
              </w:tabs>
              <w:spacing w:after="60"/>
              <w:rPr>
                <w:rFonts w:eastAsiaTheme="minorEastAsia"/>
                <w:noProof/>
                <w:sz w:val="22"/>
                <w:szCs w:val="22"/>
              </w:rPr>
            </w:pPr>
            <w:r>
              <w:rPr>
                <w:noProof/>
                <w:sz w:val="22"/>
                <w:szCs w:val="22"/>
              </w:rPr>
              <w:t>a nemzeti romastratégiai keretek vagy a kapcsolódó dokumentumok a környezetei depriváció leküzdését és a környezeti igazságosság előmozdítását célzó, kifejezett intézkedéseket tartalmaznak;</w:t>
            </w:r>
          </w:p>
          <w:p>
            <w:pPr>
              <w:pStyle w:val="ListParagraph"/>
              <w:numPr>
                <w:ilvl w:val="0"/>
                <w:numId w:val="4"/>
              </w:numPr>
              <w:tabs>
                <w:tab w:val="left" w:pos="1020"/>
              </w:tabs>
              <w:spacing w:after="60"/>
              <w:rPr>
                <w:rFonts w:eastAsiaTheme="minorEastAsia"/>
                <w:noProof/>
                <w:sz w:val="22"/>
                <w:szCs w:val="22"/>
              </w:rPr>
            </w:pPr>
            <w:r>
              <w:rPr>
                <w:noProof/>
                <w:sz w:val="22"/>
                <w:szCs w:val="22"/>
              </w:rPr>
              <w:t>a végrehajtási iránymutatások elsőbbségi hozzáférést biztosítanak a környezeti szempontból veszélyes területen élő romák számára a lakhatáshoz;</w:t>
            </w:r>
          </w:p>
          <w:p>
            <w:pPr>
              <w:pStyle w:val="ListParagraph"/>
              <w:numPr>
                <w:ilvl w:val="0"/>
                <w:numId w:val="4"/>
              </w:numPr>
              <w:spacing w:after="60"/>
              <w:rPr>
                <w:rFonts w:eastAsiaTheme="minorEastAsia"/>
                <w:noProof/>
                <w:sz w:val="22"/>
                <w:szCs w:val="22"/>
              </w:rPr>
            </w:pPr>
            <w:r>
              <w:rPr>
                <w:noProof/>
                <w:sz w:val="22"/>
                <w:szCs w:val="22"/>
              </w:rPr>
              <w:t xml:space="preserve">a lakhatási biztonságra és a veszélyes környezetben való élésre vonatkozó szabványokat szigorúan végrehajtják; </w:t>
            </w:r>
          </w:p>
          <w:p>
            <w:pPr>
              <w:pStyle w:val="ListParagraph"/>
              <w:numPr>
                <w:ilvl w:val="0"/>
                <w:numId w:val="4"/>
              </w:numPr>
              <w:spacing w:after="60"/>
              <w:rPr>
                <w:rFonts w:eastAsiaTheme="minorEastAsia"/>
                <w:noProof/>
                <w:sz w:val="22"/>
                <w:szCs w:val="22"/>
              </w:rPr>
            </w:pPr>
            <w:r>
              <w:rPr>
                <w:noProof/>
                <w:sz w:val="22"/>
                <w:szCs w:val="22"/>
              </w:rPr>
              <w:t>környezeti értékelés készül az új építési területekről és szálláshelyekről;</w:t>
            </w:r>
          </w:p>
          <w:p>
            <w:pPr>
              <w:pStyle w:val="ListParagraph"/>
              <w:numPr>
                <w:ilvl w:val="0"/>
                <w:numId w:val="4"/>
              </w:numPr>
              <w:spacing w:after="60"/>
              <w:rPr>
                <w:rFonts w:eastAsiaTheme="minorEastAsia"/>
                <w:noProof/>
                <w:sz w:val="22"/>
                <w:szCs w:val="22"/>
              </w:rPr>
            </w:pPr>
            <w:r>
              <w:rPr>
                <w:noProof/>
                <w:sz w:val="22"/>
                <w:szCs w:val="22"/>
              </w:rPr>
              <w:t>léteznek a munkajogi szabályozás környezetvédelemre vonatkozó rendelkezéseinek végrehajtását biztosító, tényleges mechanizmusok.</w:t>
            </w:r>
          </w:p>
        </w:tc>
      </w:tr>
      <w:tr>
        <w:trPr>
          <w:trHeight w:val="468"/>
        </w:trPr>
        <w:tc>
          <w:tcPr>
            <w:tcW w:w="9345" w:type="dxa"/>
            <w:tcBorders>
              <w:top w:val="single" w:sz="4" w:space="0" w:color="auto"/>
              <w:left w:val="single" w:sz="4" w:space="0" w:color="auto"/>
              <w:bottom w:val="single" w:sz="4" w:space="0" w:color="auto"/>
              <w:right w:val="single" w:sz="4" w:space="0" w:color="auto"/>
            </w:tcBorders>
            <w:vAlign w:val="center"/>
          </w:tcPr>
          <w:p>
            <w:pPr>
              <w:tabs>
                <w:tab w:val="left" w:pos="1020"/>
              </w:tabs>
              <w:spacing w:after="60"/>
              <w:rPr>
                <w:rFonts w:ascii="Times New Roman" w:hAnsi="Times New Roman"/>
                <w:noProof/>
                <w:sz w:val="22"/>
                <w:szCs w:val="22"/>
              </w:rPr>
            </w:pPr>
            <w:r>
              <w:rPr>
                <w:rFonts w:ascii="Times New Roman" w:hAnsi="Times New Roman"/>
                <w:b/>
                <w:noProof/>
                <w:sz w:val="22"/>
                <w:szCs w:val="22"/>
              </w:rPr>
              <w:t>Mutató – B. dimenzió – Konkrét intézkedések és fellépések</w:t>
            </w:r>
          </w:p>
        </w:tc>
      </w:tr>
      <w:tr>
        <w:trPr>
          <w:trHeight w:val="468"/>
        </w:trPr>
        <w:tc>
          <w:tcPr>
            <w:tcW w:w="9345" w:type="dxa"/>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4"/>
              </w:numPr>
              <w:spacing w:after="60"/>
              <w:rPr>
                <w:rFonts w:eastAsiaTheme="minorEastAsia"/>
                <w:noProof/>
                <w:sz w:val="22"/>
                <w:szCs w:val="22"/>
              </w:rPr>
            </w:pPr>
            <w:r>
              <w:rPr>
                <w:noProof/>
                <w:sz w:val="22"/>
                <w:szCs w:val="22"/>
              </w:rPr>
              <w:t>Léteznek a környezeti szempontból veszélyes területen élő roma családok áttelepítésére irányuló, biztosított pénzügyi erőforrásokkal ellátott, célzott intézkedések;</w:t>
            </w:r>
          </w:p>
          <w:p>
            <w:pPr>
              <w:pStyle w:val="ListParagraph"/>
              <w:numPr>
                <w:ilvl w:val="0"/>
                <w:numId w:val="4"/>
              </w:numPr>
              <w:spacing w:after="60"/>
              <w:rPr>
                <w:rFonts w:eastAsiaTheme="minorEastAsia"/>
                <w:noProof/>
                <w:sz w:val="22"/>
                <w:szCs w:val="22"/>
              </w:rPr>
            </w:pPr>
            <w:r>
              <w:rPr>
                <w:noProof/>
                <w:sz w:val="22"/>
                <w:szCs w:val="22"/>
              </w:rPr>
              <w:t>a romákkal kapcsolatos lakhatási szakpolitikákról és lakhatási rendelkezésekről a környezeti tényezők tekintetében hatásvizsgálat készül;</w:t>
            </w:r>
          </w:p>
          <w:p>
            <w:pPr>
              <w:pStyle w:val="ListParagraph"/>
              <w:numPr>
                <w:ilvl w:val="0"/>
                <w:numId w:val="4"/>
              </w:numPr>
              <w:spacing w:after="60"/>
              <w:rPr>
                <w:noProof/>
                <w:sz w:val="22"/>
                <w:szCs w:val="22"/>
              </w:rPr>
            </w:pPr>
            <w:r>
              <w:rPr>
                <w:noProof/>
                <w:sz w:val="22"/>
                <w:szCs w:val="22"/>
              </w:rPr>
              <w:t>a szakpolitikák és a környezeti kockázatok romákra gyakorolt környezeti hatását a nemzeti romastratégiai keretek keretében kezelik;</w:t>
            </w:r>
          </w:p>
        </w:tc>
      </w:tr>
      <w:tr>
        <w:tc>
          <w:tcPr>
            <w:tcW w:w="9345" w:type="dxa"/>
            <w:tcBorders>
              <w:top w:val="single" w:sz="4" w:space="0" w:color="auto"/>
              <w:left w:val="single" w:sz="4" w:space="0" w:color="auto"/>
              <w:bottom w:val="single" w:sz="4" w:space="0" w:color="auto"/>
              <w:right w:val="single" w:sz="4" w:space="0" w:color="auto"/>
            </w:tcBorders>
            <w:vAlign w:val="center"/>
          </w:tcPr>
          <w:p>
            <w:pPr>
              <w:spacing w:after="60"/>
              <w:rPr>
                <w:rFonts w:ascii="Times New Roman" w:hAnsi="Times New Roman"/>
                <w:noProof/>
                <w:sz w:val="22"/>
                <w:szCs w:val="22"/>
              </w:rPr>
            </w:pPr>
            <w:r>
              <w:rPr>
                <w:rFonts w:ascii="Times New Roman" w:hAnsi="Times New Roman"/>
                <w:b/>
                <w:noProof/>
                <w:sz w:val="22"/>
                <w:szCs w:val="22"/>
              </w:rPr>
              <w:t>Mutató – C. dimenzió – A döntéshozatali eljárások minősége</w:t>
            </w:r>
            <w:r>
              <w:rPr>
                <w:rFonts w:ascii="Times New Roman" w:hAnsi="Times New Roman"/>
                <w:noProof/>
                <w:sz w:val="22"/>
                <w:szCs w:val="22"/>
              </w:rPr>
              <w:t xml:space="preserve"> </w:t>
            </w:r>
          </w:p>
        </w:tc>
      </w:tr>
      <w:tr>
        <w:tc>
          <w:tcPr>
            <w:tcW w:w="9345" w:type="dxa"/>
            <w:tcBorders>
              <w:top w:val="single" w:sz="4" w:space="0" w:color="auto"/>
              <w:left w:val="single" w:sz="4" w:space="0" w:color="auto"/>
              <w:bottom w:val="single" w:sz="4" w:space="0" w:color="auto"/>
              <w:right w:val="single" w:sz="4" w:space="0" w:color="auto"/>
            </w:tcBorders>
            <w:vAlign w:val="center"/>
            <w:hideMark/>
          </w:tcPr>
          <w:p>
            <w:pPr>
              <w:pStyle w:val="ListParagraph"/>
              <w:numPr>
                <w:ilvl w:val="0"/>
                <w:numId w:val="4"/>
              </w:numPr>
              <w:spacing w:after="60"/>
              <w:rPr>
                <w:rFonts w:eastAsiaTheme="minorEastAsia"/>
                <w:noProof/>
                <w:sz w:val="22"/>
                <w:szCs w:val="22"/>
              </w:rPr>
            </w:pPr>
            <w:r>
              <w:rPr>
                <w:noProof/>
                <w:sz w:val="22"/>
                <w:szCs w:val="22"/>
              </w:rPr>
              <w:t>a romák lakta területek (különösen a szegregált roma közösségekben) környezeti kihívásainak kezelését célzó egyedi intézkedéseket dolgoznak ki a roma civil szervezetekkel és az érintett helységek roma lakosaival partnerségben;</w:t>
            </w:r>
          </w:p>
          <w:p>
            <w:pPr>
              <w:pStyle w:val="ListParagraph"/>
              <w:numPr>
                <w:ilvl w:val="0"/>
                <w:numId w:val="4"/>
              </w:numPr>
              <w:spacing w:after="60"/>
              <w:rPr>
                <w:rFonts w:eastAsiaTheme="minorEastAsia"/>
                <w:noProof/>
                <w:sz w:val="22"/>
                <w:szCs w:val="22"/>
              </w:rPr>
            </w:pPr>
            <w:r>
              <w:rPr>
                <w:noProof/>
                <w:sz w:val="22"/>
                <w:szCs w:val="22"/>
              </w:rPr>
              <w:t>a romákra (különösen a szegregált roma közösségekben) irányuló, biztonságos és fenntartható környezeti beavatkozásokat dolgoznak ki és hajtanak végre a roma közösségi szervezetek részvételével;</w:t>
            </w:r>
          </w:p>
          <w:p>
            <w:pPr>
              <w:pStyle w:val="ListParagraph"/>
              <w:numPr>
                <w:ilvl w:val="0"/>
                <w:numId w:val="4"/>
              </w:numPr>
              <w:spacing w:after="60"/>
              <w:rPr>
                <w:rFonts w:eastAsiaTheme="minorEastAsia"/>
                <w:noProof/>
                <w:sz w:val="22"/>
                <w:szCs w:val="22"/>
              </w:rPr>
            </w:pPr>
            <w:r>
              <w:rPr>
                <w:noProof/>
                <w:sz w:val="22"/>
                <w:szCs w:val="22"/>
              </w:rPr>
              <w:t>a roma civil szervezetek részt vesznek az uniós pénzeszközök operatív programjainak monitoringbizottságaiban, amelyek keretében a romák lakta területek (különösen a marginalizált roma közösségekben) környezeti helyzetének javítását célzó egyedi intézkedéseket végrehajtják;</w:t>
            </w:r>
          </w:p>
          <w:p>
            <w:pPr>
              <w:pStyle w:val="ListParagraph"/>
              <w:numPr>
                <w:ilvl w:val="0"/>
                <w:numId w:val="4"/>
              </w:numPr>
              <w:spacing w:after="60"/>
              <w:rPr>
                <w:noProof/>
                <w:sz w:val="22"/>
                <w:szCs w:val="22"/>
              </w:rPr>
            </w:pPr>
            <w:r>
              <w:rPr>
                <w:noProof/>
                <w:sz w:val="22"/>
                <w:szCs w:val="22"/>
              </w:rPr>
              <w:t>a roma civil szervezetek részt vesznek a romák lakta területek (különösen a szegregált roma közösségekben) környezeti helyzetének javítását célzó intézkedések eredményeinek nyomon követésében;</w:t>
            </w:r>
          </w:p>
          <w:p>
            <w:pPr>
              <w:pStyle w:val="ListParagraph"/>
              <w:numPr>
                <w:ilvl w:val="0"/>
                <w:numId w:val="4"/>
              </w:numPr>
              <w:spacing w:after="60"/>
              <w:rPr>
                <w:noProof/>
                <w:sz w:val="22"/>
                <w:szCs w:val="22"/>
              </w:rPr>
            </w:pPr>
            <w:r>
              <w:rPr>
                <w:noProof/>
                <w:sz w:val="22"/>
                <w:szCs w:val="22"/>
              </w:rPr>
              <w:t xml:space="preserve">az állami intézmények és a (központi és helyi) közigazgatási szervek az egészségüggyel kapcsolatos döntéshozatali eljárásaik során figyelembe veszik a roma egészségügyi közvetítők hálózatától érkező inputokat. </w:t>
            </w:r>
          </w:p>
        </w:tc>
      </w:tr>
    </w:tbl>
    <w:p>
      <w:pPr>
        <w:spacing w:line="240" w:lineRule="auto"/>
        <w:rPr>
          <w:rFonts w:ascii="Times New Roman" w:hAnsi="Times New Roman" w:cs="Times New Roman"/>
          <w:noProof/>
        </w:rPr>
      </w:pPr>
    </w:p>
    <w:sectPr>
      <w:headerReference w:type="even" r:id="rId22"/>
      <w:headerReference w:type="default" r:id="rId23"/>
      <w:footerReference w:type="even" r:id="rId24"/>
      <w:footerReference w:type="default" r:id="rId25"/>
      <w:headerReference w:type="first" r:id="rId26"/>
      <w:footerReference w:type="first" r:id="rId27"/>
      <w:pgSz w:w="11906" w:h="16838"/>
      <w:pgMar w:top="1417" w:right="1133" w:bottom="1417"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 w:type="continuationNotice" w:id="1">
    <w:p>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HU</w:t>
    </w:r>
    <w:r>
      <w:rPr>
        <w:rFonts w:ascii="Arial" w:hAnsi="Arial" w:cs="Arial"/>
        <w:b/>
        <w:sz w:val="48"/>
      </w:rPr>
      <w:tab/>
    </w:r>
    <w:r>
      <w:rPr>
        <w:rFonts w:ascii="Arial" w:hAnsi="Arial" w:cs="Arial"/>
        <w:b/>
        <w:sz w:val="48"/>
      </w:rPr>
      <w:tab/>
    </w:r>
    <w:r>
      <w:tab/>
    </w:r>
    <w:r>
      <w:rPr>
        <w:rFonts w:ascii="Arial" w:hAnsi="Arial" w:cs="Arial"/>
        <w:b/>
        <w:sz w:val="48"/>
      </w:rPr>
      <w:t>HU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3831797"/>
      <w:docPartObj>
        <w:docPartGallery w:val="Page Numbers (Bottom of Page)"/>
        <w:docPartUnique/>
      </w:docPartObj>
    </w:sdtPr>
    <w:sdtEndPr>
      <w:rPr>
        <w:noProof/>
      </w:rPr>
    </w:sdtEndPr>
    <w:sdtContent>
      <w:p>
        <w:pPr>
          <w:pStyle w:val="Footer"/>
          <w:jc w:val="right"/>
        </w:pPr>
        <w:r>
          <w:fldChar w:fldCharType="begin"/>
        </w:r>
        <w:r>
          <w:instrText xml:space="preserve"> PAGE   \* MERGEFORMAT </w:instrText>
        </w:r>
        <w:r>
          <w:fldChar w:fldCharType="separate"/>
        </w:r>
        <w:r>
          <w:rPr>
            <w:noProof/>
          </w:rPr>
          <w:t>1</w:t>
        </w:r>
        <w: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type="continuationNotice" w:id="1">
    <w:p>
      <w:pPr>
        <w:spacing w:after="0" w:line="240" w:lineRule="auto"/>
      </w:pPr>
    </w:p>
  </w:footnote>
  <w:footnote w:id="2">
    <w:p>
      <w:pPr>
        <w:pStyle w:val="FootnoteText"/>
        <w:rPr>
          <w:rFonts w:ascii="Times New Roman" w:hAnsi="Times New Roman" w:cs="Times New Roman"/>
          <w:sz w:val="18"/>
          <w:szCs w:val="18"/>
        </w:rPr>
      </w:pPr>
      <w:r>
        <w:rPr>
          <w:rStyle w:val="FootnoteReference"/>
          <w:rFonts w:ascii="Times New Roman" w:hAnsi="Times New Roman" w:cs="Times New Roman"/>
          <w:sz w:val="18"/>
          <w:szCs w:val="18"/>
        </w:rPr>
        <w:footnoteRef/>
      </w:r>
      <w:r>
        <w:rPr>
          <w:rFonts w:ascii="Times New Roman" w:hAnsi="Times New Roman"/>
          <w:sz w:val="18"/>
          <w:szCs w:val="18"/>
        </w:rPr>
        <w:t xml:space="preserve"> Európai Bizottság (2017): </w:t>
      </w:r>
      <w:hyperlink r:id="rId1" w:history="1">
        <w:r>
          <w:rPr>
            <w:rStyle w:val="Hyperlink"/>
            <w:rFonts w:ascii="Times New Roman" w:hAnsi="Times New Roman"/>
            <w:sz w:val="18"/>
            <w:szCs w:val="18"/>
          </w:rPr>
          <w:t>A minőségi jogalkotásra vonatkozó iránymutatások</w:t>
        </w:r>
      </w:hyperlink>
      <w:r>
        <w:t xml:space="preserve">. </w:t>
      </w:r>
      <w:hyperlink r:id="rId2" w:history="1">
        <w:r>
          <w:rPr>
            <w:rStyle w:val="Hyperlink"/>
            <w:rFonts w:ascii="Times New Roman" w:hAnsi="Times New Roman"/>
            <w:sz w:val="18"/>
            <w:szCs w:val="18"/>
          </w:rPr>
          <w:t>Bizottsági szolgálati munkadokumentum</w:t>
        </w:r>
      </w:hyperlink>
      <w:r>
        <w:rPr>
          <w:rFonts w:ascii="Times New Roman" w:hAnsi="Times New Roman"/>
          <w:sz w:val="18"/>
          <w:szCs w:val="18"/>
        </w:rPr>
        <w:t>. Brüsszel, 2017. július 7.; SWD(2017) 350.</w:t>
      </w:r>
    </w:p>
  </w:footnote>
  <w:footnote w:id="3">
    <w:p>
      <w:pPr>
        <w:pStyle w:val="FootnoteText"/>
      </w:pPr>
      <w:r>
        <w:rPr>
          <w:rStyle w:val="FootnoteReference"/>
        </w:rPr>
        <w:footnoteRef/>
      </w:r>
      <w:r>
        <w:t xml:space="preserve"> </w:t>
      </w:r>
      <w:r>
        <w:rPr>
          <w:rFonts w:ascii="Times New Roman" w:hAnsi="Times New Roman"/>
          <w:sz w:val="18"/>
          <w:szCs w:val="18"/>
        </w:rPr>
        <w:t>E horizontális célkitűzés operatív céljai közé tartozik a romákkal szembeni hátrányos megkülönböztetés, zaklatás, gyűlölet-bűncselekmények és gyűlöletbeszéd elleni küzdelem; a roma történelemmel, kultúrával, a romák elismerésével és a romákkal való megbékéléssel kapcsolatos tudatosság előmozdítása.</w:t>
      </w:r>
    </w:p>
  </w:footnote>
  <w:footnote w:id="4">
    <w:p>
      <w:pPr>
        <w:pStyle w:val="FootnoteText"/>
      </w:pPr>
      <w:r>
        <w:rPr>
          <w:rStyle w:val="FootnoteReference"/>
        </w:rPr>
        <w:footnoteRef/>
      </w:r>
      <w:r>
        <w:rPr>
          <w:rFonts w:ascii="Times New Roman" w:hAnsi="Times New Roman"/>
          <w:sz w:val="18"/>
          <w:szCs w:val="18"/>
        </w:rPr>
        <w:t xml:space="preserve"> Például vezetékes víz, megfelelő higiéniás létesítmények, hulladékgyűjtési és -kezelési szolgáltatások, elektromos áram, gáz, közlekedéshez, pénzügyi szolgáltatásokhoz és digitális kommunikációhoz való hozzáférés (a szociális jogok európai pillérének 20. elvével összhangban). Ezen ágazati célkitűzés egyik operatív célkitűzése a környezeti igazságosság előmozdítása és a környezeti depriváció elleni küzdelem.</w:t>
      </w:r>
    </w:p>
  </w:footnote>
  <w:footnote w:id="5">
    <w:p>
      <w:pPr>
        <w:pStyle w:val="FootnoteText"/>
        <w:rPr>
          <w:rFonts w:ascii="Times New Roman" w:hAnsi="Times New Roman" w:cs="Times New Roman"/>
          <w:sz w:val="18"/>
          <w:szCs w:val="18"/>
        </w:rPr>
      </w:pPr>
      <w:r>
        <w:rPr>
          <w:rStyle w:val="FootnoteReference"/>
          <w:rFonts w:ascii="Times New Roman" w:hAnsi="Times New Roman" w:cs="Times New Roman"/>
          <w:sz w:val="18"/>
          <w:szCs w:val="18"/>
        </w:rPr>
        <w:footnoteRef/>
      </w:r>
      <w:r>
        <w:rPr>
          <w:rFonts w:ascii="Times New Roman" w:hAnsi="Times New Roman"/>
          <w:sz w:val="18"/>
          <w:szCs w:val="18"/>
        </w:rPr>
        <w:t xml:space="preserve"> </w:t>
      </w:r>
      <w:hyperlink r:id="rId3" w:history="1">
        <w:r>
          <w:rPr>
            <w:rStyle w:val="Hyperlink"/>
            <w:rFonts w:ascii="Times New Roman" w:hAnsi="Times New Roman"/>
            <w:sz w:val="18"/>
            <w:szCs w:val="18"/>
          </w:rPr>
          <w:t>https://ec.europa.eu/info/sites/info/files/final_guidelines_4-10-18_without_date_july.pdf</w:t>
        </w:r>
      </w:hyperlink>
      <w:r>
        <w:rPr>
          <w:rStyle w:val="Hyperlink"/>
          <w:rFonts w:ascii="Times New Roman" w:hAnsi="Times New Roman"/>
          <w:sz w:val="18"/>
          <w:szCs w:val="18"/>
        </w:rPr>
        <w:t>.</w:t>
      </w:r>
    </w:p>
  </w:footnote>
  <w:footnote w:id="6">
    <w:p>
      <w:pPr>
        <w:pStyle w:val="FootnoteText"/>
      </w:pPr>
      <w:r>
        <w:rPr>
          <w:rStyle w:val="FootnoteReference"/>
        </w:rPr>
        <w:footnoteRef/>
      </w:r>
      <w:r>
        <w:t xml:space="preserve"> </w:t>
      </w:r>
      <w:r>
        <w:rPr>
          <w:rFonts w:ascii="Times New Roman" w:hAnsi="Times New Roman"/>
          <w:sz w:val="19"/>
          <w:szCs w:val="19"/>
        </w:rPr>
        <w:t>Az FRA alapjogi felmérése.</w:t>
      </w:r>
    </w:p>
  </w:footnote>
  <w:footnote w:id="7">
    <w:p>
      <w:pPr>
        <w:spacing w:after="0"/>
        <w:jc w:val="both"/>
        <w:rPr>
          <w:rStyle w:val="Strong"/>
          <w:rFonts w:ascii="Times New Roman" w:eastAsiaTheme="minorEastAsia" w:hAnsi="Times New Roman"/>
          <w:sz w:val="18"/>
          <w:szCs w:val="18"/>
        </w:rPr>
      </w:pPr>
      <w:r>
        <w:rPr>
          <w:rStyle w:val="FootnoteReference"/>
          <w:sz w:val="18"/>
          <w:szCs w:val="18"/>
        </w:rPr>
        <w:footnoteRef/>
      </w:r>
      <w:r>
        <w:rPr>
          <w:sz w:val="18"/>
          <w:szCs w:val="18"/>
        </w:rPr>
        <w:t xml:space="preserve"> </w:t>
      </w:r>
      <w:r>
        <w:rPr>
          <w:rFonts w:ascii="Times New Roman" w:hAnsi="Times New Roman"/>
          <w:sz w:val="18"/>
          <w:szCs w:val="18"/>
        </w:rPr>
        <w:t>*A teljes népességre vonatkozó, fenntartható fejlődési célokkal kapcsolatos jelentéstétel során a jövőben ennek helyébe a szociális és anyagi nélkülözés (Eurostat [</w:t>
      </w:r>
      <w:r>
        <w:rPr>
          <w:rStyle w:val="Strong"/>
          <w:rFonts w:ascii="Times New Roman" w:hAnsi="Times New Roman"/>
          <w:b w:val="0"/>
          <w:sz w:val="18"/>
          <w:szCs w:val="18"/>
        </w:rPr>
        <w:t>ilc_mdsd07</w:t>
      </w:r>
      <w:r>
        <w:rPr>
          <w:rFonts w:ascii="Times New Roman" w:hAnsi="Times New Roman"/>
          <w:sz w:val="18"/>
          <w:szCs w:val="18"/>
        </w:rPr>
        <w:t>]) valamint a gyerekekre vonatkozó megfelelő mutató fog lépni.</w:t>
      </w:r>
    </w:p>
    <w:p>
      <w:pPr>
        <w:pStyle w:val="FootnoteText"/>
      </w:pPr>
    </w:p>
  </w:footnote>
  <w:footnote w:id="8">
    <w:p>
      <w:pPr>
        <w:pStyle w:val="FootnoteText"/>
        <w:ind w:left="284" w:hanging="284"/>
        <w:jc w:val="lef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 NACE az </w:t>
      </w:r>
      <w:hyperlink r:id="rId4" w:history="1">
        <w:r>
          <w:rPr>
            <w:rStyle w:val="Hyperlink"/>
            <w:rFonts w:ascii="Times New Roman" w:hAnsi="Times New Roman"/>
          </w:rPr>
          <w:t>Európai Unión (EU)</w:t>
        </w:r>
      </w:hyperlink>
      <w:r>
        <w:rPr>
          <w:rFonts w:ascii="Times New Roman" w:hAnsi="Times New Roman"/>
        </w:rPr>
        <w:t xml:space="preserve"> belül folyó gazdasági tevékenységek 1970 óta használt különböző statisztikai osztályozásainak jelölésére használt rövidítés; </w:t>
      </w:r>
      <w:r>
        <w:t xml:space="preserve"> </w:t>
      </w:r>
      <w:r>
        <w:br/>
      </w:r>
      <w:hyperlink r:id="rId5" w:history="1">
        <w:r>
          <w:rPr>
            <w:rStyle w:val="Hyperlink"/>
            <w:rFonts w:ascii="Times New Roman" w:hAnsi="Times New Roman"/>
          </w:rPr>
          <w:t>https://ec.europa.eu/eurostat/statistics-explained/index.php/NACE</w:t>
        </w:r>
      </w:hyperlink>
      <w:r>
        <w:rPr>
          <w:rFonts w:ascii="Times New Roman" w:hAnsi="Times New Roman"/>
        </w:rPr>
        <w:t xml:space="preserve"> háttér</w:t>
      </w:r>
    </w:p>
  </w:footnote>
  <w:footnote w:id="9">
    <w:p>
      <w:pPr>
        <w:pStyle w:val="FootnoteText"/>
        <w:ind w:left="284" w:hanging="284"/>
        <w:jc w:val="lef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 foglalkozások egységes nemzetközi osztályozási rendszere (ISCO); </w:t>
      </w:r>
      <w:hyperlink r:id="rId6" w:history="1">
        <w:r>
          <w:rPr>
            <w:rStyle w:val="Hyperlink"/>
            <w:rFonts w:ascii="Times New Roman" w:hAnsi="Times New Roman"/>
          </w:rPr>
          <w:t>http://www.ilo.org/public/english/bureau/stat/isco/</w:t>
        </w:r>
      </w:hyperlink>
      <w:r>
        <w:rPr>
          <w:rFonts w:ascii="Times New Roman" w:hAnsi="Times New Roman"/>
        </w:rPr>
        <w:t xml:space="preserve"> </w:t>
      </w:r>
    </w:p>
    <w:p>
      <w:pPr>
        <w:pStyle w:val="FootnoteText"/>
      </w:pPr>
    </w:p>
  </w:footnote>
  <w:footnote w:id="10">
    <w:p>
      <w:pPr>
        <w:pStyle w:val="FootnoteText"/>
      </w:pPr>
      <w:r>
        <w:rPr>
          <w:rStyle w:val="FootnoteReference"/>
        </w:rPr>
        <w:footnoteRef/>
      </w:r>
      <w:r>
        <w:rPr>
          <w:rFonts w:ascii="Times New Roman" w:hAnsi="Times New Roman"/>
          <w:sz w:val="18"/>
          <w:szCs w:val="18"/>
        </w:rPr>
        <w:t xml:space="preserve"> Például vezetékes víz, megfelelő higiéniás létesítmények, hulladékgyűjtési és -kezelési szolgáltatások, elektromos áram, gáz, közlekedéshez, pénzügyi szolgáltatásokhoz és digitális kommunikációhoz való hozzáférés (a szociális jogok európai pillérének 20. elvével összhangban).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C213F"/>
    <w:multiLevelType w:val="hybridMultilevel"/>
    <w:tmpl w:val="D2C676CA"/>
    <w:lvl w:ilvl="0" w:tplc="9E5A843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48554EE"/>
    <w:multiLevelType w:val="hybridMultilevel"/>
    <w:tmpl w:val="6E08C16C"/>
    <w:lvl w:ilvl="0" w:tplc="F836F3D0">
      <w:start w:val="3"/>
      <w:numFmt w:val="decimal"/>
      <w:lvlText w:val="%1)"/>
      <w:lvlJc w:val="left"/>
      <w:pPr>
        <w:ind w:left="720" w:hanging="360"/>
      </w:pPr>
    </w:lvl>
    <w:lvl w:ilvl="1" w:tplc="0409000F">
      <w:start w:val="1"/>
      <w:numFmt w:val="decimal"/>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C6926DF"/>
    <w:multiLevelType w:val="hybridMultilevel"/>
    <w:tmpl w:val="66FC6A06"/>
    <w:lvl w:ilvl="0" w:tplc="08090001">
      <w:start w:val="1"/>
      <w:numFmt w:val="bullet"/>
      <w:lvlText w:val=""/>
      <w:lvlJc w:val="left"/>
      <w:pPr>
        <w:ind w:left="1777"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0271E42"/>
    <w:multiLevelType w:val="hybridMultilevel"/>
    <w:tmpl w:val="7F7AF42C"/>
    <w:lvl w:ilvl="0" w:tplc="650E56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62DDE"/>
    <w:multiLevelType w:val="hybridMultilevel"/>
    <w:tmpl w:val="9B78DF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nsid w:val="2F297C80"/>
    <w:multiLevelType w:val="hybridMultilevel"/>
    <w:tmpl w:val="27A085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38D87414"/>
    <w:multiLevelType w:val="hybridMultilevel"/>
    <w:tmpl w:val="75A0F8FE"/>
    <w:lvl w:ilvl="0" w:tplc="C8D0839C">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nsid w:val="3EAB777D"/>
    <w:multiLevelType w:val="hybridMultilevel"/>
    <w:tmpl w:val="A0DE12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3FE50502"/>
    <w:multiLevelType w:val="hybridMultilevel"/>
    <w:tmpl w:val="9E221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0477D4D"/>
    <w:multiLevelType w:val="hybridMultilevel"/>
    <w:tmpl w:val="A2CCF4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nsid w:val="50F456B8"/>
    <w:multiLevelType w:val="hybridMultilevel"/>
    <w:tmpl w:val="DB68C57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1">
    <w:nsid w:val="5DC76B62"/>
    <w:multiLevelType w:val="hybridMultilevel"/>
    <w:tmpl w:val="74926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666A2DFD"/>
    <w:multiLevelType w:val="hybridMultilevel"/>
    <w:tmpl w:val="CA164B72"/>
    <w:lvl w:ilvl="0" w:tplc="F836F3D0">
      <w:start w:val="3"/>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nsid w:val="73666EA8"/>
    <w:multiLevelType w:val="hybridMultilevel"/>
    <w:tmpl w:val="1BE4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7F855F32"/>
    <w:multiLevelType w:val="hybridMultilevel"/>
    <w:tmpl w:val="89282B3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2"/>
  </w:num>
  <w:num w:numId="7">
    <w:abstractNumId w:val="1"/>
  </w:num>
  <w:num w:numId="8">
    <w:abstractNumId w:val="5"/>
  </w:num>
  <w:num w:numId="9">
    <w:abstractNumId w:val="13"/>
  </w:num>
  <w:num w:numId="10">
    <w:abstractNumId w:val="4"/>
  </w:num>
  <w:num w:numId="11">
    <w:abstractNumId w:val="6"/>
  </w:num>
  <w:num w:numId="12">
    <w:abstractNumId w:val="10"/>
  </w:num>
  <w:num w:numId="13">
    <w:abstractNumId w:val="0"/>
  </w:num>
  <w:num w:numId="14">
    <w:abstractNumId w:val="14"/>
  </w:num>
  <w:num w:numId="15">
    <w:abstractNumId w:val="8"/>
  </w:num>
  <w:num w:numId="16">
    <w:abstractNumId w:val="1"/>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fr-BE"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n-IE" w:vendorID="64" w:dllVersion="131078" w:nlCheck="1" w:checkStyle="1"/>
  <w:activeWritingStyle w:appName="MSWord" w:lang="it-IT" w:vendorID="64" w:dllVersion="131078" w:nlCheck="1" w:checkStyle="0"/>
  <w:revisionView w:markup="0"/>
  <w:doNotTrackFormatting/>
  <w:defaultTabStop w:val="720"/>
  <w:hyphenationZone w:val="425"/>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ACCOMPAGNANT.CP" w:val="a következ\u337?höz:"/>
    <w:docVar w:name="LW_ANNEX_NBR_FIRST" w:val="2"/>
    <w:docVar w:name="LW_ANNEX_NBR_LAST" w:val="2"/>
    <w:docVar w:name="LW_ANNEX_UNIQUE" w:val="0"/>
    <w:docVar w:name="LW_CORRIGENDUM" w:val="&lt;UNUSED&gt;"/>
    <w:docVar w:name="LW_COVERPAGE_EXISTS" w:val="True"/>
    <w:docVar w:name="LW_COVERPAGE_GUID" w:val="780BF5A9-E03D-4AA8-A451-6020C465404E"/>
    <w:docVar w:name="LW_COVERPAGE_TYPE" w:val="1"/>
    <w:docVar w:name="LW_CROSSREFERENCE" w:val="{SWD(2020) 530 final}"/>
    <w:docVar w:name="LW_DocType" w:val="NORMAL"/>
    <w:docVar w:name="LW_EMISSION" w:val="2020.10.7."/>
    <w:docVar w:name="LW_EMISSION_ISODATE" w:val="2020-10-07"/>
    <w:docVar w:name="LW_EMISSION_LOCATION" w:val="BRX"/>
    <w:docVar w:name="LW_EMISSION_PREFIX" w:val="Brüsszel, "/>
    <w:docVar w:name="LW_EMISSION_SUFFIX" w:val=" "/>
    <w:docVar w:name="LW_ID_DOCTYPE_NONLW" w:val="CP-039"/>
    <w:docVar w:name="LW_LANGUE" w:val="HU"/>
    <w:docVar w:name="LW_LEVEL_OF_SENSITIVITY" w:val="Standard treatment"/>
    <w:docVar w:name="LW_NOM.INST" w:val="EURÓPAI BIZOTTSÁG"/>
    <w:docVar w:name="LW_NOM.INST_JOINTDOC" w:val="&lt;EMPTY&gt;"/>
    <w:docVar w:name="LW_OBJETACTEPRINCIPAL.CP" w:val="Egyenl\u337?ségközpontú Unió:_x000b_a romák egyenl\u337?ségének, társadalmi befogadásának és részvételének el\u337?mozdítását célzó uniós stratégiai keretrendszer"/>
    <w:docVar w:name="LW_PART_NBR" w:val="1"/>
    <w:docVar w:name="LW_PART_NBR_TOTAL" w:val="1"/>
    <w:docVar w:name="LW_REF.INST.NEW" w:val="COM"/>
    <w:docVar w:name="LW_REF.INST.NEW_ADOPTED" w:val="final"/>
    <w:docVar w:name="LW_REF.INST.NEW_TEXT" w:val="(2020) 6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MELLÉKLET_x000b_"/>
    <w:docVar w:name="LW_TYPEACTEPRINCIPAL.CP" w:val="A BIZOTTSÁG KÖZLEMÉNYE AZ EURÓPAI PARLAMENTNEK ÉS A TANÁCSNAK_x000b__x000b_"/>
  </w:docVar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line="240" w:lineRule="auto"/>
      <w:jc w:val="both"/>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Pr>
      <w:color w:val="0000FF" w:themeColor="hyperlink"/>
      <w:u w:val="single"/>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tx Char,fn Char"/>
    <w:basedOn w:val="DefaultParagraphFont"/>
    <w:link w:val="FootnoteText"/>
    <w:semiHidden/>
    <w:qFormat/>
    <w:locked/>
    <w:rPr>
      <w:sz w:val="20"/>
      <w:szCs w:val="20"/>
    </w:rPr>
  </w:style>
  <w:style w:type="paragraph" w:styleId="FootnoteText">
    <w:name w:val="footnote text"/>
    <w:aliases w:val="footnotes,Footnote Text Char2 Char,Footnote Text Char Char1 Char,Footnote Text Char2 Char Char Char,Footnote Text Char1 Char Char Char Char,Footnote Text Char Char Char Char Char Char,Voetnoottekst Maarten,IC Footnote Text,ftx,fn,Fo,o,Char"/>
    <w:basedOn w:val="Normal"/>
    <w:link w:val="FootnoteTextChar"/>
    <w:semiHidden/>
    <w:unhideWhenUsed/>
    <w:qFormat/>
    <w:pPr>
      <w:spacing w:after="0" w:line="240" w:lineRule="auto"/>
      <w:jc w:val="both"/>
    </w:pPr>
    <w:rPr>
      <w:sz w:val="20"/>
      <w:szCs w:val="20"/>
    </w:rPr>
  </w:style>
  <w:style w:type="character" w:customStyle="1" w:styleId="FootnoteTextChar1">
    <w:name w:val="Footnote Text Char1"/>
    <w:basedOn w:val="DefaultParagraphFont"/>
    <w:uiPriority w:val="99"/>
    <w:semiHidden/>
    <w:rPr>
      <w:sz w:val="20"/>
      <w:szCs w:val="20"/>
    </w:rPr>
  </w:style>
  <w:style w:type="character" w:styleId="FootnoteReference">
    <w:name w:val="footnote reference"/>
    <w:aliases w:val="Footnote Refernece,footnote ref,FR,Fußnotenzeichen diss neu,Times 10 Point,Exposant 3 Point,Footnote symbol,Footnote,Voetnootverwijzing,FR + (Complex) Arial,(Latin) 9 pt,(Complex) 10 pt + (Compl...,4_G,BVI fnr,10 pt"/>
    <w:basedOn w:val="DefaultParagraphFont"/>
    <w:link w:val="FootnoteReferneceChar"/>
    <w:unhideWhenUsed/>
    <w:qFormat/>
    <w:rPr>
      <w:vertAlign w:val="superscript"/>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al"/>
    <w:link w:val="FootnoteReference"/>
    <w:pPr>
      <w:spacing w:after="120" w:line="240" w:lineRule="exact"/>
      <w:ind w:left="284"/>
      <w:jc w:val="both"/>
    </w:pPr>
    <w:rPr>
      <w:vertAlign w:val="superscript"/>
    </w:rPr>
  </w:style>
  <w:style w:type="paragraph" w:styleId="Caption">
    <w:name w:val="caption"/>
    <w:basedOn w:val="Normal"/>
    <w:next w:val="Normal"/>
    <w:uiPriority w:val="35"/>
    <w:semiHidden/>
    <w:unhideWhenUsed/>
    <w:qFormat/>
    <w:pPr>
      <w:spacing w:line="240" w:lineRule="auto"/>
      <w:jc w:val="both"/>
    </w:pPr>
    <w:rPr>
      <w:i/>
      <w:iCs/>
      <w:color w:val="1F497D" w:themeColor="text2"/>
      <w:sz w:val="18"/>
      <w:szCs w:val="18"/>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qFormat/>
    <w:pPr>
      <w:spacing w:after="120" w:line="240" w:lineRule="exact"/>
      <w:jc w:val="both"/>
    </w:pPr>
    <w:rPr>
      <w:vertAlign w:val="superscript"/>
    </w:rPr>
  </w:style>
  <w:style w:type="table" w:styleId="TableGrid">
    <w:name w:val="Table Grid"/>
    <w:basedOn w:val="TableNormal"/>
    <w:uiPriority w:val="59"/>
    <w:pPr>
      <w:spacing w:after="0" w:line="240" w:lineRule="auto"/>
    </w:pPr>
    <w:rPr>
      <w:rFonts w:eastAsiaTheme="minorEastAsia"/>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Bulle Char"/>
    <w:basedOn w:val="DefaultParagraphFont"/>
    <w:link w:val="ListParagraph"/>
    <w:uiPriority w:val="34"/>
    <w:qFormat/>
    <w:locked/>
    <w:rPr>
      <w:rFonts w:ascii="Times New Roman" w:eastAsia="Times New Roman" w:hAnsi="Times New Roman" w:cs="Times New Roman"/>
      <w:sz w:val="24"/>
      <w:szCs w:val="24"/>
      <w:lang w:eastAsia="en-GB"/>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Bulle,2"/>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tabs>
        <w:tab w:val="right" w:leader="dot" w:pos="9248"/>
      </w:tabs>
      <w:spacing w:after="100" w:line="240" w:lineRule="auto"/>
      <w:ind w:left="220"/>
      <w:jc w:val="both"/>
    </w:pPr>
  </w:style>
  <w:style w:type="paragraph" w:styleId="Revision">
    <w:name w:val="Revision"/>
    <w:hidden/>
    <w:uiPriority w:val="99"/>
    <w:semiHidden/>
    <w:pPr>
      <w:spacing w:after="0" w:line="240" w:lineRule="auto"/>
    </w:pPr>
  </w:style>
  <w:style w:type="character" w:customStyle="1" w:styleId="leaf">
    <w:name w:val="leaf"/>
    <w:basedOn w:val="DefaultParagraphFont"/>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rightside">
    <w:name w:val="right_side"/>
    <w:basedOn w:val="DefaultParagraph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line="240" w:lineRule="auto"/>
      <w:jc w:val="both"/>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Pr>
      <w:color w:val="0000FF" w:themeColor="hyperlink"/>
      <w:u w:val="single"/>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tx Char,fn Char"/>
    <w:basedOn w:val="DefaultParagraphFont"/>
    <w:link w:val="FootnoteText"/>
    <w:semiHidden/>
    <w:qFormat/>
    <w:locked/>
    <w:rPr>
      <w:sz w:val="20"/>
      <w:szCs w:val="20"/>
    </w:rPr>
  </w:style>
  <w:style w:type="paragraph" w:styleId="FootnoteText">
    <w:name w:val="footnote text"/>
    <w:aliases w:val="footnotes,Footnote Text Char2 Char,Footnote Text Char Char1 Char,Footnote Text Char2 Char Char Char,Footnote Text Char1 Char Char Char Char,Footnote Text Char Char Char Char Char Char,Voetnoottekst Maarten,IC Footnote Text,ftx,fn,Fo,o,Char"/>
    <w:basedOn w:val="Normal"/>
    <w:link w:val="FootnoteTextChar"/>
    <w:semiHidden/>
    <w:unhideWhenUsed/>
    <w:qFormat/>
    <w:pPr>
      <w:spacing w:after="0" w:line="240" w:lineRule="auto"/>
      <w:jc w:val="both"/>
    </w:pPr>
    <w:rPr>
      <w:sz w:val="20"/>
      <w:szCs w:val="20"/>
    </w:rPr>
  </w:style>
  <w:style w:type="character" w:customStyle="1" w:styleId="FootnoteTextChar1">
    <w:name w:val="Footnote Text Char1"/>
    <w:basedOn w:val="DefaultParagraphFont"/>
    <w:uiPriority w:val="99"/>
    <w:semiHidden/>
    <w:rPr>
      <w:sz w:val="20"/>
      <w:szCs w:val="20"/>
    </w:rPr>
  </w:style>
  <w:style w:type="character" w:styleId="FootnoteReference">
    <w:name w:val="footnote reference"/>
    <w:aliases w:val="Footnote Refernece,footnote ref,FR,Fußnotenzeichen diss neu,Times 10 Point,Exposant 3 Point,Footnote symbol,Footnote,Voetnootverwijzing,FR + (Complex) Arial,(Latin) 9 pt,(Complex) 10 pt + (Compl...,4_G,BVI fnr,10 pt"/>
    <w:basedOn w:val="DefaultParagraphFont"/>
    <w:link w:val="FootnoteReferneceChar"/>
    <w:unhideWhenUsed/>
    <w:qFormat/>
    <w:rPr>
      <w:vertAlign w:val="superscript"/>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al"/>
    <w:link w:val="FootnoteReference"/>
    <w:pPr>
      <w:spacing w:after="120" w:line="240" w:lineRule="exact"/>
      <w:ind w:left="284"/>
      <w:jc w:val="both"/>
    </w:pPr>
    <w:rPr>
      <w:vertAlign w:val="superscript"/>
    </w:rPr>
  </w:style>
  <w:style w:type="paragraph" w:styleId="Caption">
    <w:name w:val="caption"/>
    <w:basedOn w:val="Normal"/>
    <w:next w:val="Normal"/>
    <w:uiPriority w:val="35"/>
    <w:semiHidden/>
    <w:unhideWhenUsed/>
    <w:qFormat/>
    <w:pPr>
      <w:spacing w:line="240" w:lineRule="auto"/>
      <w:jc w:val="both"/>
    </w:pPr>
    <w:rPr>
      <w:i/>
      <w:iCs/>
      <w:color w:val="1F497D" w:themeColor="text2"/>
      <w:sz w:val="18"/>
      <w:szCs w:val="18"/>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qFormat/>
    <w:pPr>
      <w:spacing w:after="120" w:line="240" w:lineRule="exact"/>
      <w:jc w:val="both"/>
    </w:pPr>
    <w:rPr>
      <w:vertAlign w:val="superscript"/>
    </w:rPr>
  </w:style>
  <w:style w:type="table" w:styleId="TableGrid">
    <w:name w:val="Table Grid"/>
    <w:basedOn w:val="TableNormal"/>
    <w:uiPriority w:val="59"/>
    <w:pPr>
      <w:spacing w:after="0" w:line="240" w:lineRule="auto"/>
    </w:pPr>
    <w:rPr>
      <w:rFonts w:eastAsiaTheme="minorEastAsia"/>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Bulle Char"/>
    <w:basedOn w:val="DefaultParagraphFont"/>
    <w:link w:val="ListParagraph"/>
    <w:uiPriority w:val="34"/>
    <w:qFormat/>
    <w:locked/>
    <w:rPr>
      <w:rFonts w:ascii="Times New Roman" w:eastAsia="Times New Roman" w:hAnsi="Times New Roman" w:cs="Times New Roman"/>
      <w:sz w:val="24"/>
      <w:szCs w:val="24"/>
      <w:lang w:eastAsia="en-GB"/>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Bulle,2"/>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tabs>
        <w:tab w:val="right" w:leader="dot" w:pos="9248"/>
      </w:tabs>
      <w:spacing w:after="100" w:line="240" w:lineRule="auto"/>
      <w:ind w:left="220"/>
      <w:jc w:val="both"/>
    </w:pPr>
  </w:style>
  <w:style w:type="paragraph" w:styleId="Revision">
    <w:name w:val="Revision"/>
    <w:hidden/>
    <w:uiPriority w:val="99"/>
    <w:semiHidden/>
    <w:pPr>
      <w:spacing w:after="0" w:line="240" w:lineRule="auto"/>
    </w:pPr>
  </w:style>
  <w:style w:type="character" w:customStyle="1" w:styleId="leaf">
    <w:name w:val="leaf"/>
    <w:basedOn w:val="DefaultParagraphFont"/>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rightside">
    <w:name w:val="right_sid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449430">
      <w:bodyDiv w:val="1"/>
      <w:marLeft w:val="0"/>
      <w:marRight w:val="0"/>
      <w:marTop w:val="0"/>
      <w:marBottom w:val="0"/>
      <w:divBdr>
        <w:top w:val="none" w:sz="0" w:space="0" w:color="auto"/>
        <w:left w:val="none" w:sz="0" w:space="0" w:color="auto"/>
        <w:bottom w:val="none" w:sz="0" w:space="0" w:color="auto"/>
        <w:right w:val="none" w:sz="0" w:space="0" w:color="auto"/>
      </w:divBdr>
    </w:div>
    <w:div w:id="261383280">
      <w:bodyDiv w:val="1"/>
      <w:marLeft w:val="0"/>
      <w:marRight w:val="0"/>
      <w:marTop w:val="0"/>
      <w:marBottom w:val="0"/>
      <w:divBdr>
        <w:top w:val="none" w:sz="0" w:space="0" w:color="auto"/>
        <w:left w:val="none" w:sz="0" w:space="0" w:color="auto"/>
        <w:bottom w:val="none" w:sz="0" w:space="0" w:color="auto"/>
        <w:right w:val="none" w:sz="0" w:space="0" w:color="auto"/>
      </w:divBdr>
    </w:div>
    <w:div w:id="512040062">
      <w:bodyDiv w:val="1"/>
      <w:marLeft w:val="0"/>
      <w:marRight w:val="0"/>
      <w:marTop w:val="0"/>
      <w:marBottom w:val="0"/>
      <w:divBdr>
        <w:top w:val="none" w:sz="0" w:space="0" w:color="auto"/>
        <w:left w:val="none" w:sz="0" w:space="0" w:color="auto"/>
        <w:bottom w:val="none" w:sz="0" w:space="0" w:color="auto"/>
        <w:right w:val="none" w:sz="0" w:space="0" w:color="auto"/>
      </w:divBdr>
    </w:div>
    <w:div w:id="519784258">
      <w:bodyDiv w:val="1"/>
      <w:marLeft w:val="0"/>
      <w:marRight w:val="0"/>
      <w:marTop w:val="0"/>
      <w:marBottom w:val="0"/>
      <w:divBdr>
        <w:top w:val="none" w:sz="0" w:space="0" w:color="auto"/>
        <w:left w:val="none" w:sz="0" w:space="0" w:color="auto"/>
        <w:bottom w:val="none" w:sz="0" w:space="0" w:color="auto"/>
        <w:right w:val="none" w:sz="0" w:space="0" w:color="auto"/>
      </w:divBdr>
    </w:div>
    <w:div w:id="674769891">
      <w:bodyDiv w:val="1"/>
      <w:marLeft w:val="0"/>
      <w:marRight w:val="0"/>
      <w:marTop w:val="0"/>
      <w:marBottom w:val="0"/>
      <w:divBdr>
        <w:top w:val="none" w:sz="0" w:space="0" w:color="auto"/>
        <w:left w:val="none" w:sz="0" w:space="0" w:color="auto"/>
        <w:bottom w:val="none" w:sz="0" w:space="0" w:color="auto"/>
        <w:right w:val="none" w:sz="0" w:space="0" w:color="auto"/>
      </w:divBdr>
    </w:div>
    <w:div w:id="949119358">
      <w:bodyDiv w:val="1"/>
      <w:marLeft w:val="0"/>
      <w:marRight w:val="0"/>
      <w:marTop w:val="0"/>
      <w:marBottom w:val="0"/>
      <w:divBdr>
        <w:top w:val="none" w:sz="0" w:space="0" w:color="auto"/>
        <w:left w:val="none" w:sz="0" w:space="0" w:color="auto"/>
        <w:bottom w:val="none" w:sz="0" w:space="0" w:color="auto"/>
        <w:right w:val="none" w:sz="0" w:space="0" w:color="auto"/>
      </w:divBdr>
    </w:div>
    <w:div w:id="1073550288">
      <w:bodyDiv w:val="1"/>
      <w:marLeft w:val="0"/>
      <w:marRight w:val="0"/>
      <w:marTop w:val="0"/>
      <w:marBottom w:val="0"/>
      <w:divBdr>
        <w:top w:val="none" w:sz="0" w:space="0" w:color="auto"/>
        <w:left w:val="none" w:sz="0" w:space="0" w:color="auto"/>
        <w:bottom w:val="none" w:sz="0" w:space="0" w:color="auto"/>
        <w:right w:val="none" w:sz="0" w:space="0" w:color="auto"/>
      </w:divBdr>
    </w:div>
    <w:div w:id="1124542787">
      <w:bodyDiv w:val="1"/>
      <w:marLeft w:val="0"/>
      <w:marRight w:val="0"/>
      <w:marTop w:val="0"/>
      <w:marBottom w:val="0"/>
      <w:divBdr>
        <w:top w:val="none" w:sz="0" w:space="0" w:color="auto"/>
        <w:left w:val="none" w:sz="0" w:space="0" w:color="auto"/>
        <w:bottom w:val="none" w:sz="0" w:space="0" w:color="auto"/>
        <w:right w:val="none" w:sz="0" w:space="0" w:color="auto"/>
      </w:divBdr>
    </w:div>
    <w:div w:id="1358193659">
      <w:bodyDiv w:val="1"/>
      <w:marLeft w:val="0"/>
      <w:marRight w:val="0"/>
      <w:marTop w:val="0"/>
      <w:marBottom w:val="0"/>
      <w:divBdr>
        <w:top w:val="none" w:sz="0" w:space="0" w:color="auto"/>
        <w:left w:val="none" w:sz="0" w:space="0" w:color="auto"/>
        <w:bottom w:val="none" w:sz="0" w:space="0" w:color="auto"/>
        <w:right w:val="none" w:sz="0" w:space="0" w:color="auto"/>
      </w:divBdr>
    </w:div>
    <w:div w:id="1458327848">
      <w:bodyDiv w:val="1"/>
      <w:marLeft w:val="0"/>
      <w:marRight w:val="0"/>
      <w:marTop w:val="0"/>
      <w:marBottom w:val="0"/>
      <w:divBdr>
        <w:top w:val="none" w:sz="0" w:space="0" w:color="auto"/>
        <w:left w:val="none" w:sz="0" w:space="0" w:color="auto"/>
        <w:bottom w:val="none" w:sz="0" w:space="0" w:color="auto"/>
        <w:right w:val="none" w:sz="0" w:space="0" w:color="auto"/>
      </w:divBdr>
    </w:div>
    <w:div w:id="1603956735">
      <w:bodyDiv w:val="1"/>
      <w:marLeft w:val="0"/>
      <w:marRight w:val="0"/>
      <w:marTop w:val="0"/>
      <w:marBottom w:val="0"/>
      <w:divBdr>
        <w:top w:val="none" w:sz="0" w:space="0" w:color="auto"/>
        <w:left w:val="none" w:sz="0" w:space="0" w:color="auto"/>
        <w:bottom w:val="none" w:sz="0" w:space="0" w:color="auto"/>
        <w:right w:val="none" w:sz="0" w:space="0" w:color="auto"/>
      </w:divBdr>
    </w:div>
    <w:div w:id="1681078383">
      <w:bodyDiv w:val="1"/>
      <w:marLeft w:val="0"/>
      <w:marRight w:val="0"/>
      <w:marTop w:val="0"/>
      <w:marBottom w:val="0"/>
      <w:divBdr>
        <w:top w:val="none" w:sz="0" w:space="0" w:color="auto"/>
        <w:left w:val="none" w:sz="0" w:space="0" w:color="auto"/>
        <w:bottom w:val="none" w:sz="0" w:space="0" w:color="auto"/>
        <w:right w:val="none" w:sz="0" w:space="0" w:color="auto"/>
      </w:divBdr>
    </w:div>
    <w:div w:id="1737632571">
      <w:bodyDiv w:val="1"/>
      <w:marLeft w:val="0"/>
      <w:marRight w:val="0"/>
      <w:marTop w:val="0"/>
      <w:marBottom w:val="0"/>
      <w:divBdr>
        <w:top w:val="none" w:sz="0" w:space="0" w:color="auto"/>
        <w:left w:val="none" w:sz="0" w:space="0" w:color="auto"/>
        <w:bottom w:val="none" w:sz="0" w:space="0" w:color="auto"/>
        <w:right w:val="none" w:sz="0" w:space="0" w:color="auto"/>
      </w:divBdr>
    </w:div>
    <w:div w:id="1831557696">
      <w:bodyDiv w:val="1"/>
      <w:marLeft w:val="0"/>
      <w:marRight w:val="0"/>
      <w:marTop w:val="0"/>
      <w:marBottom w:val="0"/>
      <w:divBdr>
        <w:top w:val="none" w:sz="0" w:space="0" w:color="auto"/>
        <w:left w:val="none" w:sz="0" w:space="0" w:color="auto"/>
        <w:bottom w:val="none" w:sz="0" w:space="0" w:color="auto"/>
        <w:right w:val="none" w:sz="0" w:space="0" w:color="auto"/>
      </w:divBdr>
    </w:div>
    <w:div w:id="1954557182">
      <w:bodyDiv w:val="1"/>
      <w:marLeft w:val="0"/>
      <w:marRight w:val="0"/>
      <w:marTop w:val="0"/>
      <w:marBottom w:val="0"/>
      <w:divBdr>
        <w:top w:val="none" w:sz="0" w:space="0" w:color="auto"/>
        <w:left w:val="none" w:sz="0" w:space="0" w:color="auto"/>
        <w:bottom w:val="none" w:sz="0" w:space="0" w:color="auto"/>
        <w:right w:val="none" w:sz="0" w:space="0" w:color="auto"/>
      </w:divBdr>
    </w:div>
    <w:div w:id="1958682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fra.europa.eu/en/news/2020/roma-working-party-consultations-roma-inclusion-monitoring-framework" TargetMode="Externa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footer" Target="footer6.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info/sites/info/files/final_guidelines_4-10-18_without_date_july.pdf" TargetMode="External"/><Relationship Id="rId2" Type="http://schemas.openxmlformats.org/officeDocument/2006/relationships/hyperlink" Target="https://ec.europa.eu/transparency/regdoc/rep/10102/2017/EN/SWD-2017-350-F1-EN-MAIN-PART-1.PDF" TargetMode="External"/><Relationship Id="rId1" Type="http://schemas.openxmlformats.org/officeDocument/2006/relationships/hyperlink" Target="https://ec.europa.eu/transparency/regdoc/rep/10102/2017/EN/SWD-2017-350-F1-EN-MAIN-PART-1.PDF" TargetMode="External"/><Relationship Id="rId6" Type="http://schemas.openxmlformats.org/officeDocument/2006/relationships/hyperlink" Target="http://www.ilo.org/public/english/bureau/stat/isco/" TargetMode="External"/><Relationship Id="rId5" Type="http://schemas.openxmlformats.org/officeDocument/2006/relationships/hyperlink" Target="https://ec.europa.eu/eurostat/statistics-explained/index.php/NACE" TargetMode="External"/><Relationship Id="rId4" Type="http://schemas.openxmlformats.org/officeDocument/2006/relationships/hyperlink" Target="https://ec.europa.eu/eurostat/statistics-explained/index.php?title=Glossary:European_Union_(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eec0d762c7b7466583014692ac66b5f1 xmlns="3a10b4cc-2768-44f5-9b06-5b6dc5e1e431">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2d2b19a9-1f9f-48bb-ac48-c1a45d7d0217</TermId>
        </TermInfo>
      </Terms>
    </eec0d762c7b7466583014692ac66b5f1>
    <e58299b3a45f4bb7a2113c7712c467a3 xmlns="3a10b4cc-2768-44f5-9b06-5b6dc5e1e431">
      <Terms xmlns="http://schemas.microsoft.com/office/infopath/2007/PartnerControls">
        <TermInfo xmlns="http://schemas.microsoft.com/office/infopath/2007/PartnerControls">
          <TermName xmlns="http://schemas.microsoft.com/office/infopath/2007/PartnerControls">Council Communication 2020</TermName>
          <TermId xmlns="http://schemas.microsoft.com/office/infopath/2007/PartnerControls">a2b8a259-0202-4256-a309-fb07446e788c</TermId>
        </TermInfo>
      </Terms>
    </e58299b3a45f4bb7a2113c7712c467a3>
    <f4adba2bb4fb4670b23858d2fad449bb xmlns="3a10b4cc-2768-44f5-9b06-5b6dc5e1e431">
      <Terms xmlns="http://schemas.microsoft.com/office/infopath/2007/PartnerControls">
        <TermInfo xmlns="http://schemas.microsoft.com/office/infopath/2007/PartnerControls">
          <TermName xmlns="http://schemas.microsoft.com/office/infopath/2007/PartnerControls">Agency use</TermName>
          <TermId xmlns="http://schemas.microsoft.com/office/infopath/2007/PartnerControls">55d31343-d3aa-4578-af28-fe4fb94c5036</TermId>
        </TermInfo>
      </Terms>
    </f4adba2bb4fb4670b23858d2fad449bb>
    <a184fee9954e42a2849c95c212834442 xmlns="3a10b4cc-2768-44f5-9b06-5b6dc5e1e431">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a184fee9954e42a2849c95c212834442>
    <gf037c24a68140d0b87c6bc7306909c8 xmlns="3a10b4cc-2768-44f5-9b06-5b6dc5e1e431">
      <Terms xmlns="http://schemas.microsoft.com/office/infopath/2007/PartnerControls">
        <TermInfo xmlns="http://schemas.microsoft.com/office/infopath/2007/PartnerControls">
          <TermName xmlns="http://schemas.microsoft.com/office/infopath/2007/PartnerControls">2020</TermName>
          <TermId xmlns="http://schemas.microsoft.com/office/infopath/2007/PartnerControls">d0cd549d-8eb5-4f79-b4fc-3ae36d022cb2</TermId>
        </TermInfo>
      </Terms>
    </gf037c24a68140d0b87c6bc7306909c8>
    <Registration_x0020_ID xmlns="3a10b4cc-2768-44f5-9b06-5b6dc5e1e431">
      <Url xsi:nil="true"/>
      <Description xsi:nil="true"/>
    </Registration_x0020_ID>
    <TaxCatchAll xmlns="3a10b4cc-2768-44f5-9b06-5b6dc5e1e431">
      <Value>6375</Value>
      <Value>5829</Value>
      <Value>38</Value>
      <Value>9</Value>
      <Value>37</Value>
    </TaxCatchAll>
    <k3ab7e069a384603983661ceb0164e59 xmlns="3a10b4cc-2768-44f5-9b06-5b6dc5e1e431">
      <Terms xmlns="http://schemas.microsoft.com/office/infopath/2007/PartnerControls">
        <TermInfo xmlns="http://schemas.microsoft.com/office/infopath/2007/PartnerControls">
          <TermName xmlns="http://schemas.microsoft.com/office/infopath/2007/PartnerControls">Working Party Roma post-2020</TermName>
          <TermId xmlns="http://schemas.microsoft.com/office/infopath/2007/PartnerControls">2468d78c-5073-4f73-b31e-55a7b47b5133</TermId>
        </TermInfo>
      </Terms>
    </k3ab7e069a384603983661ceb0164e59>
    <_dlc_DocId xmlns="ec4b658c-3c15-44e4-ac06-cb652299f685">D2019P-1053696962-335</_dlc_DocId>
    <_dlc_DocIdUrl xmlns="ec4b658c-3c15-44e4-ac06-cb652299f685">
      <Url>http://projectserver/PWA/6_2 – Technical assistance and capacity building in the area of Integration and social inclusion of Roma/_layouts/15/DocIdRedir.aspx?ID=D2019P-1053696962-335</Url>
      <Description>D2019P-1053696962-335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FRA_PPM" ma:contentTypeID="0x010100CC89E02D79A6574C98EECCB3E8C674F50100D4F37D35A14DEC4384FED2451FEE8C16" ma:contentTypeVersion="34" ma:contentTypeDescription="" ma:contentTypeScope="" ma:versionID="37e9a73493bfd70344af65a77c2fb03d">
  <xsd:schema xmlns:xsd="http://www.w3.org/2001/XMLSchema" xmlns:xs="http://www.w3.org/2001/XMLSchema" xmlns:p="http://schemas.microsoft.com/office/2006/metadata/properties" xmlns:ns2="3a10b4cc-2768-44f5-9b06-5b6dc5e1e431" xmlns:ns3="ec4b658c-3c15-44e4-ac06-cb652299f685" targetNamespace="http://schemas.microsoft.com/office/2006/metadata/properties" ma:root="true" ma:fieldsID="97ef093e8b40d48049ffb45fc99ec09d" ns2:_="" ns3:_="">
    <xsd:import namespace="3a10b4cc-2768-44f5-9b06-5b6dc5e1e431"/>
    <xsd:import namespace="ec4b658c-3c15-44e4-ac06-cb652299f685"/>
    <xsd:element name="properties">
      <xsd:complexType>
        <xsd:sequence>
          <xsd:element name="documentManagement">
            <xsd:complexType>
              <xsd:all>
                <xsd:element ref="ns2:gf037c24a68140d0b87c6bc7306909c8" minOccurs="0"/>
                <xsd:element ref="ns2:TaxCatchAll" minOccurs="0"/>
                <xsd:element ref="ns2:TaxCatchAllLabel" minOccurs="0"/>
                <xsd:element ref="ns2:eec0d762c7b7466583014692ac66b5f1" minOccurs="0"/>
                <xsd:element ref="ns2:k3ab7e069a384603983661ceb0164e59" minOccurs="0"/>
                <xsd:element ref="ns2:f4adba2bb4fb4670b23858d2fad449bb" minOccurs="0"/>
                <xsd:element ref="ns2:a184fee9954e42a2849c95c212834442" minOccurs="0"/>
                <xsd:element ref="ns2:e58299b3a45f4bb7a2113c7712c467a3" minOccurs="0"/>
                <xsd:element ref="ns2:Registration_x0020_I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10b4cc-2768-44f5-9b06-5b6dc5e1e431" elementFormDefault="qualified">
    <xsd:import namespace="http://schemas.microsoft.com/office/2006/documentManagement/types"/>
    <xsd:import namespace="http://schemas.microsoft.com/office/infopath/2007/PartnerControls"/>
    <xsd:element name="gf037c24a68140d0b87c6bc7306909c8" ma:index="8" ma:taxonomy="true" ma:internalName="gf037c24a68140d0b87c6bc7306909c8" ma:taxonomyFieldName="Year" ma:displayName="Year" ma:default="38;#2020|d0cd549d-8eb5-4f79-b4fc-3ae36d022cb2" ma:fieldId="{0f037c24-a681-40d0-b87c-6bc7306909c8}" ma:sspId="de110eea-2dc3-4557-8db1-f63f1d7e47f1" ma:termSetId="4447fd88-b4bf-4405-954c-7961506ae7cf"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897b224-9e71-40c2-9884-56a8f333353a}" ma:internalName="TaxCatchAll" ma:showField="CatchAllData" ma:web="ec4b658c-3c15-44e4-ac06-cb652299f68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897b224-9e71-40c2-9884-56a8f333353a}" ma:internalName="TaxCatchAllLabel" ma:readOnly="true" ma:showField="CatchAllDataLabel" ma:web="ec4b658c-3c15-44e4-ac06-cb652299f685">
      <xsd:complexType>
        <xsd:complexContent>
          <xsd:extension base="dms:MultiChoiceLookup">
            <xsd:sequence>
              <xsd:element name="Value" type="dms:Lookup" maxOccurs="unbounded" minOccurs="0" nillable="true"/>
            </xsd:sequence>
          </xsd:extension>
        </xsd:complexContent>
      </xsd:complexType>
    </xsd:element>
    <xsd:element name="eec0d762c7b7466583014692ac66b5f1" ma:index="12" ma:taxonomy="true" ma:internalName="eec0d762c7b7466583014692ac66b5f1" ma:taxonomyFieldName="Content_x0020_Language" ma:displayName="Content Language" ma:default="9;#English|2d2b19a9-1f9f-48bb-ac48-c1a45d7d0217" ma:fieldId="{eec0d762-c7b7-4665-8301-4692ac66b5f1}" ma:sspId="de110eea-2dc3-4557-8db1-f63f1d7e47f1" ma:termSetId="33a78d32-655a-4e6f-9417-97d8e502369a" ma:anchorId="00000000-0000-0000-0000-000000000000" ma:open="false" ma:isKeyword="false">
      <xsd:complexType>
        <xsd:sequence>
          <xsd:element ref="pc:Terms" minOccurs="0" maxOccurs="1"/>
        </xsd:sequence>
      </xsd:complexType>
    </xsd:element>
    <xsd:element name="k3ab7e069a384603983661ceb0164e59" ma:index="14" nillable="true" ma:taxonomy="true" ma:internalName="k3ab7e069a384603983661ceb0164e59" ma:taxonomyFieldName="Group_x0020_By_x0020_PPM" ma:displayName="Group By" ma:default="" ma:fieldId="{43ab7e06-9a38-4603-9836-61ceb0164e59}" ma:sspId="de110eea-2dc3-4557-8db1-f63f1d7e47f1" ma:termSetId="445086b2-e771-4d08-89a5-71e707d692c4" ma:anchorId="00000000-0000-0000-0000-000000000000" ma:open="true" ma:isKeyword="false">
      <xsd:complexType>
        <xsd:sequence>
          <xsd:element ref="pc:Terms" minOccurs="0" maxOccurs="1"/>
        </xsd:sequence>
      </xsd:complexType>
    </xsd:element>
    <xsd:element name="f4adba2bb4fb4670b23858d2fad449bb" ma:index="16" ma:taxonomy="true" ma:internalName="f4adba2bb4fb4670b23858d2fad449bb" ma:taxonomyFieldName="Classification" ma:displayName="Classification" ma:default="37;#Agency use|55d31343-d3aa-4578-af28-fe4fb94c5036" ma:fieldId="{f4adba2b-b4fb-4670-b238-58d2fad449bb}" ma:sspId="de110eea-2dc3-4557-8db1-f63f1d7e47f1" ma:termSetId="e6fcaf45-6ac4-46ea-8c59-4fa7cd2b0d22" ma:anchorId="00000000-0000-0000-0000-000000000000" ma:open="false" ma:isKeyword="false">
      <xsd:complexType>
        <xsd:sequence>
          <xsd:element ref="pc:Terms" minOccurs="0" maxOccurs="1"/>
        </xsd:sequence>
      </xsd:complexType>
    </xsd:element>
    <xsd:element name="a184fee9954e42a2849c95c212834442" ma:index="18" nillable="true" ma:taxonomy="true" ma:internalName="a184fee9954e42a2849c95c212834442" ma:taxonomyFieldName="Tags" ma:displayName="Tags" ma:default="" ma:fieldId="{a184fee9-954e-42a2-849c-95c212834442}" ma:taxonomyMulti="true" ma:sspId="de110eea-2dc3-4557-8db1-f63f1d7e47f1" ma:termSetId="aab39e24-c7ad-4484-b9d7-5a7e8d197610" ma:anchorId="00000000-0000-0000-0000-000000000000" ma:open="true" ma:isKeyword="false">
      <xsd:complexType>
        <xsd:sequence>
          <xsd:element ref="pc:Terms" minOccurs="0" maxOccurs="1"/>
        </xsd:sequence>
      </xsd:complexType>
    </xsd:element>
    <xsd:element name="e58299b3a45f4bb7a2113c7712c467a3" ma:index="20" nillable="true" ma:taxonomy="true" ma:internalName="e58299b3a45f4bb7a2113c7712c467a3" ma:taxonomyFieldName="Group_x0020_By_x0020_2nd" ma:displayName="Group By 2nd" ma:default="" ma:fieldId="{e58299b3-a45f-4bb7-a211-3c7712c467a3}" ma:sspId="de110eea-2dc3-4557-8db1-f63f1d7e47f1" ma:termSetId="445086b2-e771-4d08-89a5-71e707d692c4" ma:anchorId="00000000-0000-0000-0000-000000000000" ma:open="true" ma:isKeyword="false">
      <xsd:complexType>
        <xsd:sequence>
          <xsd:element ref="pc:Terms" minOccurs="0" maxOccurs="1"/>
        </xsd:sequence>
      </xsd:complexType>
    </xsd:element>
    <xsd:element name="Registration_x0020_ID" ma:index="22" nillable="true" ma:displayName="Registration ID link" ma:format="Hyperlink" ma:internalName="Registration_x0020_ID">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c4b658c-3c15-44e4-ac06-cb652299f685"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SharedContentType xmlns="Microsoft.SharePoint.Taxonomy.ContentTypeSync" SourceId="de110eea-2dc3-4557-8db1-f63f1d7e47f1" ContentTypeId="0x010100CC89E02D79A6574C98EECCB3E8C674F501"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9564F-A7E1-4473-8F95-413B434470D0}">
  <ds:schemaRefs>
    <ds:schemaRef ds:uri="http://schemas.microsoft.com/office/2006/documentManagement/types"/>
    <ds:schemaRef ds:uri="http://purl.org/dc/elements/1.1/"/>
    <ds:schemaRef ds:uri="http://schemas.microsoft.com/office/infopath/2007/PartnerControls"/>
    <ds:schemaRef ds:uri="http://schemas.microsoft.com/office/2006/metadata/properties"/>
    <ds:schemaRef ds:uri="ec4b658c-3c15-44e4-ac06-cb652299f685"/>
    <ds:schemaRef ds:uri="http://purl.org/dc/terms/"/>
    <ds:schemaRef ds:uri="http://schemas.openxmlformats.org/package/2006/metadata/core-properties"/>
    <ds:schemaRef ds:uri="3a10b4cc-2768-44f5-9b06-5b6dc5e1e431"/>
    <ds:schemaRef ds:uri="http://www.w3.org/XML/1998/namespace"/>
    <ds:schemaRef ds:uri="http://purl.org/dc/dcmitype/"/>
  </ds:schemaRefs>
</ds:datastoreItem>
</file>

<file path=customXml/itemProps2.xml><?xml version="1.0" encoding="utf-8"?>
<ds:datastoreItem xmlns:ds="http://schemas.openxmlformats.org/officeDocument/2006/customXml" ds:itemID="{1A22AE82-BD24-45DB-88A8-68C4B911A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10b4cc-2768-44f5-9b06-5b6dc5e1e431"/>
    <ds:schemaRef ds:uri="ec4b658c-3c15-44e4-ac06-cb652299f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983B45-CF34-4B19-BB55-53CDDCB6241C}">
  <ds:schemaRefs>
    <ds:schemaRef ds:uri="http://schemas.microsoft.com/sharepoint/v3/contenttype/forms"/>
  </ds:schemaRefs>
</ds:datastoreItem>
</file>

<file path=customXml/itemProps4.xml><?xml version="1.0" encoding="utf-8"?>
<ds:datastoreItem xmlns:ds="http://schemas.openxmlformats.org/officeDocument/2006/customXml" ds:itemID="{83AE4B55-642B-47B1-B78B-5B78E56D7C80}">
  <ds:schemaRefs>
    <ds:schemaRef ds:uri="http://schemas.microsoft.com/sharepoint/events"/>
  </ds:schemaRefs>
</ds:datastoreItem>
</file>

<file path=customXml/itemProps5.xml><?xml version="1.0" encoding="utf-8"?>
<ds:datastoreItem xmlns:ds="http://schemas.openxmlformats.org/officeDocument/2006/customXml" ds:itemID="{FCB3F1EF-B27B-49DA-BA42-90F03FD9C554}">
  <ds:schemaRefs>
    <ds:schemaRef ds:uri="Microsoft.SharePoint.Taxonomy.ContentTypeSync"/>
  </ds:schemaRefs>
</ds:datastoreItem>
</file>

<file path=customXml/itemProps6.xml><?xml version="1.0" encoding="utf-8"?>
<ds:datastoreItem xmlns:ds="http://schemas.openxmlformats.org/officeDocument/2006/customXml" ds:itemID="{35FDF833-DFA1-45E3-82EB-68B2CF44C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6415</Words>
  <Characters>48690</Characters>
  <Application>Microsoft Office Word</Application>
  <DocSecurity>0</DocSecurity>
  <Lines>1058</Lines>
  <Paragraphs>586</Paragraphs>
  <ScaleCrop>false</ScaleCrop>
  <HeadingPairs>
    <vt:vector size="2" baseType="variant">
      <vt:variant>
        <vt:lpstr>Title</vt:lpstr>
      </vt:variant>
      <vt:variant>
        <vt:i4>1</vt:i4>
      </vt:variant>
    </vt:vector>
  </HeadingPairs>
  <TitlesOfParts>
    <vt:vector size="1" baseType="lpstr">
      <vt:lpstr>Annex 3 to the COM - Portfolio of indicators 20200702</vt:lpstr>
    </vt:vector>
  </TitlesOfParts>
  <Company>European Commission</Company>
  <LinksUpToDate>false</LinksUpToDate>
  <CharactersWithSpaces>54519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3 to the COM - Portfolio of indicators 20200702</dc:title>
  <dc:subject/>
  <dc:creator/>
  <cp:keywords/>
  <dc:description/>
  <cp:lastModifiedBy/>
  <cp:revision>11</cp:revision>
  <cp:lastPrinted>2020-10-02T17:33:00Z</cp:lastPrinted>
  <dcterms:created xsi:type="dcterms:W3CDTF">2020-10-06T07:56:00Z</dcterms:created>
  <dcterms:modified xsi:type="dcterms:W3CDTF">2020-10-16T15:55:00Z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2</vt:lpwstr>
  </property>
  <property fmtid="{D5CDD505-2E9C-101B-9397-08002B2CF9AE}" pid="4" name="Last annex">
    <vt:lpwstr>2</vt:lpwstr>
  </property>
  <property fmtid="{D5CDD505-2E9C-101B-9397-08002B2CF9AE}" pid="5" name="Unique annex">
    <vt:lpwstr>0</vt:lpwstr>
  </property>
  <property fmtid="{D5CDD505-2E9C-101B-9397-08002B2CF9AE}" pid="6" name="Part">
    <vt:lpwstr>1</vt:lpwstr>
  </property>
  <property fmtid="{D5CDD505-2E9C-101B-9397-08002B2CF9AE}" pid="7" name="Total parts">
    <vt:lpwstr>1</vt:lpwstr>
  </property>
  <property fmtid="{D5CDD505-2E9C-101B-9397-08002B2CF9AE}" pid="8" name="DocStatus">
    <vt:lpwstr>Green</vt:lpwstr>
  </property>
  <property fmtid="{D5CDD505-2E9C-101B-9397-08002B2CF9AE}" pid="9" name="CPTemplateID">
    <vt:lpwstr>CP-039</vt:lpwstr>
  </property>
  <property fmtid="{D5CDD505-2E9C-101B-9397-08002B2CF9AE}" pid="10" name="Last edited using">
    <vt:lpwstr>LW 7.0, Build 20190717</vt:lpwstr>
  </property>
  <property fmtid="{D5CDD505-2E9C-101B-9397-08002B2CF9AE}" pid="11" name="Created using">
    <vt:lpwstr>LW 7.0, Build 20190717</vt:lpwstr>
  </property>
  <property fmtid="{D5CDD505-2E9C-101B-9397-08002B2CF9AE}" pid="12" name="_dlc_DocIdItemGuid">
    <vt:lpwstr>89bbecb8-de71-4f47-93a7-77428328bb55</vt:lpwstr>
  </property>
  <property fmtid="{D5CDD505-2E9C-101B-9397-08002B2CF9AE}" pid="13" name="Content Language">
    <vt:lpwstr>9;#English|2d2b19a9-1f9f-48bb-ac48-c1a45d7d0217</vt:lpwstr>
  </property>
  <property fmtid="{D5CDD505-2E9C-101B-9397-08002B2CF9AE}" pid="14" name="Order">
    <vt:r8>26000</vt:r8>
  </property>
  <property fmtid="{D5CDD505-2E9C-101B-9397-08002B2CF9AE}" pid="15" name="Group By PPM">
    <vt:lpwstr>5829;#Working Party Roma post-2020|2468d78c-5073-4f73-b31e-55a7b47b5133</vt:lpwstr>
  </property>
  <property fmtid="{D5CDD505-2E9C-101B-9397-08002B2CF9AE}" pid="16" name="Year">
    <vt:lpwstr>38;#2020|d0cd549d-8eb5-4f79-b4fc-3ae36d022cb2</vt:lpwstr>
  </property>
  <property fmtid="{D5CDD505-2E9C-101B-9397-08002B2CF9AE}" pid="17" name="Group By 2nd">
    <vt:lpwstr>6375;#Council Communication 2020|a2b8a259-0202-4256-a309-fb07446e788c</vt:lpwstr>
  </property>
  <property fmtid="{D5CDD505-2E9C-101B-9397-08002B2CF9AE}" pid="18" name="Classification">
    <vt:lpwstr>37;#Agency use|55d31343-d3aa-4578-af28-fe4fb94c5036</vt:lpwstr>
  </property>
  <property fmtid="{D5CDD505-2E9C-101B-9397-08002B2CF9AE}" pid="19" name="Tags">
    <vt:lpwstr/>
  </property>
  <property fmtid="{D5CDD505-2E9C-101B-9397-08002B2CF9AE}" pid="20" name="_LW_INVALIDATED__LW_INVALIDATED__LW_INVALIDATED__LW_INVALIDATED__LW_INVALIDATED__LW_INVALIDATED__LW_INVALIDATED__LW_INVALIDATED__LW_INVALIDATED__LW_INVALIDATED__LW_INVALIDATED_ContentTypeId">
    <vt:lpwstr>0x010100CC89E02D79A6574C98EECCB3E8C674F50100D4F37D35A14DEC4384FED2451FEE8C16</vt:lpwstr>
  </property>
  <property fmtid="{D5CDD505-2E9C-101B-9397-08002B2CF9AE}" pid="21" name="_LW_INVALIDATED__LW_INVALIDATED__LW_INVALIDATED__LW_INVALIDATED__LW_INVALIDATED__LW_INVALIDATED_ContentTypeId">
    <vt:lpwstr>0x010100CC89E02D79A6574C98EECCB3E8C674F50100D4F37D35A14DEC4384FED2451FEE8C16</vt:lpwstr>
  </property>
  <property name="OP_sanitized" fmtid="{D5CDD505-2E9C-101B-9397-08002B2CF9AE}" pid="22">
    <vt:lpwstr>True</vt:lpwstr>
  </property>
</Properties>
</file>