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949C1C57-88DE-4B6F-842E-6A0CF6CB5B4A" style="width:450.15pt;height:320.7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bookmarkStart w:id="1" w:name="_GoBack"/>
      <w:bookmarkEnd w:id="1"/>
      <w:r>
        <w:rPr>
          <w:rFonts w:ascii="Times New Roman" w:hAnsi="Times New Roman"/>
          <w:i/>
          <w:noProof/>
          <w:sz w:val="20"/>
          <w:szCs w:val="20"/>
        </w:rPr>
        <w:lastRenderedPageBreak/>
        <w:t>Kus on inimlikkus, kui romasid meie ühiskonnas päevast päeva tõrjutakse ja teistele saab takistuseks nende nahavärv või usulised veendumused?</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President von der Leyeni 2020. aasta kõne olukorrast Euroopa Liidus</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20"/>
          <w:szCs w:val="20"/>
        </w:r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r>
        <w:rPr>
          <w:rFonts w:ascii="Times New Roman" w:hAnsi="Times New Roman"/>
          <w:i/>
          <w:noProof/>
          <w:sz w:val="20"/>
          <w:szCs w:val="20"/>
        </w:rPr>
        <w:t>Euroopal on kohustus kaitsta oma vähemusi rassismi ja diskrimineerimise eest. Peame asendama romavastasuse avatuse ja tunnustamisega, vaenukõne ja vihakuriteod sallivuse ja inimväärikuse austamisega ning kiusamise teadmiste andmisega holokausti kohta. Eelkõige peame edendama mitmekesisust kui imelist kingitust, mis teeb Euroopa tugevaks ja vastupanuvõimeliseks. Seepärast kutsub komisjon liikmesriike üles võtma ühise kohustuse lõpetada rassism ja diskrimineerimine, mis mõjutavad ilmselgelt meie suuri etnilisi roma vähemusi. Innustame liikmesriike pühenduma uuele romade võrdõiguslikkust, kaasamist ja osalemist käsitlevale ELi strateegilisele raamistikule, et tuua kaasa sotsiaalne õiglus ja suurem võrdsus selle sõna kõigis tähendustes.</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President von der Leyeni, asepresident Jourová ja volinik Dalli kõne</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enne romade holokausti 2020. aasta mälestuspäeva</w:t>
      </w:r>
    </w:p>
    <w:p>
      <w:pPr>
        <w:spacing w:after="0" w:line="240" w:lineRule="auto"/>
        <w:jc w:val="both"/>
        <w:rPr>
          <w:rFonts w:ascii="Times New Roman" w:hAnsi="Times New Roman"/>
          <w:i/>
          <w:noProof/>
          <w:sz w:val="18"/>
          <w:szCs w:val="18"/>
        </w:rPr>
      </w:pPr>
    </w:p>
    <w:p>
      <w:pPr>
        <w:spacing w:before="360" w:after="240" w:line="240" w:lineRule="auto"/>
        <w:ind w:left="851" w:hanging="851"/>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 </w:t>
      </w:r>
      <w:r>
        <w:rPr>
          <w:noProof/>
        </w:rPr>
        <w:tab/>
      </w:r>
      <w:r>
        <w:rPr>
          <w:rFonts w:ascii="Times New Roman Bold" w:hAnsi="Times New Roman Bold"/>
          <w:b/>
          <w:i/>
          <w:smallCaps/>
          <w:noProof/>
          <w:sz w:val="24"/>
          <w:szCs w:val="24"/>
        </w:rPr>
        <w:t xml:space="preserve">Sissejuhatus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Võrdõiguslikkuse liidu loomine on üks komisjoni kõige tähtsamatest ülesannetest. ELil on tõelise võrdõiguslikkuse liidu loomiseks olemas vajalikud õigusaktid ja terviklik poliitika. Nagu aga rõhutatud ELi rassismivastases tegevuskavas 2020–2025,</w:t>
      </w:r>
      <w:r>
        <w:rPr>
          <w:rStyle w:val="FootnoteReference"/>
          <w:rFonts w:ascii="Times New Roman" w:eastAsia="Times New Roman" w:hAnsi="Times New Roman" w:cs="Times New Roman"/>
          <w:noProof/>
          <w:sz w:val="24"/>
          <w:szCs w:val="24"/>
          <w:lang w:eastAsia="en-GB"/>
        </w:rPr>
        <w:footnoteReference w:id="1"/>
      </w:r>
      <w:r>
        <w:rPr>
          <w:rFonts w:ascii="Times New Roman" w:hAnsi="Times New Roman"/>
          <w:noProof/>
          <w:sz w:val="24"/>
          <w:szCs w:val="24"/>
        </w:rPr>
        <w:t xml:space="preserve"> tuleb diskrimineerimist rassilise või etnilise päritolu alusel endiselt ette. Eelkõige kehtib see romade puhul,</w:t>
      </w:r>
      <w:r>
        <w:rPr>
          <w:rStyle w:val="FootnoteReference"/>
          <w:rFonts w:ascii="Times New Roman" w:eastAsia="Times New Roman" w:hAnsi="Times New Roman" w:cs="Times New Roman"/>
          <w:noProof/>
          <w:sz w:val="24"/>
          <w:szCs w:val="24"/>
          <w:lang w:eastAsia="en-GB"/>
        </w:rPr>
        <w:footnoteReference w:id="2"/>
      </w:r>
      <w:r>
        <w:rPr>
          <w:rFonts w:ascii="Times New Roman" w:hAnsi="Times New Roman"/>
          <w:noProof/>
          <w:sz w:val="24"/>
          <w:szCs w:val="24"/>
        </w:rPr>
        <w:t xml:space="preserve"> kes on sageli ikka veel tõrjutud. Paljud meie maailmajao hinnanguliselt 10–12 miljonist romast</w:t>
      </w:r>
      <w:r>
        <w:rPr>
          <w:rFonts w:ascii="Times New Roman" w:eastAsia="Times New Roman" w:hAnsi="Times New Roman" w:cs="Times New Roman"/>
          <w:noProof/>
          <w:sz w:val="24"/>
          <w:szCs w:val="24"/>
          <w:vertAlign w:val="superscript"/>
          <w:lang w:eastAsia="en-GB"/>
        </w:rPr>
        <w:footnoteReference w:id="3"/>
      </w:r>
      <w:r>
        <w:rPr>
          <w:rFonts w:ascii="Times New Roman" w:hAnsi="Times New Roman"/>
          <w:noProof/>
          <w:sz w:val="24"/>
          <w:szCs w:val="24"/>
        </w:rPr>
        <w:t xml:space="preserve"> kogevad oma igapäevaelus jätkuvalt diskrimineerimist, romavastasust</w:t>
      </w:r>
      <w:r>
        <w:rPr>
          <w:rStyle w:val="FootnoteReference"/>
          <w:rFonts w:ascii="Times New Roman" w:eastAsia="Times New Roman" w:hAnsi="Times New Roman" w:cs="Times New Roman"/>
          <w:noProof/>
          <w:sz w:val="24"/>
          <w:szCs w:val="24"/>
          <w:lang w:eastAsia="en-GB"/>
        </w:rPr>
        <w:footnoteReference w:id="4"/>
      </w:r>
      <w:r>
        <w:rPr>
          <w:rFonts w:ascii="Times New Roman" w:hAnsi="Times New Roman"/>
          <w:noProof/>
          <w:sz w:val="24"/>
          <w:szCs w:val="24"/>
        </w:rPr>
        <w:t xml:space="preserve"> ja sotsiaal-majanduslikku tõrjutust.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2011. aastal võttis komisjon vastu </w:t>
      </w:r>
      <w:r>
        <w:rPr>
          <w:rFonts w:ascii="Times New Roman" w:hAnsi="Times New Roman"/>
          <w:b/>
          <w:noProof/>
          <w:sz w:val="24"/>
          <w:szCs w:val="24"/>
        </w:rPr>
        <w:t>romasid käsitlevate riiklike integratsioonistrateegiate ELi raamistiku aastani 2020</w:t>
      </w:r>
      <w:r>
        <w:rPr>
          <w:rFonts w:ascii="Times New Roman" w:eastAsia="Times New Roman" w:hAnsi="Times New Roman" w:cs="Times New Roman"/>
          <w:noProof/>
          <w:sz w:val="24"/>
          <w:szCs w:val="24"/>
          <w:vertAlign w:val="superscript"/>
          <w:lang w:eastAsia="en-GB"/>
        </w:rPr>
        <w:footnoteReference w:id="5"/>
      </w:r>
      <w:r>
        <w:rPr>
          <w:rFonts w:ascii="Times New Roman" w:hAnsi="Times New Roman"/>
          <w:noProof/>
          <w:sz w:val="24"/>
          <w:szCs w:val="24"/>
        </w:rPr>
        <w:t>. Selle peamine eesmärk oli võidelda romade sotsiaal-majandusliku tõrjutuse vastu ELis ja laienemisprotsessis osalevates riikides, edendades võrdset juurdepääsu haridusele, tööhõivele, tervishoiule ja eluasemele. Selles kutsuti liikmesriike üles töötama välja romasid käsitlevad riiklikud integratsioonistrateegiad, määrama riiklikud romade kontaktpunktid</w:t>
      </w:r>
      <w:r>
        <w:rPr>
          <w:rStyle w:val="FootnoteReference"/>
          <w:rFonts w:ascii="Times New Roman" w:eastAsia="Times New Roman" w:hAnsi="Times New Roman" w:cs="Times New Roman"/>
          <w:noProof/>
          <w:sz w:val="24"/>
          <w:szCs w:val="24"/>
          <w:lang w:eastAsia="en-GB"/>
        </w:rPr>
        <w:footnoteReference w:id="6"/>
      </w:r>
      <w:r>
        <w:rPr>
          <w:rFonts w:ascii="Times New Roman" w:hAnsi="Times New Roman"/>
          <w:noProof/>
          <w:sz w:val="24"/>
          <w:szCs w:val="24"/>
        </w:rPr>
        <w:t xml:space="preserve"> ja seadma riiklikud eesmärgid. Kaks aastat hiljem võttis nõukogu vastu soovituse, milles käsitleti romade tõhusaks integratsiooniks liikmesriikides võetavaid meetmeid ja anti liikmesriikidele suuniseid oma riiklike strateegiate rakendamise tõhustamise kohta</w:t>
      </w:r>
      <w:r>
        <w:rPr>
          <w:rFonts w:ascii="Times New Roman" w:eastAsia="Times New Roman" w:hAnsi="Times New Roman" w:cs="Times New Roman"/>
          <w:noProof/>
          <w:sz w:val="24"/>
          <w:szCs w:val="24"/>
          <w:vertAlign w:val="superscript"/>
          <w:lang w:eastAsia="en-GB"/>
        </w:rPr>
        <w:footnoteReference w:id="7"/>
      </w:r>
      <w:r>
        <w:rPr>
          <w:rFonts w:ascii="Times New Roman" w:hAnsi="Times New Roman"/>
          <w:noProof/>
          <w:sz w:val="24"/>
          <w:szCs w:val="24"/>
        </w:rPr>
        <w:t>. Lääne-Balkani piirkonnas tagati vabatahtlikult kooskõla romasid käsitlevate riiklike integratsioonistrateegiate ELi raamistikuga aastani 2020.</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Need kaks dokumenti olid olulised,</w:t>
      </w:r>
      <w:r>
        <w:rPr>
          <w:rFonts w:ascii="Times New Roman" w:eastAsia="Times New Roman" w:hAnsi="Times New Roman" w:cs="Times New Roman"/>
          <w:noProof/>
          <w:sz w:val="24"/>
          <w:szCs w:val="24"/>
          <w:vertAlign w:val="superscript"/>
          <w:lang w:eastAsia="en-GB"/>
        </w:rPr>
        <w:footnoteReference w:id="8"/>
      </w:r>
      <w:r>
        <w:rPr>
          <w:rFonts w:ascii="Times New Roman" w:hAnsi="Times New Roman"/>
          <w:noProof/>
          <w:sz w:val="24"/>
          <w:szCs w:val="24"/>
        </w:rPr>
        <w:t xml:space="preserve"> et seada romade kaasamine ELi ja liikmesriikide tegevuskavades tähtsale kohale ning võtta kasutusele ELi poliitika-, õiguslikud ja rahastamisvahendid. Sellest hoolimata on viimase 10 aasta jooksul olnud üldised </w:t>
      </w:r>
      <w:r>
        <w:rPr>
          <w:rFonts w:ascii="Times New Roman" w:hAnsi="Times New Roman"/>
          <w:b/>
          <w:noProof/>
          <w:sz w:val="24"/>
          <w:szCs w:val="24"/>
        </w:rPr>
        <w:t>edusammud romade integreerimisel piiratud</w:t>
      </w:r>
      <w:r>
        <w:rPr>
          <w:rFonts w:ascii="Times New Roman" w:hAnsi="Times New Roman"/>
          <w:noProof/>
          <w:sz w:val="24"/>
          <w:szCs w:val="24"/>
        </w:rPr>
        <w:t>, kuigi poliitikavaldkondade ja riikide vahel esineb märkimisväärseid erinevusi</w:t>
      </w:r>
      <w:r>
        <w:rPr>
          <w:rFonts w:ascii="Times New Roman" w:eastAsia="Times New Roman" w:hAnsi="Times New Roman" w:cs="Times New Roman"/>
          <w:noProof/>
          <w:sz w:val="24"/>
          <w:szCs w:val="24"/>
          <w:vertAlign w:val="superscript"/>
          <w:lang w:eastAsia="en-GB"/>
        </w:rPr>
        <w:footnoteReference w:id="9"/>
      </w:r>
      <w:r>
        <w:rPr>
          <w:rFonts w:ascii="Times New Roman" w:hAnsi="Times New Roman"/>
          <w:noProof/>
          <w:sz w:val="24"/>
          <w:szCs w:val="24"/>
        </w:rPr>
        <w:t>. Suurimaid edusamme on tehtud hariduse valdkonnas, eelkõige vähendades haridussüsteemist varakult lahkumist ning parandades alushariduses ja kohustuslikus koolihariduses osalemist. Roma õpilaste segregatsioon on hariduses aga suurenenud</w:t>
      </w:r>
      <w:r>
        <w:rPr>
          <w:rStyle w:val="FootnoteReference"/>
          <w:rFonts w:ascii="Times New Roman" w:eastAsia="Times New Roman" w:hAnsi="Times New Roman" w:cs="Times New Roman"/>
          <w:noProof/>
          <w:sz w:val="24"/>
          <w:szCs w:val="24"/>
          <w:lang w:eastAsia="en-GB"/>
        </w:rPr>
        <w:footnoteReference w:id="10"/>
      </w:r>
      <w:r>
        <w:rPr>
          <w:rFonts w:ascii="Times New Roman" w:hAnsi="Times New Roman"/>
          <w:noProof/>
          <w:sz w:val="24"/>
          <w:szCs w:val="24"/>
        </w:rPr>
        <w:t>. Romade vaesusrisk on vähenenud ja nende enda hinnang oma tervislikule seisundile paranenud, kuid ravikindlustuse kättesaadavus on endiselt piiratud. Juurdepääs tööhõivele pole paranenud ning mittetöötavate ja mitteõppivate roma noorte osakaal on isegi suurenenud. Eelkõige puudulike ja eraldatud eluasemete tõttu on eluasemetega seotud olukord endiselt keeruline. On tõendeid, et romade kokkupuude diskrimineerimisega on mõnevõrra vähenenud ja romade aktsepteerimine üldise elanikkonna hulgas suurenenud. Jätkuvalt tekitavad aga suurt muret romavastasus, vihakuriteod ning romadega, eelkõige naiste ja lastega, kaubitsemine</w:t>
      </w:r>
      <w:r>
        <w:rPr>
          <w:rFonts w:ascii="Times New Roman" w:eastAsia="Times New Roman" w:hAnsi="Times New Roman" w:cs="Times New Roman"/>
          <w:noProof/>
          <w:sz w:val="24"/>
          <w:szCs w:val="24"/>
          <w:vertAlign w:val="superscript"/>
          <w:lang w:eastAsia="en-GB"/>
        </w:rPr>
        <w:footnoteReference w:id="11"/>
      </w:r>
      <w:r>
        <w:rPr>
          <w:rFonts w:ascii="Times New Roman" w:hAnsi="Times New Roman"/>
          <w:noProof/>
          <w:sz w:val="24"/>
          <w:szCs w:val="24"/>
        </w:rPr>
        <w:t xml:space="preserv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Romasid käsitlevate riiklike integratsioonistrateegiate ELi raamistiku lõppemine pakub võimalust tõhustada meetmeid jätkuvate puuduste kõrvaldamiseks. See on eriti oluline, kuna COVID-19 pandeemia on toonud ilmsiks </w:t>
      </w:r>
      <w:r>
        <w:rPr>
          <w:rFonts w:ascii="Times New Roman" w:hAnsi="Times New Roman"/>
          <w:b/>
          <w:noProof/>
          <w:sz w:val="24"/>
          <w:szCs w:val="24"/>
        </w:rPr>
        <w:t>tõrjutud ja marginaliseeritud roma kogukondade äärmise haavatavuse negatiivse tervise- ja sotsiaal-majandusliku mõju suhtes</w:t>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Et saavutada suuremad ja kiiremad edusammud, sätestatakse käesolevas teatises uus romasid käsitlev ELi strateegiline raamistik, millega edendatakse romade tegelikku </w:t>
      </w:r>
      <w:r>
        <w:rPr>
          <w:rFonts w:ascii="Times New Roman" w:hAnsi="Times New Roman"/>
          <w:b/>
          <w:noProof/>
          <w:sz w:val="24"/>
          <w:szCs w:val="24"/>
        </w:rPr>
        <w:t>võrdõiguslikkust</w:t>
      </w:r>
      <w:r>
        <w:rPr>
          <w:rFonts w:ascii="Times New Roman" w:hAnsi="Times New Roman"/>
          <w:noProof/>
          <w:sz w:val="24"/>
          <w:szCs w:val="24"/>
        </w:rPr>
        <w:t xml:space="preserve">, sotsiaal-majanduslikku </w:t>
      </w:r>
      <w:r>
        <w:rPr>
          <w:rFonts w:ascii="Times New Roman" w:hAnsi="Times New Roman"/>
          <w:b/>
          <w:noProof/>
          <w:sz w:val="24"/>
          <w:szCs w:val="24"/>
        </w:rPr>
        <w:t>kaasamist</w:t>
      </w:r>
      <w:r>
        <w:rPr>
          <w:rFonts w:ascii="Times New Roman" w:hAnsi="Times New Roman"/>
          <w:noProof/>
          <w:sz w:val="24"/>
          <w:szCs w:val="24"/>
        </w:rPr>
        <w:t xml:space="preserve"> ja sisulist </w:t>
      </w:r>
      <w:r>
        <w:rPr>
          <w:rFonts w:ascii="Times New Roman" w:hAnsi="Times New Roman"/>
          <w:b/>
          <w:noProof/>
          <w:sz w:val="24"/>
          <w:szCs w:val="24"/>
        </w:rPr>
        <w:t>osalemist</w:t>
      </w:r>
      <w:r>
        <w:rPr>
          <w:rFonts w:ascii="Times New Roman" w:hAnsi="Times New Roman"/>
          <w:noProof/>
          <w:sz w:val="24"/>
          <w:szCs w:val="24"/>
        </w:rPr>
        <w:t>. Kuigi liikmesriigid on romade jaoks tõeliste muutuste saavutamisel eesliinil, mis eeldab tugevdatud poliitilist pühendumist, saab EL aidata neil töötada välja tõhusa lähenemisviisi ja anda neile õiged vahendid. See strateegiline raamistik tugineb eelmise raamistiku hindamise tulemustele, ulatuslikele konsultatsioonidele,</w:t>
      </w:r>
      <w:r>
        <w:rPr>
          <w:rFonts w:ascii="Times New Roman" w:eastAsia="Times New Roman" w:hAnsi="Times New Roman" w:cs="Times New Roman"/>
          <w:noProof/>
          <w:sz w:val="24"/>
          <w:szCs w:val="24"/>
          <w:vertAlign w:val="superscript"/>
          <w:lang w:eastAsia="en-GB"/>
        </w:rPr>
        <w:footnoteReference w:id="12"/>
      </w:r>
      <w:r>
        <w:rPr>
          <w:rFonts w:ascii="Times New Roman" w:hAnsi="Times New Roman"/>
          <w:noProof/>
          <w:sz w:val="24"/>
          <w:szCs w:val="24"/>
        </w:rPr>
        <w:t xml:space="preserve"> riiklike strateegiate rakendamise iga-aastastele hindamistele</w:t>
      </w:r>
      <w:r>
        <w:rPr>
          <w:rFonts w:ascii="Times New Roman" w:eastAsia="Times New Roman" w:hAnsi="Times New Roman" w:cs="Times New Roman"/>
          <w:noProof/>
          <w:sz w:val="24"/>
          <w:szCs w:val="24"/>
          <w:vertAlign w:val="superscript"/>
          <w:lang w:eastAsia="en-GB"/>
        </w:rPr>
        <w:footnoteReference w:id="13"/>
      </w:r>
      <w:r>
        <w:rPr>
          <w:rFonts w:ascii="Times New Roman" w:hAnsi="Times New Roman"/>
          <w:noProof/>
          <w:sz w:val="24"/>
          <w:szCs w:val="24"/>
        </w:rPr>
        <w:t xml:space="preserve"> ja varasemate meetmete piiratud tõhususe põhjuste analüüsile</w:t>
      </w:r>
      <w:r>
        <w:rPr>
          <w:rFonts w:ascii="Times New Roman" w:eastAsia="Times New Roman" w:hAnsi="Times New Roman" w:cs="Times New Roman"/>
          <w:noProof/>
          <w:sz w:val="24"/>
          <w:szCs w:val="24"/>
          <w:vertAlign w:val="superscript"/>
          <w:lang w:eastAsia="en-GB"/>
        </w:rPr>
        <w:footnoteReference w:id="14"/>
      </w:r>
      <w:r>
        <w:rPr>
          <w:rFonts w:ascii="Times New Roman" w:hAnsi="Times New Roman"/>
          <w:noProof/>
          <w:sz w:val="24"/>
          <w:szCs w:val="24"/>
        </w:rPr>
        <w:t>. Sellega reageeritakse Euroopa Parlamendi, nõukogu ja kodanikuühiskonna üleskutsetele tugevdada 2020. aasta järgset ELi algatust</w:t>
      </w:r>
      <w:r>
        <w:rPr>
          <w:rFonts w:ascii="Times New Roman" w:eastAsia="Times New Roman" w:hAnsi="Times New Roman" w:cs="Times New Roman"/>
          <w:noProof/>
          <w:sz w:val="24"/>
          <w:szCs w:val="24"/>
          <w:vertAlign w:val="superscript"/>
          <w:lang w:eastAsia="en-GB"/>
        </w:rPr>
        <w:footnoteReference w:id="15"/>
      </w:r>
      <w:r>
        <w:rPr>
          <w:rFonts w:ascii="Times New Roman" w:hAnsi="Times New Roman"/>
          <w:noProof/>
          <w:sz w:val="24"/>
          <w:szCs w:val="24"/>
        </w:rPr>
        <w:t>. Selles tunnistatakse, et mitte kõik romad ei ole sotsiaalselt tõrjutud, kuid nad kõik võivad kogeda diskrimineerimist ja mõjuvõimu vähenemist. Raamistikus kasutatakse intersektsionaalset lähenemisviisi, milles võetakse arvesse seda, kuidas etniline päritolu on põimunud identiteedi muude aspektidega, ning kuidas selline põimumine mõjutab ainulaadseid diskrimineerimiskogemusi</w:t>
      </w:r>
      <w:r>
        <w:rPr>
          <w:rStyle w:val="FootnoteReference"/>
          <w:rFonts w:ascii="Times New Roman" w:eastAsia="Times New Roman" w:hAnsi="Times New Roman" w:cs="Times New Roman"/>
          <w:noProof/>
          <w:sz w:val="24"/>
          <w:szCs w:val="24"/>
          <w:lang w:eastAsia="en-GB"/>
        </w:rPr>
        <w:footnoteReference w:id="16"/>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Romasid käsitleva ELi strateegilise raamistikuga antakse panus ka mitmesse muusse algatusse. Raamistik aitab otseselt kaasa ELi rassismivastase tegevuskava, Euroopa sotsiaalõiguste samba</w:t>
      </w:r>
      <w:r>
        <w:rPr>
          <w:rStyle w:val="FootnoteReference"/>
          <w:rFonts w:ascii="Times New Roman" w:hAnsi="Times New Roman" w:cs="Times New Roman"/>
          <w:noProof/>
          <w:sz w:val="24"/>
          <w:szCs w:val="24"/>
        </w:rPr>
        <w:footnoteReference w:id="17"/>
      </w:r>
      <w:r>
        <w:rPr>
          <w:rFonts w:ascii="Times New Roman" w:hAnsi="Times New Roman"/>
          <w:noProof/>
          <w:sz w:val="24"/>
          <w:szCs w:val="24"/>
        </w:rPr>
        <w:t xml:space="preserve"> ning ÜRO kestliku arengu tegevuskava 2030 rakendamisele ja kestliku arengu eesmärkide saavutamisele</w:t>
      </w:r>
      <w:r>
        <w:rPr>
          <w:rStyle w:val="FootnoteReference"/>
          <w:rFonts w:ascii="Times New Roman" w:hAnsi="Times New Roman" w:cs="Times New Roman"/>
          <w:noProof/>
          <w:sz w:val="24"/>
          <w:szCs w:val="24"/>
        </w:rPr>
        <w:footnoteReference w:id="18"/>
      </w:r>
      <w:r>
        <w:rPr>
          <w:rFonts w:ascii="Times New Roman" w:hAnsi="Times New Roman"/>
          <w:noProof/>
          <w:sz w:val="24"/>
          <w:szCs w:val="24"/>
        </w:rPr>
        <w: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Võrdõiguslikkuse ja kaasatuse saavutamine eeldab vahendite ulatuslikumat kasutamist ja paremat suunamist ning roma kogukondade, kõigi valitsustasandite, sektorite ja sidusrühmade (riikide valitsused, ELi institutsioonid, rahvusvahelised organisatsioonid, kodanikuühiskond, samuti tööstus ja akadeemilised ringkonnad) </w:t>
      </w:r>
      <w:r>
        <w:rPr>
          <w:rFonts w:ascii="Times New Roman" w:hAnsi="Times New Roman"/>
          <w:b/>
          <w:noProof/>
          <w:sz w:val="24"/>
          <w:szCs w:val="24"/>
        </w:rPr>
        <w:t>kaasamist ja partnerlust</w:t>
      </w:r>
      <w:r>
        <w:rPr>
          <w:rFonts w:ascii="Times New Roman" w:hAnsi="Times New Roman"/>
          <w:noProof/>
          <w:sz w:val="24"/>
          <w:szCs w:val="24"/>
        </w:rPr>
        <w:t>. Eriti oluline on tihe koostöö Euroopa ja riigi tasandi vahel. ELi tasandil seatakse selles strateegilises raamistikus kaugeleulatuvad ühised eesmärgid ja sihid. Riigi tasandil peaksid valitsused välja töötama tugevad romasid käsitlevad riiklikud strateegilised raamistikud, et võtta pikaajalisi kohustusi ning teha romade võrdõiguslikkuse, kaasamise ja osalemise valdkonnas koostööd ELi institutsioonidega. Nagu välja pakutud nõukogu 2016. aasta järeldustes,</w:t>
      </w:r>
      <w:r>
        <w:rPr>
          <w:rStyle w:val="FootnoteReference"/>
          <w:rFonts w:ascii="Times New Roman" w:hAnsi="Times New Roman"/>
          <w:noProof/>
          <w:sz w:val="24"/>
          <w:szCs w:val="24"/>
        </w:rPr>
        <w:footnoteReference w:id="19"/>
      </w:r>
      <w:r>
        <w:rPr>
          <w:rFonts w:ascii="Times New Roman" w:hAnsi="Times New Roman"/>
          <w:noProof/>
          <w:sz w:val="24"/>
          <w:szCs w:val="24"/>
        </w:rPr>
        <w:t xml:space="preserve"> võtab komisjon vastu </w:t>
      </w:r>
      <w:r>
        <w:rPr>
          <w:rFonts w:ascii="Times New Roman" w:hAnsi="Times New Roman"/>
          <w:b/>
          <w:noProof/>
          <w:sz w:val="24"/>
          <w:szCs w:val="24"/>
        </w:rPr>
        <w:t>ettepaneku nõukogu 2013. aasta soovituse läbivaatamiseks ja asendamiseks</w:t>
      </w:r>
      <w:r>
        <w:rPr>
          <w:rFonts w:ascii="Times New Roman" w:hAnsi="Times New Roman"/>
          <w:noProof/>
          <w:sz w:val="24"/>
          <w:szCs w:val="24"/>
        </w:rPr>
        <w:t>.</w:t>
      </w:r>
    </w:p>
    <w:p>
      <w:pPr>
        <w:spacing w:before="360" w:after="240" w:line="240" w:lineRule="auto"/>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 </w:t>
      </w:r>
      <w:r>
        <w:rPr>
          <w:noProof/>
        </w:rPr>
        <w:tab/>
      </w:r>
      <w:r>
        <w:rPr>
          <w:rFonts w:ascii="Times New Roman Bold" w:hAnsi="Times New Roman Bold"/>
          <w:b/>
          <w:i/>
          <w:smallCaps/>
          <w:noProof/>
          <w:sz w:val="24"/>
          <w:szCs w:val="24"/>
        </w:rPr>
        <w:t xml:space="preserve">Ühised eesmärgid romade võrdõiguslikkuse, kaasamise ja osalemise valdkonnas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Praeguse raamistiku hindamine ning Euroopa Parlamendi, nõukogu ja mitme üleeuroopalise ja riikliku kodanikuühiskonna organisatsiooni järeldused</w:t>
      </w:r>
      <w:r>
        <w:rPr>
          <w:rFonts w:ascii="Times New Roman" w:eastAsia="Times New Roman" w:hAnsi="Times New Roman" w:cs="Times New Roman"/>
          <w:noProof/>
          <w:sz w:val="24"/>
          <w:szCs w:val="24"/>
          <w:vertAlign w:val="superscript"/>
        </w:rPr>
        <w:footnoteReference w:id="20"/>
      </w:r>
      <w:r>
        <w:rPr>
          <w:rFonts w:ascii="Times New Roman" w:hAnsi="Times New Roman"/>
          <w:noProof/>
          <w:sz w:val="24"/>
          <w:szCs w:val="24"/>
        </w:rPr>
        <w:t xml:space="preserve"> </w:t>
      </w:r>
      <w:r>
        <w:rPr>
          <w:rFonts w:ascii="Times New Roman" w:hAnsi="Times New Roman"/>
          <w:b/>
          <w:noProof/>
          <w:sz w:val="24"/>
          <w:szCs w:val="24"/>
        </w:rPr>
        <w:t>näitavad, et romade võrdõiguslikkuse, kaasamise ja osalemise edendamise kohustust on vaja</w:t>
      </w:r>
      <w:r>
        <w:rPr>
          <w:rFonts w:ascii="Times New Roman" w:hAnsi="Times New Roman"/>
          <w:noProof/>
          <w:sz w:val="24"/>
          <w:szCs w:val="24"/>
        </w:rPr>
        <w:t xml:space="preserve"> nii Euroopa kui ka riigi tasandil uuendada ja tugevdada.</w:t>
      </w:r>
      <w:r>
        <w:rPr>
          <w:rFonts w:ascii="Times New Roman" w:hAnsi="Times New Roman"/>
          <w:b/>
          <w:noProof/>
          <w:sz w:val="24"/>
          <w:szCs w:val="24"/>
        </w:rPr>
        <w:t xml:space="preserve"> </w:t>
      </w:r>
      <w:r>
        <w:rPr>
          <w:rFonts w:ascii="Times New Roman" w:hAnsi="Times New Roman"/>
          <w:noProof/>
          <w:sz w:val="24"/>
          <w:szCs w:val="24"/>
        </w:rPr>
        <w:t>Tugevdatud kohustust on vaja, et võidelda püsiva diskrimineerimisega, sealhulgas romavastasusega, ning parandada romade kaasamist hariduse, tööhõive, tervishoiu ja eluasemete valdkonnas</w:t>
      </w:r>
      <w:r>
        <w:rPr>
          <w:rFonts w:ascii="Times New Roman" w:eastAsia="Times New Roman" w:hAnsi="Times New Roman" w:cs="Times New Roman"/>
          <w:noProof/>
          <w:sz w:val="24"/>
          <w:szCs w:val="24"/>
          <w:vertAlign w:val="superscript"/>
        </w:rPr>
        <w:footnoteReference w:id="21"/>
      </w:r>
      <w:r>
        <w:rPr>
          <w:rFonts w:ascii="Times New Roman" w:hAnsi="Times New Roman"/>
          <w:noProof/>
          <w:sz w:val="24"/>
          <w:szCs w:val="24"/>
        </w:rPr>
        <w:t xml:space="preserve">. Romad peaksid olema kaasatud kõigis etappides alates meetmete väljatöötamisest kuni nende rakendamiseni. Samal ajal tuleks meetmete puhul arvestada roma elanikkonna konkreetsete rühmade mitmekesisuse ja vajadustega. </w:t>
      </w:r>
    </w:p>
    <w:p>
      <w:pPr>
        <w:spacing w:after="0" w:line="240" w:lineRule="auto"/>
        <w:jc w:val="both"/>
        <w:rPr>
          <w:rStyle w:val="CommentReference"/>
          <w:noProof/>
        </w:rPr>
      </w:pPr>
      <w:r>
        <w:rPr>
          <w:rFonts w:ascii="Times New Roman" w:hAnsi="Times New Roman"/>
          <w:noProof/>
          <w:sz w:val="24"/>
          <w:szCs w:val="24"/>
        </w:rPr>
        <w:t xml:space="preserve">Seega seab komisjon ELi tasandil ajavahemikuks kuni 2030. aastani </w:t>
      </w:r>
      <w:r>
        <w:rPr>
          <w:rFonts w:ascii="Times New Roman" w:hAnsi="Times New Roman"/>
          <w:b/>
          <w:noProof/>
          <w:sz w:val="24"/>
          <w:szCs w:val="24"/>
        </w:rPr>
        <w:t>seitse eesmärki</w:t>
      </w:r>
      <w:r>
        <w:rPr>
          <w:rFonts w:ascii="Times New Roman" w:hAnsi="Times New Roman"/>
          <w:noProof/>
          <w:sz w:val="24"/>
          <w:szCs w:val="24"/>
        </w:rPr>
        <w:t xml:space="preserve">. Kolm neist eesmärkidest on võrdõiguslikkuse, kaasamise ja osalemise valdkonna horisontaalsed eesmärgid. Teised neli on haridust, tööhõivet, eluaset ja tervishoidu käsitlevad valdkondlikud eesmärgid. Et neid eesmärke tõhusalt rakendada, peab olema võimalik edusamme mõõta. Sel põhjusel teeb komisjon esimest korda ettepaneku kvantitatiivsete ELi tasandi </w:t>
      </w:r>
      <w:r>
        <w:rPr>
          <w:rFonts w:ascii="Times New Roman" w:hAnsi="Times New Roman"/>
          <w:b/>
          <w:noProof/>
          <w:sz w:val="24"/>
          <w:szCs w:val="24"/>
        </w:rPr>
        <w:t>peamiste eesmärkide</w:t>
      </w:r>
      <w:r>
        <w:rPr>
          <w:rFonts w:ascii="Times New Roman" w:hAnsi="Times New Roman"/>
          <w:noProof/>
          <w:sz w:val="24"/>
          <w:szCs w:val="24"/>
        </w:rPr>
        <w:t xml:space="preserve"> kohta, et jälgida eesmärkide saavutamisel tehtud edusamme. Kuigi need eesmärgid eeldavad minimaalsete edusammude saavutamist 2030. aastaks, </w:t>
      </w:r>
      <w:r>
        <w:rPr>
          <w:rFonts w:ascii="Times New Roman" w:hAnsi="Times New Roman"/>
          <w:b/>
          <w:noProof/>
          <w:sz w:val="24"/>
          <w:szCs w:val="24"/>
        </w:rPr>
        <w:t>jääb pikaajaliseks eesmärgiks tagada tegelik võrdõiguslikkus ning kaotada lõhe romade ja üldise elanikkonna vahel</w:t>
      </w:r>
      <w:r>
        <w:rPr>
          <w:rFonts w:ascii="Times New Roman" w:hAnsi="Times New Roman"/>
          <w:noProof/>
          <w:sz w:val="24"/>
          <w:szCs w:val="24"/>
        </w:rPr>
        <w:t>. Nende eesmärkide sõnastamisel on tuginetud roma kogukondades ellu viidud uuringutest saadud kogemustele ning Euroopa Liidu Põhiõiguste Ameti, liikmesriikide ning romade ja nende huve kaitsvate kodanikuühiskonna organisatsioonidega toimunud põhjalikele aruteludele</w:t>
      </w:r>
      <w:r>
        <w:rPr>
          <w:rStyle w:val="FootnoteReference"/>
          <w:rFonts w:ascii="Times New Roman" w:eastAsia="Times New Roman" w:hAnsi="Times New Roman" w:cs="Times New Roman"/>
          <w:noProof/>
          <w:sz w:val="24"/>
          <w:szCs w:val="24"/>
        </w:rPr>
        <w:footnoteReference w:id="22"/>
      </w:r>
      <w:r>
        <w:rPr>
          <w:rFonts w:ascii="Times New Roman" w:hAnsi="Times New Roman"/>
          <w:noProof/>
          <w:sz w:val="24"/>
          <w:szCs w:val="24"/>
        </w:rPr>
        <w:t>. Alltoodud skeemil on esitatud seitse eesmärki, ELi tasandi eesmärgid, soovitud tulemused ja praegune olukord</w:t>
      </w:r>
      <w:r>
        <w:rPr>
          <w:rStyle w:val="FootnoteReference"/>
          <w:rFonts w:ascii="Times New Roman" w:hAnsi="Times New Roman"/>
          <w:b/>
          <w:i/>
          <w:noProof/>
          <w:sz w:val="21"/>
          <w:szCs w:val="21"/>
        </w:rPr>
        <w:footnoteReference w:id="23"/>
      </w:r>
      <w:r>
        <w:rPr>
          <w:rFonts w:ascii="Times New Roman" w:hAnsi="Times New Roman"/>
          <w:noProof/>
          <w:sz w:val="24"/>
          <w:szCs w:val="24"/>
        </w:rPr>
        <w:t>.</w:t>
      </w:r>
    </w:p>
    <w:p>
      <w:pPr>
        <w:rPr>
          <w:rStyle w:val="CommentReference"/>
          <w:noProof/>
        </w:rPr>
      </w:pPr>
      <w:r>
        <w:rPr>
          <w:rStyle w:val="CommentReference"/>
          <w:noProof/>
        </w:rPr>
        <w:br w:type="page"/>
      </w:r>
    </w:p>
    <w:p>
      <w:pPr>
        <w:spacing w:after="0" w:line="240" w:lineRule="auto"/>
        <w:jc w:val="both"/>
        <w:rPr>
          <w:rStyle w:val="CommentReference"/>
          <w:noProof/>
        </w:rPr>
      </w:pPr>
      <w:r>
        <w:rPr>
          <w:noProof/>
          <w:sz w:val="16"/>
          <w:szCs w:val="16"/>
          <w:lang w:val="en-GB" w:eastAsia="en-GB"/>
        </w:rPr>
        <mc:AlternateContent>
          <mc:Choice Requires="wps">
            <w:drawing>
              <wp:anchor distT="0" distB="0" distL="114300" distR="114300" simplePos="0" relativeHeight="251396096" behindDoc="0" locked="0" layoutInCell="1" allowOverlap="1">
                <wp:simplePos x="0" y="0"/>
                <wp:positionH relativeFrom="column">
                  <wp:posOffset>101600</wp:posOffset>
                </wp:positionH>
                <wp:positionV relativeFrom="paragraph">
                  <wp:posOffset>1333500</wp:posOffset>
                </wp:positionV>
                <wp:extent cx="2552700" cy="1365250"/>
                <wp:effectExtent l="0" t="0" r="19050" b="25400"/>
                <wp:wrapTopAndBottom/>
                <wp:docPr id="69" name="Téglalap: lekerekített 9">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docPr>
                <wp:cNvGraphicFramePr/>
                <a:graphic xmlns:a="http://schemas.openxmlformats.org/drawingml/2006/main">
                  <a:graphicData uri="http://schemas.microsoft.com/office/word/2010/wordprocessingShape">
                    <wps:wsp>
                      <wps:cNvSpPr/>
                      <wps:spPr>
                        <a:xfrm>
                          <a:off x="0" y="0"/>
                          <a:ext cx="2552700" cy="13652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Vähendada diskrimineerimiskogemusega romade osakaalu vähemalt poole võrra</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tagada, et 2030. aastaks kogeb diskrimineerimist vähem kui 13 % romadest</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romade diskrimineerimiskogemus: </w:t>
                            </w:r>
                          </w:p>
                          <w:p>
                            <w:pPr>
                              <w:pStyle w:val="NormalWeb"/>
                              <w:spacing w:before="0" w:beforeAutospacing="0" w:after="0" w:afterAutospacing="0"/>
                              <w:jc w:val="both"/>
                              <w:rPr>
                                <w:sz w:val="20"/>
                                <w:szCs w:val="18"/>
                              </w:rPr>
                            </w:pPr>
                            <w:r>
                              <w:rPr>
                                <w:rFonts w:asciiTheme="minorHAnsi" w:hAnsi="Calibri"/>
                                <w:i/>
                                <w:iCs/>
                                <w:color w:val="4F81BD" w:themeColor="accent1"/>
                                <w:sz w:val="20"/>
                                <w:szCs w:val="18"/>
                              </w:rPr>
                              <w:t>26 % (viimased 12 kuud), 41 % (viimased 5 aastat)</w:t>
                            </w:r>
                          </w:p>
                        </w:txbxContent>
                      </wps:txbx>
                      <wps:bodyPr wrap="square" t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Téglalap: lekerekített 9" o:spid="_x0000_s1026" style="position:absolute;left:0;text-align:left;margin-left:8pt;margin-top:105pt;width:201pt;height:107.5pt;z-index:25139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FxRaAIAAOkEAAAOAAAAZHJzL2Uyb0RvYy54bWysVEtu2zAQ3RfoHQjuHcnyJ4lhOWicqChQ&#10;tEGSHoCmRpYQilRJ+ociB+qip8jFOhxJdtAWXRT1Qh6KM2/em4/mV/tasS1YVxmd8uFZzBloafJK&#10;r1P+5TEbXHDmvNC5UEZDyg/g+NXi7Zv5rplBYkqjcrAMQbSb7ZqUl943syhysoRauDPTgMbLwtha&#10;eDzadZRbsUP0WkVJHE+jnbF5Y40E5/DtTXvJF4RfFCD956Jw4JlKOXLz9LT0XIVntJiL2dqKpqxk&#10;R0P8A4taVBqTHqFuhBdsY6vfoOpKWuNM4c+kqSNTFJUE0oBqhvEvah5K0QBpweK45lgm9/9g5aft&#10;nWVVnvLpJWda1Nijx5fvayWUaGZMwRNYeHr54cF7dkkSYe8/Oh/EotWK/JZlyfXkNhsPMrQG4/h6&#10;PLi+HV8OsmR0cZucZ8tkNH0OxY4oiuKjXeNmlD90i8yH5s6iUzg5NEOOfWHr8I+lYnvq2+HYt5Bf&#10;4stkMknOY2yvxLvhaDpJJtRZTNaHN9b592BqFoyUW7PR+T1OBykSWyTUkuv9QkpnVJVnlVJ0CBMJ&#10;S2XZVuAsrdbDTs4rL1LUEicJ/qAgxCp9DwUWOVClhDTeJzAhJWg/bK9KkUObYxLjr8/Sp6cSEmBA&#10;LpDdEbsD6D1bkB67ldf5h1Cg7TgGx38j1jWuj6DMRvtjcF1pY/8EoFBVl7n1R/qvShNMv1/t0SWY&#10;K5MfcBp3uI4pd183wgKu7AeN847NXfWG9Wpp2n0WWpYG19lz1ppLT8sdGGrzbuNNUVFnT/AdA9wn&#10;KmW3+2FhX5/J6/SFWvwEAAD//wMAUEsDBBQABgAIAAAAIQBV9hBY3QAAAAoBAAAPAAAAZHJzL2Rv&#10;d25yZXYueG1sTI9BS8NAEIXvgv9hGcGb3SRoKTGbUgQRPQg2Qj1Os2MSzM7G7CaN/nrHk96+xzze&#10;vFdsF9ermcbQeTaQrhJQxLW3HTcGXqv7qw2oEJEt9p7JwBcF2JbnZwXm1p/4heZ9bJSEcMjRQBvj&#10;kGsd6pYchpUfiOX27keHUeTYaDviScJdr7MkWWuHHcuHFge6a6n+2E/OAH0/PVSf02P2hvOzHw4d&#10;7yo+GHN5sexuQUVa4p8ZfutLdSil09FPbIPqRa9lSjSQpYmAGK7TjcBRILtJQJeF/j+h/AEAAP//&#10;AwBQSwECLQAUAAYACAAAACEAtoM4kv4AAADhAQAAEwAAAAAAAAAAAAAAAAAAAAAAW0NvbnRlbnRf&#10;VHlwZXNdLnhtbFBLAQItABQABgAIAAAAIQA4/SH/1gAAAJQBAAALAAAAAAAAAAAAAAAAAC8BAABf&#10;cmVscy8ucmVsc1BLAQItABQABgAIAAAAIQCcIFxRaAIAAOkEAAAOAAAAAAAAAAAAAAAAAC4CAABk&#10;cnMvZTJvRG9jLnhtbFBLAQItABQABgAIAAAAIQBV9hBY3QAAAAoBAAAPAAAAAAAAAAAAAAAAAMIE&#10;AABkcnMvZG93bnJldi54bWxQSwUGAAAAAAQABADzAAAAzAUAAAAA&#10;" fillcolor="white [3212]" strokecolor="#243f60 [1604]" strokeweight="2pt">
                <v:textbox inset=",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Vähendada diskrimineerimiskogemusega romade osakaalu vähemalt poole võrra</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tagada, et 2030. aastaks kogeb diskrimineerimist vähem kui 13 % romadest</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romade diskrimineerimiskogemus: </w:t>
                      </w:r>
                    </w:p>
                    <w:p>
                      <w:pPr>
                        <w:pStyle w:val="NormalWeb"/>
                        <w:spacing w:before="0" w:beforeAutospacing="0" w:after="0" w:afterAutospacing="0"/>
                        <w:jc w:val="both"/>
                        <w:rPr>
                          <w:sz w:val="20"/>
                          <w:szCs w:val="18"/>
                        </w:rPr>
                      </w:pPr>
                      <w:r>
                        <w:rPr>
                          <w:rFonts w:asciiTheme="minorHAnsi" w:hAnsi="Calibri"/>
                          <w:i/>
                          <w:iCs/>
                          <w:color w:val="4F81BD" w:themeColor="accent1"/>
                          <w:sz w:val="20"/>
                          <w:szCs w:val="18"/>
                        </w:rPr>
                        <w:t>26 % (viimased 12 kuud), 41 % (viimased 5 aastat)</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527168" behindDoc="0" locked="0" layoutInCell="1" allowOverlap="1">
                <wp:simplePos x="0" y="0"/>
                <wp:positionH relativeFrom="column">
                  <wp:posOffset>196850</wp:posOffset>
                </wp:positionH>
                <wp:positionV relativeFrom="paragraph">
                  <wp:posOffset>5035550</wp:posOffset>
                </wp:positionV>
                <wp:extent cx="2908300" cy="1060450"/>
                <wp:effectExtent l="0" t="0" r="25400" b="25400"/>
                <wp:wrapTopAndBottom/>
                <wp:docPr id="75" name="Téglalap: lekerekített 22">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docPr>
                <wp:cNvGraphicFramePr/>
                <a:graphic xmlns:a="http://schemas.openxmlformats.org/drawingml/2006/main">
                  <a:graphicData uri="http://schemas.microsoft.com/office/word/2010/wordprocessingShape">
                    <wps:wsp>
                      <wps:cNvSpPr/>
                      <wps:spPr>
                        <a:xfrm>
                          <a:off x="0" y="0"/>
                          <a:ext cx="2908300" cy="10604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Tagada vähemalt 90 vabaühenduse võimekus osaleda kogu ELi hõlmavas romade kodanikuühiskonna elluviidavas koordineeritud järelevalves ja kaasata nad sellesse</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romade kodanikuühiskonna järelevalve projektis osalevad vabaühendused: 85</w:t>
                            </w: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Téglalap: lekerekített 22" o:spid="_x0000_s1027" style="position:absolute;left:0;text-align:left;margin-left:15.5pt;margin-top:396.5pt;width:229pt;height:83.5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UjcAIAAAMFAAAOAAAAZHJzL2Uyb0RvYy54bWysVEtu2zAQ3RfoHQjubcmKnThG5KBxrKJA&#10;0QZJegCaGllCKFIl6R+KHKiLniIX63Ak2UFbdFHUC3kozrx5bz66ut7Xim3BusrolI+GMWegpckr&#10;vU75l8dsMOXMeaFzoYyGlB/A8ev52zdXu2YGiSmNysEyBNFutmtSXnrfzKLIyRJq4YamAY2XhbG1&#10;8Hi06yi3YofotYqSOD6PdsbmjTUSnMO3t+0lnxN+UYD0n4vCgWcq5cjN09PScxWe0fxKzNZWNGUl&#10;OxriH1jUotKY9Ah1K7xgG1v9BlVX0hpnCj+Upo5MUVQSSAOqGcW/qHkoRQOkBYvjmmOZ3P+DlZ+2&#10;d5ZVecovJpxpUWOPHl++r5VQopkxBU9g4enlhwfvWZKQRtj7j84HtWi1Kr9lWXIzWWbjQYbWYBzf&#10;jAc3y/HlIEvOpsvkIlskZ+fPodoRRVF8tGvcjAiEdpH50NxZdAonh2bIsS9sHf6xVmxPjTscGxfy&#10;S3yZXMbTsxj7K/FuFJ/H4wm1FpP14Y11/j2YmgUj5dZsdH6P40GKxBYJteR6v5DSGVXlWaUUHcJI&#10;wkJZthU4TKv1qJPzyosUtcRJgj8oCLFK30OBVQ5UKSHN9wlMSAnaj9qrUuTQ5pjE+Ouz9OmphAQY&#10;kAtkd8TuAHrPFqTHbuV1/iEUaD2OwfHfiHWN6yMos9H+GFxX2tg/AShU1WVu/ZH+q9IE0+9Xe5pA&#10;8gxvViY/4FTucC1T7r5uhAXO1AeNcx92uDdsb6x6w3q1MO2mCy1Lg4vuOWvNhae1D9S1ebfxpqio&#10;5aeEHTXcNKpx91UIq/z6TF6nb9f8JwAAAP//AwBQSwMEFAAGAAgAAAAhAGhbelTdAAAACgEAAA8A&#10;AABkcnMvZG93bnJldi54bWxMj81OwzAQhO9IvIO1SFxQa5dC2oQ4FSriAShcuG1iN4mI1yF2fnh7&#10;lhO9zWhH387kh8V1YrJDaD1p2KwVCEuVNy3VGj7eX1d7ECEiGew8WQ0/NsChuL7KMTN+pjc7nWIt&#10;GEIhQw1NjH0mZaga6zCsfW+Jb2c/OIxsh1qaAWeGu07eK5VIhy3xhwZ7e2xs9XUanYa0ns84jeXj&#10;592xeulGhZhM31rf3izPTyCiXeJ/GP7qc3UouFPpRzJBdBq2G54SNezSLQsOPOxTFiXTE6VAFrm8&#10;nFD8AgAA//8DAFBLAQItABQABgAIAAAAIQC2gziS/gAAAOEBAAATAAAAAAAAAAAAAAAAAAAAAABb&#10;Q29udGVudF9UeXBlc10ueG1sUEsBAi0AFAAGAAgAAAAhADj9If/WAAAAlAEAAAsAAAAAAAAAAAAA&#10;AAAALwEAAF9yZWxzLy5yZWxzUEsBAi0AFAAGAAgAAAAhAKZTFSNwAgAAAwUAAA4AAAAAAAAAAAAA&#10;AAAALgIAAGRycy9lMm9Eb2MueG1sUEsBAi0AFAAGAAgAAAAhAGhbelTdAAAACgEAAA8AAAAAAAAA&#10;AAAAAAAAygQAAGRycy9kb3ducmV2LnhtbFBLBQYAAAAABAAEAPMAAADUBQ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Tagada vähemalt 90 vabaühenduse võimekus osaleda kogu ELi hõlmavas romade kodanikuühiskonna elluviidavas koordineeritud järelevalves ja kaasata nad sellesse</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romade kodanikuühiskonna järelevalve projektis osalevad vabaühendused: 85</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581440" behindDoc="0" locked="0" layoutInCell="1" allowOverlap="1">
                <wp:simplePos x="0" y="0"/>
                <wp:positionH relativeFrom="column">
                  <wp:posOffset>203200</wp:posOffset>
                </wp:positionH>
                <wp:positionV relativeFrom="paragraph">
                  <wp:posOffset>6134100</wp:posOffset>
                </wp:positionV>
                <wp:extent cx="2933700" cy="1193800"/>
                <wp:effectExtent l="0" t="0" r="19050" b="25400"/>
                <wp:wrapTopAndBottom/>
                <wp:docPr id="77" name="Téglalap: lekerekített 2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docPr>
                <wp:cNvGraphicFramePr/>
                <a:graphic xmlns:a="http://schemas.openxmlformats.org/drawingml/2006/main">
                  <a:graphicData uri="http://schemas.microsoft.com/office/word/2010/wordprocessingShape">
                    <wps:wsp>
                      <wps:cNvSpPr/>
                      <wps:spPr>
                        <a:xfrm>
                          <a:off x="0" y="0"/>
                          <a:ext cx="2933700" cy="11938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Kahekordistada selliste romade osakaal, kes diskrimineerimise kogemise korral sellest teatavad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tagada, et 2030. aastaks teatab diskrimineerimisest vähemalt 30 % romadest ohvritest</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selliste romade osakaal, kes teatasid viimasest diskrimineerimisest, mida nad kogesid (mis tahes valdkonnas) viimase 5 aasta jooksul: 16 %</w:t>
                            </w: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Téglalap: lekerekített 24" o:spid="_x0000_s1028" style="position:absolute;left:0;text-align:left;margin-left:16pt;margin-top:483pt;width:231pt;height:94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Xs1bwIAAAMFAAAOAAAAZHJzL2Uyb0RvYy54bWysVEtu2zAQ3RfoHQjuHcmyEydG5KBxoqJA&#10;0QZJegCaGllCKFIl6R+KHKiLniIX63D0cdAWXRT1gh6SM+/NG87o8mpfK7YF6yqjUz4+iTkDLU1e&#10;6XXKvzxmo3POnBc6F8poSPkBHL9avH1zuWvmkJjSqBwsQxDt5rsm5aX3zTyKnCyhFu7ENKDxsjC2&#10;Fh63dh3lVuwQvVZREsdn0c7YvLFGgnN4etNe8gXhFwVI/7koHHimUo65eVotrauwRotLMV9b0ZSV&#10;7NIQ/5BFLSqNpAPUjfCCbWz1G1RdSWucKfyJNHVkiqKSQBpQzTj+Rc1DKRogLVgc1wxlcv8PVn7a&#10;3llW5SmfzTjTosY3enz5vlZCiWbOFDyBhaeXHx68Z8mUNMLef3Q+qEWrVfkty5Lr09tsOsrQGk3j&#10;6+no+nZ6McqSyfltMsuWyeTsOVQ7oiiKj3aNm1MC4bnIfGjuLDqFnUMzcOwLW4d/rBXb08MdhocL&#10;/BIPk4vJZBbj+0q8G48vJue4acn68MY6/x5MzYKRcms2Or/H9iBFYosJtf69X6B0RlV5VilFm9CS&#10;sFSWbQU202o97hheeZGiNnGS4A8KQqzS91BglUOqREj9fQQTUoL24/aqFDm0HKcx/nqWnp5KSIAB&#10;ucDsBuwOoPdsQXrsVl7nH0KBxmMIjv+WWBs8RBCz0X4Iritt7J8AFKrqmFt/TP9VaYLp96s9dWAS&#10;PMPJyuQH7ModjmXK3deNsMCZ+qCx78MM94btjVVvWK+Wpp10oWVpcNA9Z6259DT2IXVt3m28KSp6&#10;8iNhlxpOGtW4+yqEUX69J6/jt2vxEwAA//8DAFBLAwQUAAYACAAAACEA2HhkX9wAAAALAQAADwAA&#10;AGRycy9kb3ducmV2LnhtbEyPzU7DMBCE70i8g7VIXBB1WtqIhjgVKuIBaLlw28TbJCJeh9j54e1Z&#10;TnCb0Y5mv8kPi+vURENoPRtYrxJQxJW3LdcG3s+v94+gQkS22HkmA98U4FBcX+WYWT/zG02nWCsp&#10;4ZChgSbGPtM6VA05DCvfE8vt4geHUexQazvgLOWu05skSbXDluVDgz0dG6o+T6MzsK/nC05jufu4&#10;O1Yv3ZggptOXMbc3y/MTqEhL/AvDL76gQyFMpR/ZBtUZeNjIlChdaSpCAtv9VkQpyfVOlC5y/X9D&#10;8QMAAP//AwBQSwECLQAUAAYACAAAACEAtoM4kv4AAADhAQAAEwAAAAAAAAAAAAAAAAAAAAAAW0Nv&#10;bnRlbnRfVHlwZXNdLnhtbFBLAQItABQABgAIAAAAIQA4/SH/1gAAAJQBAAALAAAAAAAAAAAAAAAA&#10;AC8BAABfcmVscy8ucmVsc1BLAQItABQABgAIAAAAIQB7oXs1bwIAAAMFAAAOAAAAAAAAAAAAAAAA&#10;AC4CAABkcnMvZTJvRG9jLnhtbFBLAQItABQABgAIAAAAIQDYeGRf3AAAAAsBAAAPAAAAAAAAAAAA&#10;AAAAAMkEAABkcnMvZG93bnJldi54bWxQSwUGAAAAAAQABADzAAAA0gU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Kahekordistada selliste romade osakaal, kes diskrimineerimise kogemise korral sellest teatavad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tagada, et 2030. aastaks teatab diskrimineerimisest vähemalt 30 % romadest ohvritest</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selliste romade osakaal, kes teatasid viimasest diskrimineerimisest, mida nad kogesid (mis tahes valdkonnas) viimase 5 aasta jooksul: 16 %</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609088" behindDoc="0" locked="0" layoutInCell="1" allowOverlap="1">
                <wp:simplePos x="0" y="0"/>
                <wp:positionH relativeFrom="column">
                  <wp:posOffset>3206750</wp:posOffset>
                </wp:positionH>
                <wp:positionV relativeFrom="paragraph">
                  <wp:posOffset>6121400</wp:posOffset>
                </wp:positionV>
                <wp:extent cx="2755900" cy="1149350"/>
                <wp:effectExtent l="0" t="0" r="25400" b="12700"/>
                <wp:wrapTopAndBottom/>
                <wp:docPr id="78" name="Téglalap: lekerekített 2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docPr>
                <wp:cNvGraphicFramePr/>
                <a:graphic xmlns:a="http://schemas.openxmlformats.org/drawingml/2006/main">
                  <a:graphicData uri="http://schemas.microsoft.com/office/word/2010/wordprocessingShape">
                    <wps:wsp>
                      <wps:cNvSpPr/>
                      <wps:spPr>
                        <a:xfrm>
                          <a:off x="0" y="0"/>
                          <a:ext cx="2755900" cy="11493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Soodustada romade osalemist poliitikas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kohalikul, piirkondlikul, riiklikul ja ELi tasandil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(märkimisväärse roma elanikkonnaga liikmesriikides)</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tagada, et nad registreerivad end valijatena, hääletavad, kandideerivad</w:t>
                            </w:r>
                          </w:p>
                          <w:p>
                            <w:pPr>
                              <w:pStyle w:val="NormalWeb"/>
                              <w:spacing w:before="0" w:beforeAutospacing="0" w:after="0" w:afterAutospacing="0"/>
                              <w:jc w:val="center"/>
                              <w:rPr>
                                <w:sz w:val="20"/>
                                <w:szCs w:val="18"/>
                              </w:rPr>
                            </w:pP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Téglalap: lekerekített 23" o:spid="_x0000_s1029" style="position:absolute;left:0;text-align:left;margin-left:252.5pt;margin-top:482pt;width:217pt;height:90.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1LPcQIAAAMFAAAOAAAAZHJzL2Uyb0RvYy54bWysVEtu2zAQ3RfoHQjuHcmynY9hOaidqChQ&#10;tEGSHoCmRpYQilRJ+ociB+qip8jFOhxJdtAWXRT1Qh6KM2/em49m1/tasS1YVxmd8uFZzBloafJK&#10;r1P+5TEbXHLmvNC5UEZDyg/g+PX87ZvZrplCYkqjcrAMQbSb7pqUl9430yhysoRauDPTgMbLwtha&#10;eDzadZRbsUP0WkVJHJ9HO2PzxhoJzuHbm/aSzwm/KED6z0XhwDOVcuTm6WnpuQrPaD4T07UVTVnJ&#10;job4Bxa1qDQmPULdCC/Yxla/QdWVtMaZwp9JU0emKCoJpAHVDONf1DyUogHSgsVxzbFM7v/Byk/b&#10;O8uqPOUX2CktauzR48v3tRJKNFOm4AksPL388OA9S0akEfb+o/NBLVqtym9Zliwmt9l4kKE1GMeL&#10;8WBxO74aZMno8ja5yJbJ6Pw5VDuiKIqPdo2bEoHQLjIfmjuLTuHk0Aw59oWtwz/Wiu2pcYdj40J+&#10;iS+Ti8nkKsb+SrwbDsdXowm1FpP14Y11/j2YmgUj5dZsdH6P40GKxBYJteR6v5DSGVXlWaUUHcJI&#10;wlJZthU4TKv1sJPzyosUtcRJgj8oCLFK30OBVQ5UKSHN9wlMSAnaD9urUuTQ5pjE+Ouz9OmphAQY&#10;kAtkd8TuAHrPFqTHbuV1/iEUaD2OwfHfiHWN6yMos9H+GFxX2tg/AShU1WVu/ZH+q9IE0+9Xe5rA&#10;UfAMb1YmP+BU7nAtU+6+boQFztQHjXMfdrg3bG+sesN6tTTtpgstS4OL7jlrzaWntQ/UtXm38aao&#10;qOWnhB013DSqcfdVCKv8+kxep2/X/CcAAAD//wMAUEsDBBQABgAIAAAAIQD1u/oz3QAAAAwBAAAP&#10;AAAAZHJzL2Rvd25yZXYueG1sTI/NTsMwEITvSLyDtUhcELULTdSkcSpUxANQuHDbxNskIrZD7Pzw&#10;9iwnuM1qPs3OFMfV9mKmMXTeadhuFAhytTedazS8v73c70GEiM5g7x1p+KYAx/L6qsDc+MW90nyO&#10;jeAQF3LU0MY45FKGuiWLYeMHcuxd/Ggx8jk20oy4cLjt5YNSqbTYOf7Q4kCnlurP82Q1ZM1ywXmq&#10;ko+7U/3cTwoxnb+0vr1Znw4gIq3xD4bf+lwdSu5U+cmZIHoNiUp4S+SwdMeCiewxY1Exut2xJ8tC&#10;/h9R/gAAAP//AwBQSwECLQAUAAYACAAAACEAtoM4kv4AAADhAQAAEwAAAAAAAAAAAAAAAAAAAAAA&#10;W0NvbnRlbnRfVHlwZXNdLnhtbFBLAQItABQABgAIAAAAIQA4/SH/1gAAAJQBAAALAAAAAAAAAAAA&#10;AAAAAC8BAABfcmVscy8ucmVsc1BLAQItABQABgAIAAAAIQDGt1LPcQIAAAMFAAAOAAAAAAAAAAAA&#10;AAAAAC4CAABkcnMvZTJvRG9jLnhtbFBLAQItABQABgAIAAAAIQD1u/oz3QAAAAwBAAAPAAAAAAAA&#10;AAAAAAAAAMsEAABkcnMvZG93bnJldi54bWxQSwUGAAAAAAQABADzAAAA1QU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Soodustada romade osalemist poliitikas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kohalikul, piirkondlikul, riiklikul ja ELi tasandil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(märkimisväärse roma elanikkonnaga liikmesriikides)</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tagada, et nad registreerivad end valijatena, hääletavad, kandideerivad</w:t>
                      </w:r>
                    </w:p>
                    <w:p>
                      <w:pPr>
                        <w:pStyle w:val="NormalWeb"/>
                        <w:spacing w:before="0" w:beforeAutospacing="0" w:after="0" w:afterAutospacing="0"/>
                        <w:jc w:val="center"/>
                        <w:rPr>
                          <w:sz w:val="20"/>
                          <w:szCs w:val="18"/>
                        </w:rPr>
                      </w:pP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551744" behindDoc="0" locked="0" layoutInCell="1" allowOverlap="1">
                <wp:simplePos x="0" y="0"/>
                <wp:positionH relativeFrom="column">
                  <wp:posOffset>3175000</wp:posOffset>
                </wp:positionH>
                <wp:positionV relativeFrom="paragraph">
                  <wp:posOffset>5041900</wp:posOffset>
                </wp:positionV>
                <wp:extent cx="2794000" cy="1022350"/>
                <wp:effectExtent l="0" t="0" r="25400" b="25400"/>
                <wp:wrapTopAndBottom/>
                <wp:docPr id="76" name="Téglalap: lekerekített 2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docPr>
                <wp:cNvGraphicFramePr/>
                <a:graphic xmlns:a="http://schemas.openxmlformats.org/drawingml/2006/main">
                  <a:graphicData uri="http://schemas.microsoft.com/office/word/2010/wordprocessingShape">
                    <wps:wsp>
                      <wps:cNvSpPr/>
                      <wps:spPr>
                        <a:xfrm>
                          <a:off x="0" y="0"/>
                          <a:ext cx="2794000" cy="10223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Tagada romade valitsusväliste organisatsioonide osalemine </w:t>
                            </w:r>
                          </w:p>
                          <w:p>
                            <w:pPr>
                              <w:pStyle w:val="NormalWeb"/>
                              <w:spacing w:before="0" w:beforeAutospacing="0" w:after="0" w:afterAutospacing="0"/>
                              <w:jc w:val="center"/>
                              <w:rPr>
                                <w:sz w:val="20"/>
                                <w:szCs w:val="18"/>
                              </w:rPr>
                            </w:pPr>
                            <w:r>
                              <w:rPr>
                                <w:rFonts w:asciiTheme="minorHAnsi" w:hAnsi="Calibri"/>
                                <w:b/>
                                <w:bCs/>
                                <w:color w:val="FF0000"/>
                                <w:sz w:val="20"/>
                                <w:szCs w:val="18"/>
                              </w:rPr>
                              <w:t>täisliikmetena kõikide selliste programmide</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riiklikes järelevalvekomiteedes, mille eesmärk on tegeleda roma kogukondade vajadustega</w:t>
                            </w:r>
                          </w:p>
                        </w:txbxContent>
                      </wps:txbx>
                      <wps:bodyPr wrap="square" t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left:0;text-align:left;margin-left:250pt;margin-top:397pt;width:220pt;height:80.5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h6RagIAAPEEAAAOAAAAZHJzL2Uyb0RvYy54bWysVEtu2zAQ3RfoHQjuHcnyJ4lhOaidqChQ&#10;tEGSHoCmRpYQilRJ+oeiB+qip8jFOhzJSvpBF0U30lCcefPefDS/OtSK7cC6yuiUD89izkBLk1d6&#10;k/JPD9nggjPnhc6FMhpSfgTHrxavX833zQwSUxqVg2UIot1s36S89L6ZRZGTJdTCnZkGNF4WxtbC&#10;49FuotyKPaLXKkrieBrtjc0bayQ4h1+v20u+IPyiAOk/FoUDz1TKkZunp6XnOjyjxVzMNlY0ZSU7&#10;GuIfWNSi0pi0h7oWXrCtrX6DqitpjTOFP5OmjkxRVBJIA6oZxr+ouS9FA6QFi+Oavkzu/8HKD7tb&#10;y6o85edTzrSosUcPT982SijRzJiCR7Dw+PTdg/csGZFGOPj3zge1aLUqv2RZspzcZONBhtZgHC/H&#10;g+XN+HKQJaOLm+Q8WyWj6ddQ7YiiKD7aN25GBEK7yLxvbi06hZNDM+Q4FLYOb6wVO1Djjn3jQn6J&#10;H5Pzy3EcY38l3g3jJBlNqLWY7BTeWOffgqlZMFJuzVbndzgepEjskFBL7uQXUjqjqjyrlKJDGElY&#10;Kct2AodpvRl2cl54kaKWOEnwRwUhVuk7KLDKgSolpPl+BhNSgvbD9qoUObQ5JqjppKOPoBISYEAu&#10;kF2P3QH8TPSE3crr/EMo0Hr0wfHfiHWNO0VQZqN9H1xX2tg/AShU1WVu/ZH+i9IE0x/WB5rAcfAM&#10;X9YmP+JU7nEtU+4+b4UFXN13Gucee7w+GdarlWn3WmhZGlxrz1lrrjwteSCqzZutN0VFDX6G74jg&#10;XlFFu39AWNyXZ/J6/lMtfgAAAP//AwBQSwMEFAAGAAgAAAAhAPCNEf/eAAAACwEAAA8AAABkcnMv&#10;ZG93bnJldi54bWxMj0FLw0AQhe+C/2EZwZvdtRi1aTalCCJ6EGyEepwmYxLMzsbsJo3+eseTnuYb&#10;5vHmvWwzu05NNITWs4XLhQFFXPqq5drCa3F/cQsqROQKO89k4YsCbPLTkwzTyh/5haZdrJWYcEjR&#10;QhNjn2odyoYchoXvieX27geHUdah1tWARzF3nV4ac60dtiwfGuzprqHyYzc6C/T99FB8jo/LN5ye&#10;fb9veVvw3trzs3m7BhVpjn9i+I0v0SGXTAc/chVUZyExRrpECzerKwFRyBQ4CCSJAZ1n+n+H/AcA&#10;AP//AwBQSwECLQAUAAYACAAAACEAtoM4kv4AAADhAQAAEwAAAAAAAAAAAAAAAAAAAAAAW0NvbnRl&#10;bnRfVHlwZXNdLnhtbFBLAQItABQABgAIAAAAIQA4/SH/1gAAAJQBAAALAAAAAAAAAAAAAAAAAC8B&#10;AABfcmVscy8ucmVsc1BLAQItABQABgAIAAAAIQCS7h6RagIAAPEEAAAOAAAAAAAAAAAAAAAAAC4C&#10;AABkcnMvZTJvRG9jLnhtbFBLAQItABQABgAIAAAAIQDwjRH/3gAAAAsBAAAPAAAAAAAAAAAAAAAA&#10;AMQEAABkcnMvZG93bnJldi54bWxQSwUGAAAAAAQABADzAAAAzwUAAAAA&#10;" fillcolor="white [3212]" strokecolor="#243f60 [1604]" strokeweight="2pt">
                <v:textbox inset=",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Tagada romade valitsusväliste organisatsioonide osalemine </w:t>
                      </w:r>
                    </w:p>
                    <w:p>
                      <w:pPr>
                        <w:pStyle w:val="NormalWeb"/>
                        <w:spacing w:before="0" w:beforeAutospacing="0" w:after="0" w:afterAutospacing="0"/>
                        <w:jc w:val="center"/>
                        <w:rPr>
                          <w:sz w:val="20"/>
                          <w:szCs w:val="18"/>
                        </w:rPr>
                      </w:pPr>
                      <w:r>
                        <w:rPr>
                          <w:rFonts w:asciiTheme="minorHAnsi" w:hAnsi="Calibri"/>
                          <w:b/>
                          <w:bCs/>
                          <w:color w:val="FF0000"/>
                          <w:sz w:val="20"/>
                          <w:szCs w:val="18"/>
                        </w:rPr>
                        <w:t>täisliikmetena kõikide selliste programmide</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riiklikes järelevalvekomiteedes, mille eesmärk on tegeleda roma kogukondade vajadustega</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497472" behindDoc="0" locked="0" layoutInCell="1" allowOverlap="1">
                <wp:simplePos x="0" y="0"/>
                <wp:positionH relativeFrom="column">
                  <wp:posOffset>88900</wp:posOffset>
                </wp:positionH>
                <wp:positionV relativeFrom="paragraph">
                  <wp:posOffset>4610100</wp:posOffset>
                </wp:positionV>
                <wp:extent cx="5932805" cy="2800350"/>
                <wp:effectExtent l="0" t="0" r="10795" b="19050"/>
                <wp:wrapTopAndBottom/>
                <wp:docPr id="74" name="Téglalap: lekerekített 2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docPr>
                <wp:cNvGraphicFramePr/>
                <a:graphic xmlns:a="http://schemas.openxmlformats.org/drawingml/2006/main">
                  <a:graphicData uri="http://schemas.microsoft.com/office/word/2010/wordprocessingShape">
                    <wps:wsp>
                      <wps:cNvSpPr/>
                      <wps:spPr>
                        <a:xfrm>
                          <a:off x="0" y="0"/>
                          <a:ext cx="5932805" cy="280035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3. Edendada osalemist võimestamise, koostöö ja usalduse kaudu</w:t>
                            </w:r>
                          </w:p>
                        </w:txbxContent>
                      </wps:txbx>
                      <wps:bodyPr rot="0" spcFirstLastPara="0" vert="horz" wrap="square" lIns="91440" tIns="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id="Téglalap: lekerekített 21" o:spid="_x0000_s1031" style="position:absolute;left:0;text-align:left;margin-left:7pt;margin-top:363pt;width:467.15pt;height:220.5pt;z-index:251497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lP1AIAALUFAAAOAAAAZHJzL2Uyb0RvYy54bWysVEtu2zAQ3RfoHQjuHcmynDhG5MBxrKJA&#10;kAZJiqxpirKFUCRL0r8WPVAXPUUu1uFIcoy06KJoAshDcubNvPldXO5qSTbCukqrjPZPYkqE4rqo&#10;1DKjnx/z3ogS55kqmNRKZHQvHL2cvH93sTVjkeiVloWwBECUG29NRlfem3EUOb4SNXMn2ggFj6W2&#10;NfNwtMuosGwL6LWMkjg+jbbaFsZqLpyD2+vmkU4QvywF95/K0glPZEYhNo9fi99F+EaTCzZeWmZW&#10;FW/DYP8QRc0qBU4PUNfMM7K21W9QdcWtdrr0J1zXkS7LigvkAGz68Rs2DytmBHKB5DhzSJP7f7D8&#10;dnNnSVVk9CylRLEaavT48mMpmWRmTKR4FlY8v/z0wnuS9JGj2Pkb5wNbkBqW3/I8uRrO87SXg9RL&#10;46u0dzVPz3t5MhjNk7N8lgxOv4dsR2iF9tHWuDEGEMqF4oO5s6AUTg7E4GNX2jr8Qq7IDgu3PxQu&#10;+OdwOTwfJKN4SAmHN5DiwRBLC846c2Od/yB0TYKQUavXqriH9kBGbAMBNcF1esGl07Iq8kpKPNjl&#10;YiYt2TBopXka/ls+R2pIqYkcOfi9FMFYqntRQpoh1gQ9YoOLAx7jXCjfpNetWCEaN8MY/jovYSSC&#10;BeYQAQNyCeEdsFuATrMB6bAbfq1+MBU4Hwfj+G+BtZXrLNCzVv5gXFdK2z8BSGDVem70Ifyj1ATR&#10;7xY7bMFh0Aw3C13soS2tbubVGZ5XULYb5vwdszCgMMqwdOB1pe1XSrYwwBl1X9bMCkrkRwUTct5P&#10;0zDxeADBHt8u8JAOzxJ4Uet6pqGofVhVhqMY9L3sxNLq+gn2zDR4hCemOPjNqO/EmW9WCuwpLqZT&#10;VIL5NszfqAfDA3TIWOitx90Ts6btQg8NfKu7MWfjN33Y6AZLpadrr8sKm/Q1Q20uYTdgU7R7LCyf&#10;4zNqvW7byS8AAAD//wMAUEsDBBQABgAIAAAAIQBxnTxZ4AAAAAsBAAAPAAAAZHJzL2Rvd25yZXYu&#10;eG1sTI/NTsMwEITvSLyDtUhcEHVSQlJCnAohReRUiVJxduJtEuGfyHbb8PYsJ7jtaEaz31TbxWh2&#10;Rh8mZwWkqwQY2t6pyQ4CDh/N/QZYiNIqqZ1FAd8YYFtfX1WyVO5i3/G8jwOjEhtKKWCMcS45D/2I&#10;RoaVm9GSd3TeyEjSD1x5eaFyo/k6SXJu5GTpwyhnfB2x/9qfjICunT7bQ9ru9N1j8+Z1kR150wpx&#10;e7O8PAOLuMS/MPziEzrUxNS5k1WBadIZTYkCinVOBwWess0DsI6cNC8S4HXF/2+ofwAAAP//AwBQ&#10;SwECLQAUAAYACAAAACEAtoM4kv4AAADhAQAAEwAAAAAAAAAAAAAAAAAAAAAAW0NvbnRlbnRfVHlw&#10;ZXNdLnhtbFBLAQItABQABgAIAAAAIQA4/SH/1gAAAJQBAAALAAAAAAAAAAAAAAAAAC8BAABfcmVs&#10;cy8ucmVsc1BLAQItABQABgAIAAAAIQCYgplP1AIAALUFAAAOAAAAAAAAAAAAAAAAAC4CAABkcnMv&#10;ZTJvRG9jLnhtbFBLAQItABQABgAIAAAAIQBxnTxZ4AAAAAsBAAAPAAAAAAAAAAAAAAAAAC4FAABk&#10;cnMvZG93bnJldi54bWxQSwUGAAAAAAQABADzAAAAOwYAAAAA&#10;" fillcolor="#e4e4e4" strokecolor="#243f60 [1604]" strokeweight="2pt">
                <v:textbox inset=",0">
                  <w:txbxContent>
                    <w:p>
                      <w:pPr>
                        <w:pStyle w:val="NormalWeb"/>
                        <w:spacing w:before="0" w:beforeAutospacing="0" w:after="0" w:afterAutospacing="0"/>
                        <w:jc w:val="center"/>
                      </w:pPr>
                      <w:r>
                        <w:rPr>
                          <w:rFonts w:asciiTheme="minorHAnsi" w:hAnsi="Calibri"/>
                          <w:b/>
                          <w:bCs/>
                          <w:i/>
                          <w:iCs/>
                          <w:color w:val="4F81BD" w:themeColor="accent1"/>
                        </w:rPr>
                        <w:t>3. Edendada osalemist võimestamise, koostöö ja usalduse kaudu</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435008" behindDoc="0" locked="0" layoutInCell="1" allowOverlap="1">
                <wp:simplePos x="0" y="0"/>
                <wp:positionH relativeFrom="column">
                  <wp:posOffset>38100</wp:posOffset>
                </wp:positionH>
                <wp:positionV relativeFrom="paragraph">
                  <wp:posOffset>2838450</wp:posOffset>
                </wp:positionV>
                <wp:extent cx="5944235" cy="1695450"/>
                <wp:effectExtent l="0" t="0" r="18415" b="19050"/>
                <wp:wrapTopAndBottom/>
                <wp:docPr id="71" name="Téglalap: lekerekített 1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docPr>
                <wp:cNvGraphicFramePr/>
                <a:graphic xmlns:a="http://schemas.openxmlformats.org/drawingml/2006/main">
                  <a:graphicData uri="http://schemas.microsoft.com/office/word/2010/wordprocessingShape">
                    <wps:wsp>
                      <wps:cNvSpPr/>
                      <wps:spPr>
                        <a:xfrm>
                          <a:off x="0" y="0"/>
                          <a:ext cx="5944235" cy="169545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Vähendada vaesust ja sotsiaalset tõrjutust, et kaotada sotsiaal-majanduslik lõhe </w:t>
                            </w:r>
                          </w:p>
                          <w:p>
                            <w:pPr>
                              <w:pStyle w:val="NormalWeb"/>
                              <w:spacing w:before="0" w:beforeAutospacing="0" w:after="0" w:afterAutospacing="0"/>
                              <w:jc w:val="center"/>
                            </w:pPr>
                            <w:r>
                              <w:rPr>
                                <w:rFonts w:asciiTheme="minorHAnsi" w:hAnsi="Calibri"/>
                                <w:b/>
                                <w:bCs/>
                                <w:i/>
                                <w:iCs/>
                                <w:color w:val="4F81BD" w:themeColor="accent1"/>
                              </w:rPr>
                              <w:t>romade ja üldise elanikkonna vahel</w:t>
                            </w:r>
                          </w:p>
                        </w:txbxContent>
                      </wps:txbx>
                      <wps:bodyPr rot="0" spcFirstLastPara="0" vert="horz" wrap="square" lIns="91440" tIns="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id="Téglalap: lekerekített 13" o:spid="_x0000_s1032" style="position:absolute;left:0;text-align:left;margin-left:3pt;margin-top:223.5pt;width:468.05pt;height:133.5pt;z-index:251435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VL0wIAALUFAAAOAAAAZHJzL2Uyb0RvYy54bWysVF9v2jAQf5+072D5nQZCoAU1VJSSaVLV&#10;obZTn43jQFTH9mzzb9M+0B72KfrFdr4kFHXTHqaB5Jx9d7/7f5dX+0qSrbCu1CqlvbMuJUJxnZdq&#10;ldLPj1nnghLnmcqZ1Eqk9CAcvZq8f3e5M2MR67WWubAEQJQb70xK196bcRQ5vhYVc2faCAXMQtuK&#10;ebjaVZRbtgP0SkZxtzuMdtrmxmounIPXm5pJJ4hfFIL7T0XhhCcypeCbx9PiuQxnNLlk45VlZl3y&#10;xg32D15UrFRg9Ah1wzwjG1v+BlWV3GqnC3/GdRXpoii5wBggml73TTQPa2YExgLJceaYJvf/YPnd&#10;dmFJmaf0vEeJYhXU6PHlx0oyycyYSPEsrHh++emF96TXxxjF3t86H6IFqo7yW5bF14N5lnQyoDpJ&#10;9zrpXM+TUSeL+xfz+Dybxf3h95DtCLVQP9oZN0YHQrmQfDALC0Lh5oAMNvaFrcIXckX2WLjDsXDB&#10;PofHwShJ4v6AEg683nA0SAZYWjDWqhvr/AehKxKIlFq9Ufk9tAdGxLbgUO1cKxdMOi3LPCulxItd&#10;LWfSki2DVpon4d/EcyKGIdWeYwz+IEVQlupeFJBm8DVGi9jg4ojHOBfK92rWmuWiNjPowq+1EkYi&#10;aGAOETAgF+DeEbsBaCVrkBa7jq+RD6oC5+Oo3P2bY03lWg20rJU/Klel0vZPABKiaizX8uD+SWoC&#10;6ffLPbbgMEiGl6XOD9CWVtfz6gzPSijbLXN+wSwMKIwyLB3grrX9SskOBjil7suGWUGJ/KhgQka9&#10;JAkTjxcg7OnrEi/J4DwGjtpUMw1FhQEAS0gGeS9bsrC6eoI9Mw0WgcUUB7sp9S058/VKgT3FxXSK&#10;QjDfhvlb9WB4gA4ZC731uH9i1jRd6KGB73Q75mz8pg9r2aCp9HTjdVFik75mqMkl7AZsimaPheVz&#10;ekep1207+QUAAP//AwBQSwMEFAAGAAgAAAAhAB/7va/fAAAACQEAAA8AAABkcnMvZG93bnJldi54&#10;bWxMj81OwzAQhO9IvIO1SFwQdVKZBkKcCiFF5IREqTg78TaJ8E9ku214e5YTvc1qVjPfVNvFGnbC&#10;ECfvJOSrDBi63uvJDRL2n839I7CYlNPKeIcSfjDCtr6+qlSp/dl94GmXBkYhLpZKwpjSXHIe+xGt&#10;iis/oyPv4INVic4wcB3UmcKt4ess23CrJkcNo5rxdcT+e3e0Erp2+mr3eftu7h6at2AKceBNK+Xt&#10;zfLyDCzhkv6f4Q+f0KEmps4fnY7MSNjQkiRBiIIE+U9inQPrJBS5yIDXFb9cUP8CAAD//wMAUEsB&#10;Ai0AFAAGAAgAAAAhALaDOJL+AAAA4QEAABMAAAAAAAAAAAAAAAAAAAAAAFtDb250ZW50X1R5cGVz&#10;XS54bWxQSwECLQAUAAYACAAAACEAOP0h/9YAAACUAQAACwAAAAAAAAAAAAAAAAAvAQAAX3JlbHMv&#10;LnJlbHNQSwECLQAUAAYACAAAACEA2BMVS9MCAAC1BQAADgAAAAAAAAAAAAAAAAAuAgAAZHJzL2Uy&#10;b0RvYy54bWxQSwECLQAUAAYACAAAACEAH/u9r98AAAAJAQAADwAAAAAAAAAAAAAAAAAtBQAAZHJz&#10;L2Rvd25yZXYueG1sUEsFBgAAAAAEAAQA8wAAADkGAAAAAA==&#10;" fillcolor="#e4e4e4" strokecolor="#243f60 [1604]" strokeweight="2pt">
                <v:textbox inset=",0">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Vähendada vaesust ja sotsiaalset tõrjutust, et kaotada sotsiaal-majanduslik lõhe </w:t>
                      </w:r>
                    </w:p>
                    <w:p>
                      <w:pPr>
                        <w:pStyle w:val="NormalWeb"/>
                        <w:spacing w:before="0" w:beforeAutospacing="0" w:after="0" w:afterAutospacing="0"/>
                        <w:jc w:val="center"/>
                      </w:pPr>
                      <w:r>
                        <w:rPr>
                          <w:rFonts w:asciiTheme="minorHAnsi" w:hAnsi="Calibri"/>
                          <w:b/>
                          <w:bCs/>
                          <w:i/>
                          <w:iCs/>
                          <w:color w:val="4F81BD" w:themeColor="accent1"/>
                        </w:rPr>
                        <w:t>romade ja üldise elanikkonna vahel</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473920" behindDoc="0" locked="0" layoutInCell="1" allowOverlap="1">
                <wp:simplePos x="0" y="0"/>
                <wp:positionH relativeFrom="column">
                  <wp:posOffset>3111500</wp:posOffset>
                </wp:positionH>
                <wp:positionV relativeFrom="paragraph">
                  <wp:posOffset>3403600</wp:posOffset>
                </wp:positionV>
                <wp:extent cx="2832100" cy="1073150"/>
                <wp:effectExtent l="0" t="0" r="25400" b="12700"/>
                <wp:wrapTopAndBottom/>
                <wp:docPr id="73" name="Téglalap: lekerekített 15">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docPr>
                <wp:cNvGraphicFramePr/>
                <a:graphic xmlns:a="http://schemas.openxmlformats.org/drawingml/2006/main">
                  <a:graphicData uri="http://schemas.microsoft.com/office/word/2010/wordprocessingShape">
                    <wps:wsp>
                      <wps:cNvSpPr/>
                      <wps:spPr>
                        <a:xfrm>
                          <a:off x="0" y="0"/>
                          <a:ext cx="2832100" cy="10731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Vähendada roma laste ja teiste laste vaesuse lõhet vähemalt poole võrra</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tagada, et 2030. aastaks pääseb enamik roma lapsi vaesusest</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Roma lapsed: 85 %; lapsed</w:t>
                            </w:r>
                            <w:r>
                              <w:rPr>
                                <w:rFonts w:asciiTheme="minorHAnsi" w:hAnsi="Calibri"/>
                                <w:i/>
                                <w:iCs/>
                                <w:color w:val="4F81BD" w:themeColor="accent1"/>
                                <w:sz w:val="19"/>
                                <w:szCs w:val="19"/>
                              </w:rPr>
                              <w:t xml:space="preserve"> üldiselt: 19,6 % (lõhe: 65,4 protsendipunkti)</w:t>
                            </w:r>
                          </w:p>
                        </w:txbxContent>
                      </wps:txbx>
                      <wps:bodyPr wrap="square" tIns="0" bIns="0" rtlCol="0" anchor="t" anchorCtr="0">
                        <a:noAutofit/>
                      </wps:bodyPr>
                    </wps:wsp>
                  </a:graphicData>
                </a:graphic>
                <wp14:sizeRelV relativeFrom="margin">
                  <wp14:pctHeight>0</wp14:pctHeight>
                </wp14:sizeRelV>
              </wp:anchor>
            </w:drawing>
          </mc:Choice>
          <mc:Fallback>
            <w:pict>
              <v:roundrect id="Téglalap: lekerekített 15" o:spid="_x0000_s1033" style="position:absolute;left:0;text-align:left;margin-left:245pt;margin-top:268pt;width:223pt;height:84.5pt;z-index:251473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tmpbAIAAPEEAAAOAAAAZHJzL2Uyb0RvYy54bWysVEtu2zAQ3RfoHQjuHX1sJ6lhOWicqChQ&#10;tEGSHoCmRpYQilRJ+oeiB+qip8jFOhxJjtEWXRT1Qh6KM2/em4/mV/tGsS1YVxud8eQs5gy0NEWt&#10;1xn//JiPLjlzXuhCKKMh4wdw/Grx+tV8184gNZVRBViGINrNdm3GK+/bWRQ5WUEj3JlpQeNlaWwj&#10;PB7tOiqs2CF6o6I0js+jnbFFa40E5/DtTXfJF4RfliD9p7J04JnKOHLz9LT0XIVntJiL2dqKtqpl&#10;T0P8A4tG1BqTHqFuhBdsY+vfoJpaWuNM6c+kaSJTlrUE0oBqkvgXNQ+VaIG0YHFceyyT+3+w8uP2&#10;zrK6yPjFmDMtGuzR4/P3tRJKtDOm4AksPD3/8OA9S6akEfb+g/NBLVqdyq95nl5Pb/PJKEdrNImv&#10;J6Pr28mbUZ6OL2/Ti3yZjs+/hWpHFEXx0a51MyIQ2kXmQ3tn0SmcHJohx760TfjHWrE9Ne5wbFzI&#10;L/FlejlOkxj7K/EuiS/GyZRai8mG8NY6/w5Mw4KRcWs2urjH8SBFYouEOnKDX0jpjKqLvFaKDmEk&#10;Yaks2wocptU66eWceJGijjhJ8AcFIVbpeyixyoEqJaT5fgETUoL2SXdViQK6HNMYf0OWIT2VkAAD&#10;consjtg9wODZgQzYnbzeP4QCrccxOP4bsb5xQwRlNtofg5taG/snAIWq+sydP9I/KU0w/X617yYw&#10;eIY3K1MccCp3uJYZd182wgKu7nuNc489Xg2G9Wppur0WWlYG19pz1plLT0seiGrzduNNWVODX+B7&#10;IrhXVNH+GxAW9/RMXi9fqsVPAAAA//8DAFBLAwQUAAYACAAAACEACTOF2OAAAAALAQAADwAAAGRy&#10;cy9kb3ducmV2LnhtbEyPQUvDQBCF74L/YRnBm9212mpjNqUIInoQbIR6nCZjEszOxuwmjf56Ry96&#10;e495vPleup5cq0bqQ+PZwvnMgCIufNlwZeElvzu7BhUicomtZ7LwSQHW2fFRiknpD/xM4zZWSko4&#10;JGihjrFLtA5FTQ7DzHfEcnvzvcMotq902eNByl2r58YstcOG5UONHd3WVLxvB2eBvh7v84/hYf6K&#10;45Pvdg1vct5Ze3oybW5ARZriXxh+8AUdMmHa+4HLoFoLlysjW6KFxcVShCRWv2Jv4cosDOgs1f83&#10;ZN8AAAD//wMAUEsBAi0AFAAGAAgAAAAhALaDOJL+AAAA4QEAABMAAAAAAAAAAAAAAAAAAAAAAFtD&#10;b250ZW50X1R5cGVzXS54bWxQSwECLQAUAAYACAAAACEAOP0h/9YAAACUAQAACwAAAAAAAAAAAAAA&#10;AAAvAQAAX3JlbHMvLnJlbHNQSwECLQAUAAYACAAAACEAuELZqWwCAADxBAAADgAAAAAAAAAAAAAA&#10;AAAuAgAAZHJzL2Uyb0RvYy54bWxQSwECLQAUAAYACAAAACEACTOF2OAAAAALAQAADwAAAAAAAAAA&#10;AAAAAADGBAAAZHJzL2Rvd25yZXYueG1sUEsFBgAAAAAEAAQA8wAAANMF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Vähendada roma laste ja teiste laste vaesuse lõhet vähemalt poole võrra</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tagada, et 2030. aastaks pääseb enamik roma lapsi vaesusest</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Roma lapsed: 85 %; lapsed</w:t>
                      </w:r>
                      <w:r>
                        <w:rPr>
                          <w:rFonts w:asciiTheme="minorHAnsi" w:hAnsi="Calibri"/>
                          <w:i/>
                          <w:iCs/>
                          <w:color w:val="4F81BD" w:themeColor="accent1"/>
                          <w:sz w:val="19"/>
                          <w:szCs w:val="19"/>
                        </w:rPr>
                        <w:t xml:space="preserve"> üldiselt: 19,6 % (lõhe: 65,4 protsendipunkti)</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418624" behindDoc="0" locked="0" layoutInCell="1" allowOverlap="1">
                <wp:simplePos x="0" y="0"/>
                <wp:positionH relativeFrom="column">
                  <wp:posOffset>2730500</wp:posOffset>
                </wp:positionH>
                <wp:positionV relativeFrom="paragraph">
                  <wp:posOffset>1346200</wp:posOffset>
                </wp:positionV>
                <wp:extent cx="3219450" cy="1358900"/>
                <wp:effectExtent l="0" t="0" r="19050" b="12700"/>
                <wp:wrapTopAndBottom/>
                <wp:docPr id="70" name="Téglalap: lekerekített 12">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83EA9BE-55BF-4267-AECD-1A849B84E7D6}"/>
                    </a:ext>
                  </a:extLst>
                </wp:docPr>
                <wp:cNvGraphicFramePr/>
                <a:graphic xmlns:a="http://schemas.openxmlformats.org/drawingml/2006/main">
                  <a:graphicData uri="http://schemas.microsoft.com/office/word/2010/wordprocessingShape">
                    <wps:wsp>
                      <wps:cNvSpPr/>
                      <wps:spPr>
                        <a:xfrm>
                          <a:off x="0" y="0"/>
                          <a:ext cx="3219450" cy="13589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Vähendada üldises elanikkonnas vähemalt kolmandiku võrra selliste inimeste osakaalu, kes ei tunne end mugavalt, kui neil on romadest naabrid</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tagada, et 2030. aastaks tunneb vähem kui 30 % inimesi end ebamugavalt, kui neil on romadest naabrid</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i/>
                                <w:iCs/>
                                <w:color w:val="4F81BD" w:themeColor="accent1"/>
                                <w:sz w:val="20"/>
                                <w:szCs w:val="18"/>
                              </w:rPr>
                              <w:t xml:space="preserve"> sellise inimeste osakaal üldises elanikkonnas, kes ei tunne end mugavalt, kui neil on romadest naabrid: 46 %</w:t>
                            </w:r>
                          </w:p>
                        </w:txbxContent>
                      </wps:txbx>
                      <wps:bodyPr wrap="square" lIns="36000" tIns="0" rIns="3600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Téglalap: lekerekített 12" o:spid="_x0000_s1034" style="position:absolute;left:0;text-align:left;margin-left:215pt;margin-top:106pt;width:253.5pt;height:107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YvQdQIAAAsFAAAOAAAAZHJzL2Uyb0RvYy54bWysVEtu2zAQ3RfoHQjuHX1sp44ROWicqChQ&#10;tEGSHoCmRpYQilRJ+oeiB+qip8jFOhzJitEWXRT1gh6SM2/eG87o8mrfKLYF62qjM56cxZyBlqao&#10;9Trjnx/z0Ywz54UuhDIaMn4Ax68Wr19d7to5pKYyqgDLEES7+a7NeOV9O48iJytohDszLWi8LI1t&#10;hMetXUeFFTtEb1SUxvF5tDO2aK2R4Bye3nSXfEH4ZQnSfypLB56pjCM3T6uldRXWaHEp5msr2qqW&#10;PQ3xDywaUWtMOkDdCC/Yxta/QTW1tMaZ0p9J00SmLGsJpAHVJPEvah4q0QJpweK4diiT+3+w8uP2&#10;zrK6yPgbLI8WDb7R4/P3tRJKtHOm4AksPD3/8OA9S1LSCHv/wfmgFq1O5dc8T6+nt/lklKM1msTX&#10;k9H17eRilKfj2W36Jl+m4/NvodoRRVF8tGvdnAiE5yLzob2z6BR2Ds2QY1/aJvxjrdieHu4wPFzI&#10;L/FwnCYXkykKkHiXjKezi5ieFpMdw1vr/DswDQtGxq3Z6OIe24MUiS0S6sgd/UJKZ1Rd5LVStAkt&#10;CUtl2VZgM63WSS/nxIsUdcRJgj8oCLFK30OJVUaqXQmpv1/AhJSgfUJcXCUK6HJMY/wdsxzTUwkJ&#10;MCCXyG7A7gGOnh3IEbuT1/uHUKDxGILjLvvfgocIymy0H4KbWhv7JwCFqvrMnT/SPylNMP1+tacO&#10;nAXPcLIyxQG7codjmXH3ZSMscKbea+z78XkoCfO0QcOenq6GU6+Wppt4oWVlcOA9Z5259DT+QYI2&#10;bzfelDU9/UviniJOHNW6/zqEkT7dk9fLN2zxEwAA//8DAFBLAwQUAAYACAAAACEAa1BZIOAAAAAL&#10;AQAADwAAAGRycy9kb3ducmV2LnhtbEyPzW7CMBCE75X6DtZW6q3YMRUtIQ5CtFx640eoRxMvSURs&#10;R7Eh5u27PbW3Wc1o9ptimWzHbjiE1jsF2UQAQ1d507pawWG/eXkHFqJ2RnfeoYI7BliWjw+Fzo0f&#10;3RZvu1gzKnEh1wqaGPuc81A1aHWY+B4deWc/WB3pHGpuBj1Sue24FGLGrW4dfWh0j+sGq8vuahVs&#10;vs7rdBzlfX9I39nHsfpcbc1FqeentFoAi5jiXxh+8QkdSmI6+aszgXUKXqeCtkQFMpMkKDGfvpE4&#10;kSVnAnhZ8P8byh8AAAD//wMAUEsBAi0AFAAGAAgAAAAhALaDOJL+AAAA4QEAABMAAAAAAAAAAAAA&#10;AAAAAAAAAFtDb250ZW50X1R5cGVzXS54bWxQSwECLQAUAAYACAAAACEAOP0h/9YAAACUAQAACwAA&#10;AAAAAAAAAAAAAAAvAQAAX3JlbHMvLnJlbHNQSwECLQAUAAYACAAAACEA0EWL0HUCAAALBQAADgAA&#10;AAAAAAAAAAAAAAAuAgAAZHJzL2Uyb0RvYy54bWxQSwECLQAUAAYACAAAACEAa1BZIOAAAAALAQAA&#10;DwAAAAAAAAAAAAAAAADPBAAAZHJzL2Rvd25yZXYueG1sUEsFBgAAAAAEAAQA8wAAANwFAAAAAA==&#10;" fillcolor="white [3212]" strokecolor="#243f60 [1604]" strokeweight="2pt">
                <v:textbox inset="1mm,0,1mm,0">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Vähendada üldises elanikkonnas vähemalt kolmandiku võrra selliste inimeste osakaalu, kes ei tunne end mugavalt, kui neil on romadest naabrid</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tagada, et 2030. aastaks tunneb vähem kui 30 % inimesi end ebamugavalt, kui neil on romadest naabrid</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i/>
                          <w:iCs/>
                          <w:color w:val="4F81BD" w:themeColor="accent1"/>
                          <w:sz w:val="20"/>
                          <w:szCs w:val="18"/>
                        </w:rPr>
                        <w:t xml:space="preserve"> sellise inimeste osakaal üldises elanikkonnas, kes ei tunne end mugavalt, kui neil on romadest naabrid: 46 %</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454464" behindDoc="0" locked="0" layoutInCell="1" allowOverlap="1">
                <wp:simplePos x="0" y="0"/>
                <wp:positionH relativeFrom="column">
                  <wp:posOffset>82550</wp:posOffset>
                </wp:positionH>
                <wp:positionV relativeFrom="paragraph">
                  <wp:posOffset>3409950</wp:posOffset>
                </wp:positionV>
                <wp:extent cx="2878455" cy="1079500"/>
                <wp:effectExtent l="0" t="0" r="17145" b="25400"/>
                <wp:wrapTopAndBottom/>
                <wp:docPr id="72" name="Téglalap: lekerekített 1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docPr>
                <wp:cNvGraphicFramePr/>
                <a:graphic xmlns:a="http://schemas.openxmlformats.org/drawingml/2006/main">
                  <a:graphicData uri="http://schemas.microsoft.com/office/word/2010/wordprocessingShape">
                    <wps:wsp>
                      <wps:cNvSpPr/>
                      <wps:spPr>
                        <a:xfrm>
                          <a:off x="0" y="0"/>
                          <a:ext cx="2878455" cy="10795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Vähendada romade ja üldise elanikkonna vaesuse lõhet vähemalt poole võrra</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tagada, et 2030. aastaks pääseb enamik romasid vaesusest</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suhtelise vaesuse määr: romad 80 %; üldine elanikkond 16,8 % (lõhe 63,2 protsendipunkti)</w:t>
                            </w:r>
                          </w:p>
                        </w:txbxContent>
                      </wps:txbx>
                      <wps:bodyPr wrap="square" tIns="0" bIns="0" rtlCol="0" anchor="t" anchorCtr="0">
                        <a:noAutofit/>
                      </wps:bodyPr>
                    </wps:wsp>
                  </a:graphicData>
                </a:graphic>
                <wp14:sizeRelV relativeFrom="margin">
                  <wp14:pctHeight>0</wp14:pctHeight>
                </wp14:sizeRelV>
              </wp:anchor>
            </w:drawing>
          </mc:Choice>
          <mc:Fallback>
            <w:pict>
              <v:roundrect id="Téglalap: lekerekített 14" o:spid="_x0000_s1035" style="position:absolute;left:0;text-align:left;margin-left:6.5pt;margin-top:268.5pt;width:226.65pt;height:85pt;z-index:251454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kljagIAAPEEAAAOAAAAZHJzL2Uyb0RvYy54bWysVEtu2zAQ3RfoHQjubcmKHTtG5KB2oqJA&#10;0QZJegCaGllCKFIl6R+KHqiLniIX63AkK+kHXRTdSENx5s1789Hl1aFWbAfWVUanfDSMOQMtTV7p&#10;Tco/PWSDGWfOC50LZTSk/AiOXy1ev7rcN3NITGlUDpYhiHbzfZPy0vtmHkVOllALNzQNaLwsjK2F&#10;x6PdRLkVe0SvVZTE8Xm0NzZvrJHgHH69bi/5gvCLAqT/WBQOPFMpR26enpae6/CMFpdivrGiKSvZ&#10;0RD/wKIWlcakPdS18IJtbfUbVF1Ja5wp/FCaOjJFUUkgDahmFP+i5r4UDZAWLI5r+jK5/wcrP+xu&#10;LavylE8TzrSosUcPT982SijRzJmCR7Dw+PTdg/dsNCaNcPDvnQ9q0WpVfsmyZDm5ycaDDK3BOF6O&#10;B8ub8cUgS85mN8k0WyVn519DtSOKovho37g5EQjtIvO+ubXoFE4OzZDjUNg6vLFW7ECNO/aNC/kl&#10;fkxm09l4MuFM4t0onl5MYmotJjuFN9b5t2BqFoyUW7PV+R2OBykSOyTUkjv5hZTOqCrPKqXoEEYS&#10;VsqyncBhWm9GnZwXXqSoJU4S/FFBiFX6DgqscqBKCWm+n8GElKD9qL0qRQ5tDlTR6+gjqIQEGJAL&#10;ZNdjdwA/Ez1ht/I6/xAKtB59cPw3Yl3jThGU2WjfB9eVNvZPAApVdZlbf6T/ojTB9If1gSbwIniG&#10;L2uTH3Eq97iWKXeft8ICru47jXOPO7w+GdarlWn3WmhZGlxrz1lrrjwteSCqzZutN0VFDX6G74jg&#10;XlFFu39AWNyXZ/J6/lMtfgAAAP//AwBQSwMEFAAGAAgAAAAhAFmuuKHfAAAACgEAAA8AAABkcnMv&#10;ZG93bnJldi54bWxMj0FLw0AQhe+C/2EZwZvd2GgqaTalCCJ6EGyEepwm0ySYnY3ZTRr99Y4nvc2b&#10;ebz5XraZbacmGnzr2MD1IgJFXLqq5drAW/FwdQfKB+QKO8dk4Is8bPLzswzTyp34laZdqJWEsE/R&#10;QBNCn2rty4Ys+oXrieV2dIPFIHKodTXgScJtp5dRlGiLLcuHBnu6b6j82I3WAH0/Pxaf49PyHacX&#10;1+9b3ha8N+byYt6uQQWaw58ZfvEFHXJhOriRK6860bFUCQZu45UMYrhJkhjUwcAqko3OM/2/Qv4D&#10;AAD//wMAUEsBAi0AFAAGAAgAAAAhALaDOJL+AAAA4QEAABMAAAAAAAAAAAAAAAAAAAAAAFtDb250&#10;ZW50X1R5cGVzXS54bWxQSwECLQAUAAYACAAAACEAOP0h/9YAAACUAQAACwAAAAAAAAAAAAAAAAAv&#10;AQAAX3JlbHMvLnJlbHNQSwECLQAUAAYACAAAACEAHHZJY2oCAADxBAAADgAAAAAAAAAAAAAAAAAu&#10;AgAAZHJzL2Uyb0RvYy54bWxQSwECLQAUAAYACAAAACEAWa64od8AAAAKAQAADwAAAAAAAAAAAAAA&#10;AADEBAAAZHJzL2Rvd25yZXYueG1sUEsFBgAAAAAEAAQA8wAAANAF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Vähendada romade ja üldise elanikkonna vaesuse lõhet vähemalt poole võrra</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tagada, et 2030. aastaks pääseb enamik romasid vaesusest</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suhtelise vaesuse määr: romad 80 %; üldine elanikkond 16,8 % (lõhe 63,2 protsendipunkti)</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376640" behindDoc="0" locked="0" layoutInCell="1" allowOverlap="1">
                <wp:simplePos x="0" y="0"/>
                <wp:positionH relativeFrom="column">
                  <wp:posOffset>38100</wp:posOffset>
                </wp:positionH>
                <wp:positionV relativeFrom="paragraph">
                  <wp:posOffset>965200</wp:posOffset>
                </wp:positionV>
                <wp:extent cx="5942330" cy="1784350"/>
                <wp:effectExtent l="0" t="0" r="20320" b="25400"/>
                <wp:wrapTopAndBottom/>
                <wp:docPr id="68" name="Téglalap: lekerekített 7">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docPr>
                <wp:cNvGraphicFramePr/>
                <a:graphic xmlns:a="http://schemas.openxmlformats.org/drawingml/2006/main">
                  <a:graphicData uri="http://schemas.microsoft.com/office/word/2010/wordprocessingShape">
                    <wps:wsp>
                      <wps:cNvSpPr/>
                      <wps:spPr>
                        <a:xfrm>
                          <a:off x="0" y="0"/>
                          <a:ext cx="5942330" cy="178435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1. Võidelda romavastasuse ja diskrimineerimise vastu ning ennetada neid</w:t>
                            </w:r>
                          </w:p>
                        </w:txbxContent>
                      </wps:txbx>
                      <wps:bodyPr wrap="square" tIns="0" bIns="36000" rtlCol="0" anchor="t" anchorCtr="0">
                        <a:noAutofit/>
                      </wps:bodyPr>
                    </wps:wsp>
                  </a:graphicData>
                </a:graphic>
                <wp14:sizeRelV relativeFrom="margin">
                  <wp14:pctHeight>0</wp14:pctHeight>
                </wp14:sizeRelV>
              </wp:anchor>
            </w:drawing>
          </mc:Choice>
          <mc:Fallback>
            <w:pict>
              <v:roundrect id="Téglalap: lekerekített 7" o:spid="_x0000_s1036" style="position:absolute;left:0;text-align:left;margin-left:3pt;margin-top:76pt;width:467.9pt;height:140.5pt;z-index:251376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dG4dAIAAPYEAAAOAAAAZHJzL2Uyb0RvYy54bWysVF1u2zAMfh+wOwh6T+04TtoGdYo1i4cB&#10;w1a03QEUmY6NypInKX8YdqA97BS92CjacYtt2MOwBLApifz4faToq+tDo9gOrKuNzvj4LOYMtDRF&#10;rTcZ//yQjy44c17oQiijIeNHcPx68frV1b6dQ2IqowqwDEG0m+/bjFfet/MocrKCRrgz04LGw9LY&#10;Rnhc2k1UWLFH9EZFSRzPor2xRWuNBOdw9213yBeEX5Yg/aeydOCZyjhy8/S09FyHZ7S4EvONFW1V&#10;y56G+AcWjag1Jh2g3gov2NbWv0E1tbTGmdKfSdNEpixrCaQB1YzjX9TcV6IF0oLFce1QJvf/YOXH&#10;3a1ldZHxGXZKiwZ79PD0faOEEu2cKXgEC49PPzx4z85JIhz8B+eDWLQ6kV/zPLmZrvJ0lKM1SuOb&#10;dHSzSi9HeTK5WCXn+TKZzL6FYkcURfHRvnVzyh+6ReZ9e2vRKawcmiHHobRNeGOp2IH6dhz6FvJL&#10;3Jxepslkgu2VeDY+v0gnU+osJjuFt9b5d2AaFoyMW7PVxR3eDlIkdkioI3fyCymdUXWR10rRwm7W&#10;S2XZTuBNWqXh3+t54UaSOuakwR8VhGCl76DEKiPXhDLS/YYBT0gJ2o+7o0oU0KWZxvg7ZQkTESKo&#10;hgQYkEukN2D3ACfPDuSE3enr/UMo0HgMwfHfiPWdO0VQZqP9ENzU2tg/AShU1Wfu/JH+i9IE0x/W&#10;B7qBY9IattamOOK13ONcZtx92QoLOLvvNV587PKajMksFIdZr5amG26hZWVwtj1nnbn0NOmBrTZv&#10;tt6UNbX5OUXPBoeLytp/CML0vlyT1/PnavETAAD//wMAUEsDBBQABgAIAAAAIQCDQ1pP4gAAAAkB&#10;AAAPAAAAZHJzL2Rvd25yZXYueG1sTI9LT8MwEITvSPwHa5G4UacPWhriVAiBiHgIkYLE0Y2XxCJe&#10;R7HTpv+e5QS33Z3R7DfZZnSt2GMfrCcF00kCAqnyxlKt4H17f3EFIkRNRreeUMERA2zy05NMp8Yf&#10;6A33ZawFh1BItYImxi6VMlQNOh0mvkNi7cv3Tkde+1qaXh843LVyliRL6bQl/tDoDm8brL7LwSnA&#10;sngptsX69fnzePdgPx5XKzs8KXV+Nt5cg4g4xj8z/OIzOuTMtPMDmSBaBUtuEvl8OeOB9fViylV2&#10;ChbzeQIyz+T/BvkPAAAA//8DAFBLAQItABQABgAIAAAAIQC2gziS/gAAAOEBAAATAAAAAAAAAAAA&#10;AAAAAAAAAABbQ29udGVudF9UeXBlc10ueG1sUEsBAi0AFAAGAAgAAAAhADj9If/WAAAAlAEAAAsA&#10;AAAAAAAAAAAAAAAALwEAAF9yZWxzLy5yZWxzUEsBAi0AFAAGAAgAAAAhAMGx0bh0AgAA9gQAAA4A&#10;AAAAAAAAAAAAAAAALgIAAGRycy9lMm9Eb2MueG1sUEsBAi0AFAAGAAgAAAAhAINDWk/iAAAACQEA&#10;AA8AAAAAAAAAAAAAAAAAzgQAAGRycy9kb3ducmV2LnhtbFBLBQYAAAAABAAEAPMAAADdBQAAAAA=&#10;" fillcolor="#e4e4e4" strokecolor="#243f60 [1604]" strokeweight="2pt">
                <v:textbox inset=",0,,1mm">
                  <w:txbxContent>
                    <w:p>
                      <w:pPr>
                        <w:pStyle w:val="NormalWeb"/>
                        <w:spacing w:before="0" w:beforeAutospacing="0" w:after="0" w:afterAutospacing="0"/>
                        <w:jc w:val="center"/>
                      </w:pPr>
                      <w:r>
                        <w:rPr>
                          <w:rFonts w:asciiTheme="minorHAnsi" w:hAnsi="Calibri"/>
                          <w:b/>
                          <w:bCs/>
                          <w:i/>
                          <w:iCs/>
                          <w:color w:val="4F81BD" w:themeColor="accent1"/>
                        </w:rPr>
                        <w:t>1. Võidelda romavastasuse ja diskrimineerimise vastu ning ennetada neid</w:t>
                      </w:r>
                    </w:p>
                  </w:txbxContent>
                </v:textbox>
                <w10:wrap type="topAndBottom"/>
              </v:roundrect>
            </w:pict>
          </mc:Fallback>
        </mc:AlternateContent>
      </w:r>
      <w:r>
        <w:rPr>
          <w:noProof/>
          <w:sz w:val="16"/>
          <w:szCs w:val="16"/>
          <w:lang w:val="en-GB" w:eastAsia="en-GB"/>
        </w:rPr>
        <mc:AlternateContent>
          <mc:Choice Requires="wps">
            <w:drawing>
              <wp:anchor distT="0" distB="0" distL="114300" distR="114300" simplePos="0" relativeHeight="251362304" behindDoc="0" locked="0" layoutInCell="1" allowOverlap="1">
                <wp:simplePos x="0" y="0"/>
                <wp:positionH relativeFrom="column">
                  <wp:posOffset>-44450</wp:posOffset>
                </wp:positionH>
                <wp:positionV relativeFrom="paragraph">
                  <wp:posOffset>196850</wp:posOffset>
                </wp:positionV>
                <wp:extent cx="5857950" cy="973935"/>
                <wp:effectExtent l="0" t="0" r="0" b="0"/>
                <wp:wrapTopAndBottom/>
                <wp:docPr id="67" name="Téglalap 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docPr>
                <wp:cNvGraphicFramePr/>
                <a:graphic xmlns:a="http://schemas.openxmlformats.org/drawingml/2006/main">
                  <a:graphicData uri="http://schemas.microsoft.com/office/word/2010/wordprocessingShape">
                    <wps:wsp>
                      <wps:cNvSpPr/>
                      <wps:spPr>
                        <a:xfrm>
                          <a:off x="0" y="0"/>
                          <a:ext cx="5857950" cy="973935"/>
                        </a:xfrm>
                        <a:prstGeom prst="rect">
                          <a:avLst/>
                        </a:prstGeom>
                      </wps:spPr>
                      <wps:txb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Tagada tegelik võrdõiguslikkus, kaasamine ja osalemine</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Horisontaalsed eesmärgid ja sihid 2030. aastaks</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Punane: minimaalsed edusammud, mis tuleb ELi tasandil 2030. aastaks teha</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Roheline: minimaalsed edusammud, mis tuleb romade puhul 2030. aastaks teha</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Sinine: värskeimad kättesaadavad andmed, mille põhjal edusamme mõõdetakse</w:t>
                            </w:r>
                          </w:p>
                          <w:p>
                            <w:pPr>
                              <w:pStyle w:val="NormalWeb"/>
                              <w:spacing w:before="0" w:beforeAutospacing="0" w:after="0" w:afterAutospacing="0"/>
                              <w:rPr>
                                <w:rFonts w:eastAsia="Calibri" w:cstheme="minorBidi"/>
                                <w:b/>
                                <w:bCs/>
                                <w:smallCaps/>
                                <w:color w:val="4F81BD" w:themeColor="accent1"/>
                                <w:kern w:val="24"/>
                                <w:szCs w:val="28"/>
                              </w:rPr>
                            </w:pPr>
                          </w:p>
                        </w:txbxContent>
                      </wps:txbx>
                      <wps:bodyPr wrap="square">
                        <a:noAutofit/>
                      </wps:bodyPr>
                    </wps:wsp>
                  </a:graphicData>
                </a:graphic>
              </wp:anchor>
            </w:drawing>
          </mc:Choice>
          <mc:Fallback>
            <w:pict>
              <v:rect id="Téglalap 4" o:spid="_x0000_s1037" style="position:absolute;left:0;text-align:left;margin-left:-3.5pt;margin-top:15.5pt;width:461.25pt;height:76.7pt;z-index:25136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BTbxQEAAE0DAAAOAAAAZHJzL2Uyb0RvYy54bWysU9uO0zAQfUfiHyy/p0nTpJeo6YqyDS8I&#10;VtrlA1zHbizFF2y3SYX4IL6DH2PsdlsEb4gXZ2yPz8w5Z7J+GGWPTsw6oVWNp5MMI6aoboU61PjL&#10;S5MsMXKeqJb0WrEan5nDD5u3b9aDqViuO923zCIAUa4aTI07702Vpo52TBI30YYpuOTaSuJhaw9p&#10;a8kA6LJP8yybp4O2rbGaMufg9PFyiTcRn3NG/WfOHfOorzH05uNq47oPa7pZk+pgiekEvbZB/qEL&#10;SYSCojeoR+IJOlrxF5QU1GqnuZ9QLVPNuaAscgA20+wPNs8dMSxyAXGcucnk/h8s/XR6ski0NZ4v&#10;MFJEgkcvP38cetITg4rIiY3+o/OBHUQXVt+aJt+Wu6ZIGoiSItsWyXZXrJImny13+aJ5n8/m34O6&#10;aXwV36eDcVUsGOyJ4bN5spAUdg7CUGPkVoYvaIPGaNT5ZlSoT+GwXJaLVQl+UrhbLWarWXmt9fra&#10;WOc/MC1RCGpsYRAiF3KCVi5tvaZAj/f6IfLjfoySTKcBNRztdXsGnQYYlBq7r0digy+kUvrd0Wsu&#10;IuQ98QoJnkUBrvMVhuL3fcy6/wWbXwAAAP//AwBQSwMEFAAGAAgAAAAhAFbQElbhAAAACQEAAA8A&#10;AABkcnMvZG93bnJldi54bWxMj0FLw0AQhe+C/2EZwYu0m2hra8ymSEEsIhTT2vM2OybB7Gya3Sbx&#10;3zue9DQ83uPN99LVaBvRY+drRwriaQQCqXCmplLBfvc8WYLwQZPRjSNU8I0eVtnlRaoT4wZ6xz4P&#10;peAS8olWUIXQJlL6okKr/dS1SOx9us7qwLIrpen0wOW2kbdRdC+trok/VLrFdYXFV362CoZi2x92&#10;by9ye3PYODptTuv841Wp66vx6RFEwDH8heEXn9EhY6ajO5PxolEwWfCUoOAu5sv+QzyfgzhycDmb&#10;gcxS+X9B9gMAAP//AwBQSwECLQAUAAYACAAAACEAtoM4kv4AAADhAQAAEwAAAAAAAAAAAAAAAAAA&#10;AAAAW0NvbnRlbnRfVHlwZXNdLnhtbFBLAQItABQABgAIAAAAIQA4/SH/1gAAAJQBAAALAAAAAAAA&#10;AAAAAAAAAC8BAABfcmVscy8ucmVsc1BLAQItABQABgAIAAAAIQDvBBTbxQEAAE0DAAAOAAAAAAAA&#10;AAAAAAAAAC4CAABkcnMvZTJvRG9jLnhtbFBLAQItABQABgAIAAAAIQBW0BJW4QAAAAkBAAAPAAAA&#10;AAAAAAAAAAAAAB8EAABkcnMvZG93bnJldi54bWxQSwUGAAAAAAQABADzAAAALQUAAAAA&#10;" filled="f" stroked="f">
                <v:textbo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Tagada tegelik võrdõiguslikkus, kaasamine ja osalemine</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Horisontaalsed eesmärgid ja sihid 2030. aastaks</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Punane: minimaalsed edusammud, mis tuleb ELi tasandil 2030. aastaks teha</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Roheline: minimaalsed edusammud, mis tuleb romade puhul 2030. aastaks teha</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Sinine: värskeimad kättesaadavad andmed, mille põhjal edusamme mõõdetakse</w:t>
                      </w:r>
                    </w:p>
                    <w:p>
                      <w:pPr>
                        <w:pStyle w:val="NormalWeb"/>
                        <w:spacing w:before="0" w:beforeAutospacing="0" w:after="0" w:afterAutospacing="0"/>
                        <w:rPr>
                          <w:rFonts w:eastAsia="Calibri" w:cstheme="minorBidi"/>
                          <w:b/>
                          <w:bCs/>
                          <w:smallCaps/>
                          <w:color w:val="4F81BD" w:themeColor="accent1"/>
                          <w:kern w:val="24"/>
                          <w:szCs w:val="28"/>
                        </w:rPr>
                      </w:pPr>
                    </w:p>
                  </w:txbxContent>
                </v:textbox>
                <w10:wrap type="topAndBottom"/>
              </v:rect>
            </w:pict>
          </mc:Fallback>
        </mc:AlternateContent>
      </w:r>
    </w:p>
    <w:p>
      <w:pPr>
        <w:pageBreakBefore/>
        <w:spacing w:after="240" w:line="240" w:lineRule="auto"/>
        <w:ind w:left="567" w:hanging="567"/>
        <w:jc w:val="right"/>
        <w:rPr>
          <w:rFonts w:ascii="Times New Roman" w:hAnsi="Times New Roman"/>
          <w:noProof/>
          <w:sz w:val="20"/>
          <w:szCs w:val="20"/>
        </w:rPr>
      </w:pP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799552" behindDoc="0" locked="0" layoutInCell="1" allowOverlap="1">
                <wp:simplePos x="0" y="0"/>
                <wp:positionH relativeFrom="column">
                  <wp:posOffset>0</wp:posOffset>
                </wp:positionH>
                <wp:positionV relativeFrom="paragraph">
                  <wp:posOffset>6470650</wp:posOffset>
                </wp:positionV>
                <wp:extent cx="6083935" cy="1917700"/>
                <wp:effectExtent l="0" t="0" r="12065" b="25400"/>
                <wp:wrapTopAndBottom/>
                <wp:docPr id="40" name="Téglalap: lekerekített 2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docPr>
                <wp:cNvGraphicFramePr/>
                <a:graphic xmlns:a="http://schemas.openxmlformats.org/drawingml/2006/main">
                  <a:graphicData uri="http://schemas.microsoft.com/office/word/2010/wordprocessingShape">
                    <wps:wsp>
                      <wps:cNvSpPr/>
                      <wps:spPr>
                        <a:xfrm>
                          <a:off x="0" y="0"/>
                          <a:ext cx="6083935" cy="191770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4F81BD" w:themeColor="accent1"/>
                                <w:szCs w:val="22"/>
                              </w:rPr>
                            </w:pPr>
                            <w:r>
                              <w:rPr>
                                <w:rFonts w:asciiTheme="minorHAnsi" w:hAnsi="Calibri"/>
                                <w:b/>
                                <w:bCs/>
                                <w:i/>
                                <w:iCs/>
                                <w:color w:val="4F81BD" w:themeColor="accent1"/>
                                <w:szCs w:val="22"/>
                              </w:rPr>
                              <w:t>7. Tõhustada võrdset juurdepääsu piisavale segregatsioonita eluasemele ja esmatähtsatele teenustele</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id="_x0000_s1038" style="position:absolute;left:0;text-align:left;margin-left:0;margin-top:509.5pt;width:479.05pt;height:151pt;z-index:251799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ghzAIAAKoFAAAOAAAAZHJzL2Uyb0RvYy54bWysVEtu2zAQ3RfoHQjuHcmykzhG5MBxrKJA&#10;kAZJiqxpirKEUCRL0r8WPVAXPUUu1uHokyAtuihqA9JQnHkzb37nF/takq2wrtIqpcOjmBKhuM4r&#10;tU7p54dsMKHEeaZyJrUSKT0IRy9m79+d78xUJLrUMheWAIhy051Jaem9mUaR46WomTvSRii4LLSt&#10;mYejXUe5ZTtAr2WUxPFJtNM2N1Zz4Rx8vWou6Qzxi0Jw/6konPBEphRi8/i0+FyFZzQ7Z9O1Zaas&#10;eBsG+4coalYpcNpDXTHPyMZWv0HVFbfa6cIfcV1HuigqLpADsBnGb9jcl8wI5ALJcaZPk/t/sPxm&#10;e2tJlad0DOlRrIYaPTz/WEsmmZkSKZ6EFU/PP73wniRD5Cj2/tr5wBakhuW3LEsuj5fZeJCBNBjH&#10;l+PB5XJ8NsiS0WSZnGaLZHTyPWQ7Qiu0j3bGTTGAUC4U782tBaVwciAGH/vC1uENuSJ7LNyhL1zw&#10;z+HjSTwZnY2OKeFwNzwbnp7GWFpw1pkb6/wHoWsShJRavVH5HbQHMmJbCKgJrtMLLp2WVZ5VUuLB&#10;rlcLacmWQSstx+Hf8nmlhpSayJGDP0gRjKW6EwWkGWJN0CM2uOjxGOdC+Sa9rmS5aNwcx/DrvISR&#10;CBaYQwQMyAWE12O3AJ1mA9JhN/xa/WAqcD564/hvgbWV6yzQs1a+N64rpe2fACSwaj03+hD+q9QE&#10;0e9Xe2zBYRJUw6eVzg/Ql1Y3A+sMzyqo2zVz/pZZmFBoVtg6cFtq+5WSHUxwSt2XDbOCEvlRwYiE&#10;ce8E2wmrTlCbeqGhkkPYT4ajCAbWy04srK4fYbnMgxe4YoqDr5T6Tlz4Zo/AcuJiPkclGGrD/LW6&#10;NzxAhzSFhnrYPzJr2tbz0LU3upttNn3TfI1usFR6vvG6qLAzX7LSJhAWAnZCu7zCxnl9Rq2XFTv7&#10;BQAA//8DAFBLAwQUAAYACAAAACEAMao0BN8AAAAKAQAADwAAAGRycy9kb3ducmV2LnhtbEyPQU/D&#10;MAyF70j8h8hI3FjSTUxdaToNBFfQNjjsljWmKTRO1WRr4ddjTnCz37Oev1euJ9+JMw6xDaQhmykQ&#10;SHWwLTUaXvdPNzmImAxZ0wVCDV8YYV1dXpSmsGGkLZ53qREcQrEwGlxKfSFlrB16E2ehR2LvPQze&#10;JF6HRtrBjBzuOzlXaim9aYk/ONPjg8P6c3fyGj7iYfnixsVweN7k7dt+2qrvx3utr6+mzR2IhFP6&#10;O4ZffEaHipmO4UQ2ik4DF0msqmzFE/ur2zwDcWRpMc8UyKqU/ytUPwAAAP//AwBQSwECLQAUAAYA&#10;CAAAACEAtoM4kv4AAADhAQAAEwAAAAAAAAAAAAAAAAAAAAAAW0NvbnRlbnRfVHlwZXNdLnhtbFBL&#10;AQItABQABgAIAAAAIQA4/SH/1gAAAJQBAAALAAAAAAAAAAAAAAAAAC8BAABfcmVscy8ucmVsc1BL&#10;AQItABQABgAIAAAAIQCMTBghzAIAAKoFAAAOAAAAAAAAAAAAAAAAAC4CAABkcnMvZTJvRG9jLnht&#10;bFBLAQItABQABgAIAAAAIQAxqjQE3wAAAAoBAAAPAAAAAAAAAAAAAAAAACYFAABkcnMvZG93bnJl&#10;di54bWxQSwUGAAAAAAQABADzAAAAMgYAAAAA&#10;" fillcolor="#e4e4e4" strokecolor="#243f60 [1604]" strokeweight="2pt">
                <v:textbox inset="0,0,0,0">
                  <w:txbxContent>
                    <w:p>
                      <w:pPr>
                        <w:pStyle w:val="NormalWeb"/>
                        <w:spacing w:before="0" w:beforeAutospacing="0" w:after="0" w:afterAutospacing="0"/>
                        <w:jc w:val="center"/>
                        <w:rPr>
                          <w:color w:val="4F81BD" w:themeColor="accent1"/>
                          <w:szCs w:val="22"/>
                        </w:rPr>
                      </w:pPr>
                      <w:r>
                        <w:rPr>
                          <w:rFonts w:asciiTheme="minorHAnsi" w:hAnsi="Calibri"/>
                          <w:b/>
                          <w:bCs/>
                          <w:i/>
                          <w:iCs/>
                          <w:color w:val="4F81BD" w:themeColor="accent1"/>
                          <w:szCs w:val="22"/>
                        </w:rPr>
                        <w:t>7. Tõhustada võrdset juurdepääsu piisavale segregatsioonita eluasemele ja esmatähtsatele teenustele</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860992" behindDoc="0" locked="0" layoutInCell="1" allowOverlap="1">
                <wp:simplePos x="0" y="0"/>
                <wp:positionH relativeFrom="column">
                  <wp:posOffset>1003300</wp:posOffset>
                </wp:positionH>
                <wp:positionV relativeFrom="paragraph">
                  <wp:posOffset>7962900</wp:posOffset>
                </wp:positionV>
                <wp:extent cx="3968750" cy="381000"/>
                <wp:effectExtent l="0" t="0" r="12700" b="19050"/>
                <wp:wrapTopAndBottom/>
                <wp:docPr id="43" name="Téglalap: lekerekített 2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docPr>
                <wp:cNvGraphicFramePr/>
                <a:graphic xmlns:a="http://schemas.openxmlformats.org/drawingml/2006/main">
                  <a:graphicData uri="http://schemas.microsoft.com/office/word/2010/wordprocessingShape">
                    <wps:wsp>
                      <wps:cNvSpPr/>
                      <wps:spPr>
                        <a:xfrm>
                          <a:off x="0" y="0"/>
                          <a:ext cx="3968750" cy="3810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Tagada, et vähemalt 95 %-l romadest on juurdepääs kraaniveele</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juurdepääs kraaniveele eluruumides: romad 70 %, üldine elanikkond: 97,7%</w:t>
                            </w: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9" style="position:absolute;left:0;text-align:left;margin-left:79pt;margin-top:627pt;width:312.5pt;height:30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Z9bwIAAAMFAAAOAAAAZHJzL2Uyb0RvYy54bWysVEtu2zAQ3RfoHQjuHcmykzhG5KBxoqJA&#10;0QZJegCaGllCKFIl6R+KHqiLniIX63D0cfpBF0U30lCcefPefHR5ta8V24J1ldEpH5/EnIGWJq/0&#10;OuWfHrPRjDPnhc6FMhpSfgDHrxavX13umjkkpjQqB8sQRLv5rkl56X0zjyInS6iFOzENaLwsjK2F&#10;x6NdR7kVO0SvVZTE8Vm0MzZvrJHgHH69aS/5gvCLAqT/WBQOPFMpR26enpaeq/CMFpdivraiKSvZ&#10;0RD/wKIWlcakA9SN8IJtbPUbVF1Ja5wp/Ik0dWSKopJAGlDNOP5FzUMpGiAtWBzXDGVy/w9Wftje&#10;WVblKZ9OONOixh49Pn9bK6FEM2cKnsDC0/N3D96zZEoaYe/fOx/UotWq/JJlyfXpbTYdZWiNpvH1&#10;dHR9O70YZclkdpucZ8tkcvY1VDuiKIqPdo2bE4HQLjIfmjuLTuHk0Aw59oWtwxtrxfbUuMPQuJBf&#10;4sfJxdns/BT7K/FuMhvHMXUWc/XRjXX+LZiaBSPl1mx0fo/TQYLEFvm03Hq/kNEZVeVZpRQdwkTC&#10;Ulm2FThLq/W4U/PCiwS1vEmBPygIsUrfQ4FFRqYJJaTxPoIJKUH7cXtVihzaHKcoo9cxRFAFCTAg&#10;F8huwO4AfibaY7fyOv8QCrQdQ3D8N2Jd3/oIymy0H4LrShv7JwCFqrrMrT/Sf1GaYPr9ak8DOJ4E&#10;1/BpZfIDTuUO1zLl7vNGWOBMvdM492GHe8P2xqo3rFdL02660LI0uOies9Zcelr7wF2bNxtviop6&#10;fkzYccNNoyJ3f4Wwyi/P5HX8dy1+AAAA//8DAFBLAwQUAAYACAAAACEAKIFxt9wAAAANAQAADwAA&#10;AGRycy9kb3ducmV2LnhtbExPy07DMBC8I/EP1iJxQa3TlrQhxKlQER9A4cJtE7tJhL0OsfPg71lO&#10;cJuZHc3OFMfFWTGZIXSeFGzWCQhDtdcdNQre315WGYgQkTRaT0bBtwlwLK+vCsy1n+nVTOfYCA6h&#10;kKOCNsY+lzLUrXEY1r43xLeLHxxGpkMj9YAzhzsrt0mylw474g8t9ubUmvrzPDoFD818wWms0o+7&#10;U/1sxwRxP30pdXuzPD2CiGaJf2b4rc/VoeROlR9JB2GZpxlviQy26T0jthyyHYOKpd2GJVkW8v+K&#10;8gcAAP//AwBQSwECLQAUAAYACAAAACEAtoM4kv4AAADhAQAAEwAAAAAAAAAAAAAAAAAAAAAAW0Nv&#10;bnRlbnRfVHlwZXNdLnhtbFBLAQItABQABgAIAAAAIQA4/SH/1gAAAJQBAAALAAAAAAAAAAAAAAAA&#10;AC8BAABfcmVscy8ucmVsc1BLAQItABQABgAIAAAAIQChbwZ9bwIAAAMFAAAOAAAAAAAAAAAAAAAA&#10;AC4CAABkcnMvZTJvRG9jLnhtbFBLAQItABQABgAIAAAAIQAogXG33AAAAA0BAAAPAAAAAAAAAAAA&#10;AAAAAMkEAABkcnMvZG93bnJldi54bWxQSwUGAAAAAAQABADzAAAA0gU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Tagada, et vähemalt 95 %-l romadest on juurdepääs kraaniveele</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juurdepääs kraaniveele eluruumides: romad 70 %, üldine elanikkond: 97,7%</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934720" behindDoc="0" locked="0" layoutInCell="1" allowOverlap="1">
                <wp:simplePos x="0" y="0"/>
                <wp:positionH relativeFrom="column">
                  <wp:posOffset>3223260</wp:posOffset>
                </wp:positionH>
                <wp:positionV relativeFrom="paragraph">
                  <wp:posOffset>6981190</wp:posOffset>
                </wp:positionV>
                <wp:extent cx="2760549" cy="896707"/>
                <wp:effectExtent l="0" t="0" r="20955" b="17780"/>
                <wp:wrapTopAndBottom/>
                <wp:docPr id="64" name="Téglalap: lekerekített 30">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B07D791-3AD4-41EC-B399-D79128044621}"/>
                    </a:ext>
                  </a:extLst>
                </wp:docPr>
                <wp:cNvGraphicFramePr/>
                <a:graphic xmlns:a="http://schemas.openxmlformats.org/drawingml/2006/main">
                  <a:graphicData uri="http://schemas.microsoft.com/office/word/2010/wordprocessingShape">
                    <wps:wsp>
                      <wps:cNvSpPr/>
                      <wps:spPr>
                        <a:xfrm>
                          <a:off x="0" y="0"/>
                          <a:ext cx="2760549" cy="896707"/>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Vähendada ülerahvastatuse lõhet vähemalt poole võrra</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tagada, et 2030. aastaks ei ela enamik romasid enam ülerahvastatud leibkondades</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ülerahvastatus: romad 78 %; üldine elanikkond 17,1 % (lõhe 60,9 protsendipunkti)</w:t>
                            </w:r>
                          </w:p>
                        </w:txbxContent>
                      </wps:txbx>
                      <wps:bodyPr wrap="square" lIns="0" tIns="0" rIns="0" bIns="0" rtlCol="0" anchor="t" anchorCtr="0">
                        <a:noAutofit/>
                      </wps:bodyPr>
                    </wps:wsp>
                  </a:graphicData>
                </a:graphic>
              </wp:anchor>
            </w:drawing>
          </mc:Choice>
          <mc:Fallback>
            <w:pict>
              <v:roundrect id="Téglalap: lekerekített 30" o:spid="_x0000_s1040" style="position:absolute;left:0;text-align:left;margin-left:253.8pt;margin-top:549.7pt;width:217.35pt;height:70.6pt;z-index:251934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M/ncQIAAAMFAAAOAAAAZHJzL2Uyb0RvYy54bWysVEtu2zAQ3RfoHQjuHcmKYidG5KBxoqJA&#10;0QZJegCaGllCKFIl6R+KHKiLniIX63Ak2UE/m6JeyENxZt5789Hl1a5RbAPW1UZnfHwScwZamqLW&#10;q4x/ecxH55w5L3QhlNGQ8T04fjV/++Zy284gMZVRBViGSbSbbduMV963syhysoJGuBPTgsbL0thG&#10;eDzaVVRYscXsjYqSOJ5EW2OL1hoJzuHbm+6Szyl/WYL0n8vSgWcq48jN09PScxme0fxSzFZWtFUt&#10;exriH1g0otYIekh1I7xga1v/lqqppTXOlP5EmiYyZVlLIA2oZhz/ouahEi2QFiyOaw9lcv8vrfy0&#10;ubOsLjI+STnTosEePb58XymhRDtjCp7AwtPLDw/es9OYNMLOf3Q+qEWrU/ktz5Prs9s8HeVojdL4&#10;Oh1d36YXozw5Pb9NpvkiOZ08h2pHFEXx0bZ1MyIQ2kXmQ3tn0SmcHJoBY1faJvxjrdiOGrc/NC7g&#10;S3yZTCfxWXrBmcS784vJNJ72WEN0a51/D6Zhwci4NWtd3ON0kCCxQT4dt8EvIDqj6iKvlaJDmEhY&#10;KMs2AmdpuRr3CK+8SFDHmxT4vYIQq/Q9lFjkwJQAabyPyYSUoP24u6pEAR3GWYy/AWWApwpSwpC5&#10;RHaH3H2CwbNLMuTu5PX+IRRoOw7BXWv/Qqzv2xBByEb7Q3BTa2P/pEyhqh6580f6r0oTTL9b7mgA&#10;x2lwDa+WptjjVG5xLTPuvq6FBc7UB41zH3Z4MOxgLAfDerUw3aYLLSuDi+4568yFp7UP3LV5t/am&#10;rKnnR8CeG24aFbn/KoRVfn0mr+O3a/4TAAD//wMAUEsDBBQABgAIAAAAIQD+0JWc3wAAAA0BAAAP&#10;AAAAZHJzL2Rvd25yZXYueG1sTI/LTsMwEEX3SPyDNUhsELUJadqEOBUq4gMobNhNYjeJ8CPEzoO/&#10;Z1jR5cw9unOmPKzWsFmPofdOwsNGANOu8ap3rYSP99f7PbAQ0Sk03mkJPzrAobq+KrFQfnFvej7F&#10;llGJCwVK6GIcCs5D02mLYeMH7Sg7+9FipHFsuRpxoXJreCJExi32ji50OOhjp5uv02Ql5O1yxnmq&#10;t593x+bFTAIxm7+lvL1Zn5+ARb3Gfxj+9EkdKnKq/eRUYEbCVuwyQikQeZ4CIyRPk0dgNa2SVGTA&#10;q5JfflH9AgAA//8DAFBLAQItABQABgAIAAAAIQC2gziS/gAAAOEBAAATAAAAAAAAAAAAAAAAAAAA&#10;AABbQ29udGVudF9UeXBlc10ueG1sUEsBAi0AFAAGAAgAAAAhADj9If/WAAAAlAEAAAsAAAAAAAAA&#10;AAAAAAAALwEAAF9yZWxzLy5yZWxzUEsBAi0AFAAGAAgAAAAhAPxEz+dxAgAAAwUAAA4AAAAAAAAA&#10;AAAAAAAALgIAAGRycy9lMm9Eb2MueG1sUEsBAi0AFAAGAAgAAAAhAP7QlZzfAAAADQEAAA8AAAAA&#10;AAAAAAAAAAAAywQAAGRycy9kb3ducmV2LnhtbFBLBQYAAAAABAAEAPMAAADXBQ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Vähendada ülerahvastatuse lõhet vähemalt poole võrra</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tagada, et 2030. aastaks ei ela enamik romasid enam ülerahvastatud leibkondades</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ülerahvastatus: romad 78 %; üldine elanikkond 17,1 % (lõhe 60,9 protsendipunkti)</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823104" behindDoc="0" locked="0" layoutInCell="1" allowOverlap="1">
                <wp:simplePos x="0" y="0"/>
                <wp:positionH relativeFrom="column">
                  <wp:posOffset>52070</wp:posOffset>
                </wp:positionH>
                <wp:positionV relativeFrom="paragraph">
                  <wp:posOffset>6987540</wp:posOffset>
                </wp:positionV>
                <wp:extent cx="3096711" cy="880767"/>
                <wp:effectExtent l="0" t="0" r="27940" b="14605"/>
                <wp:wrapTopAndBottom/>
                <wp:docPr id="41" name="Téglalap: lekerekített 22">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docPr>
                <wp:cNvGraphicFramePr/>
                <a:graphic xmlns:a="http://schemas.openxmlformats.org/drawingml/2006/main">
                  <a:graphicData uri="http://schemas.microsoft.com/office/word/2010/wordprocessingShape">
                    <wps:wsp>
                      <wps:cNvSpPr/>
                      <wps:spPr>
                        <a:xfrm>
                          <a:off x="0" y="0"/>
                          <a:ext cx="3096711" cy="880767"/>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Vähendada lõhet halbades tingimuses elavate inimeste määrade vahel vähemalt kolmandiku võrra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tagada, et 2030. aastaks ei ela enamik romasid halbades tingimustes</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halvad elamistingimused: romad 61 %; üldine elanikkond 17,9 % (lõhe: 43,1 protsendipunkti)</w:t>
                            </w:r>
                          </w:p>
                        </w:txbxContent>
                      </wps:txbx>
                      <wps:bodyPr lIns="0" tIns="0" rIns="0" bIns="0" rtlCol="0" anchor="t" anchorCtr="0">
                        <a:noAutofit/>
                      </wps:bodyPr>
                    </wps:wsp>
                  </a:graphicData>
                </a:graphic>
              </wp:anchor>
            </w:drawing>
          </mc:Choice>
          <mc:Fallback>
            <w:pict>
              <v:roundrect id="_x0000_s1041" style="position:absolute;left:0;text-align:left;margin-left:4.1pt;margin-top:550.2pt;width:243.85pt;height:69.35pt;z-index:251823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GJYZwIAAPUEAAAOAAAAZHJzL2Uyb0RvYy54bWysVEtu2zAQ3RfoHQjuHX3i2I4ROWicqChQ&#10;tEGSHoCmRpYQihRIxh8UPVAXPUUu1uHok6AtuijqBT0kZ968N5zRxeWhUWwH1tVGZzw5iTkDLU1R&#10;623GvzzkkwVnzgtdCGU0ZPwIjl+u3r652LdLSE1lVAGWIYh2y32b8cr7dhlFTlbQCHdiWtB4WRrb&#10;CI9bu40KK/aI3qgojeNZtDe2aK2R4ByeXneXfEX4ZQnSfy5LB56pjCM3T6uldRPWaHUhllsr2qqW&#10;PQ3xDywaUWtMOkJdCy/Yk61/g2pqaY0zpT+RpolMWdYSSAOqSeJf1NxXogXSgsVx7Vgm9/9g5afd&#10;rWV1kfFpwpkWDb7Rw/P3rRJKtEum4BEsPD7/8OA9S1PSCAf/0fmgFq1O5dc8T6/ObvLpJEdrMo2v&#10;ppOrm+n5JE9PFzfpPF+np7NvodoRRVF8tG/dkgiE5yLzvr216BR2Ds2Q41DaJvxjrdiBHu44PlzI&#10;L/HwND6fzRMUIPFusYjns3mfa4hurfPvwTQsGBm35kkXd9gdJEjskE/HbfALGZ1RdZHXStEmdCSs&#10;lWU7gb202SZ9hldeJKjjTQr8UUGIVfoOSiwyMu0qSO39AiakBO0T4uIqUUCX4yzG35BlSE8VJMCA&#10;XCK7EbsHGDw7kAG7k9f7h1Cg6RiD4y7734LHCMpstB+Dm1ob+ycAhar6zJ0/0n9VmmD6w+ZADZic&#10;BddwtDHFEbtSfdDY6WFqB8MOxmYwrFdr08220LIyONqes85cexr0wFabd0/elDW98kuKng3OFpW1&#10;/w6E4X29J6+Xr9XqJwAAAP//AwBQSwMEFAAGAAgAAAAhAH6genXdAAAACwEAAA8AAABkcnMvZG93&#10;bnJldi54bWxMj8tOw0AMRfdI/MPISGwQnUloqyZkUqEiPoDChp2TuEnEPEJm8uDvMStY+vro+rg4&#10;rtaImcbQe6ch2SgQ5Grf9K7V8P72cn8AESK6Bo13pOGbAhzL66sC88Yv7pXmc2wFl7iQo4YuxiGX&#10;MtQdWQwbP5Dj3cWPFiOPYyubERcut0amSu2lxd7xhQ4HOnVUf54nqyFrlwvOU7X7uDvVz2ZSiPv5&#10;S+vbm/XpEUSkNf7B8KvP6lCyU+Un1wRhNBxSBjlOlNqCYGCb7TIQFUfpQ5aALAv5/4fyBwAA//8D&#10;AFBLAQItABQABgAIAAAAIQC2gziS/gAAAOEBAAATAAAAAAAAAAAAAAAAAAAAAABbQ29udGVudF9U&#10;eXBlc10ueG1sUEsBAi0AFAAGAAgAAAAhADj9If/WAAAAlAEAAAsAAAAAAAAAAAAAAAAALwEAAF9y&#10;ZWxzLy5yZWxzUEsBAi0AFAAGAAgAAAAhAI5wYlhnAgAA9QQAAA4AAAAAAAAAAAAAAAAALgIAAGRy&#10;cy9lMm9Eb2MueG1sUEsBAi0AFAAGAAgAAAAhAH6genXdAAAACwEAAA8AAAAAAAAAAAAAAAAAwQQA&#10;AGRycy9kb3ducmV2LnhtbFBLBQYAAAAABAAEAPMAAADLBQ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Vähendada lõhet halbades tingimuses elavate inimeste määrade vahel vähemalt kolmandiku võrra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tagada, et 2030. aastaks ei ela enamik romasid halbades tingimustes</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halvad elamistingimused: romad 61 %; üldine elanikkond 17,9 % (lõhe: 43,1 protsendipunkti)</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663360" behindDoc="0" locked="0" layoutInCell="1" allowOverlap="1">
                <wp:simplePos x="0" y="0"/>
                <wp:positionH relativeFrom="column">
                  <wp:posOffset>133350</wp:posOffset>
                </wp:positionH>
                <wp:positionV relativeFrom="paragraph">
                  <wp:posOffset>5676900</wp:posOffset>
                </wp:positionV>
                <wp:extent cx="5880100" cy="723900"/>
                <wp:effectExtent l="0" t="0" r="25400" b="19050"/>
                <wp:wrapTopAndBottom/>
                <wp:docPr id="35" name="Téglalap: lekerekített 9">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docPr>
                <wp:cNvGraphicFramePr/>
                <a:graphic xmlns:a="http://schemas.openxmlformats.org/drawingml/2006/main">
                  <a:graphicData uri="http://schemas.microsoft.com/office/word/2010/wordprocessingShape">
                    <wps:wsp>
                      <wps:cNvSpPr/>
                      <wps:spPr>
                        <a:xfrm>
                          <a:off x="0" y="0"/>
                          <a:ext cx="5880100" cy="7239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Vähendada erinevusi eeldatavas elueas vähemalt poole võrra</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Tagada, et 2030. aastaks elavad roma naised ja mehed 5 aastat kauem</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erinevused eeldatavas elueas sünnil (üldine elanikkond võrreldes romadega): roma naised 10,4 aastat; roma mehed 10,2 aastat</w:t>
                            </w: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42" style="position:absolute;left:0;text-align:left;margin-left:10.5pt;margin-top:447pt;width:463pt;height: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WRbwIAAAIFAAAOAAAAZHJzL2Uyb0RvYy54bWysVEtu2zAQ3RfoHQjuHcmynThG5KBxoqJA&#10;0QZJegCaGllCKFIl6R+KHKiLniIX63D0SdAWXRT1gh6SM+/NG87o4vJQK7YD6yqjUz4+iTkDLU1e&#10;6U3KvzxkozlnzgudC2U0pPwIjl8u37652DcLSExpVA6WIYh2i32T8tL7ZhFFTpZQC3diGtB4WRhb&#10;C49bu4lyK/aIXqsoiePTaG9s3lgjwTk8vW4v+ZLwiwKk/1wUDjxTKcfcPK2W1nVYo+WFWGysaMpK&#10;dmmIf8iiFpVG0gHqWnjBtrb6DaqupDXOFP5EmjoyRVFJIA2oZhz/oua+FA2QFiyOa4Yyuf8HKz/t&#10;bi2r8pRPZpxpUeMbPTx/3yihRLNgCh7BwuPzDw/es3OSCAf/0fkgFq1W5LcsS65mN9l0lKE1msZX&#10;09HVzfR8lCWT+U1ylq2SyelTKHZEURQf7Ru3IP7wWmTeN7cWncLOoRk4DoWtwz+Wih3o3Y7DuwV+&#10;iYez+RyLh88r8e4smZyj3XL10Y11/j2YmgUj5dZsdX6HzUGCxA7zaf17v8DojKryrFKKNqEhYaUs&#10;2wlspfVm3DG88iJBbd6kwB8VhFil76DAGmOmCRFSd7+ACSlB+3F7VYocWo5ZjL+epaenChJgQC4w&#10;uwG7A+g9W5Aeu5XX+YdQoOEYguO/JdYGDxHEbLQfgutKG/snAIWqOubWH9N/VZpg+sP6QP03Pg2u&#10;4Wht8iM25R6nMuXu61ZY4Ex90Nj2YYR7w/bGujesVyvTDrrQsjQ4556z1lx5mvqQuzbvtt4UFb35&#10;C2GXGw4aFbn7KIRJfr0nr5dP1/InAAAA//8DAFBLAwQUAAYACAAAACEAK0o6T94AAAALAQAADwAA&#10;AGRycy9kb3ducmV2LnhtbEyPzU7DMBCE70i8g7VIXBC1W5WSpHEqVMQD0HLhtom3SdTYDrHzw9uz&#10;nOA2o/00O5MfFtuJiYbQeqdhvVIgyFXetK7W8HF+e0xAhIjOYOcdafimAIfi9ibHzPjZvdN0irXg&#10;EBcy1NDE2GdShqohi2Hle3J8u/jBYmQ71NIMOHO47eRGqZ202Dr+0GBPx4aq62m0GtJ6vuA0lk+f&#10;D8fqtRsV4m760vr+bnnZg4i0xD8YfutzdSi4U+lHZ4LoNGzWPCVqSNItCwbS7TOLkkmlEgWyyOX/&#10;DcUPAAAA//8DAFBLAQItABQABgAIAAAAIQC2gziS/gAAAOEBAAATAAAAAAAAAAAAAAAAAAAAAABb&#10;Q29udGVudF9UeXBlc10ueG1sUEsBAi0AFAAGAAgAAAAhADj9If/WAAAAlAEAAAsAAAAAAAAAAAAA&#10;AAAALwEAAF9yZWxzLy5yZWxzUEsBAi0AFAAGAAgAAAAhANpv5ZFvAgAAAgUAAA4AAAAAAAAAAAAA&#10;AAAALgIAAGRycy9lMm9Eb2MueG1sUEsBAi0AFAAGAAgAAAAhACtKOk/eAAAACwEAAA8AAAAAAAAA&#10;AAAAAAAAyQQAAGRycy9kb3ducmV2LnhtbFBLBQYAAAAABAAEAPMAAADUBQ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Vähendada erinevusi eeldatavas elueas vähemalt poole võrra</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Tagada, et 2030. aastaks elavad roma naised ja mehed 5 aastat kauem</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erinevused eeldatavas elueas sünnil (üldine elanikkond võrreldes romadega): roma naised 10,4 aastat; roma mehed 10,2 aastat</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636736" behindDoc="0" locked="0" layoutInCell="1" allowOverlap="1">
                <wp:simplePos x="0" y="0"/>
                <wp:positionH relativeFrom="column">
                  <wp:posOffset>0</wp:posOffset>
                </wp:positionH>
                <wp:positionV relativeFrom="paragraph">
                  <wp:posOffset>5207000</wp:posOffset>
                </wp:positionV>
                <wp:extent cx="6083935" cy="1225550"/>
                <wp:effectExtent l="0" t="0" r="12065" b="12700"/>
                <wp:wrapTopAndBottom/>
                <wp:docPr id="34" name="Téglalap: lekerekített 7">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docPr>
                <wp:cNvGraphicFramePr/>
                <a:graphic xmlns:a="http://schemas.openxmlformats.org/drawingml/2006/main">
                  <a:graphicData uri="http://schemas.microsoft.com/office/word/2010/wordprocessingShape">
                    <wps:wsp>
                      <wps:cNvSpPr/>
                      <wps:spPr>
                        <a:xfrm>
                          <a:off x="0" y="0"/>
                          <a:ext cx="6083935" cy="122555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rPr>
                            </w:pPr>
                            <w:r>
                              <w:rPr>
                                <w:rFonts w:asciiTheme="minorHAnsi" w:hAnsi="Calibri"/>
                                <w:b/>
                                <w:bCs/>
                                <w:i/>
                                <w:iCs/>
                                <w:color w:val="4F81BD" w:themeColor="accent1"/>
                                <w:szCs w:val="32"/>
                              </w:rPr>
                              <w:t>6. Parandada romade tervist ning tõhustada võrdset juurdepääsu kvaliteetsetele tervishoiu- ja sotsiaalteenustele</w:t>
                            </w:r>
                          </w:p>
                        </w:txbxContent>
                      </wps:txbx>
                      <wps:bodyPr lIns="0" tIns="0" rIns="0" bIns="0" rtlCol="0" anchor="t" anchorCtr="0">
                        <a:noAutofit/>
                      </wps:bodyPr>
                    </wps:wsp>
                  </a:graphicData>
                </a:graphic>
                <wp14:sizeRelV relativeFrom="margin">
                  <wp14:pctHeight>0</wp14:pctHeight>
                </wp14:sizeRelV>
              </wp:anchor>
            </w:drawing>
          </mc:Choice>
          <mc:Fallback>
            <w:pict>
              <v:roundrect id="_x0000_s1043" style="position:absolute;left:0;text-align:left;margin-left:0;margin-top:410pt;width:479.05pt;height:96.5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OJ5awIAAPYEAAAOAAAAZHJzL2Uyb0RvYy54bWysVNtu2zAMfR+wfxD0ntpxkl6COMWSxsOA&#10;YSva7gMUmY6NypIhqblg2AftYV/RHxtFX1pswx6GJYBNSeThOaToxfWxVmwP1lVGp3x8FnMGWpq8&#10;0ruUf3nIRpecOS90LpTRkPITOH69fPtmcWjmkJjSqBwsQxDt5ocm5aX3zTyKnCyhFu7MNKDxsDC2&#10;Fh6XdhflVhwQvVZREsfn0cHYvLFGgnO4e9Me8iXhFwVI/7koHHimUo7cPD0tPbfhGS0XYr6zoikr&#10;2dEQ/8CiFpXGpAPUjfCCPdnqN6i6ktY4U/gzaerIFEUlgTSgmnH8i5r7UjRAWrA4rhnK5P4frPy0&#10;v7WsylM+mXKmRY09enj+vlNCiWbOFDyChcfnHx68ZxckEY7+o/NBLFqtyK9Zlqxmm2w6ytAaTePV&#10;dLTaTK9GWTK53CQX2TqZnH8LxY4oiuKjQ+PmlD90i8z75taiU1g5NEOOY2Hr8MZSsSP17TT0LeSX&#10;uHkeX06uJjPOJJ6Nk2Q2m1FnMVkf3ljn34OpWTBSbs2Tzu/wdpAisUdCLbneL6R0RlV5VilFC7vb&#10;rpVle4E3aTMN/07PKzeS1DInDf6kIAQrfQcFVhm5JpSR7jcMeEJK0H7cHpUihzbNLMZfnyVMRIig&#10;GhJgQC6Q3oDdAfSeLUiP3err/EMo0HgMwfHfiHWd6yMos9F+CK4rbeyfABSq6jK3/kj/VWmC6Y/b&#10;I93A8UVwDVtbk5/wWqoPGq96GNvesL2x7Q3r1dq0wy20LA3OtuesNdeeJj2w1ebdkzdFRW1+SdGx&#10;weGisnYfgjC9r9fk9fK5Wv4EAAD//wMAUEsDBBQABgAIAAAAIQALrE/L3gAAAAkBAAAPAAAAZHJz&#10;L2Rvd25yZXYueG1sTI/BTsMwEETvSPyDtUjcqB0qqjSNUxUEV1BbOPTmxksciNdR7DaBr2c5wXE0&#10;o5k35XrynTjjENtAGrKZAoFUB9tSo+F1/3STg4jJkDVdINTwhRHW1eVFaQobRtrieZcawSUUC6PB&#10;pdQXUsbaoTdxFnok9t7D4E1iOTTSDmbkct/JW6UW0puWeMGZHh8c1p+7k9fwEQ+LFzfOh8PzJm/f&#10;9tNWfT/ea319NW1WIBJO6S8Mv/iMDhUzHcOJbBSdBj6SNOQ8AoLt5V2egThyTmVzBbIq5f8H1Q8A&#10;AAD//wMAUEsBAi0AFAAGAAgAAAAhALaDOJL+AAAA4QEAABMAAAAAAAAAAAAAAAAAAAAAAFtDb250&#10;ZW50X1R5cGVzXS54bWxQSwECLQAUAAYACAAAACEAOP0h/9YAAACUAQAACwAAAAAAAAAAAAAAAAAv&#10;AQAAX3JlbHMvLnJlbHNQSwECLQAUAAYACAAAACEAh/DieWsCAAD2BAAADgAAAAAAAAAAAAAAAAAu&#10;AgAAZHJzL2Uyb0RvYy54bWxQSwECLQAUAAYACAAAACEAC6xPy94AAAAJAQAADwAAAAAAAAAAAAAA&#10;AADFBAAAZHJzL2Rvd25yZXYueG1sUEsFBgAAAAAEAAQA8wAAANAFAAAAAA==&#10;" fillcolor="#e4e4e4" strokecolor="#243f60 [1604]" strokeweight="2pt">
                <v:textbox inset="0,0,0,0">
                  <w:txbxContent>
                    <w:p>
                      <w:pPr>
                        <w:pStyle w:val="NormalWeb"/>
                        <w:spacing w:before="0" w:beforeAutospacing="0" w:after="0" w:afterAutospacing="0"/>
                        <w:jc w:val="center"/>
                        <w:rPr>
                          <w:sz w:val="20"/>
                        </w:rPr>
                      </w:pPr>
                      <w:r>
                        <w:rPr>
                          <w:rFonts w:asciiTheme="minorHAnsi" w:hAnsi="Calibri"/>
                          <w:b/>
                          <w:bCs/>
                          <w:i/>
                          <w:iCs/>
                          <w:color w:val="4F81BD" w:themeColor="accent1"/>
                          <w:szCs w:val="32"/>
                        </w:rPr>
                        <w:t>6. Parandada romade tervist ning tõhustada võrdset juurdepääsu kvaliteetsetele tervishoiu- ja sotsiaalteenustele</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698176" behindDoc="0" locked="0" layoutInCell="1" allowOverlap="1">
                <wp:simplePos x="0" y="0"/>
                <wp:positionH relativeFrom="column">
                  <wp:posOffset>38100</wp:posOffset>
                </wp:positionH>
                <wp:positionV relativeFrom="paragraph">
                  <wp:posOffset>2825750</wp:posOffset>
                </wp:positionV>
                <wp:extent cx="6083935" cy="2324100"/>
                <wp:effectExtent l="0" t="0" r="12065" b="19050"/>
                <wp:wrapTopAndBottom/>
                <wp:docPr id="36" name="Téglalap: lekerekített 1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docPr>
                <wp:cNvGraphicFramePr/>
                <a:graphic xmlns:a="http://schemas.openxmlformats.org/drawingml/2006/main">
                  <a:graphicData uri="http://schemas.microsoft.com/office/word/2010/wordprocessingShape">
                    <wps:wsp>
                      <wps:cNvSpPr/>
                      <wps:spPr>
                        <a:xfrm>
                          <a:off x="0" y="0"/>
                          <a:ext cx="6083935" cy="232410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5. Tõhustada võrdset juurdepääsu kvaliteetsele ja jätkusuutlikule tööhõivele</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id="_x0000_s1044" style="position:absolute;left:0;text-align:left;margin-left:3pt;margin-top:222.5pt;width:479.05pt;height:183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4utzAIAAKoFAAAOAAAAZHJzL2Uyb0RvYy54bWysVEtu2zAQ3RfoHQjuHf0c1xEiB45rFQWC&#10;NEhSZE1TlCWEIlmStuUWPVAXPUUu1iH1SZAWXRS1AWkozryZN7/zi7bhaM+0qaXIcHQSYsQElUUt&#10;thn+fJ9P5hgZS0RBuBQsw0dm8MXi7Zvzg0pZLCvJC6YRgAiTHlSGK2tVGgSGVqwh5kQqJuCylLoh&#10;Fo56GxSaHAC94UEchrPgIHWhtKTMGPj6vrvEC49flozaT2VpmEU8wxCb9U/tnxv3DBbnJN1qoqqa&#10;9mGQf4iiIbUApyPUe2IJ2un6N6imploaWdoTKptAlmVNmecAbKLwFZu7iijmuUByjBrTZP4fLL3e&#10;32hUFxlOZhgJ0kCN7p9+bDnhRKWIs0em2ePTT8usRVHiObLWXhnr2ILUsfyW5/Hl6TqfTnKQJtPw&#10;cjq5XE/PJnmczNfxu3wVJ7PvLtuBt/L2wUGZ1AfgyuXFO3WjQcmdDIjOR1vqxr0hV6j1hTuOhXP+&#10;KXychfPkLDnFiMJdnMTTKPSlBWeDudLGfmCyQU7IsJY7UdxCe3hGZA8BdcENes6lkbwu8ppzf9Db&#10;zYprtCfQSuup+/d8Xqh5Sl3knoM9cuaMubhlJaQZYo29R9/gbMQjlDJho+6qIgXr3JyG8Bu8uJFw&#10;Fj6HHtAhlxDeiN0DDJodyIDd8ev1nSnz8zEah38LrK/cYOE9S2FH46YWUv8JgAOr3nOnD+G/SI0T&#10;bbtpfQtGc6fqPm1kcYS+1LIbWKNoXkPdroixN0TDhMIsw9aB20rqrxgdYIIzbL7siGYY8Y8CRsSN&#10;+yDoQdgMgtg1KwmVjGA/KepFMNCWD2KpZfMAy2XpvMAVERR8ZdgO4sp2ewSWE2XLpVeCoVbEXok7&#10;RR20S5NrqPv2gWjVt56Frr2Ww2yT9FXzdbrOUsjlzsqy9p35nJU+gbAQfCf0y8ttnJdnr/W8Yhe/&#10;AAAA//8DAFBLAwQUAAYACAAAACEAev0UDd8AAAAJAQAADwAAAGRycy9kb3ducmV2LnhtbEyPwU7D&#10;MBBE70j8g7VI3KgdCFEIcaqC4ApqC4fe3HiJA7Ed2W4T+Hq2J7jNalYzb+rlbAd2xBB77yRkCwEM&#10;Xet17zoJb9vnqxJYTMppNXiHEr4xwrI5P6tVpf3k1njcpI5RiIuVkmBSGivOY2vQqrjwIzryPnyw&#10;KtEZOq6DmijcDvxaiIJb1TtqMGrER4Pt1+ZgJXzGXfFqppuwe1mV/ft2XoufpwcpLy/m1T2whHP6&#10;e4YTPqFDQ0x7f3A6skFCQUuShDy/JUH+XZFnwPYSyiwTwJua/1/Q/AIAAP//AwBQSwECLQAUAAYA&#10;CAAAACEAtoM4kv4AAADhAQAAEwAAAAAAAAAAAAAAAAAAAAAAW0NvbnRlbnRfVHlwZXNdLnhtbFBL&#10;AQItABQABgAIAAAAIQA4/SH/1gAAAJQBAAALAAAAAAAAAAAAAAAAAC8BAABfcmVscy8ucmVsc1BL&#10;AQItABQABgAIAAAAIQAP44utzAIAAKoFAAAOAAAAAAAAAAAAAAAAAC4CAABkcnMvZTJvRG9jLnht&#10;bFBLAQItABQABgAIAAAAIQB6/RQN3wAAAAkBAAAPAAAAAAAAAAAAAAAAACYFAABkcnMvZG93bnJl&#10;di54bWxQSwUGAAAAAAQABADzAAAAMgY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5. Tõhustada võrdset juurdepääsu kvaliteetsele ja jätkusuutlikule tööhõivele</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779072" behindDoc="0" locked="0" layoutInCell="1" allowOverlap="1">
                <wp:simplePos x="0" y="0"/>
                <wp:positionH relativeFrom="column">
                  <wp:posOffset>196850</wp:posOffset>
                </wp:positionH>
                <wp:positionV relativeFrom="paragraph">
                  <wp:posOffset>4387850</wp:posOffset>
                </wp:positionV>
                <wp:extent cx="5772150" cy="698500"/>
                <wp:effectExtent l="0" t="0" r="19050" b="25400"/>
                <wp:wrapTopAndBottom/>
                <wp:docPr id="39" name="Téglalap: lekerekített 1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559FADA-57F1-463B-ABB7-CEB05123EB7C}"/>
                    </a:ext>
                  </a:extLst>
                </wp:docPr>
                <wp:cNvGraphicFramePr/>
                <a:graphic xmlns:a="http://schemas.openxmlformats.org/drawingml/2006/main">
                  <a:graphicData uri="http://schemas.microsoft.com/office/word/2010/wordprocessingShape">
                    <wps:wsp>
                      <wps:cNvSpPr/>
                      <wps:spPr>
                        <a:xfrm>
                          <a:off x="0" y="0"/>
                          <a:ext cx="5772150" cy="6985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Vähendada mittetöötavate ja mitteõppivate noorte osakaalu vähemalt poole võrra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tagada, et 2030. aastaks oleks vähem kui üks kolmest roma noorest mittetöötav ja mitteõppiv</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Mittetöötavate ja mitteõppivate noorte määr (16–24aastased): romad 62 %; üldine elanikkond 10,1 % (lõhe 51,9 protsendipunkti)</w:t>
                            </w: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Téglalap: lekerekített 16" o:spid="_x0000_s1045" style="position:absolute;left:0;text-align:left;margin-left:15.5pt;margin-top:345.5pt;width:454.5pt;height:5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w7bgIAAAMFAAAOAAAAZHJzL2Uyb0RvYy54bWysVMlu2zAQvRfoPxC8O1piO7EROWicqChQ&#10;tEGSfgBNjWwhFKmS9IaiH9RDvyI/1uFoSbqgh6IXaSjOvHlvFl1cHmrFdmBdZXTGk5OYM9DSFJVe&#10;Z/zTQz4658x5oQuhjIaMH8Hxy8XrVxf7Zg6p2RhVgGUIot1832R8430zjyInN1ALd2Ia0HhZGlsL&#10;j0e7jgor9oheqyiN42m0N7ZorJHgHH69bi/5gvDLEqT/WJYOPFMZR26enpaeq/CMFhdivrai2VSy&#10;oyH+gUUtKo1JB6hr4QXb2uo3qLqS1jhT+hNp6siUZSWBNKCaJP5Fzf1GNEBasDiuGcrk/h+s/LC7&#10;tawqMn4640yLGnv08PRtrYQSzZwpeAQLj0/fPXjPkilphIN/73xQi1ar8kuep1eTm3w8ytEajeOr&#10;8ejqZjwb5enp+U16li/T0+nXUO2Ioig+2jduTgRCu8i8b24tOoWTQzPkOJS2Dm+sFTtQ445D40J+&#10;iR8nZ2dpMsH+Srybzs4nMXUWc/XRjXX+LZiaBSPj1mx1cYfTQYLEDvm03Hq/kNEZVRV5pRQdwkTC&#10;Ulm2EzhLq3XSqXnhRYJa3qTAHxWEWKXvoMQiI9OUEtJ4P4MJKUH7pL3aiALaHKhi0DFEUAUJMCCX&#10;yG7A7gB+Jtpjt/I6/xAKtB1DcPw3Yl3f+gjKbLQfgutKG/snAIWqusytP9J/UZpg+sPqQAOYzIJr&#10;+LQyxRGnco9rmXH3eSsscKbeaZz7sMO9YXtj1RvWq6VpN11ouTG46J6z1lx6WvvAXZs3W2/Kinr+&#10;nLDjhptGRe7+CmGVX57J6/nftfgBAAD//wMAUEsDBBQABgAIAAAAIQBQ7UX53AAAAAoBAAAPAAAA&#10;ZHJzL2Rvd25yZXYueG1sTI/LTsQwDEX3SPxDZCQ2iEmGRzUtTUdoEB/AwIad23jaijxKkz74ezwr&#10;2F3bV9fnlvvVWTHTGPvgNWw3CgT5Jpjetxo+3l9vdyBiQm/QBk8afijCvrq8KLEwYfFvNB9TKzjE&#10;xwI1dCkNhZSx6chh3ISBPN9OYXSYeBxbaUZcONxZeadUJh32nj90ONCho+brODkNebuccJ7qx8+b&#10;Q/NiJ4WYzd9aX1+tz08gEq3pzwxnfEaHipnqMHkThdVwv+UqSUOWnwUb8gfFotawU7yRVSn/V6h+&#10;AQAA//8DAFBLAQItABQABgAIAAAAIQC2gziS/gAAAOEBAAATAAAAAAAAAAAAAAAAAAAAAABbQ29u&#10;dGVudF9UeXBlc10ueG1sUEsBAi0AFAAGAAgAAAAhADj9If/WAAAAlAEAAAsAAAAAAAAAAAAAAAAA&#10;LwEAAF9yZWxzLy5yZWxzUEsBAi0AFAAGAAgAAAAhANhv/DtuAgAAAwUAAA4AAAAAAAAAAAAAAAAA&#10;LgIAAGRycy9lMm9Eb2MueG1sUEsBAi0AFAAGAAgAAAAhAFDtRfncAAAACgEAAA8AAAAAAAAAAAAA&#10;AAAAyAQAAGRycy9kb3ducmV2LnhtbFBLBQYAAAAABAAEAPMAAADRBQ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Vähendada mittetöötavate ja mitteõppivate noorte osakaalu vähemalt poole võrra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tagada, et 2030. aastaks oleks vähem kui üks kolmest roma noorest mittetöötav ja mitteõppiv</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Mittetöötavate ja mitteõppivate noorte määr (16–24aastased): romad 62 %; üldine elanikkond 10,1 % (lõhe 51,9 protsendipunkti)</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752448" behindDoc="0" locked="0" layoutInCell="1" allowOverlap="1">
                <wp:simplePos x="0" y="0"/>
                <wp:positionH relativeFrom="column">
                  <wp:posOffset>2921000</wp:posOffset>
                </wp:positionH>
                <wp:positionV relativeFrom="paragraph">
                  <wp:posOffset>3168650</wp:posOffset>
                </wp:positionV>
                <wp:extent cx="3162935" cy="1174750"/>
                <wp:effectExtent l="0" t="0" r="18415" b="25400"/>
                <wp:wrapTopAndBottom/>
                <wp:docPr id="38" name="Téglalap: lekerekített 15">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docPr>
                <wp:cNvGraphicFramePr/>
                <a:graphic xmlns:a="http://schemas.openxmlformats.org/drawingml/2006/main">
                  <a:graphicData uri="http://schemas.microsoft.com/office/word/2010/wordprocessingShape">
                    <wps:wsp>
                      <wps:cNvSpPr/>
                      <wps:spPr>
                        <a:xfrm>
                          <a:off x="0" y="0"/>
                          <a:ext cx="3162935" cy="11747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Vähendada soolisi erinevusi romade tööhõives vähemalt poole võrra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tagada, et 2030. aastaks teeb vähemalt 45 % roma naistest tasustatud tööd</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soolised erinevused tööhõives – romad: 27 protsendipunkti (naised: 29 %, mehed: 56 %); üldine elanikkond: 11,7 protsendipunkti (naised: 67.2 %, mehed: 78,9%)</w:t>
                            </w: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46" style="position:absolute;left:0;text-align:left;margin-left:230pt;margin-top:249.5pt;width:249.05pt;height:9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4VQcQIAAAQFAAAOAAAAZHJzL2Uyb0RvYy54bWysVEtu2zAQ3RfoHQjuHX1s52NEDhonKgoU&#10;bZCkB6CpkSWEIlWS/qHIgbroKXKxDkeSHbRFF0W9kIfizJv35qPLq12j2Aasq43OeHIScwZamqLW&#10;q4x/ecxH55w5L3QhlNGQ8T04fjV/++Zy284gNZVRBViGINrNtm3GK+/bWRQ5WUEj3IlpQeNlaWwj&#10;PB7tKiqs2CJ6o6I0jk+jrbFFa40E5/DtTXfJ54RfliD957J04JnKOHLz9LT0XIZnNL8Us5UVbVXL&#10;nob4BxaNqDUmPUDdCC/Y2ta/QTW1tMaZ0p9I00SmLGsJpAHVJPEvah4q0QJpweK49lAm9/9g5afN&#10;nWV1kfExdkqLBnv0+PJ9pYQS7YwpeAILTy8/PHjPkilphJ3/6HxQi1an8luep9fT23wyytEaTeLr&#10;yej6dnIxytPx+W16li/S8elzqHZEURQfbVs3IwKhXWQ+tHcWncLJoRly7ErbhH+sFdtR4/aHxoX8&#10;El+Ok9P0YjzlTOJdkpxNzqbUWkw2hLfW+fdgGhaMjFuz1sU9jgcpEhsk1JEb/EJKZ1Rd5LVSdAgj&#10;CQtl2UbgMC1XSS/nlRcp6oiTBL9XEGKVvocSq4xUU0pI830EE1KC9kl3VYkCuhzTGH9DliE9lZAA&#10;A3KJ7A7YPcDg2YEM2J283j+EAq3HITj+G7G+cUMEZTbaH4KbWhv7JwCFqvrMnT/Sf1WaYPrdckcT&#10;mJLW8Gppij2O5Rb3MuPu61pY4Ex90Dj4YYkHww7GcjCsVwvTrbrQsjK46Z6zzlx42vvAXZt3a2/K&#10;mnp+TNhzw1WjIvefhbDLr8/kdfx4zX8CAAD//wMAUEsDBBQABgAIAAAAIQAHHnJB3gAAAAsBAAAP&#10;AAAAZHJzL2Rvd25yZXYueG1sTI/NTsMwEITvSLyDtZW4IGoXtVES4lSoiAegcOG2id0karwOsfPD&#10;27Oc4DajHc1+UxxX14vZjqHzpGG3VSAs1d501Gj4eH99SEGEiGSw92Q1fNsAx/L2psDc+IXe7HyO&#10;jeASCjlqaGMccilD3VqHYesHS3y7+NFhZDs20oy4cLnr5aNSiXTYEX9ocbCn1tbX8+Q0ZM1ywXmq&#10;Dp/3p/qlnxRiMn9pfbdZn59ARLvGvzD84jM6lMxU+YlMEL2GfaJ4S2SRZSw4kR3SHYhKQ5LuFciy&#10;kP83lD8AAAD//wMAUEsBAi0AFAAGAAgAAAAhALaDOJL+AAAA4QEAABMAAAAAAAAAAAAAAAAAAAAA&#10;AFtDb250ZW50X1R5cGVzXS54bWxQSwECLQAUAAYACAAAACEAOP0h/9YAAACUAQAACwAAAAAAAAAA&#10;AAAAAAAvAQAAX3JlbHMvLnJlbHNQSwECLQAUAAYACAAAACEAye+FUHECAAAEBQAADgAAAAAAAAAA&#10;AAAAAAAuAgAAZHJzL2Uyb0RvYy54bWxQSwECLQAUAAYACAAAACEABx5yQd4AAAALAQAADwAAAAAA&#10;AAAAAAAAAADLBAAAZHJzL2Rvd25yZXYueG1sUEsFBgAAAAAEAAQA8wAAANYF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Vähendada soolisi erinevusi romade tööhõives vähemalt poole võrra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tagada, et 2030. aastaks teeb vähemalt 45 % roma naistest tasustatud tööd</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soolised erinevused tööhõives – romad: 27 protsendipunkti (naised: 29 %, mehed: 56 %); üldine elanikkond: 11,7 protsendipunkti (naised: 67.2 %, mehed: 78,9%)</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724800" behindDoc="0" locked="0" layoutInCell="1" allowOverlap="1">
                <wp:simplePos x="0" y="0"/>
                <wp:positionH relativeFrom="column">
                  <wp:posOffset>101600</wp:posOffset>
                </wp:positionH>
                <wp:positionV relativeFrom="paragraph">
                  <wp:posOffset>3175000</wp:posOffset>
                </wp:positionV>
                <wp:extent cx="2768600" cy="1174750"/>
                <wp:effectExtent l="0" t="0" r="12700" b="25400"/>
                <wp:wrapTopAndBottom/>
                <wp:docPr id="37" name="Téglalap: lekerekített 1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docPr>
                <wp:cNvGraphicFramePr/>
                <a:graphic xmlns:a="http://schemas.openxmlformats.org/drawingml/2006/main">
                  <a:graphicData uri="http://schemas.microsoft.com/office/word/2010/wordprocessingShape">
                    <wps:wsp>
                      <wps:cNvSpPr/>
                      <wps:spPr>
                        <a:xfrm>
                          <a:off x="0" y="0"/>
                          <a:ext cx="2768600" cy="11747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Vähendada tööhõivelõhet vähemalt poole võrra</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tagada, et 2030. aastaks teeb vähemalt 60 % romadest tasustatud tööd</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tasustatud töö tegijad: romad 43 %; üldine elanikkond 73,1 % (lõhe 30,1 protsendipunkti)</w:t>
                            </w:r>
                          </w:p>
                        </w:txbxContent>
                      </wps:txbx>
                      <wps:bodyPr wrap="square" lIns="0" tIns="0" rIns="0" bIns="0" rtlCol="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47" style="position:absolute;left:0;text-align:left;margin-left:8pt;margin-top:250pt;width:218pt;height: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gYkcAIAAAQFAAAOAAAAZHJzL2Uyb0RvYy54bWysVEtu2zAQ3RfoHQjuHX3s2KkROaidqChQ&#10;tEGSHoCmRpYQilRJ+oeiB+qip8jFOhxJTtAWXRT1Qh6KM2/em48urw6NYjuwrjY648lZzBloaYpa&#10;bzL++SEfXXDmvNCFUEZDxo/g+NXi9avLfTuH1FRGFWAZgmg337cZr7xv51HkZAWNcGemBY2XpbGN&#10;8Hi0m6iwYo/ojYrSOJ5Ge2OL1hoJzuHb6+6SLwi/LEH6T2XpwDOVceTm6WnpuQ7PaHEp5hsr2qqW&#10;PQ3xDywaUWtMeoK6Fl6wra1/g2pqaY0zpT+TpolMWdYSSAOqSeJf1NxXogXSgsVx7alM7v/Byo+7&#10;W8vqIuPjGWdaNNijh6fvGyWUaOdMwSNYeHz64cF7lkxIIxz8B+eDWrQ6lV/zPF2e3+STUY7WaBIv&#10;J6PlzeTNKE/HFzfpLF+l4+m3UO2Ioig+2rduTgRCu8i8b28tOoWTQzPkOJS2Cf9YK3agxh1PjQv5&#10;Jb5MZ9OLaYz9lXiXJLPJ7Jxai8mG8NY6/w5Mw4KRcWu2urjD8SBFYoeEOnKDX0jpjKqLvFaKDmEk&#10;YaUs2wkcpvUm6eW88CJFHXGS4I8KQqzSd1BilQNVSkjz/QwmpATtk+6qEgV0Oc5j/A1ZhvRUQgIM&#10;yCWyO2H3AINnBzJgd/J6/xAKtB6n4PhvxPrGDRGU2Wh/Cm5qbeyfABSq6jN3/kj/RWmC6Q/rA01g&#10;Sq7h1doURxzLPe5lxt2XrbDAmXqvcfDDEg+GHYz1YFivVqZbdaFlZXDTPWedufK094G7Nm+33pQ1&#10;9fw5Yc8NV42K3H8Wwi6/PJPX88dr8RMAAP//AwBQSwMEFAAGAAgAAAAhACjR26/bAAAACgEAAA8A&#10;AABkcnMvZG93bnJldi54bWxMj81OwzAQhO9IvIO1SFwQtalIVNI4FSriAShcuG3ibRLVPyF2fnh7&#10;lhPcZrSj2W/Kw+qsmGmMffAaHjYKBPkmmN63Gj7eX+93IGJCb9AGTxq+KcKhur4qsTBh8W80n1Ir&#10;uMTHAjV0KQ2FlLHpyGHchIE8385hdJjYjq00Iy5c7qzcKpVLh73nDx0OdOyouZwmp+GpXc44T3X2&#10;eXdsXuykEPP5S+vbm/V5DyLRmv7C8IvP6FAxUx0mb6Kw7HOekjRkSrHgwGO2ZVFryHeZAlmV8v+E&#10;6gcAAP//AwBQSwECLQAUAAYACAAAACEAtoM4kv4AAADhAQAAEwAAAAAAAAAAAAAAAAAAAAAAW0Nv&#10;bnRlbnRfVHlwZXNdLnhtbFBLAQItABQABgAIAAAAIQA4/SH/1gAAAJQBAAALAAAAAAAAAAAAAAAA&#10;AC8BAABfcmVscy8ucmVsc1BLAQItABQABgAIAAAAIQAaqgYkcAIAAAQFAAAOAAAAAAAAAAAAAAAA&#10;AC4CAABkcnMvZTJvRG9jLnhtbFBLAQItABQABgAIAAAAIQAo0duv2wAAAAoBAAAPAAAAAAAAAAAA&#10;AAAAAMoEAABkcnMvZG93bnJldi54bWxQSwUGAAAAAAQABADzAAAA0gU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Vähendada tööhõivelõhet vähemalt poole võrra</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tagada, et 2030. aastaks teeb vähemalt 60 % romadest tasustatud tööd</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tasustatud töö tegijad: romad 43 %; üldine elanikkond 73,1 % (lõhe 30,1 protsendipunkti)</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894784" behindDoc="0" locked="0" layoutInCell="1" allowOverlap="1">
                <wp:simplePos x="0" y="0"/>
                <wp:positionH relativeFrom="column">
                  <wp:posOffset>165100</wp:posOffset>
                </wp:positionH>
                <wp:positionV relativeFrom="page">
                  <wp:posOffset>2838450</wp:posOffset>
                </wp:positionV>
                <wp:extent cx="5726430" cy="806450"/>
                <wp:effectExtent l="0" t="0" r="26670" b="12700"/>
                <wp:wrapTopAndBottom/>
                <wp:docPr id="49" name="Téglalap: lekerekített 28">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EDA4507-D961-4E8D-BA9B-663A58705356}"/>
                    </a:ext>
                  </a:extLst>
                </wp:docPr>
                <wp:cNvGraphicFramePr/>
                <a:graphic xmlns:a="http://schemas.openxmlformats.org/drawingml/2006/main">
                  <a:graphicData uri="http://schemas.microsoft.com/office/word/2010/wordprocessingShape">
                    <wps:wsp>
                      <wps:cNvSpPr/>
                      <wps:spPr>
                        <a:xfrm>
                          <a:off x="0" y="0"/>
                          <a:ext cx="5726430" cy="8064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szCs w:val="18"/>
                              </w:rPr>
                            </w:pPr>
                            <w:r>
                              <w:rPr>
                                <w:rFonts w:asciiTheme="minorHAnsi" w:hAnsi="Calibri"/>
                                <w:b/>
                                <w:bCs/>
                                <w:color w:val="FF0000"/>
                                <w:sz w:val="20"/>
                                <w:szCs w:val="18"/>
                              </w:rPr>
                              <w:t xml:space="preserve">Teha tööd segregatsiooni kaotamise nimel, vähendades vähemalt poole võrra selliste roma laste osakaalu, kes käivad segregeeritud algkoolides </w:t>
                            </w:r>
                            <w:r>
                              <w:rPr>
                                <w:rFonts w:asciiTheme="minorHAnsi" w:hAnsi="Calibri"/>
                                <w:bCs/>
                                <w:color w:val="4F81BD" w:themeColor="accent1"/>
                                <w:sz w:val="20"/>
                                <w:szCs w:val="18"/>
                              </w:rPr>
                              <w:t>(märkimisväärse roma elanikkonnaga liikmesriikides)</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tagada, et 2030. aastaks õpib vähem kui üks viiest roma lapsest koolis, kus enamik või kõik lastest on</w:t>
                            </w:r>
                            <w:r>
                              <w:rPr>
                                <w:color w:val="00B050"/>
                                <w:sz w:val="19"/>
                                <w:szCs w:val="19"/>
                              </w:rPr>
                              <w:t xml:space="preserve"> </w:t>
                            </w:r>
                            <w:r>
                              <w:rPr>
                                <w:rFonts w:asciiTheme="minorHAnsi" w:hAnsi="Calibri"/>
                                <w:iCs/>
                                <w:color w:val="00B050"/>
                                <w:sz w:val="19"/>
                                <w:szCs w:val="19"/>
                              </w:rPr>
                              <w:t>romad</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roma lapsed, kes käivad koolides, kus enamik või kõik lastest on romad: 44 %</w:t>
                            </w:r>
                          </w:p>
                        </w:txbxContent>
                      </wps:txbx>
                      <wps:bodyPr wrap="square" lIns="0" tIns="0" rIns="0" bIns="0" rtlCol="0" anchor="t" anchorCtr="0">
                        <a:noAutofit/>
                      </wps:bodyPr>
                    </wps:wsp>
                  </a:graphicData>
                </a:graphic>
              </wp:anchor>
            </w:drawing>
          </mc:Choice>
          <mc:Fallback>
            <w:pict>
              <v:roundrect id="Téglalap: lekerekített 28" o:spid="_x0000_s1048" style="position:absolute;left:0;text-align:left;margin-left:13pt;margin-top:223.5pt;width:450.9pt;height:63.5pt;z-index:251894784;visibility:visible;mso-wrap-style:square;mso-wrap-distance-left:9pt;mso-wrap-distance-top:0;mso-wrap-distance-right:9pt;mso-wrap-distance-bottom:0;mso-position-horizontal:absolute;mso-position-horizontal-relative:text;mso-position-vertical:absolute;mso-position-vertical-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QXGcQIAAAMFAAAOAAAAZHJzL2Uyb0RvYy54bWysVEtu2zAQ3RfoHQjuHcmK7DhG5KBxoqJA&#10;0QZJegCaGllCKFIl6R+KHKiLniIX63AkOUFbdFHUC3kozrx5bz66uNw3im3ButrojI9PYs5AS1PU&#10;ep3xLw/5aMaZ80IXQhkNGT+A45eLt28udu0cElMZVYBlCKLdfNdmvPK+nUeRkxU0wp2YFjRelsY2&#10;wuPRrqPCih2iNypK4nga7YwtWmskOIdvr7tLviD8sgTpP5elA89UxpGbp6el5yo8o8WFmK+taKta&#10;9jTEP7BoRK0x6RHqWnjBNrb+DaqppTXOlP5EmiYyZVlLIA2oZhz/oua+Ei2QFiyOa49lcv8PVn7a&#10;3lpWFxlPzznTosEePTx/XyuhRDtnCh7BwuPzDw/es2RGGmHvPzof1KLVqfyW58nV5CZPRzlaozS+&#10;SkdXN+n5KE9OZzfJWb5MTqdPodoRRVF8tGvdnAiEdpF5395adAonh2bIsS9tE/6xVmxPjTscGxfy&#10;S3w5OUum6Sn2V+LdLJ6mE+os5hqiW+v8ezANC0bGrdno4g6ngwSJLfLpuA1+IaMzqi7yWik6hImE&#10;pbJsK3CWVutxr+aVFwnqeJMCf1AQYpW+gxKLjEwTSkjj/QImpATtx91VJQrockxi/A1ZhvRUQQIM&#10;yCWyO2L3AINnBzJgd/J6/xAKtB3H4PhvxPq+DRGU2Wh/DG5qbeyfABSq6jN3/kj/VWmC6ferPQ1g&#10;kgTX8GpligNO5Q7XMuPu60ZY4Ex90Dj3YYcHww7GajCsV0vTbbrQsjK46J6zzlx6WvvAXZt3G2/K&#10;mnr+krDnhptGRe6/CmGVX5/J6+XbtfgJAAD//wMAUEsDBBQABgAIAAAAIQDSTelv3gAAAAoBAAAP&#10;AAAAZHJzL2Rvd25yZXYueG1sTI/LTsMwEEX3SPyDNUhsELWJ0oSmcSpUxAfQsmE3id0kqh8hdh78&#10;PcMKdjOaqzvnlIfVGjbrMfTeSXjaCGDaNV71rpXwcX57fAYWIjqFxjst4VsHOFS3NyUWyi/uXc+n&#10;2DIqcaFACV2MQ8F5aDptMWz8oB3dLn60GGkdW65GXKjcGp4IkXGLvaMPHQ762OnmepqshF27XHCe&#10;6u3nw7F5NZNAzOYvKe/v1pc9sKjX+BeGX3xCh4qYaj85FZiRkGSkEiWkaU4DBXZJTi61hG2eCuBV&#10;yf8rVD8AAAD//wMAUEsBAi0AFAAGAAgAAAAhALaDOJL+AAAA4QEAABMAAAAAAAAAAAAAAAAAAAAA&#10;AFtDb250ZW50X1R5cGVzXS54bWxQSwECLQAUAAYACAAAACEAOP0h/9YAAACUAQAACwAAAAAAAAAA&#10;AAAAAAAvAQAAX3JlbHMvLnJlbHNQSwECLQAUAAYACAAAACEAON0FxnECAAADBQAADgAAAAAAAAAA&#10;AAAAAAAuAgAAZHJzL2Uyb0RvYy54bWxQSwECLQAUAAYACAAAACEA0k3pb94AAAAKAQAADwAAAAAA&#10;AAAAAAAAAADLBAAAZHJzL2Rvd25yZXYueG1sUEsFBgAAAAAEAAQA8wAAANYFAAAAAA==&#10;" fillcolor="white [3212]" strokecolor="#243f60 [1604]" strokeweight="2pt">
                <v:textbox inset="0,0,0,0">
                  <w:txbxContent>
                    <w:p>
                      <w:pPr>
                        <w:pStyle w:val="NormalWeb"/>
                        <w:spacing w:before="0" w:beforeAutospacing="0" w:after="0" w:afterAutospacing="0"/>
                        <w:jc w:val="center"/>
                        <w:rPr>
                          <w:sz w:val="20"/>
                          <w:szCs w:val="18"/>
                        </w:rPr>
                      </w:pPr>
                      <w:r>
                        <w:rPr>
                          <w:rFonts w:asciiTheme="minorHAnsi" w:hAnsi="Calibri"/>
                          <w:b/>
                          <w:bCs/>
                          <w:color w:val="FF0000"/>
                          <w:sz w:val="20"/>
                          <w:szCs w:val="18"/>
                        </w:rPr>
                        <w:t xml:space="preserve">Teha tööd segregatsiooni kaotamise nimel, vähendades vähemalt poole võrra selliste roma laste osakaalu, kes käivad segregeeritud algkoolides </w:t>
                      </w:r>
                      <w:r>
                        <w:rPr>
                          <w:rFonts w:asciiTheme="minorHAnsi" w:hAnsi="Calibri"/>
                          <w:bCs/>
                          <w:color w:val="4F81BD" w:themeColor="accent1"/>
                          <w:sz w:val="20"/>
                          <w:szCs w:val="18"/>
                        </w:rPr>
                        <w:t>(märkimisväärse roma elanikkonnaga liikmesriikides)</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tagada, et 2030. aastaks õpib vähem kui üks viiest roma lapsest koolis, kus enamik või kõik lastest on</w:t>
                      </w:r>
                      <w:r>
                        <w:rPr>
                          <w:color w:val="00B050"/>
                          <w:sz w:val="19"/>
                          <w:szCs w:val="19"/>
                        </w:rPr>
                        <w:t xml:space="preserve"> </w:t>
                      </w:r>
                      <w:r>
                        <w:rPr>
                          <w:rFonts w:asciiTheme="minorHAnsi" w:hAnsi="Calibri"/>
                          <w:iCs/>
                          <w:color w:val="00B050"/>
                          <w:sz w:val="19"/>
                          <w:szCs w:val="19"/>
                        </w:rPr>
                        <w:t>romad</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roma lapsed, kes käivad koolides, kus enamik või kõik lastest on romad: 44 %</w:t>
                      </w:r>
                    </w:p>
                  </w:txbxContent>
                </v:textbox>
                <w10:wrap type="topAndBottom" anchory="page"/>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839488" behindDoc="0" locked="0" layoutInCell="1" allowOverlap="1">
                <wp:simplePos x="0" y="0"/>
                <wp:positionH relativeFrom="column">
                  <wp:posOffset>0</wp:posOffset>
                </wp:positionH>
                <wp:positionV relativeFrom="paragraph">
                  <wp:posOffset>260350</wp:posOffset>
                </wp:positionV>
                <wp:extent cx="6083935" cy="2520950"/>
                <wp:effectExtent l="0" t="0" r="12065" b="12700"/>
                <wp:wrapTopAndBottom/>
                <wp:docPr id="42" name="Téglalap: lekerekített 25">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937739A-7077-4267-A845-43ACD5EC1C71}"/>
                    </a:ext>
                  </a:extLst>
                </wp:docPr>
                <wp:cNvGraphicFramePr/>
                <a:graphic xmlns:a="http://schemas.openxmlformats.org/drawingml/2006/main">
                  <a:graphicData uri="http://schemas.microsoft.com/office/word/2010/wordprocessingShape">
                    <wps:wsp>
                      <wps:cNvSpPr/>
                      <wps:spPr>
                        <a:xfrm>
                          <a:off x="0" y="0"/>
                          <a:ext cx="6083935" cy="252095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4. Tõhustada võrdset juurdepääsu kvaliteetsele kaasavale tavaharidusele</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id="Téglalap: lekerekített 25" o:spid="_x0000_s1049" style="position:absolute;left:0;text-align:left;margin-left:0;margin-top:20.5pt;width:479.05pt;height:198.5pt;z-index:251839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hzAIAAKoFAAAOAAAAZHJzL2Uyb0RvYy54bWysVF9P2zAQf5+072D5vSRNWwYVKSqlmSYh&#10;hoCJZ9dxmgjH9my3TZn2gfawT8EX2/mSFMSmPUxrpeQc3/3ufvfv7LypJdkK6yqtUjo8iikRiuu8&#10;UuuUfrnPBieUOM9UzqRWIqV74ej57P27s52ZikSXWubCEgBRbrozKS29N9MocrwUNXNH2ggFl4W2&#10;NfNwtOsot2wH6LWMkjg+jnba5sZqLpyDr5ftJZ0hflEI7j8XhROeyJRCbB6fFp+r8IxmZ2y6tsyU&#10;Fe/CYP8QRc0qBU4PUJfMM7Kx1W9QdcWtdrrwR1zXkS6KigvkAGyG8Rs2dyUzArlAcpw5pMn9P1h+&#10;vb2xpMpTOk4oUayGGt0//1hLJpmZEikehRWPzz+98J4kE+QoGn/lfGALUsvyW5YlF5NlNh5kIA3G&#10;8cV4cLEcnw6yZHSyTD5ki2R0/D1kO0IrtI92xk0xgFAuFO/MjQWlcHIgBh9NYevwhlyRBgu3PxQu&#10;+Ofw8Tg+GZ2OJpRwuEsmSXw6wdKCs97cWOc/Cl2TIKTU6o3Kb6E9kBHbQkBtcL1ecOm0rPKskhIP&#10;dr1aSEu2DFppOQ7/js8rNaTURo4c/F6KYCzVrSggzRBrgh6xwcUBj3EulB+2VyXLRetmEsOv9xJG&#10;IlhgDhEwIBcQ3gG7A+g1W5Aeu+XX6QdTgfNxMI7/FlhXud4CPWvlD8Z1pbT9E4AEVp3nVh/Cf5Wa&#10;IPpm1WALJqOgGj6tdL6HvrS6HVhneFZB3a6Y8zfMwoTCLMPWgdtS2ydKdjDBKXVfN8wKSuQnBSMS&#10;xr0XbC+sekFt6oWGSg5hPxmOIhhYL3uxsLp+gOUyD17giikOvlLqe3Hh2z0Cy4mL+RyVYKgN81fq&#10;zvAAHdIUGuq+eWDWdK3noWuvdT/bbPqm+VrdYKn0fON1UWFnvmSlSyAsBOyEbnmFjfP6jFovK3b2&#10;CwAA//8DAFBLAwQUAAYACAAAACEAp23fet0AAAAHAQAADwAAAGRycy9kb3ducmV2LnhtbEyPQU/D&#10;MAyF70j8h8hI3FhSBlMpTaeB4AraBofdssY0hcapmmwt/Hq8E5ys52e997lcTr4TRxxiG0hDNlMg&#10;kOpgW2o0vG2fr3IQMRmypguEGr4xwrI6PytNYcNIazxuUiM4hGJhNLiU+kLKWDv0Js5Cj8TeRxi8&#10;SSyHRtrBjBzuO3mt1EJ60xI3ONPjo8P6a3PwGj7jbvHqxvmwe1nl7ft2WqufpwetLy+m1T2IhFP6&#10;O4YTPqNDxUz7cCAbRaeBH0kabjKe7N7d5hmIPS/muQJZlfI/f/ULAAD//wMAUEsBAi0AFAAGAAgA&#10;AAAhALaDOJL+AAAA4QEAABMAAAAAAAAAAAAAAAAAAAAAAFtDb250ZW50X1R5cGVzXS54bWxQSwEC&#10;LQAUAAYACAAAACEAOP0h/9YAAACUAQAACwAAAAAAAAAAAAAAAAAvAQAAX3JlbHMvLnJlbHNQSwEC&#10;LQAUAAYACAAAACEAauvsIcwCAACqBQAADgAAAAAAAAAAAAAAAAAuAgAAZHJzL2Uyb0RvYy54bWxQ&#10;SwECLQAUAAYACAAAACEAp23fet0AAAAHAQAADwAAAAAAAAAAAAAAAAAmBQAAZHJzL2Rvd25yZXYu&#10;eG1sUEsFBgAAAAAEAAQA8wAAADAGA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4. Tõhustada võrdset juurdepääsu kvaliteetsele kaasavale tavaharidusele</w:t>
                      </w:r>
                    </w:p>
                  </w:txbxContent>
                </v:textbox>
                <w10:wrap type="topAndBottom"/>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879424" behindDoc="0" locked="0" layoutInCell="1" allowOverlap="1">
                <wp:simplePos x="0" y="0"/>
                <wp:positionH relativeFrom="column">
                  <wp:posOffset>38100</wp:posOffset>
                </wp:positionH>
                <wp:positionV relativeFrom="page">
                  <wp:posOffset>1549400</wp:posOffset>
                </wp:positionV>
                <wp:extent cx="2976245" cy="1219200"/>
                <wp:effectExtent l="0" t="0" r="14605" b="19050"/>
                <wp:wrapTopAndBottom/>
                <wp:docPr id="44" name="Téglalap: lekerekített 2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1E117D4-3B55-4FA7-A5C0-AAD4293C5AF7}"/>
                    </a:ext>
                  </a:extLst>
                </wp:docPr>
                <wp:cNvGraphicFramePr/>
                <a:graphic xmlns:a="http://schemas.openxmlformats.org/drawingml/2006/main">
                  <a:graphicData uri="http://schemas.microsoft.com/office/word/2010/wordprocessingShape">
                    <wps:wsp>
                      <wps:cNvSpPr/>
                      <wps:spPr>
                        <a:xfrm>
                          <a:off x="0" y="0"/>
                          <a:ext cx="2976245" cy="12192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Vähendada alushariduses ja lapsehoius osalemise lõhet vähemalt poole võrra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tagada, et 2030. aastaks osaleb vähemalt 70 % roma lastest koolieelses hariduses</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alushariduses ja lapsehoius osalemine (3+): romad 42 %; üldine elanikkond 92,2 % (lõhe 50,2 protsendipunkti)</w:t>
                            </w:r>
                          </w:p>
                        </w:txbxContent>
                      </wps:txbx>
                      <wps:bodyPr lIns="0" tIns="0" rIns="0" bIns="0" rtlCol="0" anchor="t" anchorCtr="0">
                        <a:noAutofit/>
                      </wps:bodyPr>
                    </wps:wsp>
                  </a:graphicData>
                </a:graphic>
                <wp14:sizeRelV relativeFrom="margin">
                  <wp14:pctHeight>0</wp14:pctHeight>
                </wp14:sizeRelV>
              </wp:anchor>
            </w:drawing>
          </mc:Choice>
          <mc:Fallback>
            <w:pict>
              <v:roundrect id="Téglalap: lekerekített 26" o:spid="_x0000_s1050" style="position:absolute;left:0;text-align:left;margin-left:3pt;margin-top:122pt;width:234.35pt;height:96pt;z-index:25187942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nihZwIAAPYEAAAOAAAAZHJzL2Uyb0RvYy54bWysVM1u2zAMvg/YOwi6J3ZcN22COsWaxsOA&#10;YSva7gEUmY6NypIhqfnBsAfaYU/RFxtF20mxDTsMy0GhJPL7PlKkr673jWJbsK42OuOTccwZaGmK&#10;Wm8y/uUxH11y5rzQhVBGQ8YP4Pj14u2bq107h8RURhVgGYJoN9+1Ga+8b+dR5GQFjXBj04LGy9LY&#10;Rnjc2k1UWLFD9EZFSRxPo52xRWuNBOfw9La75AvCL0uQ/nNZOvBMZRy1eVotreuwRosrMd9Y0Va1&#10;7GWIf1DRiFoj6RHqVnjBnm39G1RTS2ucKf1YmiYyZVlLoBwwm0n8SzYPlWiBcsHiuPZYJvf/YOWn&#10;7Z1ldZHxNOVMiwbf6PHl+0YJJdo5U/AEFp5efnjwniVTyhH2/qPzIVu0uiy/5nlyc77K01GO1iiN&#10;b9LRzSqdjfLk7HKVXOTL5Gz6LVQ7oiiKj3atm5OA8FxkPrR3Fp3CzqEZOPalbcI/1ort6eEOx4cL&#10;/BIPk9nFNEnPOZN4N0kmM2yNnmwIb63z78E0LBgZt+ZZF/fYHpSR2KKgTtzgFyidUXWR10rRJrQk&#10;LJVlW4HNtN5MeoZXXpRRJ5xS8AcFIVbpeyixykEqEVJ/n8CElKD9pLuqRAEdx3mMv4FloKcSEmBA&#10;LlHdEbsHGDw7kAG7S6/3D6FA43EMjv8mrH+4IYKYjfbH4KbWxv4JQGFWPXPnj/JflSaYfr/eUwcm&#10;aXANR2tTHLAt1QeNrR7GdjDsYKwHw3q1NN1wCy0rg7PtOevMpadJD2q1effsTVnTK58oejU4XFTW&#10;/kMQpvf1nrxOn6vFTwAAAP//AwBQSwMEFAAGAAgAAAAhAHVmtMXbAAAACQEAAA8AAABkcnMvZG93&#10;bnJldi54bWxMj81OxDAMhO9IvENkJC6ITVlKF0rTFVrEA7Bw4eY23raicUqT/vD2mBPcxvpG45li&#10;v7pezTSGzrOBm00Cirj2tuPGwPvby/U9qBCRLfaeycA3BdiX52cF5tYv/ErzMTZKQjjkaKCNcci1&#10;DnVLDsPGD8TCTn50GOUcG21HXCTc9XqbJJl22LF8aHGgQ0v153FyBh6a5YTzVN19XB3q535KELP5&#10;y5jLi/XpEVSkNf6Z4be+VIdSOlV+YhtUbyCTJdHANk1FCE936Q5UJeJWkC4L/X9B+QMAAP//AwBQ&#10;SwECLQAUAAYACAAAACEAtoM4kv4AAADhAQAAEwAAAAAAAAAAAAAAAAAAAAAAW0NvbnRlbnRfVHlw&#10;ZXNdLnhtbFBLAQItABQABgAIAAAAIQA4/SH/1gAAAJQBAAALAAAAAAAAAAAAAAAAAC8BAABfcmVs&#10;cy8ucmVsc1BLAQItABQABgAIAAAAIQDZAnihZwIAAPYEAAAOAAAAAAAAAAAAAAAAAC4CAABkcnMv&#10;ZTJvRG9jLnhtbFBLAQItABQABgAIAAAAIQB1ZrTF2wAAAAkBAAAPAAAAAAAAAAAAAAAAAMEEAABk&#10;cnMvZG93bnJldi54bWxQSwUGAAAAAAQABADzAAAAyQU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Vähendada alushariduses ja lapsehoius osalemise lõhet vähemalt poole võrra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tagada, et 2030. aastaks osaleb vähemalt 70 % roma lastest koolieelses hariduses</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alushariduses ja lapsehoius osalemine (3+): romad 42 %; üldine elanikkond 92,2 % (lõhe 50,2 protsendipunkti)</w:t>
                      </w:r>
                    </w:p>
                  </w:txbxContent>
                </v:textbox>
                <w10:wrap type="topAndBottom" anchory="page"/>
              </v:roundrect>
            </w:pict>
          </mc:Fallback>
        </mc:AlternateContent>
      </w:r>
      <w:r>
        <w:rPr>
          <w:rFonts w:ascii="Times New Roman Bold" w:hAnsi="Times New Roman Bold"/>
          <w:b/>
          <w:i/>
          <w:smallCaps/>
          <w:noProof/>
          <w:sz w:val="24"/>
          <w:szCs w:val="24"/>
          <w:lang w:val="en-GB" w:eastAsia="en-GB"/>
        </w:rPr>
        <mc:AlternateContent>
          <mc:Choice Requires="wps">
            <w:drawing>
              <wp:anchor distT="0" distB="0" distL="114300" distR="114300" simplePos="0" relativeHeight="251913216" behindDoc="0" locked="0" layoutInCell="1" allowOverlap="1">
                <wp:simplePos x="0" y="0"/>
                <wp:positionH relativeFrom="column">
                  <wp:posOffset>3092450</wp:posOffset>
                </wp:positionH>
                <wp:positionV relativeFrom="page">
                  <wp:posOffset>1530350</wp:posOffset>
                </wp:positionV>
                <wp:extent cx="2931160" cy="1200150"/>
                <wp:effectExtent l="0" t="0" r="21590" b="19050"/>
                <wp:wrapTopAndBottom/>
                <wp:docPr id="63" name="Téglalap: lekerekített 29">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A9B402D-0E17-46CA-94F4-392597DED615}"/>
                    </a:ext>
                  </a:extLst>
                </wp:docPr>
                <wp:cNvGraphicFramePr/>
                <a:graphic xmlns:a="http://schemas.openxmlformats.org/drawingml/2006/main">
                  <a:graphicData uri="http://schemas.microsoft.com/office/word/2010/wordprocessingShape">
                    <wps:wsp>
                      <wps:cNvSpPr/>
                      <wps:spPr>
                        <a:xfrm>
                          <a:off x="0" y="0"/>
                          <a:ext cx="2931160" cy="12001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Vähendada lõhet keskhariduse omandamises</w:t>
                            </w:r>
                            <w:r>
                              <w:t xml:space="preserve"> </w:t>
                            </w:r>
                            <w:r>
                              <w:br/>
                            </w:r>
                            <w:r>
                              <w:rPr>
                                <w:rFonts w:asciiTheme="minorHAnsi" w:hAnsi="Calibri"/>
                                <w:b/>
                                <w:bCs/>
                                <w:color w:val="FF0000"/>
                                <w:sz w:val="20"/>
                                <w:szCs w:val="18"/>
                              </w:rPr>
                              <w:t>vähemalt kolmandiku võrra</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tagada, et 2030. aastaks omandab enamik roma noori vähemalt keskhariduse</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omandatud keskharidus või sellest kõrgem haridus: romad 28 %; üldine elanikkond 83,5 % (lõhe 55,5 protsendipunkti) </w:t>
                            </w:r>
                          </w:p>
                        </w:txbxContent>
                      </wps:txbx>
                      <wps:bodyPr lIns="0" tIns="0" rIns="0" bIns="0" rtlCol="0" anchor="t" anchorCtr="0">
                        <a:noAutofit/>
                      </wps:bodyPr>
                    </wps:wsp>
                  </a:graphicData>
                </a:graphic>
                <wp14:sizeRelV relativeFrom="margin">
                  <wp14:pctHeight>0</wp14:pctHeight>
                </wp14:sizeRelV>
              </wp:anchor>
            </w:drawing>
          </mc:Choice>
          <mc:Fallback>
            <w:pict>
              <v:roundrect id="Téglalap: lekerekített 29" o:spid="_x0000_s1051" style="position:absolute;left:0;text-align:left;margin-left:243.5pt;margin-top:120.5pt;width:230.8pt;height:94.5pt;z-index:251913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IxZwIAAPYEAAAOAAAAZHJzL2Uyb0RvYy54bWysVEtu2zAQ3RfoHQjuHX38aWJEDmrHKgoU&#10;bZCkB6CpkSWEIgWS8QdFD5RFT5GLdTiSnKAtuijqhTwUZ968Nx9dXh0axXZgXW10xpOzmDPQ0hS1&#10;3mb8630+OufMeaELoYyGjB/B8avF2zeX+3YOqamMKsAyBNFuvm8zXnnfzqPIyQoa4c5MCxovS2Mb&#10;4fFot1FhxR7RGxWlcTyL9sYWrTUSnMO3190lXxB+WYL0X8rSgWcq48jN09PScxOe0eJSzLdWtFUt&#10;exriH1g0otaY9AR1Lbxgj7b+DaqppTXOlP5MmiYyZVlLIA2oJol/UXNXiRZICxbHtacyuf8HKz/v&#10;biyri4zPxpxp0WCP7p+ftkoo0c6Zggew8PD8w4P3LL0gjXDwn5wPatHqVH7L83Q5XeeTUY7WaBIv&#10;J6PlenIxytPx+Tp9l6/S8ex7qHZEURQf7Vs3JwKhXWTetTcWncLJoRlyHErbhH+sFTtQ446nxoX8&#10;El+mF+MkmWF/Jd4lOBfJlFqLyYbw1jr/AUzDgpFxax51cYvjQYrEDgl15Aa/kNIZVRd5rRQdwkjC&#10;Slm2EzhMm23Sy3nlRYo64iTBHxWEWKVvocQqB6qUkOb7BUxICdon3VUlCuhyTGP8DVmG9FRCAgzI&#10;JbI7YfcAg2cHMmB38nr/EAq0Hqfg+G/E+sYNEZTZaH8Kbmpt7J8AFKrqM3f+SP9VaYLpD5sDTWA6&#10;Da7h1cYURxxL9VHjqIe1HQw7GJvBsF6tTLfcQsvK4G57zjpz5WnTA1tt3j96U9bU5ZcUPRtcLipr&#10;/yEI2/v6TF4vn6vFTwAAAP//AwBQSwMEFAAGAAgAAAAhAEJ0EW3eAAAACwEAAA8AAABkcnMvZG93&#10;bnJldi54bWxMj81OwzAQhO9IvIO1SFwQtVtCSEOcChXxABQu3DbxNomI7RA7P7w9ywluO5rR7DfF&#10;YbW9mGkMnXcathsFglztTecaDe9vL7cZiBDRGey9Iw3fFOBQXl4UmBu/uFeaT7ERXOJCjhraGIdc&#10;ylC3ZDFs/ECOvbMfLUaWYyPNiAuX217ulEqlxc7xhxYHOrZUf54mq2HfLGecp+r+4+ZYP/eTQkzn&#10;L62vr9anRxCR1vgXhl98RoeSmSo/ORNEryHJHnhL1LBLtnxwYp9kKYiKrTulQJaF/L+h/AEAAP//&#10;AwBQSwECLQAUAAYACAAAACEAtoM4kv4AAADhAQAAEwAAAAAAAAAAAAAAAAAAAAAAW0NvbnRlbnRf&#10;VHlwZXNdLnhtbFBLAQItABQABgAIAAAAIQA4/SH/1gAAAJQBAAALAAAAAAAAAAAAAAAAAC8BAABf&#10;cmVscy8ucmVsc1BLAQItABQABgAIAAAAIQCh+2IxZwIAAPYEAAAOAAAAAAAAAAAAAAAAAC4CAABk&#10;cnMvZTJvRG9jLnhtbFBLAQItABQABgAIAAAAIQBCdBFt3gAAAAsBAAAPAAAAAAAAAAAAAAAAAMEE&#10;AABkcnMvZG93bnJldi54bWxQSwUGAAAAAAQABADzAAAAzAU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Vähendada lõhet keskhariduse omandamises</w:t>
                      </w:r>
                      <w:r>
                        <w:t xml:space="preserve"> </w:t>
                      </w:r>
                      <w:r>
                        <w:br/>
                      </w:r>
                      <w:r>
                        <w:rPr>
                          <w:rFonts w:asciiTheme="minorHAnsi" w:hAnsi="Calibri"/>
                          <w:b/>
                          <w:bCs/>
                          <w:color w:val="FF0000"/>
                          <w:sz w:val="20"/>
                          <w:szCs w:val="18"/>
                        </w:rPr>
                        <w:t>vähemalt kolmandiku võrra</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tagada, et 2030. aastaks omandab enamik roma noori vähemalt keskhariduse</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omandatud keskharidus või sellest kõrgem haridus: romad 28 %; üldine elanikkond 83,5 % (lõhe 55,5 protsendipunkti) </w:t>
                      </w:r>
                    </w:p>
                  </w:txbxContent>
                </v:textbox>
                <w10:wrap type="topAndBottom" anchory="page"/>
              </v:roundrect>
            </w:pict>
          </mc:Fallback>
        </mc:AlternateContent>
      </w:r>
      <w:r>
        <w:rPr>
          <w:rFonts w:ascii="Times New Roman" w:hAnsi="Times New Roman"/>
          <w:noProof/>
          <w:sz w:val="20"/>
          <w:szCs w:val="20"/>
          <w:lang w:val="en-GB" w:eastAsia="en-GB"/>
        </w:rPr>
        <mc:AlternateContent>
          <mc:Choice Requires="wps">
            <w:drawing>
              <wp:anchor distT="0" distB="0" distL="114300" distR="114300" simplePos="0" relativeHeight="251961344" behindDoc="0" locked="0" layoutInCell="1" allowOverlap="1">
                <wp:simplePos x="0" y="0"/>
                <wp:positionH relativeFrom="column">
                  <wp:posOffset>0</wp:posOffset>
                </wp:positionH>
                <wp:positionV relativeFrom="page">
                  <wp:posOffset>914400</wp:posOffset>
                </wp:positionV>
                <wp:extent cx="6248400" cy="327660"/>
                <wp:effectExtent l="0" t="0" r="0" b="0"/>
                <wp:wrapTopAndBottom/>
                <wp:docPr id="65" name="Téglalap 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docPr>
                <wp:cNvGraphicFramePr/>
                <a:graphic xmlns:a="http://schemas.openxmlformats.org/drawingml/2006/main">
                  <a:graphicData uri="http://schemas.microsoft.com/office/word/2010/wordprocessingShape">
                    <wps:wsp>
                      <wps:cNvSpPr/>
                      <wps:spPr>
                        <a:xfrm>
                          <a:off x="0" y="0"/>
                          <a:ext cx="6248400" cy="327660"/>
                        </a:xfrm>
                        <a:prstGeom prst="rect">
                          <a:avLst/>
                        </a:prstGeom>
                      </wps:spPr>
                      <wps:txb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Valdkondlikud eesmärgid </w:t>
                            </w:r>
                          </w:p>
                        </w:txbxContent>
                      </wps:txbx>
                      <wps:bodyPr wrap="square">
                        <a:noAutofit/>
                      </wps:bodyPr>
                    </wps:wsp>
                  </a:graphicData>
                </a:graphic>
              </wp:anchor>
            </w:drawing>
          </mc:Choice>
          <mc:Fallback>
            <w:pict>
              <v:rect id="_x0000_s1052" style="position:absolute;left:0;text-align:left;margin-left:0;margin-top:1in;width:492pt;height:25.8pt;z-index:25196134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K1xQEAAE0DAAAOAAAAZHJzL2Uyb0RvYy54bWysU0tu2zAQ3RfoHQjuZSm0oriC5aBurG6K&#10;NkDSA9AUaREQPyVpS0bRA/UcvViGtGMX7a7ohhqSwzfz3hst7yc1oAN3Xhrd4JtZgRHXzHRS7xr8&#10;9bnNFhj5QHVHB6N5g4/c4/vV2zfL0dacmN4MHXcIQLSvR9vgPgRb57lnPVfUz4zlGi6FcYoG2Lpd&#10;3jk6AroaclIUVT4a11lnGPceTh9Ol3iV8IXgLHwRwvOAhgZDbyGtLq3buOarJa13jtpesnMb9B+6&#10;UFRqKHqBeqCBor2Tf0EpyZzxRoQZMyo3QkjGEwdgc1P8weapp5YnLiCOtxeZ/P+DZZ8Pjw7JrsHV&#10;LUaaKvDo+dfP3UAHalGZOPEpfPIhsoPoxOp725L17aYtsxairCzWZbbelO+ylswXG3LXfiDz6kdU&#10;N0+v0vt8tL5OBaM9KXyyjw6S4s5DGGtMwqn4BW3QlIw6XoyK9RkcVqRclAX4yeBuTu6qKjkJtV5f&#10;W+fDR24UikGDHQxC4kIP0MqprdcU6PFaP0Zh2k5JElJFBvFoa7oj6DTCoDTYf9tTF32htTbv98EI&#10;mSCviWdI8CwJcJ6vOBS/71PW9S9YvQAAAP//AwBQSwMEFAAGAAgAAAAhAPyazd7dAAAACAEAAA8A&#10;AABkcnMvZG93bnJldi54bWxMT9FqwkAQfC/4D8cKfSn10mJFYy5ShFIpBWmsPp+5NQnm9mLuTNK/&#10;7/rUvs3ODLMzyWqwteiw9ZUjBU+TCARS7kxFhYLv3dvjHIQPmoyuHaGCH/SwSkd3iY6N6+kLuywU&#10;gkPIx1pBGUITS+nzEq32E9cgsXZyrdWBz7aQptU9h9taPkfRTFpdEX8odYPrEvNzdrUK+nzbHXaf&#10;73L7cNg4umwu62z/odT9eHhdggg4hD8z3OpzdUi509FdyXhRK+AhgdnplAHLi/kNHJlZvMxApon8&#10;PyD9BQAA//8DAFBLAQItABQABgAIAAAAIQC2gziS/gAAAOEBAAATAAAAAAAAAAAAAAAAAAAAAABb&#10;Q29udGVudF9UeXBlc10ueG1sUEsBAi0AFAAGAAgAAAAhADj9If/WAAAAlAEAAAsAAAAAAAAAAAAA&#10;AAAALwEAAF9yZWxzLy5yZWxzUEsBAi0AFAAGAAgAAAAhALC2orXFAQAATQMAAA4AAAAAAAAAAAAA&#10;AAAALgIAAGRycy9lMm9Eb2MueG1sUEsBAi0AFAAGAAgAAAAhAPyazd7dAAAACAEAAA8AAAAAAAAA&#10;AAAAAAAAHwQAAGRycy9kb3ducmV2LnhtbFBLBQYAAAAABAAEAPMAAAApBQAAAAA=&#10;" filled="f" stroked="f">
                <v:textbo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Valdkondlikud eesmärgid </w:t>
                      </w:r>
                    </w:p>
                  </w:txbxContent>
                </v:textbox>
                <w10:wrap type="topAndBottom" anchory="page"/>
              </v:rect>
            </w:pict>
          </mc:Fallback>
        </mc:AlternateContent>
      </w:r>
      <w:r>
        <w:rPr>
          <w:rFonts w:ascii="Times New Roman" w:hAnsi="Times New Roman"/>
          <w:noProof/>
          <w:sz w:val="20"/>
          <w:szCs w:val="20"/>
        </w:rPr>
        <w:t>Uuritakse ka muid näitajaid</w:t>
      </w:r>
      <w:r>
        <w:rPr>
          <w:rStyle w:val="FootnoteReference"/>
          <w:rFonts w:ascii="Times New Roman" w:eastAsia="Times New Roman" w:hAnsi="Times New Roman" w:cs="Times New Roman"/>
          <w:noProof/>
          <w:sz w:val="20"/>
          <w:szCs w:val="20"/>
        </w:rPr>
        <w:footnoteReference w:id="24"/>
      </w:r>
      <w:r>
        <w:rPr>
          <w:rFonts w:ascii="Times New Roman" w:hAnsi="Times New Roman"/>
          <w:noProof/>
          <w:sz w:val="20"/>
          <w:szCs w:val="20"/>
        </w:rPr>
        <w:t>.</w:t>
      </w:r>
    </w:p>
    <w:p>
      <w:pPr>
        <w:pageBreakBefore/>
        <w:spacing w:before="360" w:after="240" w:line="240" w:lineRule="auto"/>
        <w:ind w:left="567" w:hanging="567"/>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III. </w:t>
      </w:r>
      <w:r>
        <w:rPr>
          <w:noProof/>
        </w:rPr>
        <w:tab/>
      </w:r>
      <w:r>
        <w:rPr>
          <w:rFonts w:ascii="Times New Roman Bold" w:hAnsi="Times New Roman Bold"/>
          <w:b/>
          <w:i/>
          <w:smallCaps/>
          <w:noProof/>
          <w:sz w:val="24"/>
          <w:szCs w:val="24"/>
        </w:rPr>
        <w:t>Uuendatud ja tugevdatud riiklikud meetmed võrdõiguslikkuse, kaasamise ja osalemise tagamiseks</w:t>
      </w:r>
    </w:p>
    <w:p>
      <w:pPr>
        <w:spacing w:after="120" w:line="240" w:lineRule="auto"/>
        <w:jc w:val="both"/>
        <w:rPr>
          <w:rFonts w:ascii="Times New Roman" w:hAnsi="Times New Roman"/>
          <w:b/>
          <w:noProof/>
          <w:sz w:val="24"/>
          <w:szCs w:val="24"/>
        </w:rPr>
      </w:pPr>
      <w:r>
        <w:rPr>
          <w:rFonts w:ascii="Times New Roman" w:hAnsi="Times New Roman"/>
          <w:noProof/>
          <w:sz w:val="24"/>
          <w:szCs w:val="24"/>
        </w:rPr>
        <w:t>Strateegilise raamistiku eesmärkide saavutamiseks tuleb võtta meetmeid nii ELi kui ka riigi tasandil. Selline täiendav lähenemisviis on ainus viis muutuste esilekutsumiseks kohapeal. Liikmesriikidel on raamistikuga hõlmatud valdkondades põhipädevus ja vaja on struktureeritud lähenemisviisi. Kuigi romade olukord on riigiti erinev, tuleb suurendada riigi tasandil kohustusi ja vastutust, et tuua kaasa tõelised muutused romade igapäevaelus. Selleks tuleb romasid käsitlevate riiklike strateegiliste raamistike väljatöötamisse kaasata kodanikuühiskonda ja kõiki asjaomaseid sidusrühmi.</w:t>
      </w:r>
    </w:p>
    <w:tbl>
      <w:tblPr>
        <w:tblStyle w:val="TableGrid"/>
        <w:tblW w:w="0" w:type="auto"/>
        <w:tblLook w:val="04A0" w:firstRow="1" w:lastRow="0" w:firstColumn="1" w:lastColumn="0" w:noHBand="0" w:noVBand="1"/>
      </w:tblPr>
      <w:tblGrid>
        <w:gridCol w:w="9323"/>
      </w:tblGrid>
      <w:tr>
        <w:tc>
          <w:tcPr>
            <w:tcW w:w="9323" w:type="dxa"/>
          </w:tcPr>
          <w:p>
            <w:pPr>
              <w:spacing w:after="120"/>
              <w:jc w:val="both"/>
              <w:rPr>
                <w:rFonts w:ascii="Times New Roman" w:hAnsi="Times New Roman"/>
                <w:b/>
                <w:i/>
                <w:noProof/>
                <w:sz w:val="24"/>
                <w:szCs w:val="24"/>
              </w:rPr>
            </w:pPr>
            <w:r>
              <w:rPr>
                <w:rFonts w:ascii="Times New Roman" w:hAnsi="Times New Roman"/>
                <w:b/>
                <w:i/>
                <w:noProof/>
                <w:sz w:val="24"/>
                <w:szCs w:val="24"/>
              </w:rPr>
              <w:t>Riiklike meetmete võtmine romasid käsitlevate riiklike strateegiliste raamistike kaudu</w:t>
            </w:r>
          </w:p>
          <w:p>
            <w:pPr>
              <w:spacing w:after="120"/>
              <w:jc w:val="both"/>
              <w:rPr>
                <w:rFonts w:ascii="Times New Roman" w:hAnsi="Times New Roman"/>
                <w:noProof/>
                <w:sz w:val="24"/>
                <w:szCs w:val="24"/>
              </w:rPr>
            </w:pPr>
            <w:r>
              <w:rPr>
                <w:rFonts w:ascii="Times New Roman" w:hAnsi="Times New Roman"/>
                <w:noProof/>
                <w:sz w:val="24"/>
                <w:szCs w:val="24"/>
              </w:rPr>
              <w:t>Liikmesriike kutsutakse üles töötama välja, võtma vastu ja rakendama romasid käsitlevaid riiklikke strateegilisi raamistikke, mis sisaldavad:</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 xml:space="preserve">ühiseid omadusi; </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minimaalseid kohustusi, mis peaksid kehtima kõigile;</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võimalikke riigi olukorral põhinevaid lisakohustusi;</w:t>
            </w:r>
          </w:p>
          <w:p>
            <w:pPr>
              <w:pStyle w:val="ListParagraph"/>
              <w:numPr>
                <w:ilvl w:val="1"/>
                <w:numId w:val="36"/>
              </w:numPr>
              <w:spacing w:line="240" w:lineRule="auto"/>
              <w:ind w:left="584" w:hanging="357"/>
              <w:contextualSpacing w:val="0"/>
              <w:rPr>
                <w:rFonts w:ascii="Times New Roman" w:hAnsi="Times New Roman"/>
                <w:noProof/>
                <w:sz w:val="24"/>
                <w:szCs w:val="24"/>
              </w:rPr>
            </w:pPr>
            <w:r>
              <w:rPr>
                <w:rFonts w:ascii="Times New Roman" w:hAnsi="Times New Roman"/>
                <w:noProof/>
                <w:sz w:val="24"/>
                <w:szCs w:val="24"/>
              </w:rPr>
              <w:t>suure roma elanikkonnaga liikmesriikide kaugeleulatuvamaid kohustusi.</w:t>
            </w:r>
          </w:p>
          <w:p>
            <w:pPr>
              <w:ind w:left="22"/>
              <w:jc w:val="both"/>
              <w:rPr>
                <w:rFonts w:ascii="Times New Roman" w:hAnsi="Times New Roman"/>
                <w:noProof/>
                <w:sz w:val="24"/>
                <w:szCs w:val="24"/>
              </w:rPr>
            </w:pPr>
            <w:r>
              <w:rPr>
                <w:rFonts w:ascii="Times New Roman" w:hAnsi="Times New Roman"/>
                <w:noProof/>
                <w:sz w:val="24"/>
                <w:szCs w:val="24"/>
              </w:rPr>
              <w:t xml:space="preserve">Ettepanekud nende elementide kohta on esitatud allpool. Võimaluse korral tuleks seada konkreetsed riiklikud eesmärgid. Komisjon aitab sellele protsessile kaasa kõigi vajalike suuniste andmisega. Komisjon toetab ka </w:t>
            </w:r>
          </w:p>
          <w:p>
            <w:pPr>
              <w:spacing w:after="120"/>
              <w:ind w:left="23"/>
              <w:jc w:val="both"/>
              <w:rPr>
                <w:rFonts w:ascii="Times New Roman" w:hAnsi="Times New Roman"/>
                <w:noProof/>
                <w:sz w:val="24"/>
                <w:szCs w:val="24"/>
              </w:rPr>
            </w:pPr>
            <w:r>
              <w:rPr>
                <w:rFonts w:ascii="Times New Roman" w:hAnsi="Times New Roman"/>
                <w:noProof/>
                <w:sz w:val="24"/>
                <w:szCs w:val="24"/>
              </w:rPr>
              <w:t>riiklikke meetmeid, sealhulgas võrdõiguslikkust käsitlevate õigusaktide täitmise tagamisega, romade võrdõiguslikkuse, kaasamise ja osalemisega arvestamisega ELi poliitikaalgatustes, ELi rahaliste vahendite kasutuselevõtmisega romade heaks ning romavastasusega võitlemisega.</w:t>
            </w:r>
          </w:p>
          <w:p>
            <w:pPr>
              <w:ind w:left="22"/>
              <w:jc w:val="both"/>
              <w:rPr>
                <w:rFonts w:ascii="Times New Roman" w:hAnsi="Times New Roman"/>
                <w:b/>
                <w:i/>
                <w:noProof/>
                <w:sz w:val="24"/>
                <w:szCs w:val="24"/>
              </w:rPr>
            </w:pPr>
            <w:r>
              <w:rPr>
                <w:rFonts w:ascii="Times New Roman" w:hAnsi="Times New Roman"/>
                <w:noProof/>
                <w:sz w:val="24"/>
                <w:szCs w:val="24"/>
              </w:rPr>
              <w:t>Liikmesriike kutsutakse üles viima nende riiklike raamistike väljatöötamine lõpule 2021. aasta septembriks ja jagama neid komisjoniga.</w:t>
            </w:r>
          </w:p>
        </w:tc>
      </w:tr>
    </w:tbl>
    <w:p>
      <w:pPr>
        <w:spacing w:after="0" w:line="240" w:lineRule="auto"/>
        <w:jc w:val="both"/>
        <w:rPr>
          <w:rFonts w:ascii="Times New Roman" w:hAnsi="Times New Roman"/>
          <w:b/>
          <w:noProof/>
          <w:sz w:val="24"/>
          <w:szCs w:val="24"/>
        </w:rPr>
      </w:pP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Koos käesoleva teatisega võtab komisjon vastu ettepaneku romade võrdõiguslikkust, kaasamist ja osalemist käsitleva </w:t>
      </w:r>
      <w:r>
        <w:rPr>
          <w:rFonts w:ascii="Times New Roman" w:hAnsi="Times New Roman"/>
          <w:b/>
          <w:noProof/>
          <w:sz w:val="24"/>
          <w:szCs w:val="24"/>
        </w:rPr>
        <w:t>nõukogu soovituse</w:t>
      </w:r>
      <w:r>
        <w:rPr>
          <w:rFonts w:ascii="Times New Roman" w:hAnsi="Times New Roman"/>
          <w:noProof/>
          <w:sz w:val="24"/>
          <w:szCs w:val="24"/>
        </w:rPr>
        <w:t xml:space="preserve"> kohta, milles esitatakse selliste konkreetsete meetmete loetelu, mida liikmesriigid peaksid ELi eesmärkide saavutamiseks võtma. Need kaks dokumenti täiendavad seega teineteist. Kavandatud soovituses antakse ühtlasi suuniseid sidusrühmade, sealhulgas riiklike romade kontaktpunktide, võrdõiguslikkust edendavate asutuste, kodanikuühiskonna ning piirkondlike ja kohalike osalejate suutlikkuse suurendamise ja nendevahelise partnerluse kohta. Samuti antakse suuniseid selle kohta, kuidas tagada ELi ja riiklike vahendite parem kasutamine ning tõhus riiklik järelevalve, aruandlus ja hindamine seoses romasid käsitlevate riiklike strateegiliste raamistikega.</w:t>
      </w:r>
    </w:p>
    <w:p>
      <w:pPr>
        <w:spacing w:before="240" w:after="240" w:line="240" w:lineRule="auto"/>
        <w:jc w:val="both"/>
        <w:rPr>
          <w:rFonts w:ascii="Times New Roman" w:hAnsi="Times New Roman"/>
          <w:b/>
          <w:i/>
          <w:noProof/>
          <w:sz w:val="24"/>
          <w:szCs w:val="24"/>
        </w:rPr>
      </w:pPr>
      <w:r>
        <w:rPr>
          <w:rFonts w:ascii="Times New Roman" w:hAnsi="Times New Roman"/>
          <w:b/>
          <w:i/>
          <w:noProof/>
          <w:sz w:val="24"/>
          <w:szCs w:val="24"/>
        </w:rPr>
        <w:t>III.1 Suunised riiklike meetmete kohta, mille võtmisel järgitakse ühist, kuid diferentseeritud lähenemisviisi</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Et aidata liikmesriikidel töötada välja asjakohased ja tõhusad romasid käsitlevad riiklikud strateegilised raamistikud, teeb komisjon ettepaneku romasid käsitlevate riiklike strateegiliste raamistike ühiste omaduste ja neis sisalduvate minimaalsete kohustuste kohta. Kuna aga romade osakaal ja nende olukord riigis on liikmesriigiti väga erinev, teeb komisjon ühtlasi ettepaneku sihipärasemate lisakohustuste võtmiseks. Seeläbi võetakse arvesse liikmesriikide olukordade erinevust ja tehakse võimalikuks ühine, kuid diferentseeritud lähenemisviis. </w:t>
      </w:r>
    </w:p>
    <w:p>
      <w:pPr>
        <w:keepNext/>
        <w:keepLines/>
        <w:spacing w:after="120" w:line="240" w:lineRule="auto"/>
        <w:jc w:val="both"/>
        <w:rPr>
          <w:rFonts w:ascii="Times New Roman" w:hAnsi="Times New Roman" w:cs="Times New Roman"/>
          <w:noProof/>
          <w:sz w:val="24"/>
          <w:szCs w:val="24"/>
        </w:rPr>
      </w:pPr>
      <w:r>
        <w:rPr>
          <w:rFonts w:ascii="Times New Roman" w:hAnsi="Times New Roman"/>
          <w:b/>
          <w:noProof/>
          <w:sz w:val="24"/>
          <w:szCs w:val="24"/>
        </w:rPr>
        <w:t>Esiteks</w:t>
      </w:r>
      <w:r>
        <w:rPr>
          <w:rFonts w:ascii="Times New Roman" w:hAnsi="Times New Roman"/>
          <w:noProof/>
          <w:sz w:val="24"/>
          <w:szCs w:val="24"/>
        </w:rPr>
        <w:t xml:space="preserve"> teeb komisjon ettepaneku,</w:t>
      </w:r>
      <w:r>
        <w:rPr>
          <w:rFonts w:ascii="Times New Roman" w:hAnsi="Times New Roman"/>
          <w:b/>
          <w:noProof/>
          <w:sz w:val="24"/>
          <w:szCs w:val="24"/>
        </w:rPr>
        <w:t xml:space="preserve"> et kõiki romasid käsitlevaid riiklikke strateegilisi raamistikke iseloomustaksid alltoodud ühised eesmärgid</w:t>
      </w:r>
      <w:r>
        <w:rPr>
          <w:rFonts w:ascii="Times New Roman" w:hAnsi="Times New Roman"/>
          <w:noProof/>
          <w:sz w:val="24"/>
          <w:szCs w:val="24"/>
        </w:rPr>
        <w: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Pöörata suuremat tähelepanu võrdõiguslikkusele, et täiendada kaasamisel põhinevat lähenemisviisi:</w:t>
      </w:r>
      <w:r>
        <w:rPr>
          <w:rFonts w:ascii="Times New Roman" w:hAnsi="Times New Roman"/>
          <w:noProof/>
          <w:sz w:val="24"/>
          <w:szCs w:val="24"/>
        </w:rPr>
        <w:t xml:space="preserve"> nelja poliitikavaldkonna (haridus, tööhõive, tervishoid ja eluase) käsitlemine integreeritud lähenemisviisi abil on romade kaasamisel endiselt keskse tähtsusega, kuid samuti on vaja selgelt keskenduda võrdõiguslikkusele. Eelkõige peaks võitlus diskrimineerimise ja romavastasuse vastu olema igas poliitikavaldkonnas peamine eesmärk ja valdkondadeülene prioriteet, mis täiendab kaasamisel põhinevat lähenemisviisi. See mitmele teemale keskendumine peaks tagama romadele tõhusa juurdepääsu majanduslikule ja sotsiaalsele õiglusele ning võrdsed võimalused.</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Edendada osalemist võimestamise, koostöö ja usalduse kaudu</w:t>
      </w:r>
      <w:r>
        <w:rPr>
          <w:rFonts w:ascii="Times New Roman" w:hAnsi="Times New Roman"/>
          <w:noProof/>
          <w:sz w:val="24"/>
          <w:szCs w:val="24"/>
        </w:rPr>
        <w:t>: romade sisuline osalemine tuleb tagada poliitikakujundamise kõigis etappides. Romade poliitilist, majanduslikku ja kultuurilist kaasamist tuleks edendada nii, et nad tunnevad end täieväärtuslike ühiskonnaliikmetena. Tagada tuleb romade, kodanikuühiskonna ja avaliku sektori asutuste võimestamine ja suutlikkuse suurendamine, arendades sidusrühmade ning roma ja mitteroma kogukondade vahelist koostööd ja usaldust.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 xml:space="preserve">Kajastada romade mitmekesisust: </w:t>
      </w:r>
      <w:r>
        <w:rPr>
          <w:rFonts w:ascii="Times New Roman" w:hAnsi="Times New Roman"/>
          <w:noProof/>
          <w:sz w:val="24"/>
          <w:szCs w:val="24"/>
        </w:rPr>
        <w:t xml:space="preserve">liikmesriigid peaksid tagama, et nende strateegilised raamistikud hõlmavad kõiki romasid nende territooriumil ja kajastavad intersektsionaalse lähenemisviisi abil eri rühmade vajadusi. Nad peaksid meeles pidama, kuidas identiteedi eri aspektid võivad koos diskrimineerimist süvendada. Nad peaksid seadma kvantitatiivsed ja/või kvalitatiivsed eesmärgid tagamaks, et arvesse on võetud mitmekesisust vanuse, soo, seksuaalse sättumuse, liikuvuse ja muude isikuomaduste seisukohast. </w:t>
      </w:r>
    </w:p>
    <w:p>
      <w:pPr>
        <w:pStyle w:val="ListParagraph"/>
        <w:keepNext/>
        <w:keepLines/>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Ühendada integreerimine ja sõnaselge, kuid mitte välistav suunatus romadele</w:t>
      </w:r>
      <w:r>
        <w:rPr>
          <w:rStyle w:val="FootnoteReference"/>
          <w:rFonts w:ascii="Times New Roman" w:hAnsi="Times New Roman"/>
          <w:i/>
          <w:noProof/>
          <w:sz w:val="24"/>
          <w:szCs w:val="24"/>
        </w:rPr>
        <w:footnoteReference w:id="25"/>
      </w:r>
      <w:r>
        <w:rPr>
          <w:rFonts w:ascii="Times New Roman" w:hAnsi="Times New Roman"/>
          <w:i/>
          <w:noProof/>
          <w:sz w:val="24"/>
          <w:szCs w:val="24"/>
        </w:rPr>
        <w:t xml:space="preserve">: </w:t>
      </w:r>
      <w:r>
        <w:rPr>
          <w:rFonts w:ascii="Times New Roman" w:hAnsi="Times New Roman"/>
          <w:noProof/>
          <w:sz w:val="24"/>
          <w:szCs w:val="24"/>
        </w:rPr>
        <w:t xml:space="preserve">romasid käsitlevates riiklikes strateegilistes raamistikes tuleks ühendada integreerimine ja selge, kuid mitte välistav suunatus, tagades, et üldteenused on kaasavad, ning pakkudes sihipärast lisatoetust, et tõhustada romade võrdset juurdepääsu õigustele ja teenustele. Raamistikud peaksid olema kavandamisvahendid riiklike ja ELi vahendite kasutamiseks romadele suunatud meetmete ja üldise kaasava reformi jaoks. </w:t>
      </w:r>
    </w:p>
    <w:p>
      <w:pPr>
        <w:pStyle w:val="ListParagraph"/>
        <w:numPr>
          <w:ilvl w:val="0"/>
          <w:numId w:val="43"/>
        </w:numPr>
        <w:spacing w:line="240" w:lineRule="auto"/>
        <w:ind w:left="357" w:hanging="357"/>
        <w:rPr>
          <w:rFonts w:ascii="Times New Roman" w:hAnsi="Times New Roman"/>
          <w:noProof/>
          <w:sz w:val="24"/>
          <w:szCs w:val="24"/>
        </w:rPr>
      </w:pPr>
      <w:r>
        <w:rPr>
          <w:rFonts w:ascii="Times New Roman" w:hAnsi="Times New Roman"/>
          <w:i/>
          <w:noProof/>
          <w:sz w:val="24"/>
          <w:szCs w:val="24"/>
        </w:rPr>
        <w:t>Parandada eesmärkide seadmist, andmete kogumist, järelevalvet ja aruandlust:</w:t>
      </w:r>
      <w:r>
        <w:rPr>
          <w:rFonts w:ascii="Times New Roman" w:hAnsi="Times New Roman"/>
          <w:noProof/>
          <w:sz w:val="24"/>
          <w:szCs w:val="24"/>
        </w:rPr>
        <w:t xml:space="preserve"> töö ELi tasandi peamiste eesmärkide ning vastavate kvantitatiivsete ja/või kvalitatiivsete riiklike eesmärkide saavutamise nimel võib anda tõuke tõelistele edusammudele romade võrdõiguslikkuse, kaasamise ja osalemise suunas. Andmeid tuleks koguda korrapäraselt, et aidata kaasa aruandlusele ja järelevalvele, suurendada läbipaistvust ja vastutust ning edendada poliitikakogemuste vahetamist ja neist õppimist</w:t>
      </w:r>
      <w:r>
        <w:rPr>
          <w:rStyle w:val="FootnoteReference"/>
          <w:rFonts w:ascii="Times New Roman" w:hAnsi="Times New Roman"/>
          <w:noProof/>
          <w:sz w:val="24"/>
          <w:szCs w:val="24"/>
        </w:rPr>
        <w:footnoteReference w:id="26"/>
      </w:r>
      <w:r>
        <w:rPr>
          <w:rFonts w:ascii="Times New Roman" w:hAnsi="Times New Roman"/>
          <w:noProof/>
          <w:sz w:val="24"/>
          <w:szCs w:val="24"/>
        </w:rPr>
        <w:t>.</w:t>
      </w:r>
    </w:p>
    <w:p>
      <w:pPr>
        <w:spacing w:after="120" w:line="240" w:lineRule="auto"/>
        <w:jc w:val="both"/>
        <w:rPr>
          <w:rFonts w:ascii="Times New Roman" w:hAnsi="Times New Roman" w:cs="Times New Roman"/>
          <w:b/>
          <w:noProof/>
          <w:sz w:val="24"/>
          <w:szCs w:val="24"/>
        </w:rPr>
      </w:pPr>
      <w:r>
        <w:rPr>
          <w:rFonts w:ascii="Times New Roman" w:hAnsi="Times New Roman"/>
          <w:b/>
          <w:noProof/>
          <w:sz w:val="24"/>
          <w:szCs w:val="24"/>
        </w:rPr>
        <w:t>Teiseks,</w:t>
      </w:r>
      <w:r>
        <w:rPr>
          <w:rFonts w:ascii="Times New Roman" w:hAnsi="Times New Roman"/>
          <w:noProof/>
          <w:sz w:val="24"/>
          <w:szCs w:val="24"/>
        </w:rPr>
        <w:t xml:space="preserve"> kehtestades ühised omadused, tuginedes praeguse raamistikuga saadud kogemustele ja viimasel kahel aastal korraldatud ulatuslikele aruteludele,</w:t>
      </w:r>
      <w:r>
        <w:rPr>
          <w:rStyle w:val="FootnoteReference"/>
          <w:rFonts w:ascii="Times New Roman" w:hAnsi="Times New Roman" w:cs="Times New Roman"/>
          <w:noProof/>
          <w:sz w:val="24"/>
          <w:szCs w:val="24"/>
        </w:rPr>
        <w:footnoteReference w:id="27"/>
      </w:r>
      <w:r>
        <w:rPr>
          <w:rFonts w:ascii="Times New Roman" w:hAnsi="Times New Roman"/>
          <w:noProof/>
          <w:sz w:val="24"/>
          <w:szCs w:val="24"/>
        </w:rPr>
        <w:t xml:space="preserve"> kutsub komisjon kõiki liikmesriike üles </w:t>
      </w:r>
      <w:r>
        <w:rPr>
          <w:rFonts w:ascii="Times New Roman" w:hAnsi="Times New Roman"/>
          <w:b/>
          <w:noProof/>
          <w:sz w:val="24"/>
          <w:szCs w:val="24"/>
        </w:rPr>
        <w:t>lisama oma romasid käsitlevatesse riiklikesse raamistikesse vähemalt alltoodud kohustused</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keepLines/>
              <w:spacing w:before="60" w:after="0" w:line="240" w:lineRule="auto"/>
              <w:rPr>
                <w:rFonts w:ascii="Times New Roman" w:eastAsia="MS Mincho" w:hAnsi="Times New Roman"/>
                <w:noProof/>
                <w:sz w:val="24"/>
                <w:szCs w:val="24"/>
              </w:rPr>
            </w:pPr>
            <w:r>
              <w:rPr>
                <w:rFonts w:ascii="Times New Roman" w:hAnsi="Times New Roman"/>
                <w:b/>
                <w:noProof/>
                <w:sz w:val="24"/>
                <w:szCs w:val="24"/>
              </w:rPr>
              <w:t>Riiklikus strateegilises raamistikus</w:t>
            </w:r>
            <w:r>
              <w:rPr>
                <w:rFonts w:ascii="Times New Roman" w:hAnsi="Times New Roman"/>
                <w:noProof/>
                <w:sz w:val="24"/>
                <w:szCs w:val="24"/>
              </w:rPr>
              <w:t xml:space="preserve"> tuleks sätestada:</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riiklikud lähtetasemed ja eesmärgid ELi eesmärkide ja sihtide saavutamiseks, tuginedes põhjalikule vajaduste hindamisele;</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konkreetsete rühmadega (roma lapsed, naised, noored, eakad või puuetega inimesed, liikuvad ELi kodanikud, kolmandate riikide kodanikud, kodakondsuseta romad) seotud eesmärgid ja meetmed, et kajastada romade mitmekesisust, sealhulgas soo aspekti ja lastega/vanusega arvestavad meetmed;</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meetmed romavastasuse ja diskrimineerimise vastu võitlemiseks (nt riiklike rassismivastaste tegevuskavade kaudu);</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meetmed tõrjutud romade sotsiaal-majandusliku kaasamise tagamiseks, eelkõige hariduse, tööhõive, tervishoiu ja eluaseme valdkonnas;</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sihipäraste ja üldiste meetmete kombinatsioon, milles on võetud arvesse konkreetseid kohalikke probleeme ja mis on selgelt mõeldud romade takistuste kõrvaldamiseks võrdsel juurdepääsul peavoolupoliitikale</w:t>
            </w:r>
            <w:r>
              <w:rPr>
                <w:rStyle w:val="FootnoteReference"/>
                <w:rFonts w:ascii="Times New Roman" w:eastAsia="MS Mincho" w:hAnsi="Times New Roman"/>
                <w:noProof/>
                <w:sz w:val="24"/>
                <w:szCs w:val="24"/>
              </w:rPr>
              <w:footnoteReference w:id="28"/>
            </w:r>
            <w:r>
              <w:rPr>
                <w:rFonts w:ascii="Times New Roman"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spetsiaalne eelarve rakendamise ja järelevalve jaoks,</w:t>
            </w:r>
            <w:r>
              <w:rPr>
                <w:rStyle w:val="FootnoteReference"/>
                <w:rFonts w:ascii="Times New Roman" w:eastAsia="MS Mincho" w:hAnsi="Times New Roman"/>
                <w:noProof/>
                <w:sz w:val="24"/>
                <w:szCs w:val="24"/>
              </w:rPr>
              <w:footnoteReference w:id="29"/>
            </w:r>
            <w:r>
              <w:rPr>
                <w:rFonts w:ascii="Times New Roman" w:hAnsi="Times New Roman"/>
                <w:noProof/>
                <w:sz w:val="24"/>
                <w:szCs w:val="24"/>
              </w:rPr>
              <w:t xml:space="preserve"> milles kasutatakse täiel määral ära sotsiaalset innovatsiooni ja erakapitali;</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seatud eesmärkide saavutamisel tehtud edusammudest aru andmise, nende järelevalve ja hindamise mehhanismid;</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süsteem poliitika seisukohast oluliste konsultatsioonide pidamiseks ja koostöö tegemiseks romade ja nende huve kaitsvate kodanikuühiskonna organisatsioonide, valdkondlike ministeeriumide, võrdõiguslikkust edendavate asutuste, inimõigustega tegelevate muude riiklike asutuste ja muude sidusrühmadega ning</w:t>
            </w:r>
          </w:p>
          <w:p>
            <w:pPr>
              <w:pStyle w:val="ListParagraph"/>
              <w:keepNext/>
              <w:keepLines/>
              <w:numPr>
                <w:ilvl w:val="0"/>
                <w:numId w:val="83"/>
              </w:numPr>
              <w:spacing w:before="60" w:after="60" w:line="240" w:lineRule="auto"/>
              <w:ind w:left="735" w:hanging="451"/>
              <w:rPr>
                <w:rFonts w:ascii="Times New Roman" w:eastAsia="MS Mincho" w:hAnsi="Times New Roman"/>
                <w:noProof/>
                <w:sz w:val="24"/>
                <w:szCs w:val="24"/>
              </w:rPr>
            </w:pPr>
            <w:r>
              <w:rPr>
                <w:rFonts w:ascii="Times New Roman" w:hAnsi="Times New Roman"/>
                <w:noProof/>
                <w:sz w:val="24"/>
                <w:szCs w:val="24"/>
              </w:rPr>
              <w:t>suutlikkuse suurendamine, et edendada kodanikuühiskonna aktiivset osalemist poliitikakujundamise kõigis etappides ning tagada selle kaasamine riiklike ja ELi platvormide protsessidesse</w:t>
            </w:r>
            <w:r>
              <w:rPr>
                <w:rStyle w:val="FootnoteReference"/>
                <w:rFonts w:ascii="Times New Roman" w:eastAsia="MS Mincho" w:hAnsi="Times New Roman"/>
                <w:noProof/>
                <w:sz w:val="24"/>
                <w:szCs w:val="24"/>
              </w:rPr>
              <w:footnoteReference w:id="30"/>
            </w:r>
            <w:r>
              <w:rPr>
                <w:rFonts w:ascii="Times New Roman" w:hAnsi="Times New Roman"/>
                <w:noProof/>
                <w:sz w:val="24"/>
                <w:szCs w:val="24"/>
              </w:rPr>
              <w:t>.</w:t>
            </w:r>
          </w:p>
          <w:p>
            <w:pPr>
              <w:keepNext/>
              <w:keepLines/>
              <w:spacing w:before="60" w:after="0" w:line="240" w:lineRule="auto"/>
              <w:rPr>
                <w:rFonts w:ascii="Times New Roman" w:eastAsia="MS Mincho" w:hAnsi="Times New Roman" w:cs="Times New Roman"/>
                <w:noProof/>
                <w:sz w:val="24"/>
                <w:szCs w:val="24"/>
              </w:rPr>
            </w:pPr>
            <w:r>
              <w:rPr>
                <w:rFonts w:ascii="Times New Roman" w:hAnsi="Times New Roman"/>
                <w:b/>
                <w:noProof/>
                <w:sz w:val="24"/>
                <w:szCs w:val="24"/>
              </w:rPr>
              <w:t>Riiklikud romade kontaktpunktid</w:t>
            </w:r>
            <w:r>
              <w:rPr>
                <w:rFonts w:ascii="Times New Roman" w:hAnsi="Times New Roman"/>
                <w:noProof/>
                <w:sz w:val="24"/>
                <w:szCs w:val="24"/>
              </w:rPr>
              <w:t xml:space="preserve"> peaksid:</w:t>
            </w:r>
          </w:p>
          <w:p>
            <w:pPr>
              <w:pStyle w:val="ListParagraph"/>
              <w:keepNext/>
              <w:keepLines/>
              <w:numPr>
                <w:ilvl w:val="0"/>
                <w:numId w:val="84"/>
              </w:numPr>
              <w:spacing w:after="0" w:line="240" w:lineRule="auto"/>
              <w:ind w:left="735" w:hanging="425"/>
              <w:rPr>
                <w:rFonts w:ascii="Times New Roman" w:eastAsia="MS Mincho" w:hAnsi="Times New Roman"/>
                <w:noProof/>
                <w:sz w:val="24"/>
                <w:szCs w:val="24"/>
              </w:rPr>
            </w:pPr>
            <w:r>
              <w:rPr>
                <w:rFonts w:ascii="Times New Roman" w:hAnsi="Times New Roman"/>
                <w:noProof/>
                <w:sz w:val="24"/>
                <w:szCs w:val="24"/>
              </w:rPr>
              <w:t>saama volitused, piisavad vahendid ja piisavalt töötajaid, et tagada pidev kooskõlastamine ja järelevalve, ning</w:t>
            </w:r>
          </w:p>
          <w:p>
            <w:pPr>
              <w:pStyle w:val="ListParagraph"/>
              <w:keepNext/>
              <w:keepLines/>
              <w:numPr>
                <w:ilvl w:val="0"/>
                <w:numId w:val="84"/>
              </w:numPr>
              <w:spacing w:after="60" w:line="240" w:lineRule="auto"/>
              <w:ind w:left="737" w:hanging="425"/>
              <w:rPr>
                <w:rFonts w:ascii="Times New Roman" w:eastAsia="MS Mincho" w:hAnsi="Times New Roman"/>
                <w:noProof/>
                <w:sz w:val="22"/>
                <w:szCs w:val="22"/>
              </w:rPr>
            </w:pPr>
            <w:r>
              <w:rPr>
                <w:rFonts w:ascii="Times New Roman" w:hAnsi="Times New Roman"/>
                <w:noProof/>
                <w:sz w:val="24"/>
                <w:szCs w:val="24"/>
              </w:rPr>
              <w:t>esitama korrapäraselt eduaruandeid ja osalema komisjoni hallatava riiklike romade kontaktpunktide võrgustiku põhitegevuses</w:t>
            </w:r>
            <w:r>
              <w:rPr>
                <w:rStyle w:val="FootnoteReference"/>
                <w:rFonts w:ascii="Times New Roman" w:eastAsia="MS Mincho" w:hAnsi="Times New Roman"/>
                <w:noProof/>
                <w:sz w:val="24"/>
                <w:szCs w:val="24"/>
              </w:rPr>
              <w:footnoteReference w:id="31"/>
            </w:r>
            <w:r>
              <w:rPr>
                <w:rFonts w:ascii="Times New Roman" w:hAnsi="Times New Roman"/>
                <w:noProof/>
                <w:sz w:val="24"/>
                <w:szCs w:val="24"/>
              </w:rPr>
              <w:t>.</w:t>
            </w:r>
          </w:p>
        </w:tc>
      </w:tr>
    </w:tbl>
    <w:p>
      <w:pPr>
        <w:spacing w:before="240" w:after="120" w:line="240" w:lineRule="auto"/>
        <w:jc w:val="both"/>
        <w:rPr>
          <w:rFonts w:ascii="Times New Roman" w:hAnsi="Times New Roman" w:cs="Times New Roman"/>
          <w:b/>
          <w:noProof/>
          <w:sz w:val="24"/>
          <w:szCs w:val="24"/>
        </w:rPr>
      </w:pPr>
      <w:r>
        <w:rPr>
          <w:rFonts w:ascii="Times New Roman" w:hAnsi="Times New Roman"/>
          <w:b/>
          <w:noProof/>
          <w:sz w:val="24"/>
          <w:szCs w:val="24"/>
        </w:rPr>
        <w:t>Kolmandaks</w:t>
      </w:r>
      <w:r>
        <w:rPr>
          <w:rFonts w:ascii="Times New Roman" w:hAnsi="Times New Roman"/>
          <w:noProof/>
          <w:sz w:val="24"/>
          <w:szCs w:val="24"/>
        </w:rPr>
        <w:t xml:space="preserve"> võivad lisaks neile ühistele omadustele ja minimaalsetele kohustustele olla olulised riikide lisajõupingutused, </w:t>
      </w:r>
      <w:r>
        <w:rPr>
          <w:rFonts w:ascii="Times New Roman" w:hAnsi="Times New Roman"/>
          <w:b/>
          <w:noProof/>
          <w:sz w:val="24"/>
          <w:szCs w:val="24"/>
        </w:rPr>
        <w:t>mida tehakse vastavalt riigi konkreetsele olukorrale</w:t>
      </w:r>
      <w:r>
        <w:rPr>
          <w:rFonts w:ascii="Times New Roman" w:hAnsi="Times New Roman"/>
          <w:noProof/>
          <w:sz w:val="24"/>
          <w:szCs w:val="24"/>
        </w:rPr>
        <w:t xml:space="preserve">. Probleemid romade võrdõiguslikkuse, kaasamise ja osalemise tagamisel erinevad sõltuvalt roma elanikkonna suurusest ja osakaalust kogu elanikkonnas, laiemast majanduslikust kontekstist ning tõrjutuse ja diskrimineerimise pärandist. Samuti erinevad need olenevalt sellest, kus ja kuidas romad elavad (maapiirkonnad, linnapiirkonnad, liikuvad inimesed, eraldatud alad) ning konkreetsetest aspektidest, nagu riikidevaheline liikuvus, ränne või kodanikudokumentidega seotud teemad. Neid eri probleeme on võimalik romasid käsitlevates riiklikes strateegilistes raamistikes arvesse võtta, määrates kindlaks eri eesmärgid, eri mahus investeeringud ja erinevad poliitikalahenduste liigid. Olenevalt riigi olukorrast (näiteks andmete kogumise võimalused, sihipäraste või üldiste ELi rahaliste vahendite kasutamine, roma elanikkonna suhteline suurus ja erivajadused) kutsub komisjon </w:t>
      </w:r>
      <w:r>
        <w:rPr>
          <w:rFonts w:ascii="Times New Roman" w:hAnsi="Times New Roman"/>
          <w:b/>
          <w:noProof/>
          <w:sz w:val="24"/>
          <w:szCs w:val="24"/>
        </w:rPr>
        <w:t>liikmesriike üles võtma lisakohustusi</w:t>
      </w:r>
      <w:r>
        <w:rPr>
          <w:rFonts w:ascii="Times New Roman" w:hAnsi="Times New Roman"/>
          <w:noProof/>
          <w:sz w:val="24"/>
          <w:szCs w:val="24"/>
        </w:rPr>
        <w:t>, nagu kirjeldatud allpool.</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spacing w:before="60" w:after="0" w:line="240" w:lineRule="auto"/>
              <w:rPr>
                <w:rFonts w:ascii="Times New Roman" w:eastAsia="MS Mincho" w:hAnsi="Times New Roman" w:cs="Times New Roman"/>
                <w:noProof/>
                <w:sz w:val="24"/>
                <w:szCs w:val="24"/>
              </w:rPr>
            </w:pPr>
            <w:r>
              <w:rPr>
                <w:rFonts w:ascii="Times New Roman" w:hAnsi="Times New Roman"/>
                <w:b/>
                <w:noProof/>
                <w:sz w:val="24"/>
                <w:szCs w:val="24"/>
              </w:rPr>
              <w:t>Riiklikus strateegilises raamistikus</w:t>
            </w:r>
            <w:r>
              <w:rPr>
                <w:rFonts w:ascii="Times New Roman" w:hAnsi="Times New Roman"/>
                <w:noProof/>
                <w:sz w:val="24"/>
                <w:szCs w:val="24"/>
              </w:rPr>
              <w:t xml:space="preserve"> tuleks ühtlasi sätestada:</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kvantitatiivsed ja kvalitatiivsed eesmärgid kõigi seitsme ELi eesmärgi ja nendega seotud sihtide jaoks (sõltuvalt andmete kättesaadavusest);</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kuidas kasutatakse romade heaks ELi ja riiklikke vahendeid ja rahastamisvahendeid ning</w:t>
            </w:r>
          </w:p>
          <w:p>
            <w:pPr>
              <w:pStyle w:val="ListParagraph"/>
              <w:keepNext/>
              <w:keepLines/>
              <w:numPr>
                <w:ilvl w:val="0"/>
                <w:numId w:val="85"/>
              </w:numPr>
              <w:spacing w:after="60" w:line="240" w:lineRule="auto"/>
              <w:rPr>
                <w:rFonts w:ascii="Times New Roman" w:eastAsia="MS Mincho" w:hAnsi="Times New Roman"/>
                <w:noProof/>
                <w:sz w:val="24"/>
                <w:szCs w:val="24"/>
              </w:rPr>
            </w:pPr>
            <w:r>
              <w:rPr>
                <w:rFonts w:ascii="Times New Roman" w:hAnsi="Times New Roman"/>
                <w:noProof/>
                <w:sz w:val="24"/>
                <w:szCs w:val="24"/>
              </w:rPr>
              <w:t>kuidas institutsioonilised või haldusreformid aitavad kaasa võrdõiguslikkusele ja kaasatusele.</w:t>
            </w:r>
          </w:p>
          <w:p>
            <w:pPr>
              <w:keepNext/>
              <w:spacing w:before="60" w:after="60" w:line="240" w:lineRule="auto"/>
              <w:rPr>
                <w:rFonts w:ascii="Times New Roman" w:hAnsi="Times New Roman"/>
                <w:noProof/>
              </w:rPr>
            </w:pPr>
            <w:r>
              <w:rPr>
                <w:rFonts w:ascii="Times New Roman" w:hAnsi="Times New Roman"/>
                <w:b/>
                <w:noProof/>
                <w:sz w:val="24"/>
                <w:szCs w:val="24"/>
              </w:rPr>
              <w:t>Riiklikud romade kontaktpunktid</w:t>
            </w:r>
            <w:r>
              <w:rPr>
                <w:rFonts w:ascii="Times New Roman" w:hAnsi="Times New Roman"/>
                <w:noProof/>
                <w:sz w:val="24"/>
                <w:szCs w:val="24"/>
              </w:rPr>
              <w:t xml:space="preserve"> peaksid viima ellu ka riikliku strateegilise raamistiku vahehindamine ja läbivaatamise.</w:t>
            </w:r>
          </w:p>
        </w:tc>
      </w:tr>
    </w:tbl>
    <w:p>
      <w:pPr>
        <w:keepNext/>
        <w:keepLines/>
        <w:spacing w:before="240" w:after="120" w:line="240" w:lineRule="auto"/>
        <w:jc w:val="both"/>
        <w:rPr>
          <w:rFonts w:ascii="Times New Roman" w:eastAsia="Times New Roman" w:hAnsi="Times New Roman" w:cs="Times New Roman"/>
          <w:noProof/>
          <w:sz w:val="24"/>
          <w:szCs w:val="24"/>
        </w:rPr>
      </w:pPr>
      <w:r>
        <w:rPr>
          <w:rFonts w:ascii="Times New Roman" w:hAnsi="Times New Roman"/>
          <w:b/>
          <w:noProof/>
          <w:sz w:val="24"/>
          <w:szCs w:val="24"/>
        </w:rPr>
        <w:t>Neljandaks</w:t>
      </w:r>
      <w:r>
        <w:rPr>
          <w:rFonts w:ascii="Times New Roman" w:hAnsi="Times New Roman"/>
          <w:noProof/>
          <w:sz w:val="24"/>
          <w:szCs w:val="24"/>
        </w:rPr>
        <w:t>, kui romad moodustavad märkimisväärse osa elanikkonnast (st üle 1 %)</w:t>
      </w:r>
      <w:r>
        <w:rPr>
          <w:rStyle w:val="FootnoteReference"/>
          <w:rFonts w:ascii="Times New Roman" w:eastAsia="Times New Roman" w:hAnsi="Times New Roman" w:cs="Times New Roman"/>
          <w:noProof/>
          <w:sz w:val="24"/>
          <w:szCs w:val="24"/>
        </w:rPr>
        <w:footnoteReference w:id="32"/>
      </w:r>
      <w:r>
        <w:rPr>
          <w:rFonts w:ascii="Times New Roman" w:hAnsi="Times New Roman"/>
          <w:noProof/>
          <w:sz w:val="24"/>
          <w:szCs w:val="24"/>
        </w:rPr>
        <w:t xml:space="preserve">, pole nende võrdõiguslikkuse ja kaasamise edendamine üksnes oluline põhiõiguste seisukohast, vaid sellel on ka selge majanduslik tähtsus. Riikides, kus romade osakaal on suurem, moodustab see rühm üha suurema osa kooliealisest elanikkonnast ja tulevasest tööjõust. Edusammud romade sotsiaal-majanduslikul kaasamisel võivad vähendada tööjõu ja oskuste nappust negatiivsete demograafiliste muutuste ajal ning aidata kärpida sotsiaalkulutusi. Investeeringud paremasse haridusse ja varem kõrvale jäetud tööjõu oskuste täiendamisse võivad suurendada tootlikkust. Kui tagatakse, et romad saavad rakendada oma potentsiaali anda panus majandusse ja ühiskonda üldiselt, saavutatakse paremad sotsiaalsed ja majanduslikud tulemused kõigi jaoks. </w:t>
      </w:r>
    </w:p>
    <w:p>
      <w:pPr>
        <w:keepNext/>
        <w:keepLines/>
        <w:spacing w:before="12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See õigustab vajadust suuremate kohustuste ja ELi toetuse järele, eelkõige ELi vahendite kasutamist nii sihipäraste meetmete kui ka kaasavate üldiste reformide jaoks. Sellega seoses kutsutakse märkimisväärse roma elanikkonnaga liikmesriike üles kasutama täielikult ära kavandatud ESF+ erieesmärki edendada marginaliseerunud kogukondade, näiteks romade sotsiaal-majanduslikku lõimimist. Samuti innustatakse neid tegema enamat tagamaks, et kättesaadavad rahalised vahendid jõuavad tegelikult romadeni. See eeldab andmete kogumist etnilise päritolu ja sugupoolte lõikes, et toetada poliitika kujundamist, järelevalvet ja läbivaatamist.</w:t>
      </w:r>
    </w:p>
    <w:p>
      <w:pPr>
        <w:keepNext/>
        <w:keepLines/>
        <w:spacing w:before="120" w:after="120" w:line="240" w:lineRule="auto"/>
        <w:jc w:val="both"/>
        <w:rPr>
          <w:rFonts w:ascii="Times New Roman" w:eastAsia="Times New Roman" w:hAnsi="Times New Roman" w:cs="Times New Roman"/>
          <w:b/>
          <w:noProof/>
          <w:sz w:val="24"/>
          <w:szCs w:val="24"/>
        </w:rPr>
      </w:pPr>
      <w:r>
        <w:rPr>
          <w:rFonts w:ascii="Times New Roman" w:hAnsi="Times New Roman"/>
          <w:noProof/>
          <w:sz w:val="24"/>
          <w:szCs w:val="24"/>
        </w:rPr>
        <w:t xml:space="preserve">Lisaks minimaalsetele ja riigi olukorrast tulenevatele kohustustele kutsub komisjon seega </w:t>
      </w:r>
      <w:r>
        <w:rPr>
          <w:rFonts w:ascii="Times New Roman" w:hAnsi="Times New Roman"/>
          <w:b/>
          <w:noProof/>
          <w:sz w:val="24"/>
          <w:szCs w:val="24"/>
        </w:rPr>
        <w:t>märkimisväärse roma elanikkonnaga liikmesriike üles lisama oma romasid käsitlevatesse riiklikesse strateegilistesse raamistikese kaugeleulatuvamad kohustused</w:t>
      </w:r>
      <w:r>
        <w:rPr>
          <w:rFonts w:ascii="Times New Roman" w:hAnsi="Times New Roman"/>
          <w:noProof/>
          <w:sz w:val="24"/>
          <w:szCs w:val="24"/>
        </w:rPr>
        <w:t>, mida on kirjeldatud allpool.</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jc w:val="both"/>
              <w:rPr>
                <w:rFonts w:ascii="Times New Roman" w:eastAsia="MS Mincho" w:hAnsi="Times New Roman" w:cs="Times New Roman"/>
                <w:noProof/>
                <w:sz w:val="24"/>
                <w:szCs w:val="24"/>
              </w:rPr>
            </w:pPr>
            <w:r>
              <w:rPr>
                <w:rFonts w:ascii="Times New Roman" w:hAnsi="Times New Roman"/>
                <w:b/>
                <w:noProof/>
                <w:sz w:val="24"/>
                <w:szCs w:val="24"/>
              </w:rPr>
              <w:t>Riiklikus strateegilises raamistikus</w:t>
            </w:r>
            <w:r>
              <w:rPr>
                <w:rFonts w:ascii="Times New Roman" w:hAnsi="Times New Roman"/>
                <w:noProof/>
                <w:sz w:val="24"/>
                <w:szCs w:val="24"/>
              </w:rPr>
              <w:t xml:space="preserve"> tuleks ühtlasi:</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esitada kava või meetmete kogum, et ennetada romavastasust ja diskrimineerimist, segregatsiooni hariduses ja elamumajanduses ning romavastaseid eelarvamusi ja stereotüüpe (sealhulgas internetis) ning võidelda nende vastu;</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arvestada romade võrdõiguslikkuse ja kaasamisega piirkondlikul ja kohalikul tasandil ning</w:t>
            </w:r>
          </w:p>
          <w:p>
            <w:pPr>
              <w:pStyle w:val="ListParagraph"/>
              <w:numPr>
                <w:ilvl w:val="0"/>
                <w:numId w:val="44"/>
              </w:numPr>
              <w:spacing w:after="60" w:line="240" w:lineRule="auto"/>
              <w:rPr>
                <w:rFonts w:ascii="Times New Roman" w:eastAsia="MS Mincho" w:hAnsi="Times New Roman"/>
                <w:noProof/>
                <w:sz w:val="24"/>
                <w:szCs w:val="24"/>
              </w:rPr>
            </w:pPr>
            <w:r>
              <w:rPr>
                <w:rFonts w:ascii="Times New Roman" w:hAnsi="Times New Roman"/>
                <w:noProof/>
                <w:sz w:val="24"/>
                <w:szCs w:val="24"/>
              </w:rPr>
              <w:t>sätestada, kuidas kasutatakse ELi ja riiklikke vahendeid ja rahastamisvahendeid kaasava peavoolupoliitika ja sihipäraste meetmete rakendamiseks.</w:t>
            </w:r>
          </w:p>
          <w:p>
            <w:pPr>
              <w:spacing w:after="0" w:line="240" w:lineRule="auto"/>
              <w:rPr>
                <w:rFonts w:ascii="Times New Roman" w:eastAsia="MS Mincho" w:hAnsi="Times New Roman"/>
                <w:noProof/>
                <w:sz w:val="24"/>
                <w:szCs w:val="24"/>
              </w:rPr>
            </w:pPr>
            <w:r>
              <w:rPr>
                <w:rFonts w:ascii="Times New Roman" w:hAnsi="Times New Roman"/>
                <w:b/>
                <w:noProof/>
                <w:sz w:val="24"/>
                <w:szCs w:val="24"/>
              </w:rPr>
              <w:t>Riiklike romade kontaktpunktide</w:t>
            </w:r>
            <w:r>
              <w:rPr>
                <w:rFonts w:ascii="Times New Roman" w:hAnsi="Times New Roman"/>
                <w:noProof/>
                <w:sz w:val="24"/>
                <w:szCs w:val="24"/>
              </w:rPr>
              <w:t xml:space="preserve"> rolli </w:t>
            </w:r>
            <w:r>
              <w:rPr>
                <w:rFonts w:ascii="Times New Roman" w:hAnsi="Times New Roman"/>
                <w:b/>
                <w:noProof/>
                <w:sz w:val="24"/>
                <w:szCs w:val="24"/>
              </w:rPr>
              <w:t>tuleks tugevdada</w:t>
            </w:r>
            <w:r>
              <w:rPr>
                <w:rFonts w:ascii="Times New Roman" w:hAnsi="Times New Roman"/>
                <w:noProof/>
                <w:sz w:val="24"/>
                <w:szCs w:val="24"/>
              </w:rPr>
              <w:t>, et nad saaksid:</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arvestada spetsiaalse meeskonna ja institutsiooniliste volitustega, mis tagavad poliitilise mõjuvõimu, tõhusa valdkondadevahelise kooskõlastamise ning romade võrdõiguslikkuse ja kaasamisega arvestamise piirkondlikul ja kohalikul tasandil;</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osaleda (ELi fondide korraldusasutuste kaudu) romadele mõeldud ELi vahendite jaotamist käsitlevate valitsustasandi arutelude koordineerimises ja nende vahendite kasutamise süstemaatilises järelevalves (nt seirekomisjonide kaudu, romade kaasamise mõju hindamise kaudu);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tagada riiklikud konsultatsioonid ja dialoogi romade (eelkõige noorte ja naiste) võimestamiseks ning</w:t>
            </w:r>
          </w:p>
          <w:p>
            <w:pPr>
              <w:pStyle w:val="ListParagraph"/>
              <w:numPr>
                <w:ilvl w:val="0"/>
                <w:numId w:val="87"/>
              </w:numPr>
              <w:spacing w:after="0" w:line="240" w:lineRule="auto"/>
              <w:rPr>
                <w:rFonts w:ascii="Times New Roman" w:eastAsia="MS Mincho" w:hAnsi="Times New Roman"/>
                <w:noProof/>
                <w:sz w:val="22"/>
                <w:szCs w:val="22"/>
              </w:rPr>
            </w:pPr>
            <w:r>
              <w:rPr>
                <w:rFonts w:ascii="Times New Roman" w:hAnsi="Times New Roman"/>
                <w:noProof/>
                <w:sz w:val="24"/>
                <w:szCs w:val="24"/>
              </w:rPr>
              <w:t>tagada, et avalik poliitika ja universaalteenused jõuaksid tõhusalt romadeni, sealhulgas kaugetes maapiirkondades elavate romadeni (nt kiireloomulised ja keskpika perioodi meetmed kriisi ajal, seadusandlik reform, poliitika kavandamine hariduse, tööhõive, tervishoiu, eluasemete ja muudes sotsiaal-majandusliku kaasamise valdkondades, sotsiaalteenused, transport, miinimumsissetuleku süsteemid, diskrimineerimisvastased õigusaktid).</w:t>
            </w:r>
          </w:p>
        </w:tc>
      </w:tr>
    </w:tbl>
    <w:p>
      <w:pPr>
        <w:spacing w:before="24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Romasid käsitlevate riiklike strateegiliste raamistike kavandamisel ja rakendamisel soovitatakse liikmesriikidel võtta arvesse romade kaasamise </w:t>
      </w:r>
      <w:r>
        <w:rPr>
          <w:rFonts w:ascii="Times New Roman" w:hAnsi="Times New Roman"/>
          <w:b/>
          <w:noProof/>
          <w:sz w:val="24"/>
          <w:szCs w:val="24"/>
        </w:rPr>
        <w:t>ühiseid aluspõhimõtteid</w:t>
      </w:r>
      <w:r>
        <w:rPr>
          <w:rFonts w:ascii="Times New Roman" w:eastAsia="Times New Roman" w:hAnsi="Times New Roman" w:cs="Times New Roman"/>
          <w:noProof/>
          <w:sz w:val="24"/>
          <w:szCs w:val="24"/>
          <w:vertAlign w:val="superscript"/>
        </w:rPr>
        <w:footnoteReference w:id="33"/>
      </w:r>
      <w:r>
        <w:rPr>
          <w:rFonts w:ascii="Times New Roman" w:hAnsi="Times New Roman"/>
          <w:noProof/>
          <w:sz w:val="24"/>
          <w:szCs w:val="24"/>
        </w:rPr>
        <w:t>. 1. lisas</w:t>
      </w:r>
      <w:r>
        <w:rPr>
          <w:rFonts w:ascii="Times New Roman" w:eastAsia="Times New Roman" w:hAnsi="Times New Roman" w:cs="Times New Roman"/>
          <w:noProof/>
          <w:sz w:val="24"/>
          <w:szCs w:val="24"/>
          <w:vertAlign w:val="superscript"/>
        </w:rPr>
        <w:footnoteReference w:id="34"/>
      </w:r>
      <w:r>
        <w:rPr>
          <w:rFonts w:ascii="Times New Roman" w:hAnsi="Times New Roman"/>
          <w:noProof/>
          <w:sz w:val="24"/>
          <w:szCs w:val="24"/>
        </w:rPr>
        <w:t xml:space="preserve"> on esitatud täiendavad </w:t>
      </w:r>
      <w:r>
        <w:rPr>
          <w:rFonts w:ascii="Times New Roman" w:hAnsi="Times New Roman"/>
          <w:b/>
          <w:noProof/>
          <w:sz w:val="24"/>
          <w:szCs w:val="24"/>
        </w:rPr>
        <w:t>suunised poliitika kavandamiseks ja rakendamiseks</w:t>
      </w:r>
      <w:r>
        <w:rPr>
          <w:rFonts w:ascii="Times New Roman" w:hAnsi="Times New Roman"/>
          <w:noProof/>
          <w:sz w:val="24"/>
          <w:szCs w:val="24"/>
        </w:rPr>
        <w:t xml:space="preserve"> seoses romavastasuse ja põlvest põlve kestva vaesuse</w:t>
      </w:r>
      <w:r>
        <w:rPr>
          <w:rFonts w:ascii="Times New Roman" w:eastAsia="Times New Roman" w:hAnsi="Times New Roman" w:cs="Times New Roman"/>
          <w:noProof/>
          <w:sz w:val="24"/>
          <w:szCs w:val="24"/>
          <w:vertAlign w:val="superscript"/>
        </w:rPr>
        <w:footnoteReference w:id="35"/>
      </w:r>
      <w:r>
        <w:rPr>
          <w:rFonts w:ascii="Times New Roman" w:hAnsi="Times New Roman"/>
          <w:noProof/>
          <w:sz w:val="24"/>
          <w:szCs w:val="24"/>
        </w:rPr>
        <w:t xml:space="preserve"> vastu võitlemisega, romade osalemise ja võimestamise edendamisega, romade mitmekesisuse kajastamisega ning sihipäraste ja üldiste lähenemisviiside kombineerimisega. Selles esitatakse ka suunised, et paremini </w:t>
      </w:r>
      <w:r>
        <w:rPr>
          <w:rFonts w:ascii="Times New Roman" w:hAnsi="Times New Roman"/>
          <w:b/>
          <w:noProof/>
          <w:sz w:val="24"/>
          <w:szCs w:val="24"/>
        </w:rPr>
        <w:t>lahendada esilekerkivaid probleeme</w:t>
      </w:r>
      <w:r>
        <w:rPr>
          <w:rFonts w:ascii="Times New Roman" w:hAnsi="Times New Roman"/>
          <w:noProof/>
          <w:sz w:val="24"/>
          <w:szCs w:val="24"/>
        </w:rPr>
        <w:t xml:space="preserve">, sealhulgas käsitletakse võitlust kriiside (nagu COVID-19 pandeemia) ebaproportsionaalse mõjuga romadele, e-kaasatuse ja keskkonnaalase õigluse tagamist. Samuti antakse suuniseid romade kunsti, ajaloo ja kultuuri (ja sellest teadlikkuse) ning sotsiaalse innovatsiooni ja poliitikaeksperimentide edendamiseks. </w:t>
      </w:r>
    </w:p>
    <w:p>
      <w:pPr>
        <w:spacing w:after="120" w:line="240" w:lineRule="auto"/>
        <w:jc w:val="both"/>
        <w:rPr>
          <w:rFonts w:ascii="Times New Roman" w:hAnsi="Times New Roman"/>
          <w:noProof/>
          <w:sz w:val="24"/>
          <w:szCs w:val="24"/>
        </w:rPr>
      </w:pPr>
      <w:r>
        <w:rPr>
          <w:rFonts w:ascii="Times New Roman" w:hAnsi="Times New Roman"/>
          <w:noProof/>
          <w:sz w:val="24"/>
          <w:szCs w:val="24"/>
        </w:rPr>
        <w:t>Komisjon toetab liikmesriike romasid käsitlevate riiklike strateegiliste raamistike väljatöötamisel ja rakendamisel ning seda mitte üksnes rahalise toetuse ja kooskõlastusmeetmete kaudu, nagu vastastikune õppimine ja suutlikkuse suurendamine, vaid ka metoodilise toetusega</w:t>
      </w:r>
      <w:r>
        <w:rPr>
          <w:rStyle w:val="FootnoteReference"/>
          <w:rFonts w:ascii="Times New Roman" w:eastAsia="MS Mincho" w:hAnsi="Times New Roman"/>
          <w:noProof/>
          <w:sz w:val="24"/>
          <w:szCs w:val="24"/>
        </w:rPr>
        <w:footnoteReference w:id="36"/>
      </w:r>
      <w:r>
        <w:rPr>
          <w:rFonts w:ascii="Times New Roman" w:hAnsi="Times New Roman"/>
          <w:noProof/>
          <w:sz w:val="24"/>
          <w:szCs w:val="24"/>
        </w:rPr>
        <w:t xml:space="preserve"> ning struktuurireformi tugiprogrammist järelevalve- ja hindamissüsteemide väljatöötamiseks antava abi kaudu</w:t>
      </w:r>
      <w:r>
        <w:rPr>
          <w:rStyle w:val="FootnoteReference"/>
          <w:rFonts w:ascii="Times New Roman" w:eastAsia="MS Mincho" w:hAnsi="Times New Roman"/>
          <w:noProof/>
          <w:sz w:val="24"/>
          <w:szCs w:val="24"/>
        </w:rPr>
        <w:footnoteReference w:id="37"/>
      </w:r>
      <w:r>
        <w:rPr>
          <w:rFonts w:ascii="Times New Roman" w:hAnsi="Times New Roman"/>
          <w:noProof/>
          <w:sz w:val="24"/>
          <w:szCs w:val="24"/>
        </w:rPr>
        <w:t>. Liikmesriigid võivad saada tuge ka FRA-lt, võrdõiguslikkust edendavatelt asutustelt, inimõigustega tegelevatelt muudelt riiklikelt asutustelt ja riiklikelt statistikaametitelt, et tagada riigi tasandil andmete korrapärase kogumise suutlikkus või seda parandada</w:t>
      </w:r>
      <w:r>
        <w:rPr>
          <w:rStyle w:val="FootnoteReference"/>
          <w:rFonts w:ascii="Times New Roman" w:eastAsia="MS Mincho" w:hAnsi="Times New Roman"/>
          <w:noProof/>
          <w:sz w:val="24"/>
          <w:szCs w:val="24"/>
        </w:rPr>
        <w:footnoteReference w:id="38"/>
      </w:r>
      <w:r>
        <w:rPr>
          <w:rFonts w:ascii="Times New Roman" w:hAnsi="Times New Roman"/>
          <w:noProof/>
          <w:sz w:val="24"/>
          <w:szCs w:val="24"/>
        </w:rPr>
        <w:t>. ELi toetust kohandatakse vastavalt liikmesriikide kohustuste ulatuslikkusele.</w:t>
      </w:r>
    </w:p>
    <w:p>
      <w:pPr>
        <w:spacing w:before="240" w:after="240" w:line="240" w:lineRule="auto"/>
        <w:jc w:val="both"/>
        <w:rPr>
          <w:rFonts w:ascii="Times New Roman" w:hAnsi="Times New Roman"/>
          <w:noProof/>
          <w:sz w:val="24"/>
          <w:szCs w:val="24"/>
        </w:rPr>
      </w:pPr>
      <w:r>
        <w:rPr>
          <w:rFonts w:ascii="Times New Roman" w:hAnsi="Times New Roman"/>
          <w:b/>
          <w:i/>
          <w:noProof/>
          <w:sz w:val="24"/>
          <w:szCs w:val="24"/>
        </w:rPr>
        <w:t xml:space="preserve">III.2 </w:t>
      </w:r>
      <w:r>
        <w:rPr>
          <w:noProof/>
        </w:rPr>
        <w:tab/>
      </w:r>
      <w:r>
        <w:rPr>
          <w:rFonts w:ascii="Times New Roman" w:hAnsi="Times New Roman"/>
          <w:b/>
          <w:i/>
          <w:noProof/>
          <w:sz w:val="24"/>
          <w:szCs w:val="24"/>
        </w:rPr>
        <w:t>Riiklike meetmete ja eesmärkide saavutamisel tehtud edusammude jälgimine ja neist aru andmine</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Et tagada tõhusam andmete kogumine, aruandlus ja edusammude jälgimine nii ELi eesmärkide kui ka eespool pakutud riiklike eesmärkide puhul, teeb komisjon esimest korda ettepaneku kasutada </w:t>
      </w:r>
      <w:r>
        <w:rPr>
          <w:rFonts w:ascii="Times New Roman" w:hAnsi="Times New Roman"/>
          <w:b/>
          <w:noProof/>
          <w:sz w:val="24"/>
          <w:szCs w:val="24"/>
        </w:rPr>
        <w:t>näitajate kogumit</w:t>
      </w:r>
      <w:r>
        <w:rPr>
          <w:rFonts w:ascii="Times New Roman" w:hAnsi="Times New Roman"/>
          <w:noProof/>
          <w:sz w:val="24"/>
          <w:szCs w:val="24"/>
        </w:rPr>
        <w:t xml:space="preserve"> (vt 2. lisa). See oleks liikmesriikidele tõeliselt kasulik vastastikuseks õppimiseks. Kogumi on välja töötanud romasid käsitlevate näitajate ja aruandluse töörühm, mille tööd koordineerib Euroopa Liidu Põhiõiguste Amet ning kuhu kuuluvad riiklikud romade kontaktpunktid, riiklikud statistikaametid ja komisjon. See võimaldab ühtlasi kavandatud nõukogu soovituses esitatud meetmete kohta aru anda.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Riiklikest meetmetest teatatakse ja neid jälgitakse nii ELi kui ka riigi tasandil. </w:t>
      </w:r>
      <w:r>
        <w:rPr>
          <w:rFonts w:ascii="Times New Roman" w:hAnsi="Times New Roman"/>
          <w:b/>
          <w:noProof/>
          <w:sz w:val="24"/>
          <w:szCs w:val="24"/>
        </w:rPr>
        <w:t>2022. aastal vaatab komisjon romasid käsitlevad riiklikud strateegilised raamistikud üle</w:t>
      </w:r>
      <w:r>
        <w:rPr>
          <w:rFonts w:ascii="Times New Roman" w:hAnsi="Times New Roman"/>
          <w:noProof/>
          <w:sz w:val="24"/>
          <w:szCs w:val="24"/>
        </w:rPr>
        <w:t xml:space="preserve">, hindab liikmesriikide võetud kohustusi ja annab suuniseid võimalike paranduste kohta. </w:t>
      </w:r>
    </w:p>
    <w:p>
      <w:pPr>
        <w:spacing w:after="120" w:line="240" w:lineRule="auto"/>
        <w:jc w:val="both"/>
        <w:rPr>
          <w:rFonts w:ascii="Times New Roman" w:hAnsi="Times New Roman"/>
          <w:noProof/>
          <w:sz w:val="24"/>
          <w:szCs w:val="24"/>
        </w:rPr>
      </w:pPr>
      <w:r>
        <w:rPr>
          <w:rFonts w:ascii="Times New Roman" w:hAnsi="Times New Roman"/>
          <w:b/>
          <w:noProof/>
          <w:sz w:val="24"/>
          <w:szCs w:val="24"/>
        </w:rPr>
        <w:t>Liikmesriikidel palutakse anda romasid käsitlevate riiklike strateegiliste raamistike rakendamise kohta aru</w:t>
      </w:r>
      <w:r>
        <w:rPr>
          <w:rFonts w:ascii="Times New Roman" w:hAnsi="Times New Roman"/>
          <w:noProof/>
          <w:sz w:val="24"/>
          <w:szCs w:val="24"/>
        </w:rPr>
        <w:t xml:space="preserve"> iga kahe aasta tagant alates 2023. aastast, võttes arvesse võrdõiguslikkuse, kaasamise ja osalemise edendamise meetmeid ning kasutades täiel määral näitajate kogumit. Aruannetes tuleks keskenduda riiklikes raamistikes sätestatud kohustuste rakendamisele, sealhulgas vajaduse korral riiklike eesmärkide saavutamisele. Need aruanded tuleks avalikustada, et suurendada läbipaistvust ja edendada poliitikakogemustest õppimist. Strateegilisi raamistikke ja lõplikke aruandeid tuleks arutada ka riikide parlamentides. </w:t>
      </w:r>
    </w:p>
    <w:p>
      <w:pPr>
        <w:spacing w:after="120" w:line="240" w:lineRule="auto"/>
        <w:jc w:val="both"/>
        <w:rPr>
          <w:rFonts w:ascii="Times New Roman" w:hAnsi="Times New Roman"/>
          <w:noProof/>
          <w:sz w:val="24"/>
          <w:szCs w:val="24"/>
        </w:rPr>
      </w:pPr>
      <w:r>
        <w:rPr>
          <w:rFonts w:ascii="Times New Roman" w:hAnsi="Times New Roman"/>
          <w:noProof/>
          <w:sz w:val="24"/>
          <w:szCs w:val="24"/>
        </w:rPr>
        <w:t>Komisjon palub</w:t>
      </w:r>
      <w:r>
        <w:rPr>
          <w:rFonts w:ascii="Times New Roman" w:hAnsi="Times New Roman"/>
          <w:b/>
          <w:noProof/>
          <w:sz w:val="24"/>
          <w:szCs w:val="24"/>
        </w:rPr>
        <w:t xml:space="preserve"> FRA-l</w:t>
      </w:r>
      <w:r>
        <w:rPr>
          <w:rFonts w:ascii="Times New Roman" w:hAnsi="Times New Roman"/>
          <w:noProof/>
          <w:sz w:val="24"/>
          <w:szCs w:val="24"/>
        </w:rPr>
        <w:t xml:space="preserve"> viia alates 2020. aastast nelja-aastaste tsüklitena ellu</w:t>
      </w:r>
      <w:r>
        <w:rPr>
          <w:rFonts w:ascii="Times New Roman" w:hAnsi="Times New Roman"/>
          <w:b/>
          <w:noProof/>
          <w:sz w:val="24"/>
          <w:szCs w:val="24"/>
        </w:rPr>
        <w:t xml:space="preserve"> korrapärane romade uuring</w:t>
      </w:r>
      <w:r>
        <w:rPr>
          <w:rFonts w:ascii="Times New Roman" w:hAnsi="Times New Roman"/>
          <w:noProof/>
          <w:sz w:val="24"/>
          <w:szCs w:val="24"/>
        </w:rPr>
        <w:t>, et saada muutuste mõõtmiseks vajalikud lähte-, vahe- ja lõppandmed</w:t>
      </w:r>
      <w:r>
        <w:rPr>
          <w:rStyle w:val="FootnoteReference"/>
          <w:rFonts w:ascii="Times New Roman" w:hAnsi="Times New Roman"/>
          <w:noProof/>
          <w:sz w:val="24"/>
          <w:szCs w:val="24"/>
        </w:rPr>
        <w:footnoteReference w:id="39"/>
      </w:r>
      <w:r>
        <w:rPr>
          <w:noProof/>
        </w:rPr>
        <w:t>.</w:t>
      </w:r>
      <w:r>
        <w:rPr>
          <w:rFonts w:ascii="Times New Roman" w:hAnsi="Times New Roman"/>
          <w:noProof/>
          <w:sz w:val="24"/>
          <w:szCs w:val="24"/>
        </w:rPr>
        <w:t xml:space="preserve"> Samuti palutakse FRA-l toetada liikmesriike andmete kogumisel ja aruannete esitamisel, sealhulgas romasid käsitlevate näitajate ja aruandluse töörühma kaudu, ning aidata komisjonil riikide edusamme jälgida ja analüüsida.</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Riikide aruanded koos kodanikuühiskonna panusega ja FRA andmetega on aluseks iga kahe aasta tagant esitatavatele komisjoni </w:t>
      </w:r>
      <w:r>
        <w:rPr>
          <w:rFonts w:ascii="Times New Roman" w:hAnsi="Times New Roman"/>
          <w:b/>
          <w:noProof/>
          <w:sz w:val="24"/>
          <w:szCs w:val="24"/>
        </w:rPr>
        <w:t>korrapärastele järelevalvearuannetele</w:t>
      </w:r>
      <w:r>
        <w:rPr>
          <w:rFonts w:ascii="Times New Roman" w:hAnsi="Times New Roman"/>
          <w:noProof/>
          <w:sz w:val="24"/>
          <w:szCs w:val="24"/>
        </w:rPr>
        <w:t>. Komisjon viib ellu ka romasid käsitleva ELi strateegilise raamistiku vahe- ja järel</w:t>
      </w:r>
      <w:r>
        <w:rPr>
          <w:rFonts w:ascii="Times New Roman" w:hAnsi="Times New Roman"/>
          <w:b/>
          <w:noProof/>
          <w:sz w:val="24"/>
          <w:szCs w:val="24"/>
        </w:rPr>
        <w:t>hindamise</w:t>
      </w:r>
      <w:r>
        <w:rPr>
          <w:rFonts w:ascii="Times New Roman" w:hAnsi="Times New Roman"/>
          <w:noProof/>
          <w:sz w:val="24"/>
          <w:szCs w:val="24"/>
        </w:rPr>
        <w:t>.</w:t>
      </w:r>
    </w:p>
    <w:p>
      <w:pPr>
        <w:keepNext/>
        <w:keepLines/>
        <w:shd w:val="clear" w:color="auto" w:fill="FFFFFF" w:themeFill="background1"/>
        <w:spacing w:before="360" w:after="240" w:line="240" w:lineRule="auto"/>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IV. </w:t>
      </w:r>
      <w:r>
        <w:rPr>
          <w:noProof/>
        </w:rPr>
        <w:tab/>
      </w:r>
      <w:r>
        <w:rPr>
          <w:rFonts w:ascii="Times New Roman" w:hAnsi="Times New Roman"/>
          <w:b/>
          <w:i/>
          <w:smallCaps/>
          <w:noProof/>
          <w:sz w:val="24"/>
          <w:szCs w:val="24"/>
        </w:rPr>
        <w:t>ELi meetmed</w:t>
      </w:r>
    </w:p>
    <w:p>
      <w:pPr>
        <w:spacing w:after="120" w:line="240" w:lineRule="auto"/>
        <w:jc w:val="both"/>
        <w:rPr>
          <w:rFonts w:ascii="Times New Roman" w:hAnsi="Times New Roman"/>
          <w:noProof/>
          <w:sz w:val="24"/>
          <w:szCs w:val="24"/>
        </w:rPr>
      </w:pPr>
      <w:r>
        <w:rPr>
          <w:rFonts w:ascii="Times New Roman" w:hAnsi="Times New Roman"/>
          <w:noProof/>
          <w:sz w:val="24"/>
          <w:szCs w:val="24"/>
        </w:rPr>
        <w:t>Liikmesriikidel on keskne osa romade olukorra muutmises kohapeal. ELi meetmed ja toetus täiendavad riiklikke jõupingutusi ELi eesmärkide ja sihtide saavutamisel 2030. aastaks.</w:t>
      </w:r>
    </w:p>
    <w:p>
      <w:pPr>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IV.1</w:t>
      </w:r>
      <w:r>
        <w:rPr>
          <w:noProof/>
        </w:rPr>
        <w:tab/>
      </w:r>
      <w:r>
        <w:rPr>
          <w:rFonts w:ascii="Times New Roman" w:hAnsi="Times New Roman"/>
          <w:b/>
          <w:i/>
          <w:noProof/>
          <w:sz w:val="24"/>
          <w:szCs w:val="24"/>
        </w:rPr>
        <w:t>ELi õigusaktide täitmise tagamine</w:t>
      </w:r>
    </w:p>
    <w:p>
      <w:pPr>
        <w:spacing w:after="120" w:line="240" w:lineRule="auto"/>
        <w:jc w:val="both"/>
        <w:rPr>
          <w:rFonts w:ascii="Times New Roman" w:hAnsi="Times New Roman"/>
          <w:noProof/>
          <w:sz w:val="24"/>
          <w:szCs w:val="24"/>
        </w:rPr>
      </w:pPr>
      <w:r>
        <w:rPr>
          <w:rFonts w:ascii="Times New Roman" w:hAnsi="Times New Roman"/>
          <w:noProof/>
          <w:sz w:val="24"/>
          <w:szCs w:val="24"/>
        </w:rPr>
        <w:t>Romavastasuse ja romade diskrimineerimise vastase võitluse meetmed tuginevad kehtivale ELi õigusraamistikule, sealhulgas aluslepingutes sätestatud mittediskrimineerimise ja võrdõiguslikkuse üldpõhimõtetele, mida on kinnitatud ELi põhiõiguste hartas,</w:t>
      </w:r>
      <w:r>
        <w:rPr>
          <w:rStyle w:val="FootnoteReference"/>
          <w:rFonts w:ascii="Times New Roman" w:hAnsi="Times New Roman"/>
          <w:noProof/>
          <w:sz w:val="24"/>
          <w:szCs w:val="24"/>
        </w:rPr>
        <w:footnoteReference w:id="40"/>
      </w:r>
      <w:r>
        <w:rPr>
          <w:rFonts w:ascii="Times New Roman" w:hAnsi="Times New Roman"/>
          <w:noProof/>
          <w:sz w:val="24"/>
          <w:szCs w:val="24"/>
        </w:rPr>
        <w:t xml:space="preserve"> rassilise võrdõiguslikkuse direktiivis</w:t>
      </w:r>
      <w:r>
        <w:rPr>
          <w:rStyle w:val="FootnoteReference"/>
          <w:rFonts w:ascii="Times New Roman" w:hAnsi="Times New Roman"/>
          <w:noProof/>
          <w:sz w:val="24"/>
          <w:szCs w:val="24"/>
        </w:rPr>
        <w:footnoteReference w:id="41"/>
      </w:r>
      <w:r>
        <w:rPr>
          <w:rFonts w:ascii="Times New Roman" w:hAnsi="Times New Roman"/>
          <w:noProof/>
          <w:sz w:val="24"/>
          <w:szCs w:val="24"/>
        </w:rPr>
        <w:t xml:space="preserve"> ning nõukogu raamotsuses rassismi ja ksenofoobia kohta</w:t>
      </w:r>
      <w:r>
        <w:rPr>
          <w:rFonts w:ascii="Times New Roman" w:hAnsi="Times New Roman"/>
          <w:noProof/>
          <w:sz w:val="24"/>
          <w:szCs w:val="24"/>
          <w:vertAlign w:val="superscript"/>
        </w:rPr>
        <w:footnoteReference w:id="42"/>
      </w:r>
      <w:r>
        <w:rPr>
          <w:rFonts w:ascii="Times New Roman" w:hAnsi="Times New Roman"/>
          <w:noProof/>
          <w:sz w:val="24"/>
          <w:szCs w:val="24"/>
        </w:rPr>
        <w:t>. Nagu rõhutatud ELi rassismivastases tegevuskavas 2020–2025, on diskrimineerimisvastase kaitse tervikliku süsteemi toimimiseks vaja eelkõige tõhusalt tagada õigusraamistiku täitmine, et kindlustada üksikisiku õiguste ja kohustuste tegelik järgimine. See töö ei puuduta üksnes romasid, aga roma kogukonnad saavad sellest otsest kasu.</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Komisjon jätkab </w:t>
      </w:r>
      <w:r>
        <w:rPr>
          <w:rFonts w:ascii="Times New Roman" w:hAnsi="Times New Roman"/>
          <w:b/>
          <w:noProof/>
          <w:sz w:val="24"/>
          <w:szCs w:val="24"/>
        </w:rPr>
        <w:t>rassilise võrdõiguslikkuse direktiivi</w:t>
      </w:r>
      <w:r>
        <w:rPr>
          <w:rFonts w:ascii="Times New Roman" w:hAnsi="Times New Roman"/>
          <w:noProof/>
          <w:sz w:val="24"/>
          <w:szCs w:val="24"/>
        </w:rPr>
        <w:t xml:space="preserve"> kohaldamise jälgimist ja tagamist, uurides süstemaatilist diskrimineerimist ja algatades vajaduse korral rikkumismenetlusi, et sundida liikmesriike oma õigusakte ja poliitikat muutma. Aastate jooksul on</w:t>
      </w:r>
      <w:r>
        <w:rPr>
          <w:rFonts w:ascii="Times New Roman" w:hAnsi="Times New Roman"/>
          <w:noProof/>
          <w:sz w:val="24"/>
        </w:rPr>
        <w:t xml:space="preserve"> erilist tähelepanu pööratud roma laste diskrimineerimisele hariduses.</w:t>
      </w:r>
      <w:r>
        <w:rPr>
          <w:rFonts w:ascii="Times New Roman" w:hAnsi="Times New Roman"/>
          <w:noProof/>
          <w:sz w:val="24"/>
          <w:szCs w:val="24"/>
        </w:rPr>
        <w:t xml:space="preserve"> Komisjon pakub suuniseid ja koolitust ning rahalist toetust võrdõiguslikkust käsitlevate andmete kogumiseks ning direktiivi tõhusaks rakendamiseks ja jõustamiseks, sealhulgas ohvrite huvide esindamise kaudu. Nagu kuulutatud välja ELi rassismivastases tegevuskavas, esitab komisjon 2021. aastal aruande direktiivi kohaldamise kohta</w:t>
      </w:r>
      <w:r>
        <w:rPr>
          <w:rStyle w:val="FootnoteReference"/>
          <w:rFonts w:ascii="Times New Roman" w:hAnsi="Times New Roman"/>
          <w:noProof/>
          <w:sz w:val="24"/>
          <w:szCs w:val="24"/>
        </w:rPr>
        <w:footnoteReference w:id="43"/>
      </w:r>
      <w:r>
        <w:rPr>
          <w:rFonts w:ascii="Times New Roman" w:hAnsi="Times New Roman"/>
          <w:noProof/>
          <w:sz w:val="24"/>
          <w:szCs w:val="24"/>
        </w:rPr>
        <w:t xml:space="preserve"> ja teeb 2022. aastaks võimalike õigusaktide ettepanekud. Peale selle toetab komisjon endiselt võrdõiguslikkust edendavate asutuste tööd,</w:t>
      </w:r>
      <w:r>
        <w:rPr>
          <w:rStyle w:val="FootnoteReference"/>
          <w:rFonts w:ascii="Times New Roman" w:hAnsi="Times New Roman"/>
          <w:noProof/>
          <w:sz w:val="24"/>
          <w:szCs w:val="24"/>
        </w:rPr>
        <w:footnoteReference w:id="44"/>
      </w:r>
      <w:r>
        <w:rPr>
          <w:rFonts w:ascii="Times New Roman" w:hAnsi="Times New Roman"/>
          <w:noProof/>
          <w:sz w:val="24"/>
          <w:szCs w:val="24"/>
        </w:rPr>
        <w:t xml:space="preserve"> milles on seatud tähtsale kohale eesmärk parandada romade olukorda ja kogemusi. Komisjon jälgib võrdõiguslikkust edendavate asutuste suhtes kohaldatavaid nõudeid käsitleva komisjoni soovituse rakendamist</w:t>
      </w:r>
      <w:r>
        <w:rPr>
          <w:rStyle w:val="FootnoteReference"/>
          <w:rFonts w:ascii="Times New Roman" w:hAnsi="Times New Roman"/>
          <w:noProof/>
          <w:sz w:val="24"/>
          <w:szCs w:val="24"/>
        </w:rPr>
        <w:footnoteReference w:id="45"/>
      </w:r>
      <w:r>
        <w:rPr>
          <w:rFonts w:ascii="Times New Roman" w:hAnsi="Times New Roman"/>
          <w:noProof/>
          <w:sz w:val="24"/>
          <w:szCs w:val="24"/>
        </w:rPr>
        <w:t>. Võrdõiguslikkust edendavate asutuste roll ja sõltumatus ning võimalik vajadus nende asutuste rolli tugevdavate uute õigusaktide järele on 2021. aasta aruandes oluline teema.</w:t>
      </w:r>
    </w:p>
    <w:p>
      <w:pPr>
        <w:spacing w:after="60" w:line="240" w:lineRule="auto"/>
        <w:jc w:val="both"/>
        <w:rPr>
          <w:rFonts w:ascii="Times New Roman" w:hAnsi="Times New Roman"/>
          <w:b/>
          <w:i/>
          <w:noProof/>
          <w:sz w:val="24"/>
          <w:szCs w:val="24"/>
        </w:rPr>
      </w:pPr>
      <w:r>
        <w:rPr>
          <w:rFonts w:ascii="Times New Roman" w:hAnsi="Times New Roman"/>
          <w:noProof/>
          <w:sz w:val="24"/>
          <w:szCs w:val="24"/>
        </w:rPr>
        <w:t>Samuti jätkab komisjon tööd rassismi ja ksenofoobia ennetamiseks ja nende vastu võitlemiseks, eelkõige tõhustades vihakuritegude registreerimist ja nendest teatamist FRA toetusel, tõhustades õiguskaitse valdkonna koolitusstrateegiaid ja suurendades toetust vihakuritegude ohvritele. FRA andmetel</w:t>
      </w:r>
      <w:r>
        <w:rPr>
          <w:rStyle w:val="FootnoteReference"/>
          <w:rFonts w:ascii="Times New Roman" w:hAnsi="Times New Roman"/>
          <w:noProof/>
          <w:sz w:val="24"/>
          <w:szCs w:val="24"/>
        </w:rPr>
        <w:footnoteReference w:id="46"/>
      </w:r>
      <w:r>
        <w:rPr>
          <w:rFonts w:ascii="Times New Roman" w:hAnsi="Times New Roman"/>
          <w:noProof/>
          <w:sz w:val="24"/>
          <w:szCs w:val="24"/>
        </w:rPr>
        <w:t xml:space="preserve"> puutuvad romad suurel määral kokku (30 % roma päritolu vastanutest) vihast ajendatud ahistamisega. Komisjon rõhutab oma kohustust tagada </w:t>
      </w:r>
      <w:r>
        <w:rPr>
          <w:rFonts w:ascii="Times New Roman" w:hAnsi="Times New Roman"/>
          <w:b/>
          <w:noProof/>
          <w:sz w:val="24"/>
          <w:szCs w:val="24"/>
        </w:rPr>
        <w:t>rassismi ja ksenofoobiat käsitleva nõukogu raamotsuse</w:t>
      </w:r>
      <w:r>
        <w:rPr>
          <w:rFonts w:ascii="Times New Roman" w:hAnsi="Times New Roman"/>
          <w:noProof/>
          <w:sz w:val="24"/>
          <w:szCs w:val="24"/>
        </w:rPr>
        <w:t xml:space="preserve"> täielik ja nõuetekohane ülevõtmine ja rakendamine ning vajaduse korral rikkumismenetluste algatamine</w:t>
      </w:r>
      <w:r>
        <w:rPr>
          <w:rFonts w:ascii="Times New Roman" w:hAnsi="Times New Roman"/>
          <w:noProof/>
          <w:sz w:val="24"/>
          <w:szCs w:val="24"/>
          <w:vertAlign w:val="superscript"/>
        </w:rPr>
        <w:footnoteReference w:id="47"/>
      </w:r>
      <w:r>
        <w:rPr>
          <w:rFonts w:ascii="Times New Roman" w:hAnsi="Times New Roman"/>
          <w:noProof/>
          <w:sz w:val="24"/>
          <w:szCs w:val="24"/>
        </w:rPr>
        <w:t>. Romavastasusega võitlemise eeltingimusena tuleb liikmesriikide õigusaktidesse täielikult ja nõuetekohaselt üle võtta miinimumnõuded vaenukõne ning holokausti eitamise, õigustamise või mitteoluliseks tunnistamise kriminaliseerimise kohta. Nagu ka muid etnilisse või rassilisse vähemusse kuuluvaid inimesi, mõjutab romasid vaenukõne veebis ning romavastasus on üks sagedamaid vaenukõne põhjusi. Komisjon jätkab IT-ettevõtjatega tehtavat koostööd ebaseadusliku vaenukõne vastu võitlemiseks veebis ning jõupingutuste laiendamist muudele sotsiaalmeediaplatvormidele</w:t>
      </w:r>
      <w:r>
        <w:rPr>
          <w:rStyle w:val="FootnoteReference"/>
          <w:rFonts w:ascii="Times New Roman" w:hAnsi="Times New Roman"/>
          <w:noProof/>
          <w:sz w:val="24"/>
          <w:szCs w:val="24"/>
        </w:rPr>
        <w:footnoteReference w:id="48"/>
      </w:r>
      <w:r>
        <w:rPr>
          <w:rFonts w:ascii="Times New Roman" w:hAnsi="Times New Roman"/>
          <w:noProof/>
          <w:sz w:val="24"/>
          <w:szCs w:val="24"/>
        </w:rPr>
        <w:t>. Raamotsust täiendab kuriteoohvrite õiguste direktiiv,</w:t>
      </w:r>
      <w:r>
        <w:rPr>
          <w:rStyle w:val="FootnoteReference"/>
          <w:rFonts w:ascii="Times New Roman" w:hAnsi="Times New Roman"/>
          <w:noProof/>
          <w:sz w:val="24"/>
          <w:szCs w:val="24"/>
        </w:rPr>
        <w:footnoteReference w:id="49"/>
      </w:r>
      <w:r>
        <w:rPr>
          <w:rFonts w:ascii="Times New Roman" w:hAnsi="Times New Roman"/>
          <w:noProof/>
          <w:sz w:val="24"/>
          <w:szCs w:val="24"/>
        </w:rPr>
        <w:t xml:space="preserve"> mille eesmärk on muu hulgas tagada vihakuritegude ja vaenukõne ohvrite võimalus õiglus jalule seada, nende kaitse ja toetus. Ohvrite õigusi käsitlevas ELi strateegias (2020–2025) käsitletakse vihakuritegude ohvrite, sealhulgas romade erivajadusi</w:t>
      </w:r>
      <w:r>
        <w:rPr>
          <w:rFonts w:ascii="Times New Roman" w:hAnsi="Times New Roman"/>
          <w:noProof/>
          <w:sz w:val="24"/>
          <w:szCs w:val="24"/>
          <w:vertAlign w:val="superscript"/>
        </w:rPr>
        <w:footnoteReference w:id="50"/>
      </w:r>
      <w:r>
        <w:rPr>
          <w:rFonts w:ascii="Times New Roman" w:hAnsi="Times New Roman"/>
          <w:noProof/>
          <w:sz w:val="24"/>
          <w:szCs w:val="24"/>
        </w:rPr>
        <w:t>.</w:t>
      </w:r>
    </w:p>
    <w:p>
      <w:pPr>
        <w:spacing w:before="240" w:after="240" w:line="240" w:lineRule="auto"/>
        <w:ind w:left="567" w:hanging="567"/>
        <w:jc w:val="both"/>
        <w:rPr>
          <w:rFonts w:ascii="Times New Roman" w:hAnsi="Times New Roman"/>
          <w:noProof/>
          <w:sz w:val="24"/>
          <w:szCs w:val="24"/>
        </w:rPr>
      </w:pPr>
      <w:r>
        <w:rPr>
          <w:rFonts w:ascii="Times New Roman" w:hAnsi="Times New Roman"/>
          <w:b/>
          <w:i/>
          <w:noProof/>
          <w:sz w:val="24"/>
          <w:szCs w:val="24"/>
        </w:rPr>
        <w:t xml:space="preserve">IV.2 </w:t>
      </w:r>
      <w:r>
        <w:rPr>
          <w:noProof/>
        </w:rPr>
        <w:tab/>
      </w:r>
      <w:r>
        <w:rPr>
          <w:rFonts w:ascii="Times New Roman" w:hAnsi="Times New Roman"/>
          <w:b/>
          <w:i/>
          <w:noProof/>
          <w:sz w:val="24"/>
          <w:szCs w:val="24"/>
        </w:rPr>
        <w:t>Romade võrdõiguslikkusega arvestamine ELi poliitikaalgatustes ja ELi vahendite kasutuselevõtmine romade heaks</w:t>
      </w:r>
      <w:r>
        <w:rPr>
          <w:rStyle w:val="FootnoteReference"/>
          <w:rFonts w:ascii="Times New Roman" w:hAnsi="Times New Roman"/>
          <w:b/>
          <w:i/>
          <w:noProof/>
          <w:sz w:val="24"/>
          <w:szCs w:val="24"/>
        </w:rPr>
        <w:footnoteReference w:id="51"/>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Romade võrdõiguslikkuse, kaasamise ja osalemisega arvestamine kõigis asjaomastes komisjoni algatustes on käesolevas strateegilises raamistikus seatud eesmärkide saavutamisel keskse tähtsusega. Poliitika väljatöötamisel eri valdkondades alates sotsiaal-majanduslikust kaasamisest tehisintellektini, rohelisest kokkuleppest digitaalse kaasamiseni ja vaenukõne käsitlemisest kuni rändepoliitikani tagatakse võrdõiguslikkuse mõõtme integreerimisel ka see, et ELi ja liikmesriikide poliitika </w:t>
      </w:r>
      <w:r>
        <w:rPr>
          <w:rFonts w:ascii="Times New Roman" w:hAnsi="Times New Roman"/>
          <w:b/>
          <w:noProof/>
          <w:sz w:val="24"/>
          <w:szCs w:val="24"/>
        </w:rPr>
        <w:t>teenib kõigi romade huve</w:t>
      </w:r>
      <w:r>
        <w:rPr>
          <w:rFonts w:ascii="Times New Roman" w:hAnsi="Times New Roman"/>
          <w:noProof/>
          <w:sz w:val="24"/>
          <w:szCs w:val="24"/>
        </w:rPr>
        <w:t xml:space="preserve">. Osana oma tegevusest, mille eesmärk on edendada võrdõiguslikkust kõigi jaoks ja kõigis selle aspektides, püüab komisjonisisene võrdõiguslikkuse rakkerühm tagada, et võitlus rassilise või etnilise päritolu alusel toimuva diskrimineerimise ja sellega läbipõimunud muu diskrimineerimise vastu integreeritakse </w:t>
      </w:r>
      <w:r>
        <w:rPr>
          <w:rFonts w:ascii="Times New Roman" w:hAnsi="Times New Roman"/>
          <w:b/>
          <w:noProof/>
          <w:sz w:val="24"/>
          <w:szCs w:val="24"/>
        </w:rPr>
        <w:t>kõikidesse ELi poliitikavaldkondadesse, õigusaktidesse ja rahastamisprogrammidesse</w:t>
      </w:r>
      <w:r>
        <w:rPr>
          <w:rFonts w:ascii="Times New Roman" w:hAnsi="Times New Roman"/>
          <w:noProof/>
          <w:sz w:val="24"/>
          <w:szCs w:val="24"/>
        </w:rPr>
        <w:t>.</w:t>
      </w:r>
      <w:r>
        <w:rPr>
          <w:rFonts w:ascii="Times New Roman" w:hAnsi="Times New Roman"/>
          <w:b/>
          <w:noProof/>
          <w:sz w:val="24"/>
          <w:szCs w:val="24"/>
        </w:rPr>
        <w:t xml:space="preserve"> </w:t>
      </w:r>
      <w:r>
        <w:rPr>
          <w:rFonts w:ascii="Times New Roman" w:hAnsi="Times New Roman"/>
          <w:noProof/>
          <w:sz w:val="24"/>
          <w:szCs w:val="24"/>
        </w:rPr>
        <w:t>ELi rassismivastase tegevuskava 2020–2025 rakendamisel võetakse alati arvesse romasid. Suuniste ja koolitusega integreerimise kohta toetatakse kõiki, kes on kaasatud võrdõiguslikkuse aspekti integreerimisse ELi meetmete igasse etappi, ning komisjoni poliitikatsükli jooksul edendatakse aktiivsemat konsulteerimist romasid esindavate organisatsioonidega.</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Komisjonisisene </w:t>
      </w:r>
      <w:r>
        <w:rPr>
          <w:rFonts w:ascii="Times New Roman" w:hAnsi="Times New Roman"/>
          <w:b/>
          <w:noProof/>
          <w:sz w:val="24"/>
          <w:szCs w:val="24"/>
        </w:rPr>
        <w:t>romade rakkerühm</w:t>
      </w:r>
      <w:r>
        <w:rPr>
          <w:rStyle w:val="FootnoteReference"/>
          <w:rFonts w:ascii="Times New Roman" w:hAnsi="Times New Roman"/>
          <w:noProof/>
          <w:sz w:val="24"/>
          <w:szCs w:val="24"/>
        </w:rPr>
        <w:footnoteReference w:id="52"/>
      </w:r>
      <w:r>
        <w:rPr>
          <w:rFonts w:ascii="Times New Roman" w:hAnsi="Times New Roman"/>
          <w:noProof/>
          <w:sz w:val="24"/>
          <w:szCs w:val="24"/>
        </w:rPr>
        <w:t xml:space="preserve"> jätkab eri tasanditel komisjoni eri talituste kaasamist keskse tähtsusega valdkondades, nagu ELi vahendite tõhus kasutamine romade võrdõiguslikkuse ja kaasamise edendamiseks.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Osana taasterahastust </w:t>
      </w:r>
      <w:r>
        <w:rPr>
          <w:rFonts w:ascii="Times New Roman" w:hAnsi="Times New Roman"/>
          <w:b/>
          <w:noProof/>
          <w:sz w:val="24"/>
          <w:szCs w:val="24"/>
        </w:rPr>
        <w:t>„Next Generation EU“</w:t>
      </w:r>
      <w:r>
        <w:rPr>
          <w:rFonts w:ascii="Times New Roman" w:hAnsi="Times New Roman"/>
          <w:noProof/>
          <w:sz w:val="24"/>
          <w:szCs w:val="24"/>
        </w:rPr>
        <w:t xml:space="preserve"> toetatakse uue taaste ja vastupidavuse rahastamisvahendiga investeeringuid ja reforme, mis on olulised majanduse püsivaks taastamiseks, ning edendatakse majanduslikku ja sotsiaalset vastupidavust ja ühtekuuluvust. Toetuse saamiseks peavad liikmesriigid koostama taaste- ja vastupidavuskavad, milles käsitletakse kriisi majanduslikku ja sotsiaalset mõju, digi- ja rohepööret ning Euroopa poolaasta raames esitatud riigipõhistes soovitustes kindlaks määratud asjaomaseid prioriteete. See toetus annab liikmesriikidele võimaluse edendada tõrjutud rühmade, sealhulgas romade ja teiste rassilise või etnilise vähemuse taustaga inimeste kaasamist. Komisjoni ettepanekutega </w:t>
      </w:r>
      <w:r>
        <w:rPr>
          <w:rFonts w:ascii="Times New Roman" w:hAnsi="Times New Roman"/>
          <w:b/>
          <w:noProof/>
          <w:sz w:val="24"/>
          <w:szCs w:val="24"/>
        </w:rPr>
        <w:t>mitmeaastase finantsraamistiku</w:t>
      </w:r>
      <w:r>
        <w:rPr>
          <w:rFonts w:ascii="Times New Roman" w:hAnsi="Times New Roman"/>
          <w:noProof/>
          <w:sz w:val="24"/>
          <w:szCs w:val="24"/>
        </w:rPr>
        <w:t xml:space="preserve"> kohta edendatakse romade kaasamist ja diskrimineerimise vastu võitlemist, eelkõige Euroopa Sotsiaalfond+ (ESF+), Euroopa Regionaalarengu Fondi (ERF) ja Euroopa Maaelu Arengu Põllumajandusfondi (EAFRD) abil. 2019. aastal juhtis komisjon romade kaasamise olulisusele tähelepanu mitmes </w:t>
      </w:r>
      <w:r>
        <w:rPr>
          <w:rFonts w:ascii="Times New Roman" w:hAnsi="Times New Roman"/>
          <w:b/>
          <w:noProof/>
          <w:sz w:val="24"/>
          <w:szCs w:val="24"/>
        </w:rPr>
        <w:t>Euroopa poolaasta</w:t>
      </w:r>
      <w:r>
        <w:rPr>
          <w:rFonts w:ascii="Times New Roman" w:hAnsi="Times New Roman"/>
          <w:noProof/>
          <w:sz w:val="24"/>
          <w:szCs w:val="24"/>
        </w:rPr>
        <w:t xml:space="preserve"> riigiaruandes</w:t>
      </w:r>
      <w:r>
        <w:rPr>
          <w:rStyle w:val="FootnoteReference"/>
          <w:rFonts w:ascii="Times New Roman" w:hAnsi="Times New Roman"/>
          <w:noProof/>
          <w:sz w:val="24"/>
          <w:szCs w:val="24"/>
        </w:rPr>
        <w:footnoteReference w:id="53"/>
      </w:r>
      <w:r>
        <w:rPr>
          <w:rFonts w:ascii="Times New Roman" w:hAnsi="Times New Roman"/>
          <w:noProof/>
          <w:sz w:val="24"/>
          <w:szCs w:val="24"/>
        </w:rPr>
        <w:t xml:space="preserve">; seda tuleks kajastada ja käsitleda 2021.–2027. aasta programmides. </w:t>
      </w:r>
    </w:p>
    <w:p>
      <w:pPr>
        <w:keepNext/>
        <w:spacing w:after="120" w:line="240" w:lineRule="auto"/>
        <w:jc w:val="both"/>
        <w:rPr>
          <w:rFonts w:ascii="Times New Roman" w:hAnsi="Times New Roman"/>
          <w:noProof/>
          <w:sz w:val="24"/>
          <w:szCs w:val="24"/>
        </w:rPr>
      </w:pPr>
      <w:r>
        <w:rPr>
          <w:rFonts w:ascii="Times New Roman" w:hAnsi="Times New Roman"/>
          <w:noProof/>
          <w:sz w:val="24"/>
          <w:szCs w:val="24"/>
        </w:rPr>
        <w:t xml:space="preserve">Komisjoni ettepanekutes </w:t>
      </w:r>
      <w:r>
        <w:rPr>
          <w:rFonts w:ascii="Times New Roman" w:hAnsi="Times New Roman"/>
          <w:b/>
          <w:noProof/>
          <w:sz w:val="24"/>
          <w:szCs w:val="24"/>
        </w:rPr>
        <w:t>ühissätete, ESF+, ERFi ja EAFRD määruste kohta</w:t>
      </w:r>
      <w:r>
        <w:rPr>
          <w:rStyle w:val="FootnoteReference"/>
          <w:rFonts w:cs="Times New Roman"/>
          <w:noProof/>
        </w:rPr>
        <w:footnoteReference w:id="54"/>
      </w:r>
      <w:r>
        <w:rPr>
          <w:rFonts w:ascii="Times New Roman" w:hAnsi="Times New Roman"/>
          <w:noProof/>
          <w:sz w:val="24"/>
          <w:szCs w:val="24"/>
        </w:rPr>
        <w:t>:</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nähakse ette rahaline toetus romasid käsitlevate riiklike strateegiliste raamistike ja meetmete (sh seoses inimressursside, taristu ja suutlikkuse suurendamisega) rakendamiseks;</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sätestatakse, et kõigi programmide ettevalmistamis-, rakendamis-, järelevalve- ja hindamisprotsessis tuleb edendada kõigi võrdseid võimalusi, diskrimineerimata soo, rassilise või etnilise päritolu, usutunnistuse või veendumuste, puuete, vanuse või seksuaalse sättumuse alusel;</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nõutakse valdkondlike (romasid käsitlev riiklik strateegiline poliitikaraamistik, sotsiaalset kaasatust ja vaesuse vähendamist käsitlev riiklik strateegiline poliitikaraamistik) ja horisontaalsete (põhiõiguste harta) rakendamistingimuste täitmist ajavahemikul 2021–2027;</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nõutakse, et vähemalt 25 % ESF+ vahenditega edendataks sotsiaalset kaasatust, tagades, et teatavat vahendite miinimumsummat kasutatakse enim abi vajavate inimeste jaoks, ning</w:t>
      </w:r>
    </w:p>
    <w:p>
      <w:pPr>
        <w:pStyle w:val="ListParagraph"/>
        <w:numPr>
          <w:ilvl w:val="0"/>
          <w:numId w:val="56"/>
        </w:numPr>
        <w:spacing w:line="240" w:lineRule="auto"/>
        <w:contextualSpacing w:val="0"/>
        <w:rPr>
          <w:rFonts w:ascii="Times New Roman" w:hAnsi="Times New Roman"/>
          <w:noProof/>
          <w:sz w:val="24"/>
          <w:szCs w:val="24"/>
        </w:rPr>
      </w:pPr>
      <w:r>
        <w:rPr>
          <w:rFonts w:ascii="Times New Roman" w:hAnsi="Times New Roman"/>
          <w:noProof/>
          <w:sz w:val="24"/>
          <w:szCs w:val="24"/>
        </w:rPr>
        <w:t>rõhutatakse partnerluspõhimõtet, st kõigi asjaomaste sidusrühmade, sealhulgas sotsiaalset kaasatust, mittediskrimineerimist ja põhiõigusi edendavate organite ning kodanikuühiskonna organisatsioonide kaasamist programmide ja partnerluslepingute koostamisse ja rakendamisse ning seirekomisjonidesse.</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Kuna liikmesriigid täidavad suuremat osa ELi eelarvest jagatud eelarve täitmise raames, on neil keskne osa avaliku poliitika kujundamisel ja rahastamisprogrammide kasutamise maksimeerimisel, et romasid toetada. Seega kutsub komisjon liikmesriike üles kasutama 2021.–2027. aasta mitmeaastase finantsraamistiku ja taasterahastu „NextGenerationEU“ vahendeid romade probleemide lahendamiseks ja nende vajadustega tegelemiseks, et täita romasid käsitlevates riiklikes strateegilistes raamistikes võetud kohustusi. Komisjon püüab tagada, et tulevastes partnerluslepingutes käsitletakse nõuetekohaselt Euroopa poolaasta raames kindlaks tehtud riigipõhiseid probleeme ning et võrdõiguslikkust ja kaasamist edendavaid meetmeid rakendatakse rakenduskavade kaudu. Komisjon jälgib tähelepanelikult, et sellised liikmesriigid kehtestaksid ja esitaksid oma 2021.–2027. aasta programmdokumentides kaksikstrateegia, mis seisneb ühelt poolt teenuste kaasavaks muutmises ja teiselt poolt tõrjutud roma kogukondadele spetsiaalselt kohandatud programmide pakkumises. Konkreetsete ELi fondide suhtes aastatel 2021–2027 kohaldatavate rakendamistingimustega, mille kohta tegi ettepaneku komisjon, soovitakse tagada põhiõiguste austamine ning romade võrdõiguslikkus, kaasamine ja osalemine. </w:t>
      </w:r>
    </w:p>
    <w:p>
      <w:pPr>
        <w:spacing w:after="120" w:line="240" w:lineRule="auto"/>
        <w:jc w:val="both"/>
        <w:rPr>
          <w:rFonts w:ascii="Times New Roman" w:hAnsi="Times New Roman"/>
          <w:noProof/>
          <w:sz w:val="24"/>
          <w:szCs w:val="24"/>
        </w:rPr>
      </w:pPr>
      <w:r>
        <w:rPr>
          <w:rFonts w:ascii="Times New Roman" w:hAnsi="Times New Roman"/>
          <w:noProof/>
          <w:sz w:val="24"/>
          <w:szCs w:val="24"/>
        </w:rPr>
        <w:t>Romadega seotud meetmete tõhususe ja tulemuslikkuse suurendamiseks toetab komisjon riikidevahelist õppimist nii poliitika kui ka rahastamise valdkonnas, näiteks EURoma võrgustikus,</w:t>
      </w:r>
      <w:r>
        <w:rPr>
          <w:rStyle w:val="FootnoteReference"/>
          <w:rFonts w:ascii="Times New Roman" w:hAnsi="Times New Roman"/>
          <w:noProof/>
          <w:sz w:val="24"/>
          <w:szCs w:val="24"/>
        </w:rPr>
        <w:footnoteReference w:id="55"/>
      </w:r>
      <w:r>
        <w:rPr>
          <w:rFonts w:ascii="Times New Roman" w:hAnsi="Times New Roman"/>
          <w:noProof/>
          <w:sz w:val="24"/>
          <w:szCs w:val="24"/>
        </w:rPr>
        <w:t xml:space="preserve"> kuhu kuuluvad korraldusasutused ja riiklikud romade kontaktpunktid.</w:t>
      </w:r>
    </w:p>
    <w:p>
      <w:pPr>
        <w:spacing w:line="240" w:lineRule="auto"/>
        <w:jc w:val="both"/>
        <w:rPr>
          <w:rFonts w:ascii="Times New Roman" w:hAnsi="Times New Roman"/>
          <w:noProof/>
          <w:sz w:val="24"/>
          <w:szCs w:val="24"/>
        </w:rPr>
      </w:pPr>
      <w:r>
        <w:rPr>
          <w:rFonts w:ascii="Times New Roman" w:hAnsi="Times New Roman"/>
          <w:noProof/>
          <w:sz w:val="24"/>
          <w:szCs w:val="24"/>
        </w:rPr>
        <w:t>Ka programmi „InvestEU“</w:t>
      </w:r>
      <w:r>
        <w:rPr>
          <w:rStyle w:val="FootnoteReference"/>
          <w:rFonts w:ascii="Times New Roman" w:hAnsi="Times New Roman"/>
          <w:noProof/>
          <w:sz w:val="24"/>
          <w:szCs w:val="24"/>
        </w:rPr>
        <w:footnoteReference w:id="56"/>
      </w:r>
      <w:r>
        <w:rPr>
          <w:rFonts w:ascii="Times New Roman" w:hAnsi="Times New Roman"/>
          <w:noProof/>
          <w:sz w:val="24"/>
          <w:szCs w:val="24"/>
        </w:rPr>
        <w:t xml:space="preserve"> sotsiaalvaldkonna investeeringute ja oskuste haru kaudu võidakse aidata kaasa tõrjutud rühmade, sealhulgas romade sotsiaal-majanduslikule kaasamisele. Selleks võidakse kasutada uuenduslikke rahastamisviise, nagu sotsiaalsed võlakirjad ja tulemustele suunatud projektid, sealhulgas kombineerides neid ELi toetuste ja/või valdkondlike programmide rahastamisvahenditega või kombineerides erinevaid ELi rahastamisallikaid. Komisjon rakendab sihipäraseid katsealgatusi, et katsetada ja demonstreerida võimalikke viise, kuidas läheneda konkreetsetele kaasamise aspektidele (eluase, tööhõive, sotsiaalkindlustus), kasutades uuenduslikke rahastamisviise, mida saaks kasutusele võtta / laiendada või jäljendada suuremate programmide kaudu riigi või ELi tasandil. Liikmesriigid saavad tehnilise toetuse vahendi kaudu taotleda tehnilist abi romade võrdõiguslikkusega arvestamiseks poliitikakujundamises ja reformiprotsessides.</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IV.3 </w:t>
      </w:r>
      <w:r>
        <w:rPr>
          <w:noProof/>
        </w:rPr>
        <w:tab/>
      </w:r>
      <w:r>
        <w:rPr>
          <w:rFonts w:ascii="Times New Roman" w:hAnsi="Times New Roman"/>
          <w:b/>
          <w:i/>
          <w:noProof/>
          <w:sz w:val="24"/>
          <w:szCs w:val="24"/>
        </w:rPr>
        <w:t>ELi meetmed ja toetus romade osalemise, kaasamise ja mitmekesisuse edendamiseks</w:t>
      </w:r>
    </w:p>
    <w:p>
      <w:pPr>
        <w:spacing w:after="120" w:line="240" w:lineRule="auto"/>
        <w:jc w:val="both"/>
        <w:rPr>
          <w:rFonts w:ascii="Times New Roman" w:hAnsi="Times New Roman"/>
          <w:noProof/>
          <w:sz w:val="24"/>
          <w:szCs w:val="24"/>
        </w:rPr>
      </w:pPr>
      <w:r>
        <w:rPr>
          <w:rFonts w:ascii="Times New Roman" w:hAnsi="Times New Roman"/>
          <w:noProof/>
          <w:sz w:val="24"/>
        </w:rPr>
        <w:t xml:space="preserve">ELi rassismivastases tegevuskavas 2020–2025 võttis komisjon kohustuse näidata eeskuju institutsioonina, astudes samme </w:t>
      </w:r>
      <w:r>
        <w:rPr>
          <w:rFonts w:ascii="Times New Roman" w:hAnsi="Times New Roman"/>
          <w:b/>
          <w:noProof/>
          <w:sz w:val="24"/>
        </w:rPr>
        <w:t>komisjoni töötajate esindatuse märkimisväärseks parandamiseks värbamis- ja valikumeetmete abil</w:t>
      </w:r>
      <w:r>
        <w:rPr>
          <w:rFonts w:ascii="Times New Roman" w:hAnsi="Times New Roman"/>
          <w:noProof/>
          <w:sz w:val="24"/>
        </w:rPr>
        <w:t xml:space="preserve">. </w:t>
      </w:r>
      <w:r>
        <w:rPr>
          <w:rFonts w:ascii="Times New Roman" w:hAnsi="Times New Roman"/>
          <w:noProof/>
          <w:sz w:val="24"/>
          <w:szCs w:val="24"/>
        </w:rPr>
        <w:t>Nende meetmete võtmisel tagab komisjon, et need kehtivad ka romade suhtes. Komisjon kutsub teisi ELi institutsioone üles võtma meetmeid mitmekesisuse ja kaasatuse edendamiseks oma töökohtades.</w:t>
      </w:r>
    </w:p>
    <w:p>
      <w:pPr>
        <w:spacing w:after="120" w:line="240" w:lineRule="auto"/>
        <w:jc w:val="both"/>
        <w:rPr>
          <w:rFonts w:ascii="Times New Roman" w:hAnsi="Times New Roman"/>
          <w:noProof/>
          <w:sz w:val="24"/>
          <w:szCs w:val="24"/>
        </w:rPr>
      </w:pPr>
      <w:r>
        <w:rPr>
          <w:rFonts w:ascii="Times New Roman" w:hAnsi="Times New Roman"/>
          <w:noProof/>
          <w:sz w:val="24"/>
          <w:szCs w:val="24"/>
        </w:rPr>
        <w:t>Komisjon korraldab korrapäraselt liikmesriikide esindajatega</w:t>
      </w:r>
      <w:r>
        <w:rPr>
          <w:rStyle w:val="FootnoteReference"/>
          <w:rFonts w:ascii="Times New Roman" w:hAnsi="Times New Roman"/>
          <w:noProof/>
          <w:sz w:val="24"/>
          <w:szCs w:val="24"/>
        </w:rPr>
        <w:footnoteReference w:id="57"/>
      </w:r>
      <w:r>
        <w:rPr>
          <w:rFonts w:ascii="Times New Roman" w:hAnsi="Times New Roman"/>
          <w:noProof/>
          <w:sz w:val="24"/>
          <w:szCs w:val="24"/>
        </w:rPr>
        <w:t xml:space="preserve"> ning </w:t>
      </w:r>
      <w:r>
        <w:rPr>
          <w:rFonts w:ascii="Times New Roman" w:hAnsi="Times New Roman"/>
          <w:b/>
          <w:noProof/>
          <w:sz w:val="24"/>
          <w:szCs w:val="24"/>
        </w:rPr>
        <w:t>ELi tasandi kodanikuühiskonna ja rahvusvaheliste organisatsioonidega</w:t>
      </w:r>
      <w:r>
        <w:rPr>
          <w:rFonts w:ascii="Times New Roman" w:hAnsi="Times New Roman"/>
          <w:noProof/>
          <w:sz w:val="24"/>
          <w:szCs w:val="24"/>
        </w:rPr>
        <w:t xml:space="preserve"> kohtumisi, et võimaldada suuremat vastastikust õppimist. Samuti tagatakse seeläbi korrapärane teabevahetus sidusrühmade vahel. Komisjon jätkab 2021.–2027. aastal </w:t>
      </w:r>
      <w:r>
        <w:rPr>
          <w:rFonts w:ascii="Times New Roman" w:hAnsi="Times New Roman"/>
          <w:b/>
          <w:noProof/>
          <w:sz w:val="24"/>
          <w:szCs w:val="24"/>
        </w:rPr>
        <w:t>ühtekuuluvuspoliitika</w:t>
      </w:r>
      <w:r>
        <w:rPr>
          <w:rFonts w:ascii="Times New Roman" w:hAnsi="Times New Roman"/>
          <w:noProof/>
          <w:sz w:val="24"/>
          <w:szCs w:val="24"/>
        </w:rPr>
        <w:t xml:space="preserve"> teemaliste kohtumiste korraldamist kodanikuühiskonna organisatsioonidega (struktureeritud dialoog). Komisjon korraldab romade kodanikuühiskonna organisatsioonidega kinniseid koosolekuid ühtekuuluvuspoliitika arengu teemal.</w:t>
      </w:r>
    </w:p>
    <w:p>
      <w:pPr>
        <w:spacing w:after="120" w:line="240" w:lineRule="auto"/>
        <w:jc w:val="both"/>
        <w:rPr>
          <w:rFonts w:ascii="Times New Roman" w:hAnsi="Times New Roman"/>
          <w:noProof/>
          <w:sz w:val="24"/>
          <w:szCs w:val="24"/>
        </w:rPr>
      </w:pPr>
      <w:r>
        <w:rPr>
          <w:rFonts w:ascii="Times New Roman" w:hAnsi="Times New Roman"/>
          <w:noProof/>
          <w:sz w:val="24"/>
          <w:szCs w:val="24"/>
        </w:rPr>
        <w:t>Vastavalt Euroopa Parlamendi ettepanekule</w:t>
      </w:r>
      <w:r>
        <w:rPr>
          <w:rStyle w:val="FootnoteReference"/>
          <w:rFonts w:ascii="Times New Roman" w:hAnsi="Times New Roman"/>
          <w:noProof/>
          <w:sz w:val="24"/>
          <w:szCs w:val="24"/>
        </w:rPr>
        <w:footnoteReference w:id="58"/>
      </w:r>
      <w:r>
        <w:rPr>
          <w:rFonts w:ascii="Times New Roman" w:hAnsi="Times New Roman"/>
          <w:noProof/>
          <w:sz w:val="24"/>
          <w:szCs w:val="24"/>
        </w:rPr>
        <w:t xml:space="preserve"> käivitab komisjon romade kodanikuühiskonna suutlikkuse suurendamise uue tsükli, et oleks võimalik </w:t>
      </w:r>
      <w:r>
        <w:rPr>
          <w:rFonts w:ascii="Times New Roman" w:hAnsi="Times New Roman"/>
          <w:b/>
          <w:noProof/>
          <w:sz w:val="24"/>
          <w:szCs w:val="24"/>
        </w:rPr>
        <w:t>kodanikuühiskonna koordineeritud sõltumatu järelevalve ja aruandlus</w:t>
      </w:r>
      <w:r>
        <w:rPr>
          <w:rFonts w:ascii="Times New Roman" w:hAnsi="Times New Roman"/>
          <w:noProof/>
          <w:sz w:val="24"/>
          <w:szCs w:val="24"/>
        </w:rPr>
        <w:t xml:space="preserve">; seejuures tugineb komisjon projektist </w:t>
      </w:r>
      <w:hyperlink r:id="rId16" w:history="1">
        <w:r>
          <w:rPr>
            <w:rStyle w:val="Hyperlink"/>
            <w:rFonts w:ascii="Times New Roman" w:hAnsi="Times New Roman"/>
            <w:noProof/>
            <w:sz w:val="24"/>
            <w:szCs w:val="24"/>
          </w:rPr>
          <w:t>„Roma Civil Monitor“</w:t>
        </w:r>
      </w:hyperlink>
      <w:r>
        <w:rPr>
          <w:rFonts w:ascii="Times New Roman" w:hAnsi="Times New Roman"/>
          <w:noProof/>
          <w:sz w:val="24"/>
          <w:szCs w:val="24"/>
        </w:rPr>
        <w:t xml:space="preserve"> (2017–2020) saadud kogemustele. Koordineeritud sõltumatu kodanikuühiskonna järelevalve aruanded on kavandatud kaheaastaste tsüklitena alates 2022. aastast.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Komisjon püüab maksimeerida </w:t>
      </w:r>
      <w:r>
        <w:rPr>
          <w:rFonts w:ascii="Times New Roman" w:hAnsi="Times New Roman"/>
          <w:b/>
          <w:noProof/>
          <w:sz w:val="24"/>
          <w:szCs w:val="24"/>
        </w:rPr>
        <w:t>romade kaasamise Euroopa platvormi</w:t>
      </w:r>
      <w:r>
        <w:rPr>
          <w:rStyle w:val="FootnoteReference"/>
          <w:rFonts w:ascii="Times New Roman" w:hAnsi="Times New Roman"/>
          <w:b/>
          <w:noProof/>
          <w:sz w:val="24"/>
          <w:szCs w:val="24"/>
        </w:rPr>
        <w:footnoteReference w:id="59"/>
      </w:r>
      <w:r>
        <w:rPr>
          <w:rFonts w:ascii="Times New Roman" w:hAnsi="Times New Roman"/>
          <w:noProof/>
          <w:sz w:val="24"/>
          <w:szCs w:val="24"/>
        </w:rPr>
        <w:t xml:space="preserve"> mõju, tuues kokku riikide valitsused, ELi, rahvusvahelised organisatsioonid ja romade kodanikuühiskonna esindajad ning võttes eesmärgiks koostöö edendamise ja kogemuste vahetamise. Komisjon korraldab romade kodanikuühiskonna järelevalve projekti tulemuste ja riiklike järelevalvearuannete põhjal riiklike strateegiliste raamistike temaatilisi, riigipõhiseid ja piirkondlikke läbivaatamisi.</w:t>
      </w:r>
    </w:p>
    <w:p>
      <w:pPr>
        <w:spacing w:after="120" w:line="240" w:lineRule="auto"/>
        <w:jc w:val="both"/>
        <w:rPr>
          <w:rFonts w:ascii="Times New Roman" w:hAnsi="Times New Roman"/>
          <w:noProof/>
          <w:sz w:val="24"/>
          <w:szCs w:val="24"/>
        </w:rPr>
      </w:pPr>
      <w:r>
        <w:rPr>
          <w:rFonts w:ascii="Times New Roman" w:hAnsi="Times New Roman"/>
          <w:noProof/>
          <w:sz w:val="24"/>
          <w:szCs w:val="24"/>
        </w:rPr>
        <w:t>Romade kaasamise riiklike platvormide rahalise toetamise kaudu edendab komisjon nende platvormide reformimist,</w:t>
      </w:r>
      <w:r>
        <w:rPr>
          <w:rStyle w:val="FootnoteReference"/>
          <w:rFonts w:ascii="Times New Roman" w:hAnsi="Times New Roman"/>
          <w:noProof/>
          <w:sz w:val="24"/>
          <w:szCs w:val="24"/>
        </w:rPr>
        <w:footnoteReference w:id="60"/>
      </w:r>
      <w:r>
        <w:rPr>
          <w:rFonts w:ascii="Times New Roman" w:hAnsi="Times New Roman"/>
          <w:noProof/>
          <w:sz w:val="24"/>
          <w:szCs w:val="24"/>
        </w:rPr>
        <w:t xml:space="preserve"> eelkõige muutes need riigi roma elanikkonda paremini esindavaks. Neid tuleks laiendada uutele sidusrühmadele (nt lapse õiguste organisatsioonid, erasektor), et võimaldada omandada uusi teadmisi, kasutada ära sotsiaalse innovatsiooni potentsiaali, muuta mõtteviisi ja tuua kaasa püsivaid sotsiaalseid muutusi. </w:t>
      </w:r>
      <w:r>
        <w:rPr>
          <w:rFonts w:ascii="Times New Roman" w:hAnsi="Times New Roman"/>
          <w:b/>
          <w:noProof/>
          <w:sz w:val="24"/>
          <w:szCs w:val="24"/>
        </w:rPr>
        <w:t>Romade, eelkõige naiste ja noorte aktiivse kaasamise</w:t>
      </w:r>
      <w:r>
        <w:rPr>
          <w:rFonts w:ascii="Times New Roman" w:hAnsi="Times New Roman"/>
          <w:noProof/>
          <w:sz w:val="24"/>
          <w:szCs w:val="24"/>
        </w:rPr>
        <w:t xml:space="preserve"> soodustamiseks tuleks valida platvormi esindaja, et tagada romade kaasamise riiklike platvormide ja romade kaasamise Euroopa platvormi vaheline piiriülene koostöö; samal ajal tuleks roma noortele pakkuda spetsiaalset praktikat või algastme ametikohti riiklikes struktuurides, mis on seotud romade kaasamise riiklike platvormide rakendamisega. Kasutada tuleks koostoimet muude ELi, riiklike või rahvusvaheliste algatustega, eelkõige kodanikuühiskonna järelevalve projektiga, et edendada vastastikust õppimist ja poliitikakogemuste vahetamist. </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IV.4 </w:t>
      </w:r>
      <w:r>
        <w:rPr>
          <w:noProof/>
        </w:rPr>
        <w:tab/>
      </w:r>
      <w:r>
        <w:rPr>
          <w:rFonts w:ascii="Times New Roman" w:hAnsi="Times New Roman"/>
          <w:b/>
          <w:i/>
          <w:noProof/>
          <w:sz w:val="24"/>
          <w:szCs w:val="24"/>
        </w:rPr>
        <w:t>ELi meetmed ja toetus võrdõiguslikkuse edendamiseks ja romavastasusega võitlemiseks</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Et edendada romavastasusega võitlemisega romade võrdõiguslikkust, toetab komisjon </w:t>
      </w:r>
      <w:r>
        <w:rPr>
          <w:rFonts w:ascii="Times New Roman" w:hAnsi="Times New Roman"/>
          <w:b/>
          <w:noProof/>
          <w:sz w:val="24"/>
          <w:szCs w:val="24"/>
        </w:rPr>
        <w:t>kodanike, võrdõiguslikkuse, õiguste ja väärtuste programmi</w:t>
      </w:r>
      <w:r>
        <w:rPr>
          <w:noProof/>
        </w:rPr>
        <w:t xml:space="preserve"> </w:t>
      </w:r>
      <w:r>
        <w:rPr>
          <w:rFonts w:ascii="Times New Roman" w:hAnsi="Times New Roman"/>
          <w:noProof/>
          <w:sz w:val="24"/>
          <w:szCs w:val="24"/>
        </w:rPr>
        <w:t xml:space="preserve">raames tegevusi, mille eesmärk on </w:t>
      </w:r>
      <w:r>
        <w:rPr>
          <w:rFonts w:ascii="Times New Roman" w:hAnsi="Times New Roman"/>
          <w:b/>
          <w:noProof/>
          <w:sz w:val="24"/>
          <w:szCs w:val="24"/>
        </w:rPr>
        <w:t>edendada positiivset narratiivi</w:t>
      </w:r>
      <w:r>
        <w:rPr>
          <w:rFonts w:ascii="Times New Roman" w:hAnsi="Times New Roman"/>
          <w:noProof/>
          <w:sz w:val="24"/>
          <w:szCs w:val="24"/>
        </w:rPr>
        <w:t xml:space="preserve"> ja romadest eeskujude seadmist, </w:t>
      </w:r>
      <w:r>
        <w:rPr>
          <w:rFonts w:ascii="Times New Roman" w:hAnsi="Times New Roman"/>
          <w:b/>
          <w:noProof/>
          <w:sz w:val="24"/>
          <w:szCs w:val="24"/>
        </w:rPr>
        <w:t>võidelda negatiivsete stereotüüpide vastu</w:t>
      </w:r>
      <w:r>
        <w:rPr>
          <w:rFonts w:ascii="Times New Roman" w:hAnsi="Times New Roman"/>
          <w:noProof/>
          <w:sz w:val="24"/>
          <w:szCs w:val="24"/>
        </w:rPr>
        <w:t xml:space="preserve">, suurendada </w:t>
      </w:r>
      <w:r>
        <w:rPr>
          <w:rFonts w:ascii="Times New Roman" w:hAnsi="Times New Roman"/>
          <w:b/>
          <w:noProof/>
          <w:sz w:val="24"/>
          <w:szCs w:val="24"/>
        </w:rPr>
        <w:t>teadlikkust romade ajaloost ja kultuurist</w:t>
      </w:r>
      <w:r>
        <w:rPr>
          <w:rFonts w:ascii="Times New Roman" w:hAnsi="Times New Roman"/>
          <w:noProof/>
          <w:sz w:val="24"/>
          <w:szCs w:val="24"/>
        </w:rPr>
        <w:t xml:space="preserve"> ning edendada </w:t>
      </w:r>
      <w:r>
        <w:rPr>
          <w:rFonts w:ascii="Times New Roman" w:hAnsi="Times New Roman"/>
          <w:b/>
          <w:noProof/>
          <w:sz w:val="24"/>
          <w:szCs w:val="24"/>
        </w:rPr>
        <w:t>tõde ja leppimist</w:t>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Komisjon korraldab koos UNESCOga ühiskampaania, et võidelda </w:t>
      </w:r>
      <w:r>
        <w:rPr>
          <w:rFonts w:ascii="Times New Roman" w:hAnsi="Times New Roman"/>
          <w:b/>
          <w:noProof/>
          <w:sz w:val="24"/>
          <w:szCs w:val="24"/>
        </w:rPr>
        <w:t>desinformatsiooni, vaenukõne ja vandenõuteooriate</w:t>
      </w:r>
      <w:r>
        <w:rPr>
          <w:rFonts w:ascii="Times New Roman" w:hAnsi="Times New Roman"/>
          <w:noProof/>
          <w:sz w:val="24"/>
          <w:szCs w:val="24"/>
        </w:rPr>
        <w:t xml:space="preserve"> vastu, mis mõjutavad ka romasid. Komisjon jätkab erasektori toetamist mitmekesisuse hartade ELi platvormi kaudu ning uurib võimalusi koostööks meediaga, et luua positiivne narratiiv ning edendada võrdõiguslikkust ja mitmekesisust kõigis valdkondades. </w:t>
      </w:r>
      <w:r>
        <w:rPr>
          <w:rFonts w:ascii="Times New Roman" w:hAnsi="Times New Roman"/>
          <w:noProof/>
          <w:sz w:val="24"/>
        </w:rPr>
        <w:t>Senistele kogemustele</w:t>
      </w:r>
      <w:r>
        <w:rPr>
          <w:rFonts w:ascii="Times New Roman" w:eastAsia="Calibri" w:hAnsi="Times New Roman" w:cs="Times New Roman"/>
          <w:noProof/>
          <w:sz w:val="24"/>
          <w:vertAlign w:val="superscript"/>
        </w:rPr>
        <w:footnoteReference w:id="61"/>
      </w:r>
      <w:r>
        <w:rPr>
          <w:rFonts w:ascii="Times New Roman" w:hAnsi="Times New Roman"/>
          <w:noProof/>
          <w:sz w:val="24"/>
        </w:rPr>
        <w:t xml:space="preserve"> tuginedes töötab komisjon välja rea seminare rassiliste ja etniliste stereotüüpide kohta (mis puudutavad ka romasid), tuues kokku ajakirjanikud, kodanikuühiskonna organisatsioonid ja rassilise või etnilise vähemuse taustaga inimeste esindajad.</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Komisjoni </w:t>
      </w:r>
      <w:r>
        <w:rPr>
          <w:rFonts w:ascii="Times New Roman" w:hAnsi="Times New Roman"/>
          <w:b/>
          <w:noProof/>
          <w:sz w:val="24"/>
          <w:szCs w:val="24"/>
        </w:rPr>
        <w:t>teavitustegevuse</w:t>
      </w:r>
      <w:r>
        <w:rPr>
          <w:rFonts w:ascii="Times New Roman" w:hAnsi="Times New Roman"/>
          <w:noProof/>
          <w:sz w:val="24"/>
          <w:szCs w:val="24"/>
        </w:rPr>
        <w:t xml:space="preserve"> käigus tutvustatakse võrdõiguslikkuse ja mitmekesisuse eeliseid</w:t>
      </w:r>
      <w:r>
        <w:rPr>
          <w:rStyle w:val="FootnoteReference"/>
          <w:rFonts w:ascii="Times New Roman" w:hAnsi="Times New Roman"/>
          <w:noProof/>
          <w:sz w:val="24"/>
          <w:szCs w:val="24"/>
        </w:rPr>
        <w:footnoteReference w:id="62"/>
      </w:r>
      <w:r>
        <w:rPr>
          <w:rFonts w:ascii="Times New Roman" w:hAnsi="Times New Roman"/>
          <w:noProof/>
          <w:sz w:val="24"/>
          <w:szCs w:val="24"/>
        </w:rPr>
        <w:t xml:space="preserve">. Komisjon korraldab hulga teadlikkuse suurendamise üritusi, mille puhul keskendutakse suurte roma kogukondadega liikmesriikidele, et võidelda stereotüüpide vastu, edendada kultuurilist mitmekesisust, võimestada roma lapsi, noori ja naisi ning tõsta nad mitmekesistes kogukondades eeskujudena esile ning ühendada kogukondi.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Teadlikkuse suurendamine roma naiste mitmekordse diskrimineerimise tagajärgedest ühendatakse kogu ELi hõlmava teavituskampaaniaga </w:t>
      </w:r>
      <w:r>
        <w:rPr>
          <w:rFonts w:ascii="Times New Roman" w:hAnsi="Times New Roman"/>
          <w:b/>
          <w:noProof/>
          <w:sz w:val="24"/>
          <w:szCs w:val="24"/>
        </w:rPr>
        <w:t>soostereotüüpide vastu võitlemise</w:t>
      </w:r>
      <w:r>
        <w:rPr>
          <w:rFonts w:ascii="Times New Roman" w:hAnsi="Times New Roman"/>
          <w:noProof/>
          <w:sz w:val="24"/>
          <w:szCs w:val="24"/>
        </w:rPr>
        <w:t xml:space="preserve"> kohta, mille raames rakendatakse osana soolise võrdõiguslikkuse strateegiast intersektsionaalset lähenemisviisi kõigis eluvaldkondades.</w:t>
      </w:r>
    </w:p>
    <w:p>
      <w:pPr>
        <w:pBdr>
          <w:top w:val="single" w:sz="4" w:space="1" w:color="auto"/>
          <w:left w:val="single" w:sz="4" w:space="4" w:color="auto"/>
          <w:bottom w:val="single" w:sz="4" w:space="1" w:color="auto"/>
          <w:right w:val="single" w:sz="4" w:space="4" w:color="auto"/>
        </w:pBdr>
        <w:spacing w:after="120" w:line="240" w:lineRule="auto"/>
        <w:rPr>
          <w:rFonts w:ascii="Times New Roman" w:hAnsi="Times New Roman"/>
          <w:noProof/>
          <w:sz w:val="24"/>
          <w:szCs w:val="24"/>
        </w:rPr>
      </w:pPr>
      <w:r>
        <w:rPr>
          <w:rFonts w:ascii="Times New Roman" w:hAnsi="Times New Roman"/>
          <w:noProof/>
          <w:sz w:val="24"/>
          <w:szCs w:val="24"/>
        </w:rPr>
        <w:t>Komisjon teeb järgmist:</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tagab selliste olemasolevate ELi õigusaktide täitmise, millega kaitstakse romasid diskrimineerimise ja rassismi eest, ning täidab vajaduse korral lüngad;</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arvestab romade võrdõiguslikkusega ELi poliitikaalgatustes ning kasutab ELi vahendeid romade võrdõiguslikkuse, kaasamise ja osalemise heaks;</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võtab meetmeid komisjoni töötajate mitmekesisuse suurendamiseks;</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käivitab romade kodanikuühiskonna suutlikkuse suurendamise uue tsükli ning tugevdab romade kaasamise Euroopa ja riiklikke platvorme;</w:t>
      </w:r>
    </w:p>
    <w:p>
      <w:pPr>
        <w:pBdr>
          <w:top w:val="single" w:sz="4" w:space="1" w:color="auto"/>
          <w:left w:val="single" w:sz="4" w:space="4" w:color="auto"/>
          <w:bottom w:val="single" w:sz="4" w:space="1" w:color="auto"/>
          <w:right w:val="single" w:sz="4" w:space="4" w:color="auto"/>
        </w:pBdr>
        <w:spacing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edendab positiivset narratiivi ja romadest eeskujude seadmist, võitleb negatiivsete stereotüüpide vastu, suurendab teadlikkust romade ajaloost ja kultuurist ning edendab tõde ja leppimist.</w:t>
      </w:r>
    </w:p>
    <w:p>
      <w:pPr>
        <w:spacing w:before="360" w:after="240" w:line="240" w:lineRule="auto"/>
        <w:ind w:left="851" w:hanging="851"/>
        <w:jc w:val="both"/>
        <w:rPr>
          <w:rFonts w:ascii="Times New Roman" w:hAnsi="Times New Roman"/>
          <w:b/>
          <w:i/>
          <w:smallCaps/>
          <w:noProof/>
          <w:sz w:val="24"/>
          <w:szCs w:val="24"/>
        </w:rPr>
      </w:pPr>
      <w:r>
        <w:rPr>
          <w:rFonts w:ascii="Times New Roman" w:hAnsi="Times New Roman"/>
          <w:b/>
          <w:i/>
          <w:smallCaps/>
          <w:noProof/>
          <w:sz w:val="24"/>
          <w:szCs w:val="24"/>
        </w:rPr>
        <w:t xml:space="preserve">V. </w:t>
      </w:r>
      <w:r>
        <w:rPr>
          <w:noProof/>
        </w:rPr>
        <w:tab/>
      </w:r>
      <w:r>
        <w:rPr>
          <w:rFonts w:ascii="Times New Roman" w:hAnsi="Times New Roman"/>
          <w:b/>
          <w:i/>
          <w:smallCaps/>
          <w:noProof/>
          <w:sz w:val="24"/>
          <w:szCs w:val="24"/>
        </w:rPr>
        <w:t>Romade võrdõiguslikkuse, kaasamise ja osalemise edendamine väljaspool ELi</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EL ja liikmesriigid peaksid edendama romade võrdõiguslikkust, kaasamist ja osalemist oma </w:t>
      </w:r>
      <w:r>
        <w:rPr>
          <w:rFonts w:ascii="Times New Roman" w:hAnsi="Times New Roman"/>
          <w:b/>
          <w:noProof/>
          <w:sz w:val="24"/>
          <w:szCs w:val="24"/>
        </w:rPr>
        <w:t>välistegevuses</w:t>
      </w:r>
      <w:r>
        <w:rPr>
          <w:rFonts w:ascii="Times New Roman" w:hAnsi="Times New Roman"/>
          <w:noProof/>
          <w:sz w:val="24"/>
          <w:szCs w:val="24"/>
        </w:rPr>
        <w:t xml:space="preserve">, eelkõige oma laienemis-, naabrus-, arengu- ja humanitaarpoliitika raames. </w:t>
      </w:r>
    </w:p>
    <w:p>
      <w:pPr>
        <w:spacing w:after="120" w:line="240" w:lineRule="auto"/>
        <w:jc w:val="both"/>
        <w:rPr>
          <w:rFonts w:ascii="Times New Roman" w:hAnsi="Times New Roman" w:cs="Times New Roman"/>
          <w:noProof/>
          <w:sz w:val="24"/>
          <w:szCs w:val="24"/>
        </w:rPr>
      </w:pPr>
      <w:r>
        <w:rPr>
          <w:rFonts w:ascii="Times New Roman" w:hAnsi="Times New Roman"/>
          <w:b/>
          <w:noProof/>
          <w:sz w:val="24"/>
          <w:szCs w:val="24"/>
        </w:rPr>
        <w:t>Lääne-Balkani</w:t>
      </w:r>
      <w:r>
        <w:rPr>
          <w:rFonts w:ascii="Times New Roman" w:hAnsi="Times New Roman"/>
          <w:noProof/>
          <w:sz w:val="24"/>
          <w:szCs w:val="24"/>
        </w:rPr>
        <w:t xml:space="preserve"> piirkond on ELi geostrateegiline prioriteet. Komisjoni 2020. aasta veebruari teatises</w:t>
      </w:r>
      <w:r>
        <w:rPr>
          <w:rStyle w:val="FootnoteReference"/>
          <w:rFonts w:ascii="Times New Roman" w:hAnsi="Times New Roman" w:cs="Times New Roman"/>
          <w:noProof/>
          <w:sz w:val="24"/>
          <w:szCs w:val="24"/>
        </w:rPr>
        <w:footnoteReference w:id="63"/>
      </w:r>
      <w:r>
        <w:rPr>
          <w:rFonts w:ascii="Times New Roman" w:hAnsi="Times New Roman"/>
          <w:noProof/>
          <w:sz w:val="24"/>
          <w:szCs w:val="24"/>
        </w:rPr>
        <w:t xml:space="preserve"> nõutakse tegevuse vastavusse viimist ELi poliitikaga, sealhulgas kõige ebasoodsamas olukorras olevate rühmade toetamisel. Lääne-Balkani partnerid tagasid juba vabatahtlikult kooskõla romasid käsitlevate riiklike integratsioonistrateegiate ELi raamistikuga aastani 2020. Nad on juba teinud märkimisväärseid edusamme. 2020. aasta mais Zagrebis toimunud ELi ja Lääne-Balkani riikide tippkohtumisel kinnitasid ELi juhid taas oma toetust Lääne-Balkani Euroopa väljavaatele ning oma kindlat otsust suurendada toetust Lääne-Balkani riikide poliitilistele, majanduslikele ja sotsiaalsetele ümberkorraldustele</w:t>
      </w:r>
      <w:r>
        <w:rPr>
          <w:rStyle w:val="FootnoteReference"/>
          <w:rFonts w:ascii="Times New Roman" w:hAnsi="Times New Roman" w:cs="Times New Roman"/>
          <w:noProof/>
          <w:sz w:val="24"/>
          <w:szCs w:val="24"/>
        </w:rPr>
        <w:footnoteReference w:id="64"/>
      </w:r>
      <w:r>
        <w:rPr>
          <w:rFonts w:ascii="Times New Roman" w:hAnsi="Times New Roman"/>
          <w:noProof/>
          <w:sz w:val="24"/>
          <w:szCs w:val="24"/>
        </w:rPr>
        <w:t>. Nad väljendasid heameelt Lääne-Balkani partnerite kindla pühendumuse üle seada esikohale demokraatia ja õigusriigi põhimõte, sealhulgas inimõigused, sooline võrdõiguslikkus ja vähemuste õigused</w:t>
      </w:r>
      <w:r>
        <w:rPr>
          <w:rStyle w:val="FootnoteReference"/>
          <w:noProof/>
        </w:rPr>
        <w:footnoteReference w:id="65"/>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Romade osakaal Lääne-Balkani riikides on oluline ning sarnaneb nende ELi liikmesriikide omaga, kus on märkimisväärne roma elanikkond. Mõistlik on käsitleda romade võrdõiguslikkust, kaasamist ja osalemist ELis ja </w:t>
      </w:r>
      <w:r>
        <w:rPr>
          <w:rFonts w:ascii="Times New Roman" w:hAnsi="Times New Roman"/>
          <w:b/>
          <w:noProof/>
          <w:sz w:val="24"/>
          <w:szCs w:val="24"/>
        </w:rPr>
        <w:t>Lääne-Balkani riikides</w:t>
      </w:r>
      <w:r>
        <w:rPr>
          <w:rFonts w:ascii="Times New Roman" w:hAnsi="Times New Roman"/>
          <w:noProof/>
          <w:sz w:val="24"/>
          <w:szCs w:val="24"/>
        </w:rPr>
        <w:t xml:space="preserve"> samal viisil, sealhulgas kohaldades ajavahemikul kuni 2030. aastani samu eesmärke. 2019. aasta juulis võtsid Lääne-Balkani riikide peaministrid vastu </w:t>
      </w:r>
      <w:r>
        <w:rPr>
          <w:rFonts w:ascii="Times New Roman" w:hAnsi="Times New Roman"/>
          <w:b/>
          <w:noProof/>
          <w:sz w:val="24"/>
          <w:szCs w:val="24"/>
        </w:rPr>
        <w:t>deklaratsiooni romade integreerimise kohta ELi laienemisprotsessis</w:t>
      </w:r>
      <w:r>
        <w:rPr>
          <w:rFonts w:ascii="Times New Roman" w:hAnsi="Times New Roman"/>
          <w:noProof/>
          <w:sz w:val="24"/>
          <w:szCs w:val="24"/>
        </w:rPr>
        <w:t>, kohustudes ühinemise ajaks konkreetselt parandama romade olukorda seoses hariduse, tööhõive, tervishoiu, eluasemete, rahvastiku registreerimise ja mittediskrimineerimisega</w:t>
      </w:r>
      <w:r>
        <w:rPr>
          <w:rStyle w:val="FootnoteReference"/>
          <w:noProof/>
        </w:rPr>
        <w:footnoteReference w:id="66"/>
      </w:r>
      <w:r>
        <w:rPr>
          <w:rFonts w:ascii="Times New Roman" w:hAnsi="Times New Roman"/>
          <w:noProof/>
          <w:sz w:val="24"/>
          <w:szCs w:val="24"/>
        </w:rPr>
        <w:t xml:space="preserve">. EL toetab ka edaspidi deklaratsiooni rakendamist ning tööd andmete kogumise, romadega arvestava eelarvete koostamise ja romade eluasemete ülevaate koostamise valdkonnas. Järkjärguline vastavusse viimine ELi eesmärkide ja metoodikaga on osa Euroopa väljavaatest kõigi ELiga ühineda soovivate riikide jaoks.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Lääne-Balkani partnerid esitavad sarnaselt ELi liikmesriikide poolaasta protsessiga iga-aastased majandusreformi programmid, sealhulgas reformid konkurentsivõime suurendamiseks ning kaasava majanduskasvu ja töökohtade loomise tingimuste parandamiseks. Majandusreformi programmides antakse teavet sotsiaalse kaasatuse, vaesuse vähendamise ja võrdsete võimaluste kohta, sealhulgas romade puhul. Kui võetakse vastu </w:t>
      </w:r>
      <w:r>
        <w:rPr>
          <w:rFonts w:ascii="Times New Roman" w:hAnsi="Times New Roman"/>
          <w:b/>
          <w:noProof/>
          <w:sz w:val="24"/>
          <w:szCs w:val="24"/>
        </w:rPr>
        <w:t>ühinemiseelse abi rahastamisvahendi aastateks 2021–2027</w:t>
      </w:r>
      <w:r>
        <w:rPr>
          <w:rFonts w:ascii="Times New Roman" w:hAnsi="Times New Roman"/>
          <w:noProof/>
          <w:sz w:val="24"/>
          <w:szCs w:val="24"/>
        </w:rPr>
        <w:t>, jätkatakse sellega reformide toetamist ja ELi nõuetega vastavusse viimist piirkondlikul ja riiklikul tasandil. Lääne-Balkani riikide majandus- ja investeerimiskavas määratakse kindlaks prioriteetsed investeerimisvaldkonnad, et edendada piirkonnas lähenemist, majanduskasvu ja konkurentsivõimet, peaasjalikult selleks, et toetada tõrjutud rühmi ja vähemusi, eelkõige roma kogukondi</w:t>
      </w:r>
      <w:r>
        <w:rPr>
          <w:rStyle w:val="FootnoteReference"/>
          <w:rFonts w:ascii="Times New Roman" w:eastAsia="Times New Roman" w:hAnsi="Times New Roman" w:cs="Times New Roman"/>
          <w:noProof/>
          <w:sz w:val="24"/>
          <w:szCs w:val="24"/>
          <w:lang w:eastAsia="en-GB"/>
        </w:rPr>
        <w:footnoteReference w:id="67"/>
      </w:r>
      <w:r>
        <w:rPr>
          <w:noProof/>
        </w:rPr>
        <w:t>.</w:t>
      </w:r>
      <w:r>
        <w:rPr>
          <w:rFonts w:ascii="Times New Roman" w:hAnsi="Times New Roman"/>
          <w:noProof/>
          <w:sz w:val="24"/>
          <w:szCs w:val="24"/>
        </w:rPr>
        <w:t xml:space="preserve"> Romade kaasamise edendamiseks kasutatakse ka COVID-19 kriisist taastumise või muude välissuhete toetusmeetmetega seotud muid asjaomaseid ELi vahendeid, nagu naabruspoliitika, arengu- ja rahvusvahelise koostöö rahastamisvahend</w:t>
      </w:r>
      <w:r>
        <w:rPr>
          <w:rStyle w:val="FootnoteReference"/>
          <w:rFonts w:ascii="Times New Roman" w:hAnsi="Times New Roman" w:cs="Times New Roman"/>
          <w:noProof/>
          <w:sz w:val="24"/>
          <w:szCs w:val="24"/>
        </w:rPr>
        <w:footnoteReference w:id="68"/>
      </w:r>
      <w:r>
        <w:rPr>
          <w:rFonts w:ascii="Times New Roman" w:hAnsi="Times New Roman"/>
          <w:noProof/>
          <w:sz w:val="24"/>
          <w:szCs w:val="24"/>
        </w:rPr>
        <w:t>.</w:t>
      </w:r>
    </w:p>
    <w:p>
      <w:pPr>
        <w:spacing w:after="0" w:line="240" w:lineRule="auto"/>
        <w:jc w:val="both"/>
        <w:rPr>
          <w:rFonts w:ascii="Times New Roman" w:hAnsi="Times New Roman" w:cs="Times New Roman"/>
          <w:noProof/>
          <w:sz w:val="24"/>
          <w:szCs w:val="24"/>
        </w:rPr>
      </w:pPr>
      <w:r>
        <w:rPr>
          <w:rFonts w:ascii="Times New Roman" w:hAnsi="Times New Roman"/>
          <w:noProof/>
          <w:sz w:val="24"/>
          <w:szCs w:val="24"/>
        </w:rPr>
        <w:t>Komisjon jätkab kogu maailmas mittediskrimineerimise ja võrdõiguslikkuse edendamist ELi strateegiliste raamistike,</w:t>
      </w:r>
      <w:r>
        <w:rPr>
          <w:rStyle w:val="FootnoteReference"/>
          <w:rFonts w:ascii="Times New Roman" w:hAnsi="Times New Roman"/>
          <w:noProof/>
          <w:sz w:val="24"/>
          <w:szCs w:val="24"/>
        </w:rPr>
        <w:footnoteReference w:id="69"/>
      </w:r>
      <w:r>
        <w:rPr>
          <w:rFonts w:ascii="Times New Roman" w:hAnsi="Times New Roman"/>
          <w:noProof/>
          <w:sz w:val="24"/>
          <w:szCs w:val="24"/>
        </w:rPr>
        <w:t xml:space="preserve"> ELi</w:t>
      </w:r>
      <w:r>
        <w:rPr>
          <w:rFonts w:ascii="Times New Roman" w:hAnsi="Times New Roman"/>
          <w:b/>
          <w:noProof/>
          <w:sz w:val="24"/>
          <w:szCs w:val="24"/>
        </w:rPr>
        <w:t xml:space="preserve"> inimõiguste ja demokraatia tegevuskavade (2020–2024)</w:t>
      </w:r>
      <w:r>
        <w:rPr>
          <w:rStyle w:val="FootnoteReference"/>
          <w:rFonts w:ascii="Times New Roman" w:hAnsi="Times New Roman"/>
          <w:noProof/>
          <w:sz w:val="24"/>
          <w:szCs w:val="24"/>
        </w:rPr>
        <w:footnoteReference w:id="70"/>
      </w:r>
      <w:r>
        <w:rPr>
          <w:rFonts w:ascii="Times New Roman" w:hAnsi="Times New Roman"/>
          <w:noProof/>
          <w:sz w:val="24"/>
          <w:szCs w:val="24"/>
        </w:rPr>
        <w:t xml:space="preserve"> ning ELi soolise võrdõiguslikkuse tegevuskavade</w:t>
      </w:r>
      <w:r>
        <w:rPr>
          <w:rStyle w:val="FootnoteReference"/>
          <w:rFonts w:ascii="Times New Roman" w:hAnsi="Times New Roman"/>
          <w:noProof/>
          <w:sz w:val="24"/>
          <w:szCs w:val="24"/>
        </w:rPr>
        <w:footnoteReference w:id="71"/>
      </w:r>
      <w:r>
        <w:rPr>
          <w:rFonts w:ascii="Times New Roman" w:hAnsi="Times New Roman"/>
          <w:noProof/>
          <w:sz w:val="24"/>
          <w:szCs w:val="24"/>
        </w:rPr>
        <w:t xml:space="preserve"> alusel ning ka romadega seotud küsimuste käsitlemist siis, kui ta rakendab ELi 2019. aasta </w:t>
      </w:r>
      <w:r>
        <w:rPr>
          <w:rFonts w:ascii="Times New Roman" w:hAnsi="Times New Roman"/>
          <w:b/>
          <w:noProof/>
          <w:sz w:val="24"/>
          <w:szCs w:val="24"/>
        </w:rPr>
        <w:t>suuniseid mittediskrimineerimise kohta välistegevuses</w:t>
      </w:r>
      <w:r>
        <w:rPr>
          <w:rStyle w:val="FootnoteReference"/>
          <w:rFonts w:ascii="Times New Roman" w:eastAsia="Times New Roman" w:hAnsi="Times New Roman" w:cs="Times New Roman"/>
          <w:b/>
          <w:noProof/>
          <w:sz w:val="24"/>
          <w:szCs w:val="24"/>
          <w:lang w:eastAsia="en-GB"/>
        </w:rPr>
        <w:footnoteReference w:id="72"/>
      </w:r>
      <w:r>
        <w:rPr>
          <w:rFonts w:ascii="Times New Roman" w:hAnsi="Times New Roman"/>
          <w:noProof/>
          <w:sz w:val="24"/>
          <w:szCs w:val="24"/>
        </w:rPr>
        <w:t>. ELi meetmed täiendavad riiklikke algatusi ja toetavad kodanikuühiskonda. Romade võrdõiguslikkus ja kaasamine on märkimisväärse roma elanikkonnaga kolmandate riikidega peetavate inimõigustealaste ja muude poliitiliste dialoogide tavapärane päevakorrapunkt. EL jätkab aktiivset osalemist romade võrdõiguslikkuse küsimustes piirkondlikel ja mitmepoolsetel foorumitel, eelkõige Euroopa Nõukogus, Euroopa Julgeoleku- ja Koostööorganisatsioonis ning ÜROs.</w:t>
      </w:r>
    </w:p>
    <w:p>
      <w:pPr>
        <w:keepNext/>
        <w:keepLines/>
        <w:spacing w:before="360" w:after="240" w:line="240" w:lineRule="auto"/>
        <w:ind w:left="851" w:hanging="851"/>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VI. </w:t>
      </w:r>
      <w:r>
        <w:rPr>
          <w:noProof/>
        </w:rPr>
        <w:tab/>
      </w:r>
      <w:r>
        <w:rPr>
          <w:rFonts w:ascii="Times New Roman" w:hAnsi="Times New Roman"/>
          <w:b/>
          <w:i/>
          <w:smallCaps/>
          <w:noProof/>
          <w:sz w:val="24"/>
          <w:szCs w:val="24"/>
        </w:rPr>
        <w:t>Kokkuvõte</w:t>
      </w:r>
    </w:p>
    <w:p>
      <w:pPr>
        <w:keepNext/>
        <w:keepLines/>
        <w:spacing w:after="240" w:line="240" w:lineRule="auto"/>
        <w:jc w:val="both"/>
        <w:rPr>
          <w:rFonts w:ascii="Times New Roman" w:hAnsi="Times New Roman"/>
          <w:noProof/>
          <w:sz w:val="24"/>
          <w:szCs w:val="24"/>
        </w:rPr>
      </w:pPr>
      <w:r>
        <w:rPr>
          <w:rFonts w:ascii="Times New Roman" w:hAnsi="Times New Roman"/>
          <w:noProof/>
          <w:sz w:val="24"/>
          <w:szCs w:val="24"/>
        </w:rPr>
        <w:t xml:space="preserve">Romad on sajandite jooksul panustanud Euroopa kultuurilisse rikkusesse, mitmekesisusse, majandusse ja ühisesse ajalukku. ELi kohustus on kaitsta oma roma vähemust diskrimineerimise, romavastasuse ja sotsiaalse tõrjutuse eest. Romade võrdõiguslikkuse, kaasamise ja osalemise saavutamine eeldab kõigilt ELi institutsioonidelt, riikide valitsustelt ja ELi asutustelt, võrdõiguslikkust edendavatelt asutustelt ja muudelt inimõigustega tegelevatelt asutustelt koostöö tegemist ja meetmete võtmist partnerluses kodanikuühiskonna ja rahvusvaheliste organisatsioonidega ning romade endi täielikku kaasamist. Komisjon kutsub Euroopa Parlamenti üles toetama seda strateegilist raamistikku ning nõukogu töötama </w:t>
      </w:r>
      <w:r>
        <w:rPr>
          <w:rFonts w:ascii="Times New Roman" w:hAnsi="Times New Roman"/>
          <w:b/>
          <w:noProof/>
          <w:sz w:val="24"/>
          <w:szCs w:val="24"/>
        </w:rPr>
        <w:t>romade võrdõiguslikkust, kaasamist ja osalemist käsitleva kavandatud soovituse</w:t>
      </w:r>
      <w:r>
        <w:rPr>
          <w:rFonts w:ascii="Times New Roman" w:hAnsi="Times New Roman"/>
          <w:noProof/>
          <w:sz w:val="24"/>
          <w:szCs w:val="24"/>
        </w:rPr>
        <w:t xml:space="preserve"> kiire vastuvõtmise nimel, tagades, et liikmesriigid ja komisjon töötavad käsikäes. Koos saame teha 2030. aastaks tõelisi edusamme, et luua Euroopa, kus romadel ja nende kogukondadel on kogu oma mitmekesisuses võrdsed võimalused kõigis eluvaldkondades ning kus nad saavad kasu sotsiaal-majanduslikust kaasatusest ja osalevad võrdselt ühiskonnaelus.</w:t>
      </w: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3" w:bottom="1418"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ET</w:t>
    </w:r>
    <w:r>
      <w:rPr>
        <w:rFonts w:ascii="Arial" w:hAnsi="Arial" w:cs="Arial"/>
        <w:b/>
        <w:sz w:val="48"/>
      </w:rPr>
      <w:tab/>
    </w:r>
    <w:r>
      <w:rPr>
        <w:rFonts w:ascii="Arial" w:hAnsi="Arial" w:cs="Arial"/>
        <w:b/>
        <w:sz w:val="48"/>
      </w:rPr>
      <w:tab/>
    </w:r>
    <w:r>
      <w:tab/>
    </w:r>
    <w:r>
      <w:rPr>
        <w:rFonts w:ascii="Arial" w:hAnsi="Arial" w:cs="Arial"/>
        <w:b/>
        <w:sz w:val="48"/>
      </w:rPr>
      <w:t>ET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214522"/>
      <w:docPartObj>
        <w:docPartGallery w:val="Page Numbers (Bottom of Page)"/>
        <w:docPartUnique/>
      </w:docPartObj>
    </w:sdtPr>
    <w:sdtEndPr>
      <w:rPr>
        <w:rFonts w:ascii="Times New Roman" w:hAnsi="Times New Roman" w:cs="Times New Roman"/>
        <w:sz w:val="20"/>
        <w:szCs w:val="20"/>
      </w:rPr>
    </w:sdtEndPr>
    <w:sdtContent>
      <w:p>
        <w:pPr>
          <w:pStyle w:val="Footer"/>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19</w:t>
        </w:r>
        <w:r>
          <w:rPr>
            <w:rFonts w:ascii="Times New Roman" w:hAnsi="Times New Roman" w:cs="Times New Roman"/>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t>1</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Võrdõiguslikkuse liit: ELi rassismivastane tegevuskava 2020–2025, </w:t>
      </w:r>
      <w:hyperlink r:id="rId1" w:history="1">
        <w:r>
          <w:rPr>
            <w:rStyle w:val="Hyperlink"/>
            <w:rFonts w:ascii="Times New Roman" w:hAnsi="Times New Roman"/>
          </w:rPr>
          <w:t>COM(2020) 565 final</w:t>
        </w:r>
      </w:hyperlink>
      <w:r>
        <w:rPr>
          <w:rFonts w:ascii="Times New Roman" w:hAnsi="Times New Roman"/>
        </w:rPr>
        <w:t>.</w:t>
      </w:r>
    </w:p>
  </w:footnote>
  <w:footnote w:id="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„Roma“ on üldtermin, mis viitab mitmesugustele roma päritolu inimestele, nagu romad, sintid, kaaled, romanišid ja bojašid/rudarid. See hõlmab ka selliseid rühmi nagu aškalid, egiptlased, jenišid, domid, lomid, romid ja abdalid, rändkogukondi, sealhulgas etnilisi rändureid või haldusnimetusega </w:t>
      </w:r>
      <w:r>
        <w:rPr>
          <w:rFonts w:ascii="Times New Roman" w:hAnsi="Times New Roman"/>
          <w:i/>
        </w:rPr>
        <w:t>gens du voyage</w:t>
      </w:r>
      <w:r>
        <w:rPr>
          <w:rFonts w:ascii="Times New Roman" w:hAnsi="Times New Roman"/>
        </w:rPr>
        <w:t xml:space="preserve"> määratletud rändureid, ning inimesi, kes määratlevad end mustlastena, ilma et seejuures eirataks nende rühmade eripärasid.</w:t>
      </w:r>
    </w:p>
  </w:footnote>
  <w:footnote w:id="3">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 w:history="1">
        <w:r>
          <w:rPr>
            <w:rStyle w:val="Hyperlink"/>
            <w:rFonts w:ascii="Times New Roman" w:hAnsi="Times New Roman"/>
          </w:rPr>
          <w:t>Euroopa Nõukogu 2012. aasta prognoosid</w:t>
        </w:r>
      </w:hyperlink>
      <w:r>
        <w:t>.</w:t>
      </w:r>
      <w:r>
        <w:rPr>
          <w:rStyle w:val="Hyperlink"/>
          <w:rFonts w:ascii="Times New Roman" w:hAnsi="Times New Roman"/>
        </w:rPr>
        <w:t xml:space="preserve"> </w:t>
      </w:r>
    </w:p>
  </w:footnote>
  <w:footnote w:id="4">
    <w:p>
      <w:pPr>
        <w:pStyle w:val="FootnoteText"/>
        <w:ind w:left="284" w:hanging="284"/>
        <w:contextualSpacing/>
        <w:jc w:val="both"/>
      </w:pPr>
      <w:r>
        <w:rPr>
          <w:rStyle w:val="FootnoteReference"/>
        </w:rPr>
        <w:footnoteRef/>
      </w:r>
      <w:r>
        <w:tab/>
      </w:r>
      <w:r>
        <w:rPr>
          <w:rFonts w:ascii="Times New Roman" w:hAnsi="Times New Roman"/>
          <w:sz w:val="19"/>
          <w:szCs w:val="19"/>
        </w:rPr>
        <w:t xml:space="preserve">Romavastasus (romade vastase rassismi vorm) on ajalooliste juurtega struktuuriline nähtus, mida esineb institutsioonilisel, sotsiaalsel ja inimestevahelisel tasandil. See on saanud alguse sellest, kuidas enamus on romadesse suhtunud ja neid kohelnud. See taandub „teisestamise“ protsessile, mis põhineb nii negatiivsetel kui ka positiivsetel eksootilisust omistavatel stereotüüpidel. Kuigi romavastasusega võitlemise eestkõnelejad on termini „romavastasus“ tähenduse osas ühel meelel, on see termin diskussiooni tekitanud. Euroopa Parlament (oma </w:t>
      </w:r>
      <w:hyperlink r:id="rId3" w:history="1">
        <w:r>
          <w:rPr>
            <w:rFonts w:ascii="Times New Roman" w:hAnsi="Times New Roman"/>
            <w:color w:val="0000FF" w:themeColor="hyperlink"/>
            <w:sz w:val="19"/>
            <w:szCs w:val="19"/>
            <w:u w:val="single"/>
          </w:rPr>
          <w:t>2015.</w:t>
        </w:r>
      </w:hyperlink>
      <w:r>
        <w:rPr>
          <w:rFonts w:ascii="Times New Roman" w:hAnsi="Times New Roman"/>
          <w:sz w:val="19"/>
          <w:szCs w:val="19"/>
        </w:rPr>
        <w:t xml:space="preserve">, </w:t>
      </w:r>
      <w:hyperlink r:id="rId4" w:anchor="title1" w:history="1">
        <w:r>
          <w:rPr>
            <w:rFonts w:ascii="Times New Roman" w:hAnsi="Times New Roman"/>
            <w:color w:val="0000FF" w:themeColor="hyperlink"/>
            <w:sz w:val="19"/>
            <w:szCs w:val="19"/>
            <w:u w:val="single"/>
          </w:rPr>
          <w:t>2017.</w:t>
        </w:r>
      </w:hyperlink>
      <w:r>
        <w:rPr>
          <w:rFonts w:ascii="Times New Roman" w:hAnsi="Times New Roman"/>
          <w:sz w:val="19"/>
          <w:szCs w:val="19"/>
        </w:rPr>
        <w:t xml:space="preserve">, </w:t>
      </w:r>
      <w:hyperlink r:id="rId5" w:history="1">
        <w:r>
          <w:rPr>
            <w:rFonts w:ascii="Times New Roman" w:hAnsi="Times New Roman"/>
            <w:color w:val="0000FF" w:themeColor="hyperlink"/>
            <w:sz w:val="19"/>
            <w:szCs w:val="19"/>
            <w:u w:val="single"/>
          </w:rPr>
          <w:t>2019.</w:t>
        </w:r>
      </w:hyperlink>
      <w:r>
        <w:rPr>
          <w:rFonts w:ascii="Times New Roman" w:hAnsi="Times New Roman"/>
          <w:sz w:val="19"/>
          <w:szCs w:val="19"/>
        </w:rPr>
        <w:t xml:space="preserve"> ja </w:t>
      </w:r>
      <w:hyperlink r:id="rId6" w:history="1">
        <w:r>
          <w:rPr>
            <w:rStyle w:val="Hyperlink"/>
            <w:rFonts w:ascii="Times New Roman" w:hAnsi="Times New Roman"/>
            <w:sz w:val="19"/>
            <w:szCs w:val="19"/>
          </w:rPr>
          <w:t>2020.</w:t>
        </w:r>
      </w:hyperlink>
      <w:r>
        <w:rPr>
          <w:rFonts w:ascii="Times New Roman" w:hAnsi="Times New Roman"/>
          <w:sz w:val="19"/>
          <w:szCs w:val="19"/>
        </w:rPr>
        <w:t xml:space="preserve"> aasta resolutsioonides), komisjon (oma </w:t>
      </w:r>
      <w:hyperlink r:id="rId7" w:history="1">
        <w:r>
          <w:rPr>
            <w:rFonts w:ascii="Times New Roman" w:hAnsi="Times New Roman"/>
            <w:color w:val="0000FF" w:themeColor="hyperlink"/>
            <w:sz w:val="19"/>
            <w:szCs w:val="19"/>
            <w:u w:val="single"/>
          </w:rPr>
          <w:t>iga-aastastes teatistes</w:t>
        </w:r>
      </w:hyperlink>
      <w:r>
        <w:rPr>
          <w:rFonts w:ascii="Times New Roman" w:hAnsi="Times New Roman"/>
          <w:sz w:val="19"/>
          <w:szCs w:val="19"/>
        </w:rPr>
        <w:t xml:space="preserve"> aastatel 2015–2019 ja oma 2018. aasta </w:t>
      </w:r>
      <w:hyperlink r:id="rId8" w:history="1">
        <w:r>
          <w:rPr>
            <w:rFonts w:ascii="Times New Roman" w:hAnsi="Times New Roman"/>
            <w:color w:val="0000FF" w:themeColor="hyperlink"/>
            <w:sz w:val="19"/>
            <w:szCs w:val="19"/>
            <w:u w:val="single"/>
          </w:rPr>
          <w:t>järeldustes</w:t>
        </w:r>
      </w:hyperlink>
      <w:r>
        <w:rPr>
          <w:rFonts w:ascii="Times New Roman" w:hAnsi="Times New Roman"/>
          <w:sz w:val="19"/>
          <w:szCs w:val="19"/>
        </w:rPr>
        <w:t xml:space="preserve">), nõukogu (oma </w:t>
      </w:r>
      <w:hyperlink r:id="rId9" w:history="1">
        <w:r>
          <w:rPr>
            <w:rFonts w:ascii="Times New Roman" w:hAnsi="Times New Roman"/>
            <w:color w:val="0000FF" w:themeColor="hyperlink"/>
            <w:sz w:val="19"/>
            <w:szCs w:val="19"/>
            <w:u w:val="single"/>
          </w:rPr>
          <w:t>2013.</w:t>
        </w:r>
      </w:hyperlink>
      <w:r>
        <w:rPr>
          <w:rFonts w:ascii="Times New Roman" w:hAnsi="Times New Roman"/>
          <w:sz w:val="19"/>
          <w:szCs w:val="19"/>
        </w:rPr>
        <w:t xml:space="preserve"> aasta soovituses ja </w:t>
      </w:r>
      <w:hyperlink r:id="rId10" w:history="1">
        <w:r>
          <w:rPr>
            <w:rFonts w:ascii="Times New Roman" w:hAnsi="Times New Roman"/>
            <w:color w:val="0000FF" w:themeColor="hyperlink"/>
            <w:sz w:val="19"/>
            <w:szCs w:val="19"/>
            <w:u w:val="single"/>
          </w:rPr>
          <w:t>2016.</w:t>
        </w:r>
      </w:hyperlink>
      <w:r>
        <w:rPr>
          <w:rFonts w:ascii="Times New Roman" w:hAnsi="Times New Roman"/>
          <w:sz w:val="19"/>
          <w:szCs w:val="19"/>
        </w:rPr>
        <w:t xml:space="preserve"> aasta järeldustes) ning </w:t>
      </w:r>
      <w:hyperlink r:id="rId11" w:history="1">
        <w:r>
          <w:rPr>
            <w:rFonts w:ascii="Times New Roman" w:hAnsi="Times New Roman"/>
            <w:color w:val="0000FF" w:themeColor="hyperlink"/>
            <w:sz w:val="19"/>
            <w:szCs w:val="19"/>
            <w:u w:val="single"/>
          </w:rPr>
          <w:t>Euroopa Nõukogu</w:t>
        </w:r>
      </w:hyperlink>
      <w:r>
        <w:rPr>
          <w:rFonts w:ascii="Times New Roman" w:hAnsi="Times New Roman"/>
          <w:sz w:val="19"/>
          <w:szCs w:val="19"/>
        </w:rPr>
        <w:t xml:space="preserve"> on tunnistanud romavastasust kui takistust kaasamisele ning sellest tulenevalt ka selle probleemi lahendamise tähtsust. Komisjon kasutab </w:t>
      </w:r>
      <w:hyperlink r:id="rId12" w:history="1">
        <w:r>
          <w:rPr>
            <w:rFonts w:ascii="Times New Roman" w:hAnsi="Times New Roman"/>
            <w:color w:val="0000FF" w:themeColor="hyperlink"/>
            <w:sz w:val="19"/>
            <w:szCs w:val="19"/>
            <w:u w:val="single"/>
          </w:rPr>
          <w:t>romavastasusega võitlemise liidu</w:t>
        </w:r>
      </w:hyperlink>
      <w:r>
        <w:rPr>
          <w:rFonts w:ascii="Times New Roman" w:hAnsi="Times New Roman"/>
          <w:sz w:val="19"/>
          <w:szCs w:val="19"/>
        </w:rPr>
        <w:t xml:space="preserve"> pakutud kirjapilti, nõustudes samas, et riikide olukorrast olenevalt võivad sobida erinevad terminid.</w:t>
      </w:r>
    </w:p>
  </w:footnote>
  <w:footnote w:id="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13" w:history="1">
        <w:r>
          <w:rPr>
            <w:rStyle w:val="Hyperlink"/>
            <w:rFonts w:ascii="Times New Roman" w:hAnsi="Times New Roman"/>
          </w:rPr>
          <w:t>KOM(2011) 173 (lõplik)</w:t>
        </w:r>
      </w:hyperlink>
      <w:r>
        <w:rPr>
          <w:rFonts w:ascii="Times New Roman" w:hAnsi="Times New Roman"/>
        </w:rPr>
        <w:t>.</w:t>
      </w:r>
    </w:p>
  </w:footnote>
  <w:footnote w:id="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Riiklikud esindajad, kes on määratud tegutsema riikliku romasid käsitleva strateegia kontaktpunktina ning kellel on õigus kooskõlastada strateegia kujundamist ja rakendamist riigi tasandil. Pärast ELi raamistiku vastuvõtmist määrati riiklikud esindajad kindlaks kõigis liikmesriikides peale Malta, kus pole roma kogukonda. </w:t>
      </w:r>
    </w:p>
  </w:footnote>
  <w:footnote w:id="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Nõukogu 9. detsembri 2013. aasta soovitus romade tõhusaks integratsiooniks liikmesriikides võetavate meetmete kohta (</w:t>
      </w:r>
      <w:hyperlink r:id="rId14" w:history="1">
        <w:r>
          <w:rPr>
            <w:rStyle w:val="Hyperlink"/>
            <w:rFonts w:ascii="Times New Roman" w:hAnsi="Times New Roman"/>
          </w:rPr>
          <w:t>ELT C 378/1, 24.12.2013</w:t>
        </w:r>
      </w:hyperlink>
      <w:r>
        <w:rPr>
          <w:rFonts w:ascii="Times New Roman" w:hAnsi="Times New Roman"/>
        </w:rPr>
        <w:t>).</w:t>
      </w:r>
    </w:p>
  </w:footnote>
  <w:footnote w:id="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Nagu näitas raamistiku hindamine: </w:t>
      </w:r>
      <w:hyperlink r:id="rId15" w:history="1">
        <w:r>
          <w:rPr>
            <w:rStyle w:val="Hyperlink"/>
            <w:rFonts w:ascii="Times New Roman" w:hAnsi="Times New Roman"/>
          </w:rPr>
          <w:t>COM(2018) 785 final</w:t>
        </w:r>
      </w:hyperlink>
      <w:r>
        <w:rPr>
          <w:rFonts w:ascii="Times New Roman" w:hAnsi="Times New Roman"/>
        </w:rPr>
        <w:t xml:space="preserve">, </w:t>
      </w:r>
      <w:hyperlink r:id="rId16" w:history="1">
        <w:r>
          <w:rPr>
            <w:rStyle w:val="Hyperlink"/>
            <w:rFonts w:ascii="Times New Roman" w:hAnsi="Times New Roman"/>
          </w:rPr>
          <w:t>SWD(2018) 480 final</w:t>
        </w:r>
      </w:hyperlink>
      <w:r>
        <w:rPr>
          <w:rStyle w:val="Hyperlink"/>
          <w:rFonts w:ascii="Times New Roman" w:hAnsi="Times New Roman"/>
          <w:u w:val="none"/>
        </w:rPr>
        <w:t>.</w:t>
      </w:r>
    </w:p>
  </w:footnote>
  <w:footnote w:id="9">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Aruanne romasid käsitlevate riiklike integratsioonistrateegiate ELi raamistiku (aastani 2020) hindamise kohta, </w:t>
      </w:r>
      <w:hyperlink r:id="rId17" w:history="1">
        <w:r>
          <w:rPr>
            <w:rStyle w:val="Hyperlink"/>
            <w:rFonts w:ascii="Times New Roman" w:hAnsi="Times New Roman"/>
          </w:rPr>
          <w:t>COM(2018) 785 final</w:t>
        </w:r>
      </w:hyperlink>
      <w:r>
        <w:t>.</w:t>
      </w:r>
    </w:p>
  </w:footnote>
  <w:footnote w:id="10">
    <w:p>
      <w:pPr>
        <w:pStyle w:val="FootnoteText"/>
        <w:ind w:left="284" w:hanging="284"/>
        <w:jc w:val="both"/>
      </w:pPr>
      <w:r>
        <w:rPr>
          <w:rStyle w:val="FootnoteReference"/>
        </w:rPr>
        <w:footnoteRef/>
      </w:r>
      <w:r>
        <w:tab/>
      </w:r>
      <w:r>
        <w:rPr>
          <w:rFonts w:ascii="Times New Roman" w:hAnsi="Times New Roman"/>
        </w:rPr>
        <w:t xml:space="preserve">Vastavalt nõukogu 29. juuni 2000. aasta direktiivile </w:t>
      </w:r>
      <w:hyperlink r:id="rId18" w:history="1">
        <w:r>
          <w:rPr>
            <w:rStyle w:val="Hyperlink"/>
            <w:rFonts w:ascii="Times New Roman" w:hAnsi="Times New Roman"/>
          </w:rPr>
          <w:t>2000/43/EÜ</w:t>
        </w:r>
      </w:hyperlink>
      <w:r>
        <w:rPr>
          <w:rFonts w:ascii="Times New Roman" w:hAnsi="Times New Roman"/>
        </w:rPr>
        <w:t>, millega rakendatakse võrdse kohtlemise põhimõte sõltumata isikute rassilisest või etnilisest päritolust (rassilise võrdõiguslikkuse direktiiv), on komisjon algatanud kolme riigi (Tšehhi, Ungari ja Slovakkia) suhtes rikkumismenetluse seoses roma laste segregatsiooniga koolides.</w:t>
      </w:r>
    </w:p>
  </w:footnote>
  <w:footnote w:id="1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Aruanne romasid käsitlevate riiklike integratsioonistrateegiate ELi raamistiku (aastani 2020) hindamise kohta, COM(2018) 785 final.</w:t>
      </w:r>
    </w:p>
  </w:footnote>
  <w:footnote w:id="12">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Vt lisatud SWD(2020) 530 final, 1. lisa.</w:t>
      </w:r>
    </w:p>
  </w:footnote>
  <w:footnote w:id="13">
    <w:p>
      <w:pPr>
        <w:pStyle w:val="FootnoteText"/>
        <w:ind w:left="284" w:hanging="284"/>
        <w:contextualSpacing/>
        <w:jc w:val="both"/>
        <w:rPr>
          <w:rStyle w:val="FootnoteReference"/>
          <w:rFonts w:ascii="Times New Roman" w:hAnsi="Times New Roman" w:cs="Times New Roman"/>
          <w:sz w:val="19"/>
          <w:szCs w:val="19"/>
        </w:rPr>
      </w:pPr>
      <w:r>
        <w:rPr>
          <w:rStyle w:val="FootnoteReference"/>
          <w:rFonts w:ascii="Times New Roman" w:hAnsi="Times New Roman" w:cs="Times New Roman"/>
        </w:rPr>
        <w:footnoteRef/>
      </w:r>
      <w:r>
        <w:rPr>
          <w:rStyle w:val="FootnoteReference"/>
          <w:rFonts w:ascii="Times New Roman" w:hAnsi="Times New Roman"/>
          <w:sz w:val="19"/>
          <w:szCs w:val="19"/>
        </w:rPr>
        <w:t xml:space="preserve"> </w:t>
      </w:r>
      <w:r>
        <w:tab/>
      </w:r>
      <w:hyperlink r:id="rId19" w:history="1">
        <w:r>
          <w:rPr>
            <w:rStyle w:val="Hyperlink"/>
            <w:rFonts w:ascii="Times New Roman" w:hAnsi="Times New Roman"/>
            <w:sz w:val="19"/>
            <w:szCs w:val="19"/>
          </w:rPr>
          <w:t>COM(2019) 406</w:t>
        </w:r>
      </w:hyperlink>
      <w:r>
        <w:rPr>
          <w:rFonts w:ascii="Times New Roman" w:hAnsi="Times New Roman"/>
          <w:sz w:val="19"/>
          <w:szCs w:val="19"/>
        </w:rPr>
        <w:t xml:space="preserve">, </w:t>
      </w:r>
      <w:hyperlink r:id="rId20" w:history="1">
        <w:r>
          <w:rPr>
            <w:rStyle w:val="Hyperlink"/>
            <w:rFonts w:ascii="Times New Roman" w:hAnsi="Times New Roman"/>
            <w:sz w:val="19"/>
            <w:szCs w:val="19"/>
          </w:rPr>
          <w:t>SWD(2019)320</w:t>
        </w:r>
      </w:hyperlink>
      <w:r>
        <w:rPr>
          <w:rFonts w:ascii="Times New Roman" w:hAnsi="Times New Roman"/>
          <w:sz w:val="19"/>
          <w:szCs w:val="19"/>
        </w:rPr>
        <w:t xml:space="preserve">, </w:t>
      </w:r>
      <w:hyperlink r:id="rId21" w:history="1">
        <w:r>
          <w:rPr>
            <w:rStyle w:val="Hyperlink"/>
            <w:rFonts w:ascii="Times New Roman" w:hAnsi="Times New Roman"/>
            <w:sz w:val="19"/>
            <w:szCs w:val="19"/>
          </w:rPr>
          <w:t>kõik aastaaruanded</w:t>
        </w:r>
      </w:hyperlink>
      <w:r>
        <w:t>.</w:t>
      </w:r>
    </w:p>
  </w:footnote>
  <w:footnote w:id="1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2" w:history="1">
        <w:r>
          <w:rPr>
            <w:rStyle w:val="Hyperlink"/>
            <w:rFonts w:ascii="Times New Roman" w:hAnsi="Times New Roman"/>
            <w:i/>
            <w:shd w:val="clear" w:color="auto" w:fill="F7F8F6"/>
          </w:rPr>
          <w:t>Romade kaasamise meetmete metahindamine</w:t>
        </w:r>
      </w:hyperlink>
      <w:r>
        <w:rPr>
          <w:rFonts w:ascii="Times New Roman" w:hAnsi="Times New Roman"/>
        </w:rPr>
        <w:t>.</w:t>
      </w:r>
    </w:p>
  </w:footnote>
  <w:footnote w:id="1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Vt </w:t>
      </w:r>
      <w:hyperlink r:id="rId23" w:history="1">
        <w:r>
          <w:rPr>
            <w:rStyle w:val="Hyperlink"/>
            <w:rFonts w:ascii="Times New Roman" w:hAnsi="Times New Roman"/>
          </w:rPr>
          <w:t>Euroopa Parlament 2020</w:t>
        </w:r>
      </w:hyperlink>
      <w:r>
        <w:rPr>
          <w:rFonts w:ascii="Times New Roman" w:hAnsi="Times New Roman"/>
        </w:rPr>
        <w:t xml:space="preserve">, </w:t>
      </w:r>
      <w:hyperlink r:id="rId24" w:history="1">
        <w:r>
          <w:rPr>
            <w:rStyle w:val="Hyperlink"/>
            <w:rFonts w:ascii="Times New Roman" w:hAnsi="Times New Roman"/>
          </w:rPr>
          <w:t>2019</w:t>
        </w:r>
      </w:hyperlink>
      <w:r>
        <w:rPr>
          <w:rFonts w:ascii="Times New Roman" w:hAnsi="Times New Roman"/>
        </w:rPr>
        <w:t xml:space="preserve">, </w:t>
      </w:r>
      <w:hyperlink r:id="rId25" w:history="1">
        <w:r>
          <w:rPr>
            <w:rStyle w:val="Hyperlink"/>
            <w:rFonts w:ascii="Times New Roman" w:hAnsi="Times New Roman"/>
          </w:rPr>
          <w:t>nõukogu</w:t>
        </w:r>
      </w:hyperlink>
      <w:r>
        <w:rPr>
          <w:rStyle w:val="Hyperlink"/>
          <w:rFonts w:ascii="Times New Roman" w:hAnsi="Times New Roman"/>
          <w:u w:val="none"/>
        </w:rPr>
        <w:t>,</w:t>
      </w:r>
      <w:r>
        <w:rPr>
          <w:rFonts w:ascii="Times New Roman" w:hAnsi="Times New Roman"/>
        </w:rPr>
        <w:t xml:space="preserve"> </w:t>
      </w:r>
      <w:hyperlink r:id="rId26" w:history="1">
        <w:r>
          <w:rPr>
            <w:rStyle w:val="Hyperlink"/>
            <w:rFonts w:ascii="Times New Roman" w:hAnsi="Times New Roman"/>
          </w:rPr>
          <w:t>kodanikuühiskond</w:t>
        </w:r>
      </w:hyperlink>
      <w:r>
        <w:rPr>
          <w:rStyle w:val="Hyperlink"/>
          <w:rFonts w:ascii="Times New Roman" w:hAnsi="Times New Roman"/>
          <w:u w:val="none"/>
        </w:rPr>
        <w:t>.</w:t>
      </w:r>
    </w:p>
  </w:footnote>
  <w:footnote w:id="16">
    <w:p>
      <w:pPr>
        <w:pStyle w:val="FootnoteText"/>
        <w:ind w:left="284" w:hanging="284"/>
        <w:jc w:val="both"/>
        <w:rPr>
          <w:rFonts w:ascii="Times New Roman" w:hAnsi="Times New Roman" w:cs="Times New Roman"/>
        </w:rPr>
      </w:pPr>
      <w:r>
        <w:rPr>
          <w:rFonts w:ascii="Times New Roman" w:hAnsi="Times New Roman" w:cs="Times New Roman"/>
          <w:vertAlign w:val="superscript"/>
        </w:rPr>
        <w:footnoteRef/>
      </w:r>
      <w:r>
        <w:rPr>
          <w:rFonts w:ascii="Times New Roman" w:hAnsi="Times New Roman"/>
        </w:rPr>
        <w:t xml:space="preserve"> </w:t>
      </w:r>
      <w:r>
        <w:tab/>
      </w:r>
      <w:r>
        <w:rPr>
          <w:rFonts w:ascii="Times New Roman" w:hAnsi="Times New Roman"/>
        </w:rPr>
        <w:t>Euroopa Liidu toimimise lepingu artiklis 10 on märgitud, et „oma poliitika ja meetmete määratlemisel ja rakendamisel püüab liit võidelda diskrimineerimisega soo, rassilise või etnilise päritolu, usutunnistuse või veendumuste, puuete, vanuse või seksuaalse sättumuse alusel“. Euroopa Soolise Võrdõiguslikkuse Instituut määratleb intersektsionaalsust kui „analüütilist tööriista, millega uurida ja mõista seda, kuidas sugu on põimunud teiste isikuomaduste/identiteetidega ja kuidas see põimumine mõjutab diskrimineerimise ainulaadseid kogemusi, ning sellele reageerida“. See määratlus on asjakohane kõikide diskrimineerimise vormide puhul.</w:t>
      </w:r>
    </w:p>
  </w:footnote>
  <w:footnote w:id="17">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1. põhimõte (kvaliteetne ja kaasav haridus), 3. põhimõte (võrdsed võimalused) ja 20. põhimõte (juurdepääs esmatähtsatele teenustele) on romadele eriti olulised ning neist lähtutakse ELi vahendite kasutamisel nii sihipäraste kui ka üldmeetmete puhul.</w:t>
      </w:r>
    </w:p>
  </w:footnote>
  <w:footnote w:id="1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Pidades silmas tegevuskava eesmärki „mitte kedagi kõrvale jätta“, on võimalik romade olukorda Euroopas märkimisväärselt parandada. Romade olukorraga tegeledes saab EL liikuda lähemale kestliku arengu eesmärkide saavutamisele. Eriti olulised lähtepunktid on kestliku arengu eesmärgid nr 1–2 (vähendada vaesust ja nälga), 3–4 (toetada kõigi inimeste tervist ja heaolu ning kvaliteetset haridust), 6–7 (juurdepääs puhtale veele ja kanalisatsioonile ning taskukohasele ja puhtale energiale), 10–11 (vähendada ebavõrdsust riikides ja nende vahel ning kaasavad ja jätkusuutlikud linnad ja kogukonnad) ning 16 (kaasav ühiskond, õiguskaitse kättesaadavus kõigile ning tõhusad, vastutustundlikud ja kaasavad institutsioonid).</w:t>
      </w:r>
    </w:p>
  </w:footnote>
  <w:footnote w:id="19">
    <w:p>
      <w:pPr>
        <w:pStyle w:val="FootnoteText"/>
        <w:ind w:left="284" w:hanging="284"/>
        <w:contextualSpacing/>
        <w:jc w:val="both"/>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Nõukogu 2016. aasta järeldustes paluti komisjonil esitada 2020. aasta järgne algatus, sealhulgas ettepanek nõukogu 2013. aasta soovituse läbivaatamiseks (</w:t>
      </w:r>
      <w:hyperlink r:id="rId27" w:history="1">
        <w:r>
          <w:rPr>
            <w:rStyle w:val="Hyperlink"/>
            <w:rFonts w:ascii="Times New Roman" w:hAnsi="Times New Roman"/>
            <w:i/>
          </w:rPr>
          <w:t>„Romade integreerimise kiirendamine“</w:t>
        </w:r>
      </w:hyperlink>
      <w:r>
        <w:t>).</w:t>
      </w:r>
    </w:p>
  </w:footnote>
  <w:footnote w:id="2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shd w:val="clear" w:color="auto" w:fill="FFFFFF"/>
        </w:rPr>
        <w:t xml:space="preserve"> </w:t>
      </w:r>
      <w:r>
        <w:tab/>
      </w:r>
      <w:r>
        <w:rPr>
          <w:rFonts w:ascii="Times New Roman" w:hAnsi="Times New Roman"/>
          <w:shd w:val="clear" w:color="auto" w:fill="FFFFFF"/>
        </w:rPr>
        <w:t>Euroopa Parlamendi 17. septembri 2020. aasta resolutsioon romasid käsitlevate riiklike integratsioonistrateegiate rakendamise ja roma päritolu inimeste suhtes Euroopas levinud negatiivsete hoiakute vastu võitlemise kohta (</w:t>
      </w:r>
      <w:hyperlink r:id="rId28" w:history="1">
        <w:r>
          <w:rPr>
            <w:rStyle w:val="Hyperlink"/>
            <w:rFonts w:ascii="Times New Roman" w:hAnsi="Times New Roman"/>
            <w:shd w:val="clear" w:color="auto" w:fill="FFFFFF"/>
          </w:rPr>
          <w:t>P9_TA(2020)0229</w:t>
        </w:r>
      </w:hyperlink>
      <w:r>
        <w:rPr>
          <w:rFonts w:ascii="Times New Roman" w:hAnsi="Times New Roman"/>
          <w:shd w:val="clear" w:color="auto" w:fill="FFFFFF"/>
        </w:rPr>
        <w:t>); Euroopa Parlamendi 12. veebruari 2019. aasta resolutsioon vajaduse kohta koostada tugevdatud 2020. aasta järgne ELi strateegiline raamistik romade kaasamist käsitlevate riiklike strateegiate jaoks ja romavastasusega võitlemise tõhustamise kohta</w:t>
      </w:r>
      <w:r>
        <w:rPr>
          <w:rFonts w:ascii="Times New Roman" w:hAnsi="Times New Roman"/>
        </w:rPr>
        <w:t xml:space="preserve"> (</w:t>
      </w:r>
      <w:hyperlink r:id="rId29" w:history="1">
        <w:r>
          <w:rPr>
            <w:rStyle w:val="Hyperlink"/>
            <w:rFonts w:ascii="Times New Roman" w:hAnsi="Times New Roman"/>
          </w:rPr>
          <w:t>P8_TA(2019)0075</w:t>
        </w:r>
      </w:hyperlink>
      <w:r>
        <w:rPr>
          <w:rFonts w:ascii="Times New Roman" w:hAnsi="Times New Roman"/>
        </w:rPr>
        <w:t>); Tööhõive, sotsiaalpoliitika, tervise- ja tarbijakaitseküsimuste nõukogu 24. oktoobri 2019. aasta järeldused heaolumajanduse kohta (</w:t>
      </w:r>
      <w:hyperlink r:id="rId30" w:history="1">
        <w:r>
          <w:rPr>
            <w:rStyle w:val="Hyperlink"/>
            <w:rFonts w:ascii="Times New Roman" w:hAnsi="Times New Roman"/>
          </w:rPr>
          <w:t>13432/19</w:t>
        </w:r>
      </w:hyperlink>
      <w:r>
        <w:rPr>
          <w:rFonts w:ascii="Times New Roman" w:hAnsi="Times New Roman"/>
        </w:rPr>
        <w:t xml:space="preserve">), milles kutsutakse komisjoni üles </w:t>
      </w:r>
      <w:r>
        <w:rPr>
          <w:rFonts w:ascii="Times New Roman" w:hAnsi="Times New Roman"/>
          <w:i/>
        </w:rPr>
        <w:t>uuendama</w:t>
      </w:r>
      <w:r>
        <w:rPr>
          <w:rFonts w:ascii="Times New Roman" w:hAnsi="Times New Roman"/>
        </w:rPr>
        <w:t xml:space="preserve"> romade kaasamise kohustust. Lisaks toimus 4.–5. märtsil 2019 Bukarestis kõrgetasemeline konverents romasid käsitlevate riiklike integratsioonistrateegiate ELi raamistiku teemal. Konverentsil osalejad kutsusid komisjoni üles tegema ettepaneku kaugeleulatuva uue 2020. aasta järgse ELi raamistiku kohta ning liikmesriike ja laienemisprotsessis osalevaid riike suurendama oma kohustusi romade integreerimisel. Teave eesistujariigilt (</w:t>
      </w:r>
      <w:hyperlink r:id="rId31" w:history="1">
        <w:r>
          <w:rPr>
            <w:rStyle w:val="Hyperlink"/>
            <w:rFonts w:ascii="Times New Roman" w:hAnsi="Times New Roman"/>
          </w:rPr>
          <w:t>7003/19</w:t>
        </w:r>
      </w:hyperlink>
      <w:r>
        <w:rPr>
          <w:rFonts w:ascii="Times New Roman" w:hAnsi="Times New Roman"/>
        </w:rPr>
        <w:t>, 14.3.2019).</w:t>
      </w:r>
    </w:p>
  </w:footnote>
  <w:footnote w:id="2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Vajaduse kohta keskenduda 2020. aasta järgses ELi raamistikus selgemalt romavastasuse ja diskrimineerimisega võitlemisele vt konverentsi järel välja töötatud </w:t>
      </w:r>
      <w:hyperlink r:id="rId32" w:history="1">
        <w:r>
          <w:rPr>
            <w:rStyle w:val="Hyperlink"/>
            <w:rFonts w:ascii="Times New Roman" w:hAnsi="Times New Roman"/>
          </w:rPr>
          <w:t>eksperdisoovitused</w:t>
        </w:r>
      </w:hyperlink>
      <w:r>
        <w:rPr>
          <w:rFonts w:ascii="Times New Roman" w:hAnsi="Times New Roman"/>
        </w:rPr>
        <w:t xml:space="preserve"> „How to address anti-Gypsyism in a post-2020 EU Roma Framework?“ (Viin, 27.11.2018).</w:t>
      </w:r>
    </w:p>
  </w:footnote>
  <w:footnote w:id="22">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Vt lisatud SWD(2020) 530 final. </w:t>
      </w:r>
    </w:p>
  </w:footnote>
  <w:footnote w:id="2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Style w:val="FootnoteReference"/>
          <w:rFonts w:ascii="Times New Roman" w:hAnsi="Times New Roman"/>
          <w:sz w:val="19"/>
          <w:szCs w:val="19"/>
        </w:rPr>
        <w:t xml:space="preserve"> </w:t>
      </w:r>
      <w:r>
        <w:tab/>
      </w:r>
      <w:r>
        <w:rPr>
          <w:rFonts w:ascii="Times New Roman" w:hAnsi="Times New Roman"/>
          <w:sz w:val="19"/>
          <w:szCs w:val="19"/>
        </w:rPr>
        <w:t xml:space="preserve">Lisateavet näitajate nimetuste ja andmeallikate kohta vt 2. lisast ning </w:t>
      </w:r>
      <w:hyperlink r:id="rId33" w:history="1">
        <w:r>
          <w:rPr>
            <w:rStyle w:val="Hyperlink"/>
            <w:rFonts w:ascii="Times New Roman" w:hAnsi="Times New Roman"/>
            <w:i/>
            <w:sz w:val="19"/>
            <w:szCs w:val="19"/>
          </w:rPr>
          <w:t>romade võrdõiguslikkust, kaasamist ja osalemist käsitleva 2020. aasta järgse ELi algatuse järelevalveraamistiku</w:t>
        </w:r>
      </w:hyperlink>
      <w:r>
        <w:rPr>
          <w:rFonts w:ascii="Times New Roman" w:hAnsi="Times New Roman"/>
          <w:sz w:val="19"/>
          <w:szCs w:val="19"/>
        </w:rPr>
        <w:t xml:space="preserve"> aruandest, mille on koostanud romasid käsitlevate näitajate ja aruandluse töörühm (mille tööd koordineerib Euroopa Liidu Põhiõiguste Amet ning kuhu kuuluvad riiklikud romade kontaktpunktid, riiklikud statistikaametid ja komisjon). </w:t>
      </w:r>
    </w:p>
  </w:footnote>
  <w:footnote w:id="24">
    <w:p>
      <w:pPr>
        <w:pStyle w:val="FootnoteText"/>
        <w:ind w:left="284" w:hanging="284"/>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rPr>
        <w:t xml:space="preserve"> </w:t>
      </w:r>
      <w:r>
        <w:tab/>
      </w:r>
      <w:r>
        <w:rPr>
          <w:rFonts w:ascii="Times New Roman" w:hAnsi="Times New Roman"/>
        </w:rPr>
        <w:t>Muid näitajaid uurib romasid käsitlevate näitajate ja aruandluse töörühm, mille tööd koordineerib Euroopa Liidu Põhiõiguste Amet. Need puudutavad näiteks materiaalset ja sotsiaalset puudust, juurdepääsu tervishoiu- ja sotsiaalteenustele, segregatsiooni elamumajanduses.</w:t>
      </w:r>
    </w:p>
  </w:footnote>
  <w:footnote w:id="2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Vt </w:t>
      </w:r>
      <w:hyperlink r:id="rId34" w:history="1">
        <w:r>
          <w:rPr>
            <w:rStyle w:val="Hyperlink"/>
            <w:rFonts w:ascii="Times New Roman" w:hAnsi="Times New Roman"/>
          </w:rPr>
          <w:t>ühised aluspõhimõtted</w:t>
        </w:r>
      </w:hyperlink>
      <w:r>
        <w:rPr>
          <w:rFonts w:ascii="Times New Roman" w:hAnsi="Times New Roman"/>
        </w:rPr>
        <w:t>. 2. põhimõte (sõnaselge, kuid mitte välistav suunatus) „tähendab, et keskendutakse romadele kui sihtrühmale, kuid ei välistata muid samasugustes sotsiaal-majanduslikes oludes elavaid inimesi“. 4. põhimõte (integreerimise eesmärk) viitab eesmärgile „integreerida romad ühiskonna põhiosasse (tavaharidusasutused, tavatöökohad ja tavaeluasemed).</w:t>
      </w:r>
      <w:r>
        <w:rPr>
          <w:rFonts w:ascii="Times New Roman" w:hAnsi="Times New Roman"/>
          <w:i/>
        </w:rPr>
        <w:t xml:space="preserve"> Kui haridus ja eluasemed on endiselt osaliselt või täielikult segregeeritud, tuleb romade kaasamise poliitikas seada eesmärgiks selle segregatsiooni kaotamine. Vältida tuleb kunstlike ja eraldiseisvate roma tööturgude teket.</w:t>
      </w:r>
    </w:p>
  </w:footnote>
  <w:footnote w:id="26">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Seoses inimõigustel põhineva lähenemisega andmete kogumisele julgustatakse riikide ametiasutusi tutvuma </w:t>
      </w:r>
      <w:hyperlink r:id="rId35" w:history="1">
        <w:r>
          <w:rPr>
            <w:rStyle w:val="Hyperlink"/>
            <w:rFonts w:ascii="Times New Roman" w:hAnsi="Times New Roman"/>
            <w:i/>
          </w:rPr>
          <w:t>võrdõiguslikkust käsitlevate andmete Euroopa käsiraamatuga</w:t>
        </w:r>
        <w:r>
          <w:rPr>
            <w:rStyle w:val="Hyperlink"/>
            <w:rFonts w:ascii="Times New Roman" w:hAnsi="Times New Roman"/>
          </w:rPr>
          <w:t xml:space="preserve"> (2016. aasta versioon)</w:t>
        </w:r>
      </w:hyperlink>
      <w:r>
        <w:t>,</w:t>
      </w:r>
      <w:r>
        <w:rPr>
          <w:rFonts w:ascii="Times New Roman" w:hAnsi="Times New Roman"/>
        </w:rPr>
        <w:t xml:space="preserve"> </w:t>
      </w:r>
      <w:hyperlink r:id="rId36" w:history="1">
        <w:r>
          <w:rPr>
            <w:rStyle w:val="Hyperlink"/>
            <w:rFonts w:ascii="Times New Roman" w:hAnsi="Times New Roman"/>
            <w:i/>
          </w:rPr>
          <w:t>võrdõiguslikkust käsitlevate andmete kogumise ja kasutamise parandamise suunistega</w:t>
        </w:r>
        <w:r>
          <w:rPr>
            <w:rStyle w:val="Hyperlink"/>
            <w:rFonts w:ascii="Times New Roman" w:hAnsi="Times New Roman"/>
          </w:rPr>
          <w:t xml:space="preserve"> (2018)</w:t>
        </w:r>
      </w:hyperlink>
      <w:r>
        <w:rPr>
          <w:rFonts w:ascii="Times New Roman" w:hAnsi="Times New Roman"/>
        </w:rPr>
        <w:t xml:space="preserve"> ning </w:t>
      </w:r>
      <w:hyperlink r:id="rId37" w:history="1">
        <w:r>
          <w:rPr>
            <w:rStyle w:val="Hyperlink"/>
            <w:rFonts w:ascii="Times New Roman" w:hAnsi="Times New Roman"/>
            <w:i/>
          </w:rPr>
          <w:t>andmete kogumisega etnilise päritolu valdkonnas</w:t>
        </w:r>
        <w:r>
          <w:rPr>
            <w:rStyle w:val="Hyperlink"/>
            <w:rFonts w:ascii="Times New Roman" w:hAnsi="Times New Roman"/>
          </w:rPr>
          <w:t xml:space="preserve"> (2017)</w:t>
        </w:r>
      </w:hyperlink>
      <w:r>
        <w:rPr>
          <w:rStyle w:val="Hyperlink"/>
          <w:rFonts w:ascii="Times New Roman" w:hAnsi="Times New Roman"/>
          <w:u w:val="none"/>
        </w:rPr>
        <w:t>.</w:t>
      </w:r>
      <w:r>
        <w:rPr>
          <w:rFonts w:ascii="Times New Roman" w:hAnsi="Times New Roman"/>
        </w:rPr>
        <w:t xml:space="preserve"> Liikmesriike innustatakse eraldama selliseks andmete kogumiseks vajalikke vahendeid ja kasutama ära Euroopa Liidu Põhiõiguste Ameti (FRA) toetust, et suurendada selles valdkonnas oma suutlikkust.</w:t>
      </w:r>
    </w:p>
  </w:footnote>
  <w:footnote w:id="27">
    <w:p>
      <w:pPr>
        <w:pStyle w:val="FootnoteText"/>
        <w:ind w:left="284" w:hanging="284"/>
        <w:rPr>
          <w:rFonts w:ascii="Times New Roman" w:hAnsi="Times New Roman" w:cs="Times New Roman"/>
        </w:rPr>
      </w:pPr>
      <w:r>
        <w:rPr>
          <w:rStyle w:val="FootnoteReference"/>
        </w:rPr>
        <w:footnoteRef/>
      </w:r>
      <w:r>
        <w:tab/>
      </w:r>
      <w:r>
        <w:rPr>
          <w:rFonts w:ascii="Times New Roman" w:hAnsi="Times New Roman"/>
        </w:rPr>
        <w:t>Vt lisatud SWD(2020) 530 final.</w:t>
      </w:r>
    </w:p>
  </w:footnote>
  <w:footnote w:id="28">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38" w:history="1">
        <w:r>
          <w:rPr>
            <w:rStyle w:val="Hyperlink"/>
            <w:rFonts w:ascii="Times New Roman" w:hAnsi="Times New Roman"/>
            <w:sz w:val="19"/>
            <w:szCs w:val="19"/>
          </w:rPr>
          <w:t>Ühised aluspõhimõtted</w:t>
        </w:r>
      </w:hyperlink>
      <w:r>
        <w:rPr>
          <w:rStyle w:val="Hyperlink"/>
          <w:rFonts w:ascii="Times New Roman" w:hAnsi="Times New Roman"/>
          <w:color w:val="auto"/>
          <w:sz w:val="19"/>
          <w:szCs w:val="19"/>
          <w:u w:val="none"/>
        </w:rPr>
        <w:t xml:space="preserve"> romade kaasamiseks tagavad raamistiku romade kaasamise toetamise meetmete tõhusaks väljatöötamiseks ja rakendamiseks. 2. ja 4. põhimõte </w:t>
      </w:r>
      <w:r>
        <w:rPr>
          <w:rFonts w:ascii="Times New Roman" w:hAnsi="Times New Roman"/>
          <w:sz w:val="19"/>
          <w:szCs w:val="19"/>
        </w:rPr>
        <w:t>käsitlevad sihipäraste ja üldiste meetmete kombineerimist.</w:t>
      </w:r>
    </w:p>
  </w:footnote>
  <w:footnote w:id="29">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Liikmesriigid, kelle programmitöö hõlmab ESF+ erieesmärki edendada marginaliseerunud kogukondade, nt romade sotsiaal-majanduslikku lõimimist, peavad täitma kõik </w:t>
      </w:r>
      <w:hyperlink r:id="rId39" w:history="1">
        <w:r>
          <w:rPr>
            <w:rStyle w:val="Hyperlink"/>
            <w:rFonts w:ascii="Times New Roman" w:hAnsi="Times New Roman"/>
            <w:sz w:val="19"/>
            <w:szCs w:val="19"/>
          </w:rPr>
          <w:t>komisjoni 2021.–2027. aasta ühissätete määruse ettepaneku</w:t>
        </w:r>
      </w:hyperlink>
      <w:r>
        <w:rPr>
          <w:rFonts w:ascii="Times New Roman" w:hAnsi="Times New Roman"/>
          <w:sz w:val="19"/>
          <w:szCs w:val="19"/>
        </w:rPr>
        <w:t xml:space="preserve"> IV lisas esitatud nõuded romasid käsitlevate riiklike strateegiliste raamistike valdkondlike rakendamistingimuste kohta. Romade võrdõiguslikkuse ja kaasamise tagamiseks on võimalik kasutada mitut muud ELi rahastamisvahendit, sealhulgas ühtekuuluvuspoliitika vahendeid.</w:t>
      </w:r>
    </w:p>
  </w:footnote>
  <w:footnote w:id="3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Need platvormid toovad kokku valitsustasandi ja kodanikuühiskonna sidusrühmad. Nende eesmärk on edendada koostööd ja kogemuste vahetamist romade eduka kaasamise teemadel.</w:t>
      </w:r>
    </w:p>
  </w:footnote>
  <w:footnote w:id="3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Juba aastatel 2011–2020 loodi riiklike romade kontaktpunktide võrgustik, mis võimaldas liikmesriikidel vahetada teavet ja kogemusi Euroopa tasandil.</w:t>
      </w:r>
    </w:p>
  </w:footnote>
  <w:footnote w:id="3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Neljas ELi riigis on suur roma elanikkond (Bulgaarias 9,94 %, Rumeenias 9,02 %, Slovakkias 8,63 % ja Ungaris 7,49 %). Tšehhis on väiksem roma elanikkond (1,90 %), nagu ka Kreekas (1,63 %) ja Hispaanias (1,55 %) Vt </w:t>
      </w:r>
      <w:hyperlink r:id="rId40" w:history="1">
        <w:r>
          <w:rPr>
            <w:rStyle w:val="Hyperlink"/>
            <w:rFonts w:ascii="Times New Roman" w:hAnsi="Times New Roman"/>
          </w:rPr>
          <w:t>Euroopa Nõukogu 2012. aasta prognoosid</w:t>
        </w:r>
      </w:hyperlink>
      <w:r>
        <w:rPr>
          <w:rStyle w:val="Hyperlink"/>
          <w:rFonts w:ascii="Times New Roman" w:hAnsi="Times New Roman"/>
        </w:rPr>
        <w:t>.</w:t>
      </w:r>
      <w:r>
        <w:rPr>
          <w:rFonts w:ascii="Times New Roman" w:hAnsi="Times New Roman"/>
        </w:rPr>
        <w:t xml:space="preserve"> </w:t>
      </w:r>
    </w:p>
  </w:footnote>
  <w:footnote w:id="3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1" w:history="1">
        <w:r>
          <w:rPr>
            <w:rStyle w:val="Hyperlink"/>
            <w:rFonts w:ascii="Times New Roman" w:hAnsi="Times New Roman"/>
          </w:rPr>
          <w:t>Ühised aluspõhimõtted</w:t>
        </w:r>
      </w:hyperlink>
      <w:r>
        <w:rPr>
          <w:rFonts w:ascii="Times New Roman" w:hAnsi="Times New Roman"/>
        </w:rPr>
        <w:t>.</w:t>
      </w:r>
    </w:p>
  </w:footnote>
  <w:footnote w:id="3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1. lisas kasutatakse ELi raamistiku hindamisest saadud kogemusi, </w:t>
      </w:r>
      <w:hyperlink r:id="rId42" w:history="1">
        <w:r>
          <w:rPr>
            <w:rStyle w:val="Hyperlink"/>
            <w:rFonts w:ascii="Times New Roman" w:hAnsi="Times New Roman"/>
          </w:rPr>
          <w:t>kolme eksperdihinnangu järeldusi ja kodanikuühiskonna seisukohti, mida võetakse arvesse aruteludes 2020. aasta järgse romasid käsitleva poliitika üle</w:t>
        </w:r>
      </w:hyperlink>
      <w:r>
        <w:rPr>
          <w:rFonts w:ascii="Times New Roman" w:hAnsi="Times New Roman"/>
        </w:rPr>
        <w:t>, ning komisjoni talituste eksperditeadmisi.</w:t>
      </w:r>
    </w:p>
  </w:footnote>
  <w:footnote w:id="3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Osana komisjoni käimasolevast projektist, mis viiakse lõpule 2020. aasta lõpuks, analüüsitakse vaesuse ja tõrjutuse ühelt põlvkonnalt teisele edasikandumise algpõhjuseid ning pakutakse välja meetmeid selle probleemi lahendamiseks. Veel ühe komisjoni ja Euroopa Liidu Põhiõiguste Ameti käimasoleva projekti raames analüüsitakse andmeid, et saada aimu diskrimineerimise ja haavatavuse vahelistest seostest Euroopas riigi tasandist madalamal tasandil, diskrimineerimise osatähtsusest sotsiaal-majandusliku tõrjutuse suhtelises ohus ning sellest, kas romad on konkreetsetes territoriaalsetes kontekstides olnud COVID-19 pandeemiast rohkem mõjutatud ja selle suhtes haavatavamad. Tulemused võivad tagada tõendibaasi ulatuslike meetmete võtmiseks, et tegeleda nii ebasoodsa sotsiaal-majandusliku olukorra kui ka diskrimineerimise probleemiga.</w:t>
      </w:r>
    </w:p>
  </w:footnote>
  <w:footnote w:id="3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Eelkõige komisjoni Teadusuuringute Ühiskeskuselt, et korraldada valitud sihipäraste või üldiste juhtmeetmete mõju pistelisi hindamisi, aga ka Euroopa Liidu Põhiõiguste Ametilt, et hinnata kavandatud meetmete asjakohasust.</w:t>
      </w:r>
    </w:p>
  </w:footnote>
  <w:footnote w:id="3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Näiteks Rumeenia saab praegu struktuurireformi tugiprogrammist tehnilist tuge, et töötada välja romade kaasamise strateegia rakendamise järelevalve ja hindamise süsteem.</w:t>
      </w:r>
    </w:p>
  </w:footnote>
  <w:footnote w:id="3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Et kehtestada enesemääramise põhimõte isikupõhiste andmete kogumisel, nagu loendused, ulatuslikud uuringud ja vajaduse korral administratiivandmed.</w:t>
      </w:r>
    </w:p>
  </w:footnote>
  <w:footnote w:id="3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2021. aastal laiendatakse uuringut Serbiale ja Põhja-Makedooniale.</w:t>
      </w:r>
    </w:p>
  </w:footnote>
  <w:footnote w:id="40">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Vt eelkõige Euroopa Liidu lepingu (</w:t>
      </w:r>
      <w:hyperlink r:id="rId43" w:history="1">
        <w:r>
          <w:rPr>
            <w:rStyle w:val="Hyperlink"/>
            <w:rFonts w:ascii="Times New Roman" w:hAnsi="Times New Roman"/>
          </w:rPr>
          <w:t>ELi leping</w:t>
        </w:r>
      </w:hyperlink>
      <w:r>
        <w:rPr>
          <w:rFonts w:ascii="Times New Roman" w:hAnsi="Times New Roman"/>
        </w:rPr>
        <w:t>) artikkel 2 ja artikli 3 lõige 3, Euroopa Liidu toimimise lepingu (</w:t>
      </w:r>
      <w:hyperlink r:id="rId44" w:history="1">
        <w:r>
          <w:rPr>
            <w:rStyle w:val="Hyperlink"/>
            <w:rFonts w:ascii="Times New Roman" w:hAnsi="Times New Roman"/>
          </w:rPr>
          <w:t>ELi toimimise leping</w:t>
        </w:r>
      </w:hyperlink>
      <w:r>
        <w:rPr>
          <w:rFonts w:ascii="Times New Roman" w:hAnsi="Times New Roman"/>
        </w:rPr>
        <w:t xml:space="preserve">) artiklid 8, 10, 19 ja artikli 67 lõige 3 ning </w:t>
      </w:r>
      <w:hyperlink r:id="rId45" w:history="1">
        <w:r>
          <w:rPr>
            <w:rStyle w:val="Hyperlink"/>
            <w:rFonts w:ascii="Times New Roman" w:hAnsi="Times New Roman"/>
          </w:rPr>
          <w:t>harta</w:t>
        </w:r>
      </w:hyperlink>
      <w:r>
        <w:rPr>
          <w:rFonts w:ascii="Times New Roman" w:hAnsi="Times New Roman"/>
        </w:rPr>
        <w:t xml:space="preserve"> artiklid 20 ja 21.</w:t>
      </w:r>
    </w:p>
  </w:footnote>
  <w:footnote w:id="4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6" w:history="1">
        <w:r>
          <w:rPr>
            <w:rStyle w:val="Hyperlink"/>
            <w:rFonts w:ascii="Times New Roman" w:hAnsi="Times New Roman"/>
          </w:rPr>
          <w:t>2000/43/EÜ</w:t>
        </w:r>
      </w:hyperlink>
    </w:p>
  </w:footnote>
  <w:footnote w:id="42">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hyperlink r:id="rId47" w:history="1">
        <w:r>
          <w:rPr>
            <w:rStyle w:val="Hyperlink"/>
            <w:rFonts w:ascii="Times New Roman" w:hAnsi="Times New Roman"/>
          </w:rPr>
          <w:t>2008/913/JSK</w:t>
        </w:r>
      </w:hyperlink>
    </w:p>
  </w:footnote>
  <w:footnote w:id="4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cs="Times New Roman"/>
        </w:rPr>
        <w:t xml:space="preserve">Aruanne käsitleb ka </w:t>
      </w:r>
      <w:hyperlink r:id="rId48" w:history="1">
        <w:r>
          <w:rPr>
            <w:rStyle w:val="Hyperlink"/>
            <w:rFonts w:ascii="Times New Roman" w:hAnsi="Times New Roman" w:cs="Times New Roman"/>
          </w:rPr>
          <w:t>nõukogu 27. novembri 2000. aasta direktiivi 2000/78/EÜ (millega kehtestatakse üldine raamistik võrdseks kohtlemiseks töö saamisel ja kutsealale pääsemisel) (EÜT L 303, 2.12.2000, lk 16)</w:t>
        </w:r>
      </w:hyperlink>
      <w:r>
        <w:rPr>
          <w:rFonts w:ascii="Times New Roman" w:hAnsi="Times New Roman" w:cs="Times New Roman"/>
        </w:rPr>
        <w:t xml:space="preserve"> kohaldamist.</w:t>
      </w:r>
    </w:p>
  </w:footnote>
  <w:footnote w:id="44">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Euroopa Liidu riiklike võrdõiguslikkust edendavate asutuste võrgustik, 28. juuli 2020: </w:t>
      </w:r>
      <w:hyperlink r:id="rId49" w:history="1">
        <w:r>
          <w:rPr>
            <w:rStyle w:val="Hyperlink"/>
            <w:rFonts w:ascii="Times New Roman" w:hAnsi="Times New Roman"/>
          </w:rPr>
          <w:t>„Roma and Traveller inclusion:</w:t>
        </w:r>
      </w:hyperlink>
      <w:hyperlink r:id="rId50" w:history="1">
        <w:r>
          <w:rPr>
            <w:rStyle w:val="Hyperlink"/>
            <w:rFonts w:ascii="Times New Roman" w:hAnsi="Times New Roman"/>
          </w:rPr>
          <w:t xml:space="preserve"> towards a new EU framework learning from the work of equality bodies“</w:t>
        </w:r>
      </w:hyperlink>
      <w:r>
        <w:rPr>
          <w:rFonts w:ascii="Times New Roman" w:hAnsi="Times New Roman"/>
        </w:rPr>
        <w:t>.</w:t>
      </w:r>
    </w:p>
  </w:footnote>
  <w:footnote w:id="45">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1" w:history="1">
        <w:r>
          <w:rPr>
            <w:rStyle w:val="Hyperlink"/>
            <w:rFonts w:ascii="Times New Roman" w:hAnsi="Times New Roman"/>
            <w:sz w:val="19"/>
            <w:szCs w:val="19"/>
          </w:rPr>
          <w:t>C(2018) 3850 final</w:t>
        </w:r>
      </w:hyperlink>
      <w:r>
        <w:rPr>
          <w:rStyle w:val="Hyperlink"/>
          <w:rFonts w:ascii="Times New Roman" w:hAnsi="Times New Roman"/>
          <w:sz w:val="19"/>
          <w:szCs w:val="19"/>
        </w:rPr>
        <w:t>.</w:t>
      </w:r>
    </w:p>
  </w:footnote>
  <w:footnote w:id="46">
    <w:p>
      <w:pPr>
        <w:pStyle w:val="FootnoteText"/>
        <w:ind w:left="284" w:hanging="284"/>
        <w:rPr>
          <w:rFonts w:ascii="Times New Roman" w:hAnsi="Times New Roman" w:cs="Times New Roman"/>
        </w:rPr>
      </w:pPr>
      <w:r>
        <w:rPr>
          <w:rStyle w:val="FootnoteReference"/>
        </w:rPr>
        <w:footnoteRef/>
      </w:r>
      <w:r>
        <w:tab/>
      </w:r>
      <w:r>
        <w:rPr>
          <w:rFonts w:ascii="Times New Roman" w:hAnsi="Times New Roman"/>
        </w:rPr>
        <w:t>FRA, 2017, Euroopa Liidu vähemuste ja diskrimineerimise teine uuring.</w:t>
      </w:r>
    </w:p>
  </w:footnote>
  <w:footnote w:id="47">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ELi rassismivastane tegevuskava 2020–2025, </w:t>
      </w:r>
      <w:hyperlink r:id="rId52" w:history="1">
        <w:r>
          <w:rPr>
            <w:rStyle w:val="Hyperlink"/>
            <w:rFonts w:ascii="Times New Roman" w:hAnsi="Times New Roman"/>
          </w:rPr>
          <w:t>COM(2020) 565 final</w:t>
        </w:r>
      </w:hyperlink>
      <w:r>
        <w:rPr>
          <w:rStyle w:val="Hyperlink"/>
          <w:rFonts w:ascii="Times New Roman" w:hAnsi="Times New Roman"/>
        </w:rPr>
        <w:t>.</w:t>
      </w:r>
    </w:p>
  </w:footnote>
  <w:footnote w:id="48">
    <w:p>
      <w:pPr>
        <w:pStyle w:val="FootnoteText"/>
        <w:ind w:left="284" w:hanging="284"/>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Vt töö seoses </w:t>
      </w:r>
      <w:hyperlink r:id="rId53" w:history="1">
        <w:r>
          <w:rPr>
            <w:rStyle w:val="Hyperlink"/>
            <w:rFonts w:ascii="Times New Roman" w:hAnsi="Times New Roman"/>
            <w:sz w:val="19"/>
            <w:szCs w:val="19"/>
          </w:rPr>
          <w:t>internetis leviva vihakõne vastase võitluse tegevusjuhendiga</w:t>
        </w:r>
      </w:hyperlink>
      <w:r>
        <w:rPr>
          <w:rFonts w:ascii="Times New Roman" w:hAnsi="Times New Roman"/>
          <w:sz w:val="19"/>
          <w:szCs w:val="19"/>
        </w:rPr>
        <w:t xml:space="preserve">, </w:t>
      </w:r>
      <w:hyperlink r:id="rId54" w:history="1">
        <w:r>
          <w:rPr>
            <w:rStyle w:val="Hyperlink"/>
            <w:rFonts w:ascii="Times New Roman" w:hAnsi="Times New Roman"/>
            <w:sz w:val="19"/>
            <w:szCs w:val="19"/>
          </w:rPr>
          <w:t>C(2018) 1177 final</w:t>
        </w:r>
      </w:hyperlink>
      <w:r>
        <w:t>.</w:t>
      </w:r>
    </w:p>
  </w:footnote>
  <w:footnote w:id="49">
    <w:p>
      <w:pPr>
        <w:pStyle w:val="FootnoteText"/>
        <w:ind w:left="284" w:hanging="284"/>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2012/29/EL.</w:t>
      </w:r>
    </w:p>
  </w:footnote>
  <w:footnote w:id="50">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5" w:history="1">
        <w:r>
          <w:rPr>
            <w:rStyle w:val="Hyperlink"/>
            <w:rFonts w:ascii="Times New Roman" w:hAnsi="Times New Roman"/>
            <w:sz w:val="19"/>
            <w:szCs w:val="19"/>
          </w:rPr>
          <w:t>COM(2020) 258 final</w:t>
        </w:r>
      </w:hyperlink>
      <w:r>
        <w:rPr>
          <w:rFonts w:ascii="Times New Roman" w:hAnsi="Times New Roman"/>
          <w:sz w:val="19"/>
          <w:szCs w:val="19"/>
        </w:rPr>
        <w:t xml:space="preserve">. </w:t>
      </w:r>
    </w:p>
  </w:footnote>
  <w:footnote w:id="51">
    <w:p>
      <w:pPr>
        <w:pStyle w:val="FootnoteText"/>
        <w:shd w:val="clear" w:color="auto" w:fill="FFFFFF" w:themeFill="background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Lisateave ELi asjaomaste üldiste poliitikaalgatuste ja ELi vahendite kasutamise kohta on esitatud komisjoni talituste töödokumendi 3. lisas.</w:t>
      </w:r>
    </w:p>
  </w:footnote>
  <w:footnote w:id="5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Loodud 2010. aastal ning koosneb õigus- ja tarbijaküsimuste peadirektoraadi, tööhõive, sotsiaalküsimuste ja sotsiaalse kaasatuse peadirektoraadi, hariduse, noorte, spordi ja kultuuri peadirektoraadi, tervise ja toiduohutuse peadirektoraadi, naabruspoliitika ja laienemisläbirääkimiste peadirektoraadi, rände ja siseasjade peadirektoraadi, regionaal- ja linnapoliitika peadirektoraadi ning põllumajanduse ja maaelu arengu peadirektoraadi esindajatest.</w:t>
      </w:r>
    </w:p>
  </w:footnote>
  <w:footnote w:id="53">
    <w:p>
      <w:pPr>
        <w:pStyle w:val="FootnoteText"/>
        <w:tabs>
          <w:tab w:val="left" w:pos="720"/>
          <w:tab w:val="left" w:pos="1440"/>
          <w:tab w:val="left" w:pos="2160"/>
          <w:tab w:val="left" w:pos="2880"/>
          <w:tab w:val="left" w:pos="3600"/>
          <w:tab w:val="left" w:pos="4320"/>
          <w:tab w:val="left" w:pos="5040"/>
          <w:tab w:val="left" w:pos="5760"/>
          <w:tab w:val="left" w:pos="6480"/>
          <w:tab w:val="left" w:pos="7480"/>
        </w:tabs>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Vt </w:t>
      </w:r>
      <w:hyperlink r:id="rId56" w:history="1">
        <w:r>
          <w:rPr>
            <w:rStyle w:val="Hyperlink"/>
            <w:rFonts w:ascii="Times New Roman" w:hAnsi="Times New Roman"/>
          </w:rPr>
          <w:t>riigiaruanded</w:t>
        </w:r>
      </w:hyperlink>
      <w:r>
        <w:rPr>
          <w:rFonts w:ascii="Times New Roman" w:hAnsi="Times New Roman"/>
        </w:rPr>
        <w:t xml:space="preserve"> Bulgaaria, Tšehhi, Hispaania, Ungari, Rumeenia ja Slovakkia kohta, eelkõige nende D lisa.</w:t>
      </w:r>
    </w:p>
  </w:footnote>
  <w:footnote w:id="5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7" w:history="1">
        <w:r>
          <w:rPr>
            <w:rStyle w:val="Hyperlink"/>
            <w:rFonts w:ascii="Times New Roman" w:hAnsi="Times New Roman"/>
            <w:sz w:val="19"/>
            <w:szCs w:val="19"/>
          </w:rPr>
          <w:t>COM(2018)375 final</w:t>
        </w:r>
      </w:hyperlink>
      <w:r>
        <w:rPr>
          <w:rStyle w:val="Hyperlink"/>
          <w:rFonts w:ascii="Times New Roman" w:hAnsi="Times New Roman"/>
          <w:sz w:val="19"/>
          <w:szCs w:val="19"/>
        </w:rPr>
        <w:t xml:space="preserve">, </w:t>
      </w:r>
      <w:hyperlink r:id="rId58" w:history="1">
        <w:r>
          <w:rPr>
            <w:rStyle w:val="Hyperlink"/>
            <w:rFonts w:ascii="Times New Roman" w:hAnsi="Times New Roman"/>
            <w:sz w:val="19"/>
            <w:szCs w:val="19"/>
          </w:rPr>
          <w:t>COM(2018)382 final</w:t>
        </w:r>
      </w:hyperlink>
      <w:r>
        <w:rPr>
          <w:rStyle w:val="Hyperlink"/>
          <w:rFonts w:ascii="Times New Roman" w:hAnsi="Times New Roman"/>
          <w:sz w:val="19"/>
          <w:szCs w:val="19"/>
        </w:rPr>
        <w:t xml:space="preserve">, </w:t>
      </w:r>
      <w:hyperlink r:id="rId59" w:history="1">
        <w:r>
          <w:rPr>
            <w:rStyle w:val="Hyperlink"/>
            <w:rFonts w:ascii="Times New Roman" w:hAnsi="Times New Roman"/>
            <w:sz w:val="19"/>
            <w:szCs w:val="19"/>
          </w:rPr>
          <w:t>COM(2018)392 final</w:t>
        </w:r>
      </w:hyperlink>
      <w:r>
        <w:t>.</w:t>
      </w:r>
    </w:p>
  </w:footnote>
  <w:footnote w:id="5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0" w:history="1">
        <w:r>
          <w:rPr>
            <w:rStyle w:val="Hyperlink"/>
            <w:rFonts w:ascii="Times New Roman" w:hAnsi="Times New Roman"/>
          </w:rPr>
          <w:t>Võrgustiku</w:t>
        </w:r>
      </w:hyperlink>
      <w:r>
        <w:rPr>
          <w:rFonts w:ascii="Times New Roman" w:hAnsi="Times New Roman"/>
        </w:rPr>
        <w:t xml:space="preserve"> lõi 2007. aastal Hispaania ESFi korraldusasutus.</w:t>
      </w:r>
    </w:p>
  </w:footnote>
  <w:footnote w:id="56">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Programm „InvestEU“ (2021-2027), vt ka komisjoni talituste töödokumendi 3. lisa.</w:t>
      </w:r>
    </w:p>
  </w:footnote>
  <w:footnote w:id="5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Riiklike romade kontaktpunktide kontekstis. </w:t>
      </w:r>
    </w:p>
  </w:footnote>
  <w:footnote w:id="5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1" w:history="1">
        <w:r>
          <w:rPr>
            <w:rStyle w:val="Hyperlink"/>
            <w:rFonts w:ascii="Times New Roman" w:hAnsi="Times New Roman"/>
            <w:i/>
          </w:rPr>
          <w:t>Ettevalmistav meede 2020 – projekt „Roma Civil Monitor“ – romade ja nende huve kaitsvate kodanikuühiskonna organisatsioonide suutlikkuse ja kaasatuse suurendamine poliitika järelevalves ja läbivaatamises</w:t>
        </w:r>
      </w:hyperlink>
      <w:r>
        <w:rPr>
          <w:rFonts w:ascii="Times New Roman" w:hAnsi="Times New Roman"/>
        </w:rPr>
        <w:t>.</w:t>
      </w:r>
    </w:p>
  </w:footnote>
  <w:footnote w:id="59">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2" w:history="1">
        <w:r>
          <w:rPr>
            <w:rStyle w:val="Hyperlink"/>
            <w:rFonts w:ascii="Times New Roman" w:hAnsi="Times New Roman"/>
          </w:rPr>
          <w:t>https://ec.europa.eu/info/policies/justice-and-fundamental-rights/combatting-discrimination/roma-and-eu/european-platform-roma-inclusion_en</w:t>
        </w:r>
      </w:hyperlink>
      <w:r>
        <w:rPr>
          <w:rFonts w:ascii="Times New Roman" w:hAnsi="Times New Roman"/>
        </w:rPr>
        <w:t xml:space="preserve">. </w:t>
      </w:r>
    </w:p>
  </w:footnote>
  <w:footnote w:id="6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Romade kaasamise riiklikud platvormid on osalemis- ja konsulteerimiskogud, mille on kokku kutsunud ja mida haldavad riiklikud romade kontaktpunktid, et edendada dialoogi, vastastikust õppimist, koostööd ning osalemist riiklike strateegiliste raamistike väljatöötamises, rakendamises ja järelevalves; komisjon toetab neid platvorme rahaliselt korrapäraste projektikonkursside kaudu. Romade kaasamise riikliku platvormi protsessid peaksid aitama kaasa kavandamisele, rakendamisele, järelevalvele ja poliitika läbivaatamisele. Neil platvormidel on kolm peamist ülesannet: laiendada poliitilisi arutelusid romasid käsitlevate riiklike strateegiliste raamistike rakendamise üle, süvendada riigisiseseid aruandlusstruktuure ning tugevdada sidemeid kohaliku ja riigi tasandi vahel.</w:t>
      </w:r>
    </w:p>
  </w:footnote>
  <w:footnote w:id="6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Vt </w:t>
      </w:r>
      <w:hyperlink r:id="rId63" w:history="1">
        <w:r>
          <w:rPr>
            <w:rStyle w:val="Hyperlink"/>
            <w:rFonts w:ascii="Times New Roman" w:hAnsi="Times New Roman"/>
          </w:rPr>
          <w:t>meediaseminarid – romade diskrimineerimise peatamine</w:t>
        </w:r>
      </w:hyperlink>
      <w:r>
        <w:rPr>
          <w:rFonts w:ascii="Times New Roman" w:hAnsi="Times New Roman"/>
        </w:rPr>
        <w:t>.</w:t>
      </w:r>
    </w:p>
  </w:footnote>
  <w:footnote w:id="6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Nt roma naiste seisukohast: </w:t>
      </w:r>
      <w:hyperlink r:id="rId64" w:history="1">
        <w:r>
          <w:rPr>
            <w:rStyle w:val="Hyperlink"/>
            <w:rFonts w:ascii="Times New Roman" w:hAnsi="Times New Roman"/>
            <w:i/>
            <w:sz w:val="19"/>
            <w:szCs w:val="19"/>
          </w:rPr>
          <w:t>„Equal opportunities — let’s make it a reality for all“</w:t>
        </w:r>
      </w:hyperlink>
      <w:r>
        <w:rPr>
          <w:rStyle w:val="Hyperlink"/>
          <w:rFonts w:ascii="Times New Roman" w:hAnsi="Times New Roman"/>
          <w:color w:val="auto"/>
          <w:sz w:val="19"/>
          <w:szCs w:val="19"/>
          <w:u w:val="none"/>
        </w:rPr>
        <w:t>.</w:t>
      </w:r>
    </w:p>
  </w:footnote>
  <w:footnote w:id="6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Ühinemisprotsessi tõhustamine – Lääne-Balkani riikide usutavad väljavaated saada ELi liikmeks – </w:t>
      </w:r>
      <w:hyperlink r:id="rId65" w:history="1">
        <w:r>
          <w:rPr>
            <w:rStyle w:val="Hyperlink"/>
            <w:rFonts w:ascii="Times New Roman" w:hAnsi="Times New Roman"/>
            <w:sz w:val="19"/>
            <w:szCs w:val="19"/>
          </w:rPr>
          <w:t>COM(2020) 57 final</w:t>
        </w:r>
      </w:hyperlink>
      <w:r>
        <w:t>.</w:t>
      </w:r>
    </w:p>
  </w:footnote>
  <w:footnote w:id="6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ELi ja Lääne-Balkani riikide tippkohtumine, 5.–6. mai 2020, nõukogu järeldused ja </w:t>
      </w:r>
      <w:hyperlink r:id="rId66" w:history="1">
        <w:r>
          <w:rPr>
            <w:rStyle w:val="Hyperlink"/>
            <w:rFonts w:ascii="Times New Roman" w:hAnsi="Times New Roman"/>
            <w:sz w:val="19"/>
            <w:szCs w:val="19"/>
          </w:rPr>
          <w:t>COM(2020) 315 final</w:t>
        </w:r>
      </w:hyperlink>
      <w:r>
        <w:rPr>
          <w:rFonts w:ascii="Times New Roman" w:hAnsi="Times New Roman"/>
          <w:sz w:val="19"/>
          <w:szCs w:val="19"/>
        </w:rPr>
        <w:t>.</w:t>
      </w:r>
      <w:r>
        <w:rPr>
          <w:rFonts w:ascii="Times New Roman" w:hAnsi="Times New Roman"/>
          <w:sz w:val="19"/>
          <w:szCs w:val="19"/>
          <w:highlight w:val="yellow"/>
        </w:rPr>
        <w:t xml:space="preserve"> </w:t>
      </w:r>
    </w:p>
  </w:footnote>
  <w:footnote w:id="65">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67" w:history="1">
        <w:r>
          <w:rPr>
            <w:rStyle w:val="Hyperlink"/>
            <w:rFonts w:ascii="Times New Roman" w:hAnsi="Times New Roman"/>
            <w:sz w:val="19"/>
            <w:szCs w:val="19"/>
          </w:rPr>
          <w:t>Zagrebi deklaratsioon</w:t>
        </w:r>
      </w:hyperlink>
      <w:r>
        <w:t>.</w:t>
      </w:r>
    </w:p>
  </w:footnote>
  <w:footnote w:id="66">
    <w:p>
      <w:pPr>
        <w:pStyle w:val="FootnoteText"/>
        <w:widowControl w:val="0"/>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Suurendada romade tööhõivet (16,5 %-lt 25 %ni) ja kohustusliku hariduse omandamist (51 %-lt 90 %ni), tagada tervisekindlustus (vähemalt 95 %-le) ja eluasemete seaduslikuks tunnistamine, vältida diskrimineerimist ja tagada täielik rahvastikuregistrisse kandmine. </w:t>
      </w:r>
      <w:hyperlink r:id="rId68" w:history="1">
        <w:r>
          <w:rPr>
            <w:rStyle w:val="Hyperlink"/>
            <w:rFonts w:ascii="Times New Roman" w:hAnsi="Times New Roman"/>
            <w:sz w:val="19"/>
            <w:szCs w:val="19"/>
          </w:rPr>
          <w:t>Poznańi deklaratsioon</w:t>
        </w:r>
      </w:hyperlink>
      <w:r>
        <w:t>.</w:t>
      </w:r>
    </w:p>
  </w:footnote>
  <w:footnote w:id="67">
    <w:p>
      <w:pPr>
        <w:pStyle w:val="FootnoteText"/>
        <w:rPr>
          <w:rFonts w:ascii="Times New Roman" w:hAnsi="Times New Roman" w:cs="Times New Roman"/>
        </w:rPr>
      </w:pPr>
      <w:r>
        <w:rPr>
          <w:rStyle w:val="FootnoteReference"/>
        </w:rPr>
        <w:footnoteRef/>
      </w:r>
      <w:r>
        <w:t xml:space="preserve"> </w:t>
      </w:r>
      <w:r>
        <w:rPr>
          <w:rFonts w:ascii="Times New Roman" w:hAnsi="Times New Roman"/>
        </w:rPr>
        <w:t>COM (2020) 641 final, vastu võetud 6. oktoobril 2020.</w:t>
      </w:r>
    </w:p>
  </w:footnote>
  <w:footnote w:id="68">
    <w:p>
      <w:pPr>
        <w:pStyle w:val="FootnoteText"/>
        <w:ind w:left="284" w:hanging="284"/>
        <w:jc w:val="both"/>
        <w:rPr>
          <w:sz w:val="19"/>
          <w:szCs w:val="19"/>
        </w:rPr>
      </w:pPr>
      <w:r>
        <w:rPr>
          <w:rStyle w:val="FootnoteReference"/>
          <w:sz w:val="19"/>
          <w:szCs w:val="19"/>
        </w:rPr>
        <w:footnoteRef/>
      </w:r>
      <w:r>
        <w:rPr>
          <w:sz w:val="19"/>
          <w:szCs w:val="19"/>
        </w:rPr>
        <w:t xml:space="preserve"> </w:t>
      </w:r>
      <w:r>
        <w:tab/>
      </w:r>
      <w:r>
        <w:rPr>
          <w:rFonts w:ascii="Times New Roman" w:hAnsi="Times New Roman"/>
          <w:sz w:val="19"/>
          <w:szCs w:val="19"/>
        </w:rPr>
        <w:t>Komisjoni teatis „Lääne-Balkani riikide toetamine COVID-19 puhanguga võitlemisel ja pandeemiajärgsel taastumisel“ (</w:t>
      </w:r>
      <w:hyperlink r:id="rId69" w:history="1">
        <w:r>
          <w:rPr>
            <w:rStyle w:val="Hyperlink"/>
            <w:rFonts w:ascii="Times New Roman" w:hAnsi="Times New Roman"/>
            <w:sz w:val="19"/>
            <w:szCs w:val="19"/>
          </w:rPr>
          <w:t>COM(2020) 315 final</w:t>
        </w:r>
      </w:hyperlink>
      <w:r>
        <w:rPr>
          <w:rStyle w:val="Hyperlink"/>
          <w:rFonts w:ascii="Times New Roman" w:hAnsi="Times New Roman"/>
          <w:sz w:val="19"/>
          <w:szCs w:val="19"/>
          <w:u w:val="none"/>
        </w:rPr>
        <w:t>).</w:t>
      </w:r>
    </w:p>
  </w:footnote>
  <w:footnote w:id="69">
    <w:p>
      <w:pPr>
        <w:pStyle w:val="FootnoteText"/>
        <w:ind w:left="284" w:hanging="284"/>
        <w:rPr>
          <w:rFonts w:ascii="Times New Roman" w:hAnsi="Times New Roman" w:cs="Times New Roman"/>
        </w:rPr>
      </w:pPr>
      <w:r>
        <w:rPr>
          <w:rStyle w:val="FootnoteReference"/>
        </w:rPr>
        <w:footnoteRef/>
      </w:r>
      <w:r>
        <w:tab/>
      </w:r>
      <w:r>
        <w:rPr>
          <w:rFonts w:ascii="Times New Roman" w:hAnsi="Times New Roman"/>
        </w:rPr>
        <w:t>11855/12, II lisa, ELi nõukogu, 25. juuni 2012.</w:t>
      </w:r>
    </w:p>
  </w:footnote>
  <w:footnote w:id="7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ELi inimõiguste ja demokraatia tegevuskavad 2012–2014 ja 2015–2019; </w:t>
      </w:r>
      <w:hyperlink r:id="rId70" w:history="1">
        <w:r>
          <w:rPr>
            <w:rStyle w:val="Hyperlink"/>
            <w:rFonts w:ascii="Times New Roman" w:hAnsi="Times New Roman"/>
          </w:rPr>
          <w:t>Ühisteatis ning ELi inimõiguste ja demokraatia tegevuskava (2020–2024),</w:t>
        </w:r>
      </w:hyperlink>
      <w:r>
        <w:rPr>
          <w:rFonts w:ascii="Times New Roman" w:hAnsi="Times New Roman"/>
        </w:rPr>
        <w:t xml:space="preserve"> mille kolleegium võttis vastu 25. märtsil 2020; vastuvõtmine nõukogus on kavandatud 2020. aasta viimasesse kvartalisse.</w:t>
      </w:r>
    </w:p>
  </w:footnote>
  <w:footnote w:id="7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„Sooline võrdõiguslikkus ja naiste mõjuvõimu suurendamine: naiste ja tütarlaste elu muutmine ELi välissuhete kaudu aastatel 2016–2020“</w:t>
      </w:r>
      <w:hyperlink r:id="rId71" w:history="1">
        <w:r>
          <w:rPr>
            <w:rStyle w:val="Hyperlink"/>
            <w:rFonts w:ascii="Times New Roman" w:hAnsi="Times New Roman"/>
          </w:rPr>
          <w:t xml:space="preserve"> SWD (2015) 182</w:t>
        </w:r>
      </w:hyperlink>
      <w:r>
        <w:rPr>
          <w:rFonts w:ascii="Times New Roman" w:hAnsi="Times New Roman"/>
        </w:rPr>
        <w:t xml:space="preserve"> ja kavandatud järgnev kava.</w:t>
      </w:r>
    </w:p>
  </w:footnote>
  <w:footnote w:id="72">
    <w:p>
      <w:pPr>
        <w:pStyle w:val="FootnoteText"/>
        <w:ind w:left="284" w:hanging="284"/>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72" w:history="1">
        <w:r>
          <w:rPr>
            <w:rStyle w:val="Hyperlink"/>
            <w:rFonts w:ascii="Times New Roman" w:hAnsi="Times New Roman"/>
            <w:sz w:val="19"/>
            <w:szCs w:val="19"/>
          </w:rPr>
          <w:t>EL</w:t>
        </w:r>
        <w:r>
          <w:rPr>
            <w:rStyle w:val="Hyperlink"/>
            <w:rFonts w:ascii="Times New Roman" w:hAnsi="Times New Roman"/>
          </w:rPr>
          <w:t>i inimõiguste alased suunised mittediskrimineerimise kohta välistegevuses</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Internal 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3" type="#_x0000_t202" style="position:absolute;margin-left:0;margin-top:0;width:518.4pt;height:129.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pohwIAAP0EAAAOAAAAZHJzL2Uyb0RvYy54bWysVMtu2zAQvBfoPxC8O3pUdiwhcpCXe0nb&#10;AHGRMy1SFluJy5K0JSPov3dJKa/2UhT1gaaWq+HszqzOzoeuJQdhrARV0uQkpkSoCrhUu5J+3axn&#10;S0qsY4qzFpQo6VFYer56/+6s14VIoYGWC0MQRNmi1yVtnNNFFNmqER2zJ6CFwsMaTMccPppdxA3r&#10;Eb1rozSOF1EPhmsDlbAWo9fjIV0F/LoWlftS11Y40pYUubmwmrBu/RqtzlixM0w3spposH9g0TGp&#10;8NJnqGvmGNkb+QdUJysDFmp3UkEXQV3LSoQasJok/q2a+4ZpEWrB5lj93Cb7/2Crz4c7QyQvaUqJ&#10;Yh1KtBGDI5cwkNR3p9e2wKR7jWluwDCqHCq1+haq75YouGqY2okLY6BvBOPILkGsKRxq2Bw1Aoeo&#10;R7/hEoVIPHz0Cn+8zPqbtv0n4PgK2zsItw216YgB/9oyj/0vhLGBBBmhssdnNT39CoOL+fLDYolH&#10;FZ4li2yep0HviBUezauljXUfBXTEb0pq0C4Blh1urfPsXlJ8OiJjfNqN8j7mSZrFl2k+Wy+Wp7Ns&#10;nc1n+Wm8nMVJfpkv4izPrtc/PWiSFY3kXKhbqcST1ZLs76ScTD+aJJiN9CXN5+k88LXQSr6Wbeu5&#10;WbPbXrWGHJj3/NirsZY3aQb2imOcFV60m2nvmGzHffSWcWgGNuDpPzQiqOcFG6Vzw3ZARC/pFvgR&#10;dexxskpqf+yZEeiJfXcFSAqNUBvoHnB0L4yXNBThNdgMD8zoSQ6H1921T5MVNPF0d3wyKuPfEKhr&#10;cWCxVjIPrhgrnZIn/UbU0Bt9gY5ayyDuC8/Jhzhjobzpe+CH+PVzyHr5aq1+AQAA//8DAFBLAwQU&#10;AAYACAAAACEAfWdDL9sAAAAGAQAADwAAAGRycy9kb3ducmV2LnhtbEyPzU7DMBCE70i8g7VI3KhD&#10;KioIcSpExKHH/ojzNt4mae11iJ0m5elxucBlpNWsZr7Jl5M14ky9bx0reJwlIIgrp1uuFey2Hw/P&#10;IHxA1mgck4ILeVgWtzc5ZtqNvKbzJtQihrDPUEETQpdJ6auGLPqZ64ijd3C9xRDPvpa6xzGGWyPT&#10;JFlIiy3HhgY7em+oOm0Gq0B/Hy7dfBy3q9W6HL5MW5b0eVTq/m56ewURaAp/z3DFj+hQRKa9G1h7&#10;YRTEIeFXr14yX8QdewXp00sKssjlf/ziBwAA//8DAFBLAQItABQABgAIAAAAIQC2gziS/gAAAOEB&#10;AAATAAAAAAAAAAAAAAAAAAAAAABbQ29udGVudF9UeXBlc10ueG1sUEsBAi0AFAAGAAgAAAAhADj9&#10;If/WAAAAlAEAAAsAAAAAAAAAAAAAAAAALwEAAF9yZWxzLy5yZWxzUEsBAi0AFAAGAAgAAAAhABKP&#10;SmiHAgAA/QQAAA4AAAAAAAAAAAAAAAAALgIAAGRycy9lMm9Eb2MueG1sUEsBAi0AFAAGAAgAAAAh&#10;AH1nQy/bAAAABgEAAA8AAAAAAAAAAAAAAAAA4QQAAGRycy9kb3ducmV2LnhtbFBLBQYAAAAABAAE&#10;APMAAADp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Internal draft</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04"/>
    <w:multiLevelType w:val="hybridMultilevel"/>
    <w:tmpl w:val="6060CE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012D58FC"/>
    <w:multiLevelType w:val="hybridMultilevel"/>
    <w:tmpl w:val="052E28E2"/>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
    <w:nsid w:val="013627E5"/>
    <w:multiLevelType w:val="hybridMultilevel"/>
    <w:tmpl w:val="92F065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AC601F"/>
    <w:multiLevelType w:val="hybridMultilevel"/>
    <w:tmpl w:val="E578E8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7A97EF6"/>
    <w:multiLevelType w:val="hybridMultilevel"/>
    <w:tmpl w:val="F31037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84B4DA5"/>
    <w:multiLevelType w:val="hybridMultilevel"/>
    <w:tmpl w:val="D570D2D0"/>
    <w:lvl w:ilvl="0" w:tplc="6388F19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nsid w:val="0C026256"/>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8">
    <w:nsid w:val="0C985623"/>
    <w:multiLevelType w:val="hybridMultilevel"/>
    <w:tmpl w:val="8C82D56C"/>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9">
    <w:nsid w:val="0CBD4F79"/>
    <w:multiLevelType w:val="hybridMultilevel"/>
    <w:tmpl w:val="2CA8AF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D47211D"/>
    <w:multiLevelType w:val="hybridMultilevel"/>
    <w:tmpl w:val="0E38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517113"/>
    <w:multiLevelType w:val="hybridMultilevel"/>
    <w:tmpl w:val="720A5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670ED"/>
    <w:multiLevelType w:val="hybridMultilevel"/>
    <w:tmpl w:val="1F90606A"/>
    <w:lvl w:ilvl="0" w:tplc="1809000F">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nsid w:val="156A434D"/>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4">
    <w:nsid w:val="15CC5AB9"/>
    <w:multiLevelType w:val="hybridMultilevel"/>
    <w:tmpl w:val="65DE4C80"/>
    <w:lvl w:ilvl="0" w:tplc="08090001">
      <w:start w:val="1"/>
      <w:numFmt w:val="bullet"/>
      <w:lvlText w:val=""/>
      <w:lvlJc w:val="left"/>
      <w:pPr>
        <w:ind w:left="214" w:hanging="360"/>
      </w:pPr>
      <w:rPr>
        <w:rFonts w:ascii="Symbol" w:hAnsi="Symbol" w:hint="default"/>
      </w:rPr>
    </w:lvl>
    <w:lvl w:ilvl="1" w:tplc="08090003" w:tentative="1">
      <w:start w:val="1"/>
      <w:numFmt w:val="bullet"/>
      <w:lvlText w:val="o"/>
      <w:lvlJc w:val="left"/>
      <w:pPr>
        <w:ind w:left="934" w:hanging="360"/>
      </w:pPr>
      <w:rPr>
        <w:rFonts w:ascii="Courier New" w:hAnsi="Courier New" w:cs="Courier New" w:hint="default"/>
      </w:rPr>
    </w:lvl>
    <w:lvl w:ilvl="2" w:tplc="08090005" w:tentative="1">
      <w:start w:val="1"/>
      <w:numFmt w:val="bullet"/>
      <w:lvlText w:val=""/>
      <w:lvlJc w:val="left"/>
      <w:pPr>
        <w:ind w:left="1654" w:hanging="360"/>
      </w:pPr>
      <w:rPr>
        <w:rFonts w:ascii="Wingdings" w:hAnsi="Wingdings" w:hint="default"/>
      </w:rPr>
    </w:lvl>
    <w:lvl w:ilvl="3" w:tplc="08090001" w:tentative="1">
      <w:start w:val="1"/>
      <w:numFmt w:val="bullet"/>
      <w:lvlText w:val=""/>
      <w:lvlJc w:val="left"/>
      <w:pPr>
        <w:ind w:left="2374" w:hanging="360"/>
      </w:pPr>
      <w:rPr>
        <w:rFonts w:ascii="Symbol" w:hAnsi="Symbol" w:hint="default"/>
      </w:rPr>
    </w:lvl>
    <w:lvl w:ilvl="4" w:tplc="08090003" w:tentative="1">
      <w:start w:val="1"/>
      <w:numFmt w:val="bullet"/>
      <w:lvlText w:val="o"/>
      <w:lvlJc w:val="left"/>
      <w:pPr>
        <w:ind w:left="3094" w:hanging="360"/>
      </w:pPr>
      <w:rPr>
        <w:rFonts w:ascii="Courier New" w:hAnsi="Courier New" w:cs="Courier New" w:hint="default"/>
      </w:rPr>
    </w:lvl>
    <w:lvl w:ilvl="5" w:tplc="08090005" w:tentative="1">
      <w:start w:val="1"/>
      <w:numFmt w:val="bullet"/>
      <w:lvlText w:val=""/>
      <w:lvlJc w:val="left"/>
      <w:pPr>
        <w:ind w:left="3814" w:hanging="360"/>
      </w:pPr>
      <w:rPr>
        <w:rFonts w:ascii="Wingdings" w:hAnsi="Wingdings" w:hint="default"/>
      </w:rPr>
    </w:lvl>
    <w:lvl w:ilvl="6" w:tplc="08090001" w:tentative="1">
      <w:start w:val="1"/>
      <w:numFmt w:val="bullet"/>
      <w:lvlText w:val=""/>
      <w:lvlJc w:val="left"/>
      <w:pPr>
        <w:ind w:left="4534" w:hanging="360"/>
      </w:pPr>
      <w:rPr>
        <w:rFonts w:ascii="Symbol" w:hAnsi="Symbol" w:hint="default"/>
      </w:rPr>
    </w:lvl>
    <w:lvl w:ilvl="7" w:tplc="08090003" w:tentative="1">
      <w:start w:val="1"/>
      <w:numFmt w:val="bullet"/>
      <w:lvlText w:val="o"/>
      <w:lvlJc w:val="left"/>
      <w:pPr>
        <w:ind w:left="5254" w:hanging="360"/>
      </w:pPr>
      <w:rPr>
        <w:rFonts w:ascii="Courier New" w:hAnsi="Courier New" w:cs="Courier New" w:hint="default"/>
      </w:rPr>
    </w:lvl>
    <w:lvl w:ilvl="8" w:tplc="08090005" w:tentative="1">
      <w:start w:val="1"/>
      <w:numFmt w:val="bullet"/>
      <w:lvlText w:val=""/>
      <w:lvlJc w:val="left"/>
      <w:pPr>
        <w:ind w:left="5974" w:hanging="360"/>
      </w:pPr>
      <w:rPr>
        <w:rFonts w:ascii="Wingdings" w:hAnsi="Wingdings" w:hint="default"/>
      </w:rPr>
    </w:lvl>
  </w:abstractNum>
  <w:abstractNum w:abstractNumId="15">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199B75CD"/>
    <w:multiLevelType w:val="hybridMultilevel"/>
    <w:tmpl w:val="FA8436D8"/>
    <w:lvl w:ilvl="0" w:tplc="CC5EEF70">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1ACC4C9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nsid w:val="201C7807"/>
    <w:multiLevelType w:val="hybridMultilevel"/>
    <w:tmpl w:val="11065AD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20C607F6"/>
    <w:multiLevelType w:val="hybridMultilevel"/>
    <w:tmpl w:val="2ED4C50A"/>
    <w:lvl w:ilvl="0" w:tplc="E85CBF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2150424D"/>
    <w:multiLevelType w:val="hybridMultilevel"/>
    <w:tmpl w:val="897841AC"/>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258E0189"/>
    <w:multiLevelType w:val="hybridMultilevel"/>
    <w:tmpl w:val="5A6C5B9A"/>
    <w:lvl w:ilvl="0" w:tplc="0809000D">
      <w:start w:val="1"/>
      <w:numFmt w:val="bullet"/>
      <w:lvlText w:val=""/>
      <w:lvlJc w:val="left"/>
      <w:pPr>
        <w:ind w:left="360" w:hanging="360"/>
      </w:pPr>
      <w:rPr>
        <w:rFonts w:ascii="Wingdings" w:hAnsi="Wingdings" w:hint="default"/>
        <w:b/>
        <w: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nsid w:val="274D6C00"/>
    <w:multiLevelType w:val="hybridMultilevel"/>
    <w:tmpl w:val="C3309866"/>
    <w:lvl w:ilvl="0" w:tplc="0809000D">
      <w:start w:val="1"/>
      <w:numFmt w:val="bullet"/>
      <w:lvlText w:val=""/>
      <w:lvlJc w:val="left"/>
      <w:pPr>
        <w:ind w:left="306" w:hanging="360"/>
      </w:pPr>
      <w:rPr>
        <w:rFonts w:ascii="Wingdings" w:hAnsi="Wingdings" w:hint="default"/>
      </w:rPr>
    </w:lvl>
    <w:lvl w:ilvl="1" w:tplc="08090003" w:tentative="1">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23">
    <w:nsid w:val="284D3B7F"/>
    <w:multiLevelType w:val="hybridMultilevel"/>
    <w:tmpl w:val="83585FF0"/>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2C0B69DB"/>
    <w:multiLevelType w:val="hybridMultilevel"/>
    <w:tmpl w:val="68B8CCF0"/>
    <w:lvl w:ilvl="0" w:tplc="E56263D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9120C"/>
    <w:multiLevelType w:val="hybridMultilevel"/>
    <w:tmpl w:val="159A1D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4462654"/>
    <w:multiLevelType w:val="hybridMultilevel"/>
    <w:tmpl w:val="53184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6010744"/>
    <w:multiLevelType w:val="hybridMultilevel"/>
    <w:tmpl w:val="E64A4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652232F"/>
    <w:multiLevelType w:val="hybridMultilevel"/>
    <w:tmpl w:val="E798765C"/>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3A8F3A15"/>
    <w:multiLevelType w:val="hybridMultilevel"/>
    <w:tmpl w:val="D0F4C1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3B027632"/>
    <w:multiLevelType w:val="hybridMultilevel"/>
    <w:tmpl w:val="5D96C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3B4B5B1F"/>
    <w:multiLevelType w:val="hybridMultilevel"/>
    <w:tmpl w:val="30EEA4C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nsid w:val="3CC522FE"/>
    <w:multiLevelType w:val="multilevel"/>
    <w:tmpl w:val="A8040A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D1A498C"/>
    <w:multiLevelType w:val="hybridMultilevel"/>
    <w:tmpl w:val="9EDCFA4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nsid w:val="3D547B24"/>
    <w:multiLevelType w:val="hybridMultilevel"/>
    <w:tmpl w:val="B1989880"/>
    <w:lvl w:ilvl="0" w:tplc="7188E82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3D5B1852"/>
    <w:multiLevelType w:val="hybridMultilevel"/>
    <w:tmpl w:val="E166B79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nsid w:val="40397F70"/>
    <w:multiLevelType w:val="hybridMultilevel"/>
    <w:tmpl w:val="7DD26570"/>
    <w:lvl w:ilvl="0" w:tplc="18090001">
      <w:start w:val="1"/>
      <w:numFmt w:val="bullet"/>
      <w:lvlText w:val=""/>
      <w:lvlJc w:val="left"/>
      <w:pPr>
        <w:ind w:left="1701" w:hanging="360"/>
      </w:pPr>
      <w:rPr>
        <w:rFonts w:ascii="Symbol" w:hAnsi="Symbol" w:hint="default"/>
      </w:rPr>
    </w:lvl>
    <w:lvl w:ilvl="1" w:tplc="18090003" w:tentative="1">
      <w:start w:val="1"/>
      <w:numFmt w:val="bullet"/>
      <w:lvlText w:val="o"/>
      <w:lvlJc w:val="left"/>
      <w:pPr>
        <w:ind w:left="2421" w:hanging="360"/>
      </w:pPr>
      <w:rPr>
        <w:rFonts w:ascii="Courier New" w:hAnsi="Courier New" w:cs="Courier New" w:hint="default"/>
      </w:rPr>
    </w:lvl>
    <w:lvl w:ilvl="2" w:tplc="18090005" w:tentative="1">
      <w:start w:val="1"/>
      <w:numFmt w:val="bullet"/>
      <w:lvlText w:val=""/>
      <w:lvlJc w:val="left"/>
      <w:pPr>
        <w:ind w:left="3141" w:hanging="360"/>
      </w:pPr>
      <w:rPr>
        <w:rFonts w:ascii="Wingdings" w:hAnsi="Wingdings" w:hint="default"/>
      </w:rPr>
    </w:lvl>
    <w:lvl w:ilvl="3" w:tplc="18090001" w:tentative="1">
      <w:start w:val="1"/>
      <w:numFmt w:val="bullet"/>
      <w:lvlText w:val=""/>
      <w:lvlJc w:val="left"/>
      <w:pPr>
        <w:ind w:left="3861" w:hanging="360"/>
      </w:pPr>
      <w:rPr>
        <w:rFonts w:ascii="Symbol" w:hAnsi="Symbol" w:hint="default"/>
      </w:rPr>
    </w:lvl>
    <w:lvl w:ilvl="4" w:tplc="18090003" w:tentative="1">
      <w:start w:val="1"/>
      <w:numFmt w:val="bullet"/>
      <w:lvlText w:val="o"/>
      <w:lvlJc w:val="left"/>
      <w:pPr>
        <w:ind w:left="4581" w:hanging="360"/>
      </w:pPr>
      <w:rPr>
        <w:rFonts w:ascii="Courier New" w:hAnsi="Courier New" w:cs="Courier New" w:hint="default"/>
      </w:rPr>
    </w:lvl>
    <w:lvl w:ilvl="5" w:tplc="18090005" w:tentative="1">
      <w:start w:val="1"/>
      <w:numFmt w:val="bullet"/>
      <w:lvlText w:val=""/>
      <w:lvlJc w:val="left"/>
      <w:pPr>
        <w:ind w:left="5301" w:hanging="360"/>
      </w:pPr>
      <w:rPr>
        <w:rFonts w:ascii="Wingdings" w:hAnsi="Wingdings" w:hint="default"/>
      </w:rPr>
    </w:lvl>
    <w:lvl w:ilvl="6" w:tplc="18090001" w:tentative="1">
      <w:start w:val="1"/>
      <w:numFmt w:val="bullet"/>
      <w:lvlText w:val=""/>
      <w:lvlJc w:val="left"/>
      <w:pPr>
        <w:ind w:left="6021" w:hanging="360"/>
      </w:pPr>
      <w:rPr>
        <w:rFonts w:ascii="Symbol" w:hAnsi="Symbol" w:hint="default"/>
      </w:rPr>
    </w:lvl>
    <w:lvl w:ilvl="7" w:tplc="18090003" w:tentative="1">
      <w:start w:val="1"/>
      <w:numFmt w:val="bullet"/>
      <w:lvlText w:val="o"/>
      <w:lvlJc w:val="left"/>
      <w:pPr>
        <w:ind w:left="6741" w:hanging="360"/>
      </w:pPr>
      <w:rPr>
        <w:rFonts w:ascii="Courier New" w:hAnsi="Courier New" w:cs="Courier New" w:hint="default"/>
      </w:rPr>
    </w:lvl>
    <w:lvl w:ilvl="8" w:tplc="18090005" w:tentative="1">
      <w:start w:val="1"/>
      <w:numFmt w:val="bullet"/>
      <w:lvlText w:val=""/>
      <w:lvlJc w:val="left"/>
      <w:pPr>
        <w:ind w:left="7461" w:hanging="360"/>
      </w:pPr>
      <w:rPr>
        <w:rFonts w:ascii="Wingdings" w:hAnsi="Wingdings" w:hint="default"/>
      </w:rPr>
    </w:lvl>
  </w:abstractNum>
  <w:abstractNum w:abstractNumId="38">
    <w:nsid w:val="404252F3"/>
    <w:multiLevelType w:val="hybridMultilevel"/>
    <w:tmpl w:val="1C3A5360"/>
    <w:lvl w:ilvl="0" w:tplc="080C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nsid w:val="404901F2"/>
    <w:multiLevelType w:val="hybridMultilevel"/>
    <w:tmpl w:val="6C9E490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0">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0B34F57"/>
    <w:multiLevelType w:val="hybridMultilevel"/>
    <w:tmpl w:val="05C83E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2">
    <w:nsid w:val="41B04176"/>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3">
    <w:nsid w:val="42BD7C28"/>
    <w:multiLevelType w:val="hybridMultilevel"/>
    <w:tmpl w:val="97343F2A"/>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3264764"/>
    <w:multiLevelType w:val="hybridMultilevel"/>
    <w:tmpl w:val="F98C2FB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5">
    <w:nsid w:val="449F42B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nsid w:val="45854605"/>
    <w:multiLevelType w:val="hybridMultilevel"/>
    <w:tmpl w:val="D0A4DC18"/>
    <w:lvl w:ilvl="0" w:tplc="01EC09C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nsid w:val="47D60EE1"/>
    <w:multiLevelType w:val="hybridMultilevel"/>
    <w:tmpl w:val="8DB6F242"/>
    <w:lvl w:ilvl="0" w:tplc="6624D914">
      <w:start w:val="2"/>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48DB37CB"/>
    <w:multiLevelType w:val="hybridMultilevel"/>
    <w:tmpl w:val="4138628A"/>
    <w:lvl w:ilvl="0" w:tplc="E17AA06A">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nsid w:val="48E01007"/>
    <w:multiLevelType w:val="hybridMultilevel"/>
    <w:tmpl w:val="032A9C56"/>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0">
    <w:nsid w:val="4B02629F"/>
    <w:multiLevelType w:val="hybridMultilevel"/>
    <w:tmpl w:val="670EE5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4BF820A5"/>
    <w:multiLevelType w:val="hybridMultilevel"/>
    <w:tmpl w:val="044AE9F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2">
    <w:nsid w:val="4D2258EE"/>
    <w:multiLevelType w:val="hybridMultilevel"/>
    <w:tmpl w:val="C78E2092"/>
    <w:lvl w:ilvl="0" w:tplc="1809000F">
      <w:start w:val="1"/>
      <w:numFmt w:val="decimal"/>
      <w:lvlText w:val="%1."/>
      <w:lvlJc w:val="lef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53">
    <w:nsid w:val="52572799"/>
    <w:multiLevelType w:val="hybridMultilevel"/>
    <w:tmpl w:val="94227D74"/>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4">
    <w:nsid w:val="551140C3"/>
    <w:multiLevelType w:val="hybridMultilevel"/>
    <w:tmpl w:val="519081A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5">
    <w:nsid w:val="552E0638"/>
    <w:multiLevelType w:val="hybridMultilevel"/>
    <w:tmpl w:val="6F9AB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AE55089"/>
    <w:multiLevelType w:val="hybridMultilevel"/>
    <w:tmpl w:val="C66C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A05A64"/>
    <w:multiLevelType w:val="hybridMultilevel"/>
    <w:tmpl w:val="F6D4A7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nsid w:val="5DB81C2E"/>
    <w:multiLevelType w:val="hybridMultilevel"/>
    <w:tmpl w:val="74681CFA"/>
    <w:lvl w:ilvl="0" w:tplc="58C6F6E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9">
    <w:nsid w:val="5DC46676"/>
    <w:multiLevelType w:val="hybridMultilevel"/>
    <w:tmpl w:val="073AAB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E0645D0"/>
    <w:multiLevelType w:val="hybridMultilevel"/>
    <w:tmpl w:val="DCD0D572"/>
    <w:lvl w:ilvl="0" w:tplc="3788D69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nsid w:val="5F301099"/>
    <w:multiLevelType w:val="hybridMultilevel"/>
    <w:tmpl w:val="BE5A09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nsid w:val="600456AE"/>
    <w:multiLevelType w:val="hybridMultilevel"/>
    <w:tmpl w:val="EC143BC4"/>
    <w:lvl w:ilvl="0" w:tplc="572220D2">
      <w:start w:val="1"/>
      <w:numFmt w:val="lowerLetter"/>
      <w:lvlText w:val="%1)"/>
      <w:lvlJc w:val="left"/>
      <w:pPr>
        <w:ind w:left="720" w:hanging="360"/>
      </w:pPr>
      <w:rPr>
        <w:rFonts w:ascii="Times New Roman" w:eastAsia="MS Mincho" w:hAnsi="Times New Roman"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nsid w:val="602375C5"/>
    <w:multiLevelType w:val="hybridMultilevel"/>
    <w:tmpl w:val="AC5CF6F2"/>
    <w:lvl w:ilvl="0" w:tplc="BBDA48C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nsid w:val="62023E3A"/>
    <w:multiLevelType w:val="hybridMultilevel"/>
    <w:tmpl w:val="154A3DF0"/>
    <w:lvl w:ilvl="0" w:tplc="CB9CD5EE">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nsid w:val="62884E69"/>
    <w:multiLevelType w:val="hybridMultilevel"/>
    <w:tmpl w:val="B2D8AF0A"/>
    <w:lvl w:ilvl="0" w:tplc="7A1E643C">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nsid w:val="62FE0834"/>
    <w:multiLevelType w:val="hybridMultilevel"/>
    <w:tmpl w:val="A5785CB8"/>
    <w:lvl w:ilvl="0" w:tplc="708E89B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7">
    <w:nsid w:val="64247FB4"/>
    <w:multiLevelType w:val="hybridMultilevel"/>
    <w:tmpl w:val="C6CAB8B2"/>
    <w:lvl w:ilvl="0" w:tplc="01EC09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5900898"/>
    <w:multiLevelType w:val="hybridMultilevel"/>
    <w:tmpl w:val="E0FCD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9">
    <w:nsid w:val="65AE0F4C"/>
    <w:multiLevelType w:val="hybridMultilevel"/>
    <w:tmpl w:val="370AE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67E7564C"/>
    <w:multiLevelType w:val="hybridMultilevel"/>
    <w:tmpl w:val="F07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3832"/>
    <w:multiLevelType w:val="hybridMultilevel"/>
    <w:tmpl w:val="0FA69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3">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661850"/>
    <w:multiLevelType w:val="hybridMultilevel"/>
    <w:tmpl w:val="0EA06534"/>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5">
    <w:nsid w:val="6FD47AD7"/>
    <w:multiLevelType w:val="hybridMultilevel"/>
    <w:tmpl w:val="1A48BB4A"/>
    <w:lvl w:ilvl="0" w:tplc="AD54248A">
      <w:start w:val="1"/>
      <w:numFmt w:val="lowerLetter"/>
      <w:lvlText w:val="%1)"/>
      <w:lvlJc w:val="left"/>
      <w:pPr>
        <w:ind w:left="360" w:hanging="360"/>
      </w:pPr>
      <w:rPr>
        <w:rFonts w:ascii="Times New Roman" w:hAnsi="Times New Roman" w:hint="default"/>
        <w:b w:val="0"/>
        <w:i w:val="0"/>
        <w:sz w:val="1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6">
    <w:nsid w:val="74554005"/>
    <w:multiLevelType w:val="hybridMultilevel"/>
    <w:tmpl w:val="9BA23EC2"/>
    <w:lvl w:ilvl="0" w:tplc="AE6CE842">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nsid w:val="74D973F1"/>
    <w:multiLevelType w:val="hybridMultilevel"/>
    <w:tmpl w:val="55D8D53C"/>
    <w:lvl w:ilvl="0" w:tplc="AACCF756">
      <w:start w:val="1"/>
      <w:numFmt w:val="upperRoman"/>
      <w:lvlText w:val="%1."/>
      <w:lvlJc w:val="left"/>
      <w:pPr>
        <w:ind w:left="1080" w:hanging="720"/>
      </w:pPr>
      <w:rPr>
        <w:rFonts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8">
    <w:nsid w:val="74E00D76"/>
    <w:multiLevelType w:val="hybridMultilevel"/>
    <w:tmpl w:val="1352A5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9">
    <w:nsid w:val="772359D3"/>
    <w:multiLevelType w:val="hybridMultilevel"/>
    <w:tmpl w:val="805850C6"/>
    <w:lvl w:ilvl="0" w:tplc="0809000B">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0">
    <w:nsid w:val="783309DB"/>
    <w:multiLevelType w:val="hybridMultilevel"/>
    <w:tmpl w:val="A8D6CD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nsid w:val="7C093513"/>
    <w:multiLevelType w:val="hybridMultilevel"/>
    <w:tmpl w:val="C34CD352"/>
    <w:lvl w:ilvl="0" w:tplc="080C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nsid w:val="7C7851C6"/>
    <w:multiLevelType w:val="hybridMultilevel"/>
    <w:tmpl w:val="AD16AB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3">
    <w:nsid w:val="7D9F1F10"/>
    <w:multiLevelType w:val="hybridMultilevel"/>
    <w:tmpl w:val="D95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F472B74"/>
    <w:multiLevelType w:val="hybridMultilevel"/>
    <w:tmpl w:val="87FC4158"/>
    <w:lvl w:ilvl="0" w:tplc="1E6A1EA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A11929"/>
    <w:multiLevelType w:val="hybridMultilevel"/>
    <w:tmpl w:val="CEE0EBAC"/>
    <w:lvl w:ilvl="0" w:tplc="1438E9F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6">
    <w:nsid w:val="7FA77C53"/>
    <w:multiLevelType w:val="hybridMultilevel"/>
    <w:tmpl w:val="A2C4AEBE"/>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3"/>
  </w:num>
  <w:num w:numId="2">
    <w:abstractNumId w:val="56"/>
  </w:num>
  <w:num w:numId="3">
    <w:abstractNumId w:val="6"/>
  </w:num>
  <w:num w:numId="4">
    <w:abstractNumId w:val="72"/>
  </w:num>
  <w:num w:numId="5">
    <w:abstractNumId w:val="42"/>
  </w:num>
  <w:num w:numId="6">
    <w:abstractNumId w:val="66"/>
  </w:num>
  <w:num w:numId="7">
    <w:abstractNumId w:val="24"/>
  </w:num>
  <w:num w:numId="8">
    <w:abstractNumId w:val="74"/>
  </w:num>
  <w:num w:numId="9">
    <w:abstractNumId w:val="15"/>
  </w:num>
  <w:num w:numId="10">
    <w:abstractNumId w:val="58"/>
  </w:num>
  <w:num w:numId="11">
    <w:abstractNumId w:val="16"/>
  </w:num>
  <w:num w:numId="12">
    <w:abstractNumId w:val="37"/>
  </w:num>
  <w:num w:numId="13">
    <w:abstractNumId w:val="40"/>
  </w:num>
  <w:num w:numId="14">
    <w:abstractNumId w:val="25"/>
  </w:num>
  <w:num w:numId="15">
    <w:abstractNumId w:val="73"/>
  </w:num>
  <w:num w:numId="16">
    <w:abstractNumId w:val="77"/>
  </w:num>
  <w:num w:numId="17">
    <w:abstractNumId w:val="64"/>
  </w:num>
  <w:num w:numId="18">
    <w:abstractNumId w:val="75"/>
  </w:num>
  <w:num w:numId="19">
    <w:abstractNumId w:val="85"/>
  </w:num>
  <w:num w:numId="20">
    <w:abstractNumId w:val="60"/>
  </w:num>
  <w:num w:numId="21">
    <w:abstractNumId w:val="79"/>
  </w:num>
  <w:num w:numId="22">
    <w:abstractNumId w:val="44"/>
  </w:num>
  <w:num w:numId="23">
    <w:abstractNumId w:val="20"/>
  </w:num>
  <w:num w:numId="24">
    <w:abstractNumId w:val="51"/>
  </w:num>
  <w:num w:numId="25">
    <w:abstractNumId w:val="17"/>
  </w:num>
  <w:num w:numId="26">
    <w:abstractNumId w:val="45"/>
  </w:num>
  <w:num w:numId="27">
    <w:abstractNumId w:val="41"/>
  </w:num>
  <w:num w:numId="28">
    <w:abstractNumId w:val="55"/>
  </w:num>
  <w:num w:numId="29">
    <w:abstractNumId w:val="34"/>
  </w:num>
  <w:num w:numId="30">
    <w:abstractNumId w:val="53"/>
  </w:num>
  <w:num w:numId="31">
    <w:abstractNumId w:val="10"/>
  </w:num>
  <w:num w:numId="32">
    <w:abstractNumId w:val="83"/>
  </w:num>
  <w:num w:numId="33">
    <w:abstractNumId w:val="14"/>
  </w:num>
  <w:num w:numId="34">
    <w:abstractNumId w:val="86"/>
  </w:num>
  <w:num w:numId="35">
    <w:abstractNumId w:val="22"/>
  </w:num>
  <w:num w:numId="36">
    <w:abstractNumId w:val="11"/>
  </w:num>
  <w:num w:numId="37">
    <w:abstractNumId w:val="67"/>
  </w:num>
  <w:num w:numId="38">
    <w:abstractNumId w:val="27"/>
  </w:num>
  <w:num w:numId="39">
    <w:abstractNumId w:val="46"/>
  </w:num>
  <w:num w:numId="40">
    <w:abstractNumId w:val="54"/>
  </w:num>
  <w:num w:numId="41">
    <w:abstractNumId w:val="23"/>
  </w:num>
  <w:num w:numId="42">
    <w:abstractNumId w:val="43"/>
  </w:num>
  <w:num w:numId="43">
    <w:abstractNumId w:val="21"/>
  </w:num>
  <w:num w:numId="44">
    <w:abstractNumId w:val="62"/>
  </w:num>
  <w:num w:numId="45">
    <w:abstractNumId w:val="52"/>
  </w:num>
  <w:num w:numId="46">
    <w:abstractNumId w:val="48"/>
  </w:num>
  <w:num w:numId="47">
    <w:abstractNumId w:val="65"/>
  </w:num>
  <w:num w:numId="48">
    <w:abstractNumId w:val="76"/>
  </w:num>
  <w:num w:numId="49">
    <w:abstractNumId w:val="36"/>
  </w:num>
  <w:num w:numId="50">
    <w:abstractNumId w:val="19"/>
  </w:num>
  <w:num w:numId="51">
    <w:abstractNumId w:val="1"/>
  </w:num>
  <w:num w:numId="52">
    <w:abstractNumId w:val="7"/>
  </w:num>
  <w:num w:numId="53">
    <w:abstractNumId w:val="8"/>
  </w:num>
  <w:num w:numId="54">
    <w:abstractNumId w:val="12"/>
  </w:num>
  <w:num w:numId="55">
    <w:abstractNumId w:val="63"/>
  </w:num>
  <w:num w:numId="56">
    <w:abstractNumId w:val="26"/>
  </w:num>
  <w:num w:numId="57">
    <w:abstractNumId w:val="39"/>
  </w:num>
  <w:num w:numId="58">
    <w:abstractNumId w:val="13"/>
  </w:num>
  <w:num w:numId="59">
    <w:abstractNumId w:val="0"/>
  </w:num>
  <w:num w:numId="60">
    <w:abstractNumId w:val="18"/>
  </w:num>
  <w:num w:numId="61">
    <w:abstractNumId w:val="30"/>
  </w:num>
  <w:num w:numId="62">
    <w:abstractNumId w:val="68"/>
  </w:num>
  <w:num w:numId="63">
    <w:abstractNumId w:val="57"/>
  </w:num>
  <w:num w:numId="64">
    <w:abstractNumId w:val="59"/>
  </w:num>
  <w:num w:numId="65">
    <w:abstractNumId w:val="28"/>
  </w:num>
  <w:num w:numId="66">
    <w:abstractNumId w:val="80"/>
  </w:num>
  <w:num w:numId="67">
    <w:abstractNumId w:val="31"/>
  </w:num>
  <w:num w:numId="68">
    <w:abstractNumId w:val="4"/>
  </w:num>
  <w:num w:numId="69">
    <w:abstractNumId w:val="71"/>
  </w:num>
  <w:num w:numId="70">
    <w:abstractNumId w:val="82"/>
  </w:num>
  <w:num w:numId="71">
    <w:abstractNumId w:val="9"/>
  </w:num>
  <w:num w:numId="72">
    <w:abstractNumId w:val="50"/>
  </w:num>
  <w:num w:numId="73">
    <w:abstractNumId w:val="3"/>
  </w:num>
  <w:num w:numId="74">
    <w:abstractNumId w:val="61"/>
  </w:num>
  <w:num w:numId="75">
    <w:abstractNumId w:val="78"/>
  </w:num>
  <w:num w:numId="76">
    <w:abstractNumId w:val="69"/>
  </w:num>
  <w:num w:numId="77">
    <w:abstractNumId w:val="35"/>
  </w:num>
  <w:num w:numId="78">
    <w:abstractNumId w:val="5"/>
  </w:num>
  <w:num w:numId="79">
    <w:abstractNumId w:val="84"/>
  </w:num>
  <w:num w:numId="80">
    <w:abstractNumId w:val="70"/>
  </w:num>
  <w:num w:numId="81">
    <w:abstractNumId w:val="32"/>
  </w:num>
  <w:num w:numId="82">
    <w:abstractNumId w:val="81"/>
  </w:num>
  <w:num w:numId="83">
    <w:abstractNumId w:val="38"/>
  </w:num>
  <w:num w:numId="84">
    <w:abstractNumId w:val="29"/>
  </w:num>
  <w:num w:numId="85">
    <w:abstractNumId w:val="49"/>
  </w:num>
  <w:num w:numId="86">
    <w:abstractNumId w:val="47"/>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revisionView w:markup="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949C1C57-88DE-4B6F-842E-6A0CF6CB5B4A"/>
    <w:docVar w:name="LW_COVERPAGE_TYPE" w:val="1"/>
    <w:docVar w:name="LW_CROSSREFERENCE" w:val="{SWD(2020) 530 final}"/>
    <w:docVar w:name="LW_DocType" w:val="NORMAL"/>
    <w:docVar w:name="LW_EMISSION" w:val="7.10.2020"/>
    <w:docVar w:name="LW_EMISSION_ISODATE" w:val="2020-10-07"/>
    <w:docVar w:name="LW_EMISSION_LOCATION" w:val="BRX"/>
    <w:docVar w:name="LW_EMISSION_PREFIX" w:val="Brüssel,"/>
    <w:docVar w:name="LW_EMISSION_SUFFIX" w:val=" "/>
    <w:docVar w:name="LW_ID_DOCTYPE_NONLW" w:val="CP-012"/>
    <w:docVar w:name="LW_LANGUE" w:val="ET"/>
    <w:docVar w:name="LW_LEVEL_OF_SENSITIVITY" w:val="Standard treatment"/>
    <w:docVar w:name="LW_NOM.INST" w:val="EUROOPA KOMISJON"/>
    <w:docVar w:name="LW_NOM.INST_JOINTDOC" w:val="&lt;EMPTY&gt;"/>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Võrdõiguslikkuse liit: &lt;/FMT&gt;_x000d__x000d__x000d__x000d__x000d__x000d__x000d__x000d__x000d__x000b_&lt;FMT:Bold&gt;romade võrdõiguslikkust, kaasamist ja osalemist käsitlev ELi strateegiline raamistik&lt;/FMT&gt;"/>
    <w:docVar w:name="LW_TYPE.DOC.CP" w:val="KOMISJONI TEATIS EUROOPA PARLAMENDILE JA NÕUKOGULE"/>
    <w:docVar w:name="LW_TYPE.DOC.CP.USERTEXT" w:val="&lt;EMPTY&gt;"/>
    <w:docVar w:name="Stamp" w:val="\\dossiers.dgt.cec.eu.int\dossiers\JUST\JUST-2020-03278\JUST-2020-03278-00-00-EN-EDT-00.202007070939270366446.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et-E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et-E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194">
      <w:bodyDiv w:val="1"/>
      <w:marLeft w:val="0"/>
      <w:marRight w:val="0"/>
      <w:marTop w:val="0"/>
      <w:marBottom w:val="0"/>
      <w:divBdr>
        <w:top w:val="none" w:sz="0" w:space="0" w:color="auto"/>
        <w:left w:val="none" w:sz="0" w:space="0" w:color="auto"/>
        <w:bottom w:val="none" w:sz="0" w:space="0" w:color="auto"/>
        <w:right w:val="none" w:sz="0" w:space="0" w:color="auto"/>
      </w:divBdr>
    </w:div>
    <w:div w:id="1160386247">
      <w:bodyDiv w:val="1"/>
      <w:marLeft w:val="0"/>
      <w:marRight w:val="0"/>
      <w:marTop w:val="0"/>
      <w:marBottom w:val="0"/>
      <w:divBdr>
        <w:top w:val="none" w:sz="0" w:space="0" w:color="auto"/>
        <w:left w:val="none" w:sz="0" w:space="0" w:color="auto"/>
        <w:bottom w:val="none" w:sz="0" w:space="0" w:color="auto"/>
        <w:right w:val="none" w:sz="0" w:space="0" w:color="auto"/>
      </w:divBdr>
    </w:div>
    <w:div w:id="1866022208">
      <w:bodyDiv w:val="1"/>
      <w:marLeft w:val="0"/>
      <w:marRight w:val="0"/>
      <w:marTop w:val="0"/>
      <w:marBottom w:val="0"/>
      <w:divBdr>
        <w:top w:val="none" w:sz="0" w:space="0" w:color="auto"/>
        <w:left w:val="none" w:sz="0" w:space="0" w:color="auto"/>
        <w:bottom w:val="none" w:sz="0" w:space="0" w:color="auto"/>
        <w:right w:val="none" w:sz="0" w:space="0" w:color="auto"/>
      </w:divBdr>
    </w:div>
    <w:div w:id="1930191195">
      <w:bodyDiv w:val="1"/>
      <w:marLeft w:val="0"/>
      <w:marRight w:val="0"/>
      <w:marTop w:val="0"/>
      <w:marBottom w:val="0"/>
      <w:divBdr>
        <w:top w:val="none" w:sz="0" w:space="0" w:color="auto"/>
        <w:left w:val="none" w:sz="0" w:space="0" w:color="auto"/>
        <w:bottom w:val="none" w:sz="0" w:space="0" w:color="auto"/>
        <w:right w:val="none" w:sz="0" w:space="0" w:color="auto"/>
      </w:divBdr>
    </w:div>
    <w:div w:id="1951427629">
      <w:bodyDiv w:val="1"/>
      <w:marLeft w:val="0"/>
      <w:marRight w:val="0"/>
      <w:marTop w:val="0"/>
      <w:marBottom w:val="0"/>
      <w:divBdr>
        <w:top w:val="none" w:sz="0" w:space="0" w:color="auto"/>
        <w:left w:val="none" w:sz="0" w:space="0" w:color="auto"/>
        <w:bottom w:val="none" w:sz="0" w:space="0" w:color="auto"/>
        <w:right w:val="none" w:sz="0" w:space="0" w:color="auto"/>
      </w:divBdr>
    </w:div>
    <w:div w:id="1993755799">
      <w:bodyDiv w:val="1"/>
      <w:marLeft w:val="0"/>
      <w:marRight w:val="0"/>
      <w:marTop w:val="0"/>
      <w:marBottom w:val="0"/>
      <w:divBdr>
        <w:top w:val="none" w:sz="0" w:space="0" w:color="auto"/>
        <w:left w:val="none" w:sz="0" w:space="0" w:color="auto"/>
        <w:bottom w:val="none" w:sz="0" w:space="0" w:color="auto"/>
        <w:right w:val="none" w:sz="0" w:space="0" w:color="auto"/>
      </w:divBdr>
      <w:divsChild>
        <w:div w:id="965043187">
          <w:marLeft w:val="0"/>
          <w:marRight w:val="0"/>
          <w:marTop w:val="0"/>
          <w:marBottom w:val="0"/>
          <w:divBdr>
            <w:top w:val="none" w:sz="0" w:space="0" w:color="auto"/>
            <w:left w:val="none" w:sz="0" w:space="0" w:color="auto"/>
            <w:bottom w:val="none" w:sz="0" w:space="0" w:color="auto"/>
            <w:right w:val="none" w:sz="0" w:space="0" w:color="auto"/>
          </w:divBdr>
          <w:divsChild>
            <w:div w:id="67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cps.ceu.edu/roma-civil-monito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ET/TXT/?uri=CELEX:52011DC0173" TargetMode="External"/><Relationship Id="rId18" Type="http://schemas.openxmlformats.org/officeDocument/2006/relationships/hyperlink" Target="https://eur-lex.europa.eu/legal-content/ET/TXT/?uri=CELEX:32000L0043" TargetMode="External"/><Relationship Id="rId26" Type="http://schemas.openxmlformats.org/officeDocument/2006/relationships/hyperlink" Target="https://ec.europa.eu/info/policies/justice-and-fundamental-rights/combatting-discrimination/roma-and-eu/roma-integration-eu/workshop-future-policies-roma_en" TargetMode="External"/><Relationship Id="rId39" Type="http://schemas.openxmlformats.org/officeDocument/2006/relationships/hyperlink" Target="https://eur-lex.europa.eu/legal-content/ET/TXT/?uri=COM:2018:375:FIN" TargetMode="External"/><Relationship Id="rId21" Type="http://schemas.openxmlformats.org/officeDocument/2006/relationships/hyperlink" Target="https://ec.europa.eu/info/policies/justice-and-fundamental-rights/combatting-discrimination/roma-and-eu/roma-integration-eu_en" TargetMode="External"/><Relationship Id="rId34" Type="http://schemas.openxmlformats.org/officeDocument/2006/relationships/hyperlink" Target="https://op.europa.eu/et/publication-detail/-/publication/7573706d-e7c4-4ece-ae59-2b361246a7b0" TargetMode="External"/><Relationship Id="rId42" Type="http://schemas.openxmlformats.org/officeDocument/2006/relationships/hyperlink" Target="https://ec.europa.eu/info/policies/justice-and-fundamental-rights/combatting-discrimination/roma-and-eu/preparing-post-2020-initiative-roma-equality-and-inclusion_en" TargetMode="External"/><Relationship Id="rId47" Type="http://schemas.openxmlformats.org/officeDocument/2006/relationships/hyperlink" Target="https://eur-lex.europa.eu/legal-content/ET/TXT/?uri=CELEX:32008F0913" TargetMode="External"/><Relationship Id="rId50" Type="http://schemas.openxmlformats.org/officeDocument/2006/relationships/hyperlink" Target="https://equineteurope.org/2020/equality-for-roma-and-travellers-time-to-deliver/" TargetMode="External"/><Relationship Id="rId55" Type="http://schemas.openxmlformats.org/officeDocument/2006/relationships/hyperlink" Target="https://ec.europa.eu/info/sites/info/files/law/2_en_act_part1_v10.pdf" TargetMode="External"/><Relationship Id="rId63" Type="http://schemas.openxmlformats.org/officeDocument/2006/relationships/hyperlink" Target="https://ec.europa.eu/newsroom/just/item-detail.cfm?item_id=30548" TargetMode="External"/><Relationship Id="rId68" Type="http://schemas.openxmlformats.org/officeDocument/2006/relationships/hyperlink" Target="file:///C:\Users\huszddo\AppData\Local\Packages\Microsoft.MicrosoftEdge_8wekyb3d8bbwe\TempState\Downloads\2019-06-roma-deklaracija-b%20(1).pdf" TargetMode="External"/><Relationship Id="rId7" Type="http://schemas.openxmlformats.org/officeDocument/2006/relationships/hyperlink" Target="https://ec.europa.eu/info/policies/justice-and-fundamental-rights/combatting-discrimination/roma-and-eu/roma-integration-eu_en" TargetMode="External"/><Relationship Id="rId71" Type="http://schemas.openxmlformats.org/officeDocument/2006/relationships/hyperlink" Target="https://ec.europa.eu/anti-trafficking/eu-policy/joint-staff-working-document-gender-equality-and-womens-empowerment-transforming-lives_en" TargetMode="External"/><Relationship Id="rId2" Type="http://schemas.openxmlformats.org/officeDocument/2006/relationships/hyperlink" Target="http://rm.coe.int/CoERMPublicCommonSearchServices/DisplayDCTMContent?documentId=0900001680088ea9" TargetMode="External"/><Relationship Id="rId16" Type="http://schemas.openxmlformats.org/officeDocument/2006/relationships/hyperlink" Target="https://eur-lex.europa.eu/search.html?qid=1591611786521&amp;text=SWD(2018)%20480%20final&amp;scope=EURLEX&amp;type=quick&amp;lang=et" TargetMode="External"/><Relationship Id="rId29" Type="http://schemas.openxmlformats.org/officeDocument/2006/relationships/hyperlink" Target="https://www.europarl.europa.eu/doceo/document/TA-8-2019-0075_ET.html" TargetMode="External"/><Relationship Id="rId1" Type="http://schemas.openxmlformats.org/officeDocument/2006/relationships/hyperlink" Target="https://ec.europa.eu/info/sites/info/files/a_union_of_equality_eu_action_plan_against_racism_2020_-2025_et.pdf" TargetMode="External"/><Relationship Id="rId6" Type="http://schemas.openxmlformats.org/officeDocument/2006/relationships/hyperlink" Target="https://www.europarl.europa.eu/doceo/document/TA-9-2020-0229_ET.html" TargetMode="External"/><Relationship Id="rId11" Type="http://schemas.openxmlformats.org/officeDocument/2006/relationships/hyperlink" Target="https://www.coe.int/en/web/european-commission-against-racism-and-intolerance/recommendation-no.13" TargetMode="External"/><Relationship Id="rId24" Type="http://schemas.openxmlformats.org/officeDocument/2006/relationships/hyperlink" Target="https://www.europarl.europa.eu/doceo/document/B-8-2019-0098_ET.html" TargetMode="External"/><Relationship Id="rId32" Type="http://schemas.openxmlformats.org/officeDocument/2006/relationships/hyperlink" Target="https://coherentsite.files.wordpress.com/2019/05/conference-on-anti-gypsyism-how-to-address-anti-gypsyism-in-a-post-2020-eu-roma-framework-expert-recommendations.pdf" TargetMode="External"/><Relationship Id="rId37" Type="http://schemas.openxmlformats.org/officeDocument/2006/relationships/hyperlink" Target="https://ec.europa.eu/newsroom/just/document.cfm?action=display&amp;doc_id=45791" TargetMode="External"/><Relationship Id="rId40" Type="http://schemas.openxmlformats.org/officeDocument/2006/relationships/hyperlink" Target="http://rm.coe.int/CoERMPublicCommonSearchServices/DisplayDCTMContent?documentId=0900001680088ea9" TargetMode="External"/><Relationship Id="rId45" Type="http://schemas.openxmlformats.org/officeDocument/2006/relationships/hyperlink" Target="https://eur-lex.europa.eu/legal-content/ET/TXT/PDF/?uri=CELEX:12012P/TXT" TargetMode="External"/><Relationship Id="rId53" Type="http://schemas.openxmlformats.org/officeDocument/2006/relationships/hyperlink" Target="https://ec.europa.eu/info/policies/justice-and-fundamental-rights/combatting-discrimination/racism-and-xenophobia/eu-code-conduct-countering-illegal-hate-speech-online_en" TargetMode="External"/><Relationship Id="rId58" Type="http://schemas.openxmlformats.org/officeDocument/2006/relationships/hyperlink" Target="https://ec.europa.eu/commission/sites/beta-political/files/budget-may2018-european-social-fund-plus-regulation_en.pdf" TargetMode="External"/><Relationship Id="rId66" Type="http://schemas.openxmlformats.org/officeDocument/2006/relationships/hyperlink" Target="https://eur-lex.europa.eu/legal-content/ET/ALL/?uri=COM:2020:315:FIN" TargetMode="External"/><Relationship Id="rId5" Type="http://schemas.openxmlformats.org/officeDocument/2006/relationships/hyperlink" Target="https://www.europarl.europa.eu/doceo/document/B-8-2019-0098_ET.html" TargetMode="External"/><Relationship Id="rId15" Type="http://schemas.openxmlformats.org/officeDocument/2006/relationships/hyperlink" Target="https://eur-lex.europa.eu/search.html?qid=1591611750119&amp;text=COM(2018)%20785%20final&amp;scope=EURLEX&amp;type=quick&amp;lang=et" TargetMode="External"/><Relationship Id="rId23" Type="http://schemas.openxmlformats.org/officeDocument/2006/relationships/hyperlink" Target="https://www.europarl.europa.eu/doceo/document/TA-9-2020-0229_ET.html" TargetMode="External"/><Relationship Id="rId28" Type="http://schemas.openxmlformats.org/officeDocument/2006/relationships/hyperlink" Target="https://www.europarl.europa.eu/doceo/document/TA-9-2020-0229_ET.html" TargetMode="External"/><Relationship Id="rId36" Type="http://schemas.openxmlformats.org/officeDocument/2006/relationships/hyperlink" Target="https://ec.europa.eu/info/sites/info/files/final_guidelines_4-10-18_without_date_july.pdf" TargetMode="External"/><Relationship Id="rId49" Type="http://schemas.openxmlformats.org/officeDocument/2006/relationships/hyperlink" Target="https://equineteurope.org/2020/equality-for-roma-and-travellers-time-to-deliver/" TargetMode="External"/><Relationship Id="rId57" Type="http://schemas.openxmlformats.org/officeDocument/2006/relationships/hyperlink" Target="https://eur-lex.europa.eu/legal-content/ET/TXT/?uri=COM:2018:375:FIN" TargetMode="External"/><Relationship Id="rId61" Type="http://schemas.openxmlformats.org/officeDocument/2006/relationships/hyperlink" Target="https://www.europarl.europa.eu/doceo/document/BUDG-DT-648406_EN.pdf" TargetMode="External"/><Relationship Id="rId10" Type="http://schemas.openxmlformats.org/officeDocument/2006/relationships/hyperlink" Target="http://data.consilium.europa.eu/doc/document/ST-15406-2016-INIT/et/pdf" TargetMode="External"/><Relationship Id="rId19" Type="http://schemas.openxmlformats.org/officeDocument/2006/relationships/hyperlink" Target="https://eur-lex.europa.eu/search.html?qid=1591613211496&amp;text=COM(2019)%20406&amp;scope=EURLEX&amp;type=quick&amp;lang=et" TargetMode="External"/><Relationship Id="rId31" Type="http://schemas.openxmlformats.org/officeDocument/2006/relationships/hyperlink" Target="https://data.consilium.europa.eu/doc/document/ST-7003-2019-INIT/et/pdf" TargetMode="External"/><Relationship Id="rId44" Type="http://schemas.openxmlformats.org/officeDocument/2006/relationships/hyperlink" Target="https://eur-lex.europa.eu/legal-content/ET/TXT/?uri=CELEX:12012E/TXT" TargetMode="External"/><Relationship Id="rId52" Type="http://schemas.openxmlformats.org/officeDocument/2006/relationships/hyperlink" Target="https://ec.europa.eu/info/sites/info/files/a_union_of_equality_eu_action_plan_against_racism_2020_-2025_et.pdf" TargetMode="External"/><Relationship Id="rId60" Type="http://schemas.openxmlformats.org/officeDocument/2006/relationships/hyperlink" Target="https://www.euromanet.eu/" TargetMode="External"/><Relationship Id="rId65" Type="http://schemas.openxmlformats.org/officeDocument/2006/relationships/hyperlink" Target="https://ec.europa.eu/neighbourhood-enlargement/sites/near/files/enlargement-methodology_en.pdf" TargetMode="External"/><Relationship Id="rId4" Type="http://schemas.openxmlformats.org/officeDocument/2006/relationships/hyperlink" Target="https://www.europarl.europa.eu/doceo/document/A-8-2017-0294_ET.html" TargetMode="External"/><Relationship Id="rId9" Type="http://schemas.openxmlformats.org/officeDocument/2006/relationships/hyperlink" Target="https://www.consilium.europa.eu/uedocs/cms_data/docs/pressdata/en/lsa/139979.pdf" TargetMode="External"/><Relationship Id="rId14" Type="http://schemas.openxmlformats.org/officeDocument/2006/relationships/hyperlink" Target="https://eur-lex.europa.eu/legal-content/ET/TXT/PDF/?uri=CELEX:32013H1224(01)&amp;from=et" TargetMode="External"/><Relationship Id="rId22" Type="http://schemas.openxmlformats.org/officeDocument/2006/relationships/hyperlink" Target="https://ec.europa.eu/jrc/en/publication/meta-evaluation-interventions-roma-inclusion" TargetMode="External"/><Relationship Id="rId27" Type="http://schemas.openxmlformats.org/officeDocument/2006/relationships/hyperlink" Target="http://data.consilium.europa.eu/doc/document/ST-15406-2016-INIT/et/pdf" TargetMode="External"/><Relationship Id="rId30" Type="http://schemas.openxmlformats.org/officeDocument/2006/relationships/hyperlink" Target="https://data.consilium.europa.eu/doc/document/ST-13432-2019-INIT/et/pdf" TargetMode="External"/><Relationship Id="rId35" Type="http://schemas.openxmlformats.org/officeDocument/2006/relationships/hyperlink" Target="https://ec.europa.eu/newsroom/just/document.cfm?action=display&amp;doc_id=43205" TargetMode="External"/><Relationship Id="rId43" Type="http://schemas.openxmlformats.org/officeDocument/2006/relationships/hyperlink" Target="https://eur-lex.europa.eu/legal-content/ET/TXT/PDF/?uri=CELEX:12016M/TXT&amp;from=EN" TargetMode="External"/><Relationship Id="rId48" Type="http://schemas.openxmlformats.org/officeDocument/2006/relationships/hyperlink" Target="https://eur-lex.europa.eu/legal-content/ET/TXT/?uri=celex:32000L0078" TargetMode="External"/><Relationship Id="rId56" Type="http://schemas.openxmlformats.org/officeDocument/2006/relationships/hyperlink" Target="https://ec.europa.eu/info/publications/2019-european-semester-country-reports_en" TargetMode="External"/><Relationship Id="rId64" Type="http://schemas.openxmlformats.org/officeDocument/2006/relationships/hyperlink" Target="https://audiovisual.ec.europa.eu/en/video/I-182046" TargetMode="External"/><Relationship Id="rId69" Type="http://schemas.openxmlformats.org/officeDocument/2006/relationships/hyperlink" Target="https://eur-lex.europa.eu/legal-content/ET/TXT/PDF/?uri=CELEX:52020DC0315&amp;qid=1602074471459&amp;from=ET" TargetMode="External"/><Relationship Id="rId8" Type="http://schemas.openxmlformats.org/officeDocument/2006/relationships/hyperlink" Target="file:///C:\Users\huszddo\AppData\Local\Packages\Microsoft.MicrosoftEdge_8wekyb3d8bbwe\TempState\Downloads\HLG_Conclusionspaperantigypsyism_finalpdf%20(1).pdf" TargetMode="External"/><Relationship Id="rId51" Type="http://schemas.openxmlformats.org/officeDocument/2006/relationships/hyperlink" Target="https://ec.europa.eu/info/sites/info/files/2_en_act_part1_v4.pdf" TargetMode="External"/><Relationship Id="rId72" Type="http://schemas.openxmlformats.org/officeDocument/2006/relationships/hyperlink" Target="https://data.consilium.europa.eu/doc/document/ST-6337-2019-INIT/et/pdf" TargetMode="External"/><Relationship Id="rId3" Type="http://schemas.openxmlformats.org/officeDocument/2006/relationships/hyperlink" Target="https://www.europarl.europa.eu/doceo/document/TA-8-2015-0095_ET.html?redirect" TargetMode="External"/><Relationship Id="rId12" Type="http://schemas.openxmlformats.org/officeDocument/2006/relationships/hyperlink" Target="https://www.antigypsyism.eu/?page_id=17" TargetMode="External"/><Relationship Id="rId17" Type="http://schemas.openxmlformats.org/officeDocument/2006/relationships/hyperlink" Target="https://ec.europa.eu/info/sites/info/files/com_2018_785.pdf?fbclid=IwAR29mJJcq_7OmhJvopsJqoHH-OdfaacxLhuqwOz7_DRBToqlMtnFU1ddL94" TargetMode="External"/><Relationship Id="rId25" Type="http://schemas.openxmlformats.org/officeDocument/2006/relationships/hyperlink" Target="https://www.consilium.europa.eu/et/press/press-releases/2019/10/24/economy-of-wellbeing-the-council-adopts-conclusions/" TargetMode="External"/><Relationship Id="rId33" Type="http://schemas.openxmlformats.org/officeDocument/2006/relationships/hyperlink" Target="https://fra.europa.eu/en/news/2020/roma-working-party-consultations-roma-inclusion-monitoring-framework" TargetMode="External"/><Relationship Id="rId38" Type="http://schemas.openxmlformats.org/officeDocument/2006/relationships/hyperlink" Target="https://op.europa.eu/et/publication-detail/-/publication/7573706d-e7c4-4ece-ae59-2b361246a7b0" TargetMode="External"/><Relationship Id="rId46" Type="http://schemas.openxmlformats.org/officeDocument/2006/relationships/hyperlink" Target="https://eur-lex.europa.eu/legal-content/ET/TXT/?uri=CELEX:32000L0043" TargetMode="External"/><Relationship Id="rId59" Type="http://schemas.openxmlformats.org/officeDocument/2006/relationships/hyperlink" Target="https://eur-lex.europa.eu/legal-content/ET/ALL/?uri=CELEX:52018PC0392" TargetMode="External"/><Relationship Id="rId67" Type="http://schemas.openxmlformats.org/officeDocument/2006/relationships/hyperlink" Target="https://www.consilium.europa.eu/media/43776/zagreb-declaration-en-06052020.pdf" TargetMode="External"/><Relationship Id="rId20" Type="http://schemas.openxmlformats.org/officeDocument/2006/relationships/hyperlink" Target="https://eur-lex.europa.eu/legal-content/FR/TXT/?qid=1575907500935&amp;uri=CELEX:52019SC0320" TargetMode="External"/><Relationship Id="rId41" Type="http://schemas.openxmlformats.org/officeDocument/2006/relationships/hyperlink" Target="https://op.europa.eu/et/publication-detail/-/publication/7573706d-e7c4-4ece-ae59-2b361246a7b0" TargetMode="External"/><Relationship Id="rId54" Type="http://schemas.openxmlformats.org/officeDocument/2006/relationships/hyperlink" Target="https://ec.europa.eu/digital-single-market/en/news/commission-recommendation-measures-effectively-tackle-illegal-content-online" TargetMode="External"/><Relationship Id="rId62" Type="http://schemas.openxmlformats.org/officeDocument/2006/relationships/hyperlink" Target="https://ec.europa.eu/info/policies/justice-and-fundamental-rights/combatting-discrimination/roma-and-eu/european-platform-roma-inclusion_en" TargetMode="External"/><Relationship Id="rId70" Type="http://schemas.openxmlformats.org/officeDocument/2006/relationships/hyperlink" Target="https://ec.europa.eu/transparency/regdoc/rep/10101/2020/ET/JOIN-2020-5-F1-ET-MAIN-PAR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8C35B-F038-45EF-B512-261F78C51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20</Pages>
  <Words>5111</Words>
  <Characters>40892</Characters>
  <Application>Microsoft Office Word</Application>
  <DocSecurity>0</DocSecurity>
  <Lines>584</Lines>
  <Paragraphs>135</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45868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19</cp:revision>
  <cp:lastPrinted>2020-10-02T14:30:00Z</cp:lastPrinted>
  <dcterms:created xsi:type="dcterms:W3CDTF">2020-10-09T13:35:00Z</dcterms:created>
  <dcterms:modified xsi:type="dcterms:W3CDTF">2020-10-16T15:53:00Z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CP-012</vt:lpwstr>
  </property>
  <property fmtid="{D5CDD505-2E9C-101B-9397-08002B2CF9AE}" pid="7" name="Last edited using">
    <vt:lpwstr>LW 7.0.1, Build 20190916</vt:lpwstr>
  </property>
  <property fmtid="{D5CDD505-2E9C-101B-9397-08002B2CF9AE}" pid="8" name="Created using">
    <vt:lpwstr>LW 7.0, Build 20190717</vt:lpwstr>
  </property>
  <property name="OP_sanitized" fmtid="{D5CDD505-2E9C-101B-9397-08002B2CF9AE}" pid="9">
    <vt:lpwstr>True</vt:lpwstr>
  </property>
</Properties>
</file>