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2BCD44E5-2F16-4E1D-BED2-29305F290967" style="width:450.15pt;height:334.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Vad är det som utmärker mänskligheten när romer varje dag utestängs från samhället och andra hindras i sina liv bara på grund av sin hudfärg eller sin tro?</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Kommissionens ordförande Ursula von der Leyen, Tillståndet i unionen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Europa har en skyldighet att skydda sina minoriteter mot rasism och diskriminering. Vi måste ersätta antiziganism med öppenhet och acceptans, hatpropaganda och hatbrott med tolerans och respekt för människovärdet och trakasserier med upplysning om Förintelsen. Vi måste framför allt främja mångfald som en fantastisk gåva som ger Europa styrka och motståndskraft. Kommissionen uppmanar därför alla medlemsstater att ställa sig bakom löftet att sätta stopp för den flagranta rasism och diskriminering som drabbar våra stora minoriteter av etniska romer. Vi anmodar medlemsstaterna att ställa sig bakom en ny strategisk EU-ram för romers jämlikhet, inkludering och delaktighet för att uppnå social rättvisa och ökad jämlikhet i ordets alla betydelser.</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Uttalande av ordförande Ursula von der Leyen, vice ordförande Věra Jourová och kommissionär Helena Dalli</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inför minnesdagen 2020 till hågkomst av Förintelsen av romer</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Inledning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Att bygga upp en jämlikhetsunion är en av kommissionens viktigaste prioriteringar. EU har de rättsakter och den breda politik som krävs för att bygga upp en verklig jämlikhetsunion. Ändå kvarstår diskriminering på grund av ras eller etniskt ursprung, vilket framhålls i EU:s handlingsplan mot rasism 2020–2025</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Detta gäller i synnerhet romer</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som ofta fortsätter att vara marginaliserade. Många av kontinentens uppskattningsvis 10–12 miljoner romer</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utsätts fortfarande dagligen för diskriminering, antiziganism</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och socioekonomisk exkludering.</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År 2011 antog kommissionen en </w:t>
      </w:r>
      <w:r>
        <w:rPr>
          <w:rFonts w:ascii="Times New Roman" w:hAnsi="Times New Roman"/>
          <w:b/>
          <w:noProof/>
          <w:sz w:val="24"/>
          <w:szCs w:val="24"/>
        </w:rPr>
        <w:t>EU-ram för nationella strategier för integrering av romer fram till 2020</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Syftet var i första hand att komma till rätta med den socioekonomiska exkluderingen och diskrimineringen av romer genom att främja lika tillgång till utbildning, arbetsmarknad, hälso- och sjukvård och boende. Medlemsstaterna uppmanades utforma nationella strategier för integrering av romer, utse nationella kontaktpunkter för romsk inkludering</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och sätta upp nationella mål. Två år senare antog rådet en rekommendation om verkningsfulla åtgärder för integrering av romer i medlemsstaterna, som innehöll vägledning för medlemsstaterna om hur de kan stärka genomförandet av sina nationella strategier</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Partnerländerna på västra Balkan har redan på eget initiativ anpassat sig till EU:s ram för nationella strategier för integrering av romer fram till 2020.</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Dessa två instrument var viktiga</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för att frågan om romsk inkludering skulle hamna högt upp på EU:s och medlemsstaternas agendor och för att mobilisera EU:s policy-, rätts- och finansieringsinstrument. Överlag har dock </w:t>
      </w:r>
      <w:r>
        <w:rPr>
          <w:rFonts w:ascii="Times New Roman" w:hAnsi="Times New Roman"/>
          <w:b/>
          <w:noProof/>
          <w:sz w:val="24"/>
          <w:szCs w:val="24"/>
        </w:rPr>
        <w:t xml:space="preserve">framstegen när det gäller integreringen av romer </w:t>
      </w:r>
      <w:r>
        <w:rPr>
          <w:rFonts w:ascii="Times New Roman" w:hAnsi="Times New Roman"/>
          <w:noProof/>
          <w:sz w:val="24"/>
          <w:szCs w:val="24"/>
        </w:rPr>
        <w:t>under de senaste tio åren varit begränsade, även om det finns betydande skillnader mellan politikområden och länder</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De största framstegen skedde på utbildningsområdet, i synnerhet genom att skolavhoppen minskade samtidigt som deltagandet i förskoleverksamhet och obligatorisk skolgång ökade. Segregeringen av romska elever inom utbildningsväsendet har dock ökat</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När det gäller fattigdomsrisk och självskattad hälsa bland romer har det skett förbättringar, men sjukförsäkringsskyddet är fortfarande begränsat. Tillträdet till arbetsmarknaden förbättrades inte och andelen romska ungdomar som varken arbetar eller studerar har i själva verket ökat. Bostadssituationen är fortfarande svår, särskilt på grund av otillräckliga bostäder och segregerat boende. Det finns tecken på att diskrimineringen av romer har minskat något och att majoritetsbefolkningens acceptans av romer har ökat. Situationen när det gäller antiziganism, hatbrott, människohandel med romer – i synnerhet kvinnor och barn – fortsätter dock att vara mycket oroande</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Ingåendet av EU-ramen för nationella strategier för integrering av romer ger en möjlighet att intensifiera insatserna för att ta itu med detta ihållande misslyckande. Covid-19-pandemin har lett till att exkluderade och marginaliserade romska grupper blivit </w:t>
      </w:r>
      <w:r>
        <w:rPr>
          <w:rFonts w:ascii="Times New Roman" w:hAnsi="Times New Roman"/>
          <w:b/>
          <w:bCs/>
          <w:noProof/>
          <w:sz w:val="24"/>
          <w:szCs w:val="24"/>
        </w:rPr>
        <w:t>extremt utsatta för både negativa hälsoeffekter och socioekonomiska konsekvenser</w:t>
      </w:r>
      <w:r>
        <w:rPr>
          <w:rFonts w:ascii="Times New Roman" w:hAnsi="Times New Roman"/>
          <w:noProof/>
          <w:sz w:val="24"/>
          <w:szCs w:val="24"/>
        </w:rPr>
        <w:t>.</w:t>
      </w:r>
      <w:r>
        <w:rPr>
          <w:rFonts w:ascii="Times New Roman" w:hAnsi="Times New Roman"/>
          <w:noProof/>
          <w:sz w:val="24"/>
          <w:szCs w:val="24"/>
        </w:rPr>
        <w:cr/>
      </w:r>
      <w:r>
        <w:rPr>
          <w:rFonts w:ascii="Times New Roman" w:hAnsi="Times New Roman"/>
          <w:noProof/>
          <w:sz w:val="24"/>
          <w:szCs w:val="24"/>
        </w:rPr>
        <w:br/>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För att nå fler och snabbare framsteg fastställs i detta meddelande en ny strategisk EU-ram för romer som främjar verklig </w:t>
      </w:r>
      <w:r>
        <w:rPr>
          <w:rFonts w:ascii="Times New Roman" w:hAnsi="Times New Roman"/>
          <w:b/>
          <w:bCs/>
          <w:noProof/>
          <w:sz w:val="24"/>
          <w:szCs w:val="24"/>
        </w:rPr>
        <w:t>jämlikhet</w:t>
      </w:r>
      <w:r>
        <w:rPr>
          <w:rFonts w:ascii="Times New Roman" w:hAnsi="Times New Roman"/>
          <w:noProof/>
          <w:sz w:val="24"/>
          <w:szCs w:val="24"/>
        </w:rPr>
        <w:t xml:space="preserve">, socioekonomisk </w:t>
      </w:r>
      <w:r>
        <w:rPr>
          <w:rFonts w:ascii="Times New Roman" w:hAnsi="Times New Roman"/>
          <w:b/>
          <w:bCs/>
          <w:noProof/>
          <w:sz w:val="24"/>
          <w:szCs w:val="24"/>
        </w:rPr>
        <w:t>inkludering</w:t>
      </w:r>
      <w:r>
        <w:rPr>
          <w:rFonts w:ascii="Times New Roman" w:hAnsi="Times New Roman"/>
          <w:noProof/>
          <w:sz w:val="24"/>
          <w:szCs w:val="24"/>
        </w:rPr>
        <w:t xml:space="preserve"> och meningsfullt </w:t>
      </w:r>
      <w:r>
        <w:rPr>
          <w:rFonts w:ascii="Times New Roman" w:hAnsi="Times New Roman"/>
          <w:b/>
          <w:bCs/>
          <w:noProof/>
          <w:sz w:val="24"/>
          <w:szCs w:val="24"/>
        </w:rPr>
        <w:t>deltagande</w:t>
      </w:r>
      <w:r>
        <w:rPr>
          <w:rFonts w:ascii="Times New Roman" w:hAnsi="Times New Roman"/>
          <w:noProof/>
          <w:sz w:val="24"/>
          <w:szCs w:val="24"/>
        </w:rPr>
        <w:t xml:space="preserve"> för romer. Även om medlemsstaterna står i främsta ledet när det gäller att driva på verkliga förändringar för romer, vilket kräver ett starkare politiskt åtagande, kan EU hjälpa dem att utforma en effektiv strategi och utrusta dem med rätt verktyg. Denna strategiska ram bygger på slutsatserna av utvärderingen av den tidigare ramen, omfattande samråd</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årliga utvärderingar av genomförandet av nationella strategier</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och en analys av orsakerna till tidigare åtgärders begränsade effektivitet</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Den utgör det starkare EU-initiativ för tiden efter 2020 som rådet, Europaparlamentet och civilsamhället har efterlyst på detta område</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Strategin tar hänsyn till att inte alla romer är socialt utestängda, men att alla kan utsättas diskriminering och fråntas sin egenmakt. EU:s strategiska ram för romer anlägger ett intersektionellt perspektiv där hänsyn tas till hur etnicitet kombineras med andra aspekter av en persons identitet och hur detta kan skapa en unik erfarenhet av diskriminering</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Denna strategiska EU-ram för romer bidrar även till flera andra initiativ. Den bidrar direkt till genomförandet av EU:s handlingsplan mot rasism, den europeiska pelaren för sociala rättigheter</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xml:space="preserve"> och förverkligandet av FN:s agenda 2030 och FN:s hållbarhetsmål</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För att uppnå rättvisa och inkludering krävs en ökad användning och bättre kanalisering av resurser samt </w:t>
      </w:r>
      <w:r>
        <w:rPr>
          <w:rFonts w:ascii="Times New Roman" w:hAnsi="Times New Roman"/>
          <w:b/>
          <w:noProof/>
          <w:sz w:val="24"/>
          <w:szCs w:val="24"/>
        </w:rPr>
        <w:t>deltagande och partnerskap</w:t>
      </w:r>
      <w:r>
        <w:rPr>
          <w:rFonts w:ascii="Times New Roman" w:hAnsi="Times New Roman"/>
          <w:noProof/>
          <w:sz w:val="24"/>
          <w:szCs w:val="24"/>
        </w:rPr>
        <w:t xml:space="preserve"> med avseende på romska befolkningsgrupper samt alla myndighetsnivåer, sektorer och intressenter (nationella regeringar, EU-institutioner, internationella organisationer, civilsamhället, samt näringslivet och den akademiska världen). Ett nära samarbete mellan den europeiska och den nationella nivån är särskilt viktigt. På EU-nivå innehåller denna strategiska ram ambitiösa gemensamma mål och delmål. På nationell nivå bör regeringarna utveckla starka nationella strategiska ramar för romer, för att göra långsiktiga åtaganden och arbeta tillsammans med EU-institutionerna i fråga om romers jämlikhet, inkludering och deltagande. I enlighet med förslaget i rådets slutsatser från 2016</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antar kommissionen </w:t>
      </w:r>
      <w:r>
        <w:rPr>
          <w:rFonts w:ascii="Times New Roman" w:hAnsi="Times New Roman"/>
          <w:b/>
          <w:bCs/>
          <w:noProof/>
          <w:sz w:val="24"/>
          <w:szCs w:val="24"/>
        </w:rPr>
        <w:t>ett förslag om att se över och ersätta rådets rekommendation från 2013</w:t>
      </w:r>
      <w:r>
        <w:rPr>
          <w:rFonts w:ascii="Times New Roman" w:hAnsi="Times New Roman"/>
          <w:noProof/>
          <w:sz w:val="24"/>
          <w:szCs w:val="24"/>
        </w:rPr>
        <w:t>.</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Gemensamma mål när det gäller romers jämlikhet, inkludering och delaktighet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Utvärderingen av den nuvarande ramen och de slutsatser som rådet, Europaparlamentet och flera europeiska och nationella civilsamhällesorganisationer dragit av denna</w:t>
      </w:r>
      <w:r>
        <w:rPr>
          <w:rFonts w:ascii="Times New Roman" w:eastAsia="Times New Roman" w:hAnsi="Times New Roman" w:cs="Times New Roman"/>
          <w:noProof/>
          <w:sz w:val="24"/>
          <w:szCs w:val="24"/>
          <w:vertAlign w:val="superscript"/>
        </w:rPr>
        <w:footnoteReference w:id="20"/>
      </w:r>
      <w:r>
        <w:rPr>
          <w:rFonts w:ascii="Times New Roman" w:hAnsi="Times New Roman"/>
          <w:b/>
          <w:noProof/>
          <w:sz w:val="24"/>
          <w:szCs w:val="24"/>
        </w:rPr>
        <w:t xml:space="preserve"> visar på behovet av att förstärka och förnya åtagandet att säkerställa jämlikhet för romer</w:t>
      </w:r>
      <w:r>
        <w:rPr>
          <w:rFonts w:ascii="Times New Roman" w:hAnsi="Times New Roman"/>
          <w:noProof/>
          <w:sz w:val="24"/>
          <w:szCs w:val="24"/>
        </w:rPr>
        <w:t>, både på europeisk och på nationell nivå.</w:t>
      </w:r>
      <w:r>
        <w:rPr>
          <w:rFonts w:ascii="Times New Roman" w:hAnsi="Times New Roman"/>
          <w:b/>
          <w:noProof/>
          <w:sz w:val="24"/>
          <w:szCs w:val="24"/>
        </w:rPr>
        <w:t xml:space="preserve"> </w:t>
      </w:r>
      <w:r>
        <w:rPr>
          <w:rFonts w:ascii="Times New Roman" w:hAnsi="Times New Roman"/>
          <w:noProof/>
          <w:sz w:val="24"/>
          <w:szCs w:val="24"/>
        </w:rPr>
        <w:t>Det krävs ett starkare engagemang för att ta itu med ihållande diskriminering, inbegripet antiziganism, och för att förbättra romernas inkludering när det gäller utbildning, sysselsättning, hälso- och sjukvård och boende</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Romerna bör involveras från utformningen till genomförandet av åtgärderna. Samtidigt bör åtgärderna ta hänsyn till mångfalden och behoven hos specifika grupper inom den romska befolkningen. </w:t>
      </w:r>
    </w:p>
    <w:p>
      <w:pPr>
        <w:spacing w:after="0" w:line="240" w:lineRule="auto"/>
        <w:jc w:val="both"/>
        <w:rPr>
          <w:rStyle w:val="CommentReference"/>
          <w:noProof/>
        </w:rPr>
      </w:pPr>
      <w:r>
        <w:rPr>
          <w:rFonts w:ascii="Times New Roman" w:hAnsi="Times New Roman"/>
          <w:noProof/>
          <w:sz w:val="24"/>
          <w:szCs w:val="24"/>
        </w:rPr>
        <w:t xml:space="preserve">Kommissionen fastställer därför </w:t>
      </w:r>
      <w:r>
        <w:rPr>
          <w:rFonts w:ascii="Times New Roman" w:hAnsi="Times New Roman"/>
          <w:b/>
          <w:bCs/>
          <w:noProof/>
          <w:sz w:val="24"/>
          <w:szCs w:val="24"/>
        </w:rPr>
        <w:t>sju mål</w:t>
      </w:r>
      <w:r>
        <w:rPr>
          <w:rFonts w:ascii="Times New Roman" w:hAnsi="Times New Roman"/>
          <w:noProof/>
          <w:sz w:val="24"/>
          <w:szCs w:val="24"/>
        </w:rPr>
        <w:t xml:space="preserve"> på EU-nivå för perioden fram till 2030. Tre av dessa är övergripande mål på områdena jämlikhet, inkludering och deltagande. De övriga fyra är sektorsspecifika mål på områdena utbildning, sysselsättning, bostäder och hälso- och sjukvård. För att dessa mål ska kunna genomföras effektivt måste de backas upp med förmåga att mäta framstegen. Därför föreslår kommissionen för första gången kvantitativa </w:t>
      </w:r>
      <w:r>
        <w:rPr>
          <w:rFonts w:ascii="Times New Roman" w:hAnsi="Times New Roman"/>
          <w:b/>
          <w:bCs/>
          <w:noProof/>
          <w:sz w:val="24"/>
          <w:szCs w:val="24"/>
        </w:rPr>
        <w:t>överordnade delmål</w:t>
      </w:r>
      <w:r>
        <w:rPr>
          <w:rFonts w:ascii="Times New Roman" w:hAnsi="Times New Roman"/>
          <w:noProof/>
          <w:sz w:val="24"/>
          <w:szCs w:val="24"/>
        </w:rPr>
        <w:t xml:space="preserve"> på EU-nivå för att övervaka uppnåendet av dessa mål. Sådana mål kräver att vissa minimiframsteg har uppnåtts 2030, men </w:t>
      </w:r>
      <w:r>
        <w:rPr>
          <w:rFonts w:ascii="Times New Roman" w:hAnsi="Times New Roman"/>
          <w:b/>
          <w:bCs/>
          <w:noProof/>
          <w:sz w:val="24"/>
          <w:szCs w:val="24"/>
        </w:rPr>
        <w:t>det långsiktiga målet förblir att säkerställa faktisk jämlikhet och minska skillnaderna mellan romer och majoritetsbefolkningen</w:t>
      </w:r>
      <w:r>
        <w:rPr>
          <w:rFonts w:ascii="Times New Roman" w:hAnsi="Times New Roman"/>
          <w:noProof/>
          <w:sz w:val="24"/>
          <w:szCs w:val="24"/>
        </w:rPr>
        <w:t>. Dessa mål är resultatet av erfarenheter från undersökningar bland romska befolkningsgrupper och följer av ett ingående samråd med EU:s byrå för grundläggande rättigheter (FRA), medlemsstaterna och det romska och pro-romska civilsamhället</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I diagrammen nedan anges de sju målen, målen på EU-nivå, de framsteg som ska uppnås och den nuvarande situationen.</w:t>
      </w:r>
      <w:r>
        <w:rPr>
          <w:rStyle w:val="FootnoteReference"/>
          <w:rFonts w:ascii="Times New Roman" w:hAnsi="Times New Roman"/>
          <w:b/>
          <w:i/>
          <w:noProof/>
          <w:sz w:val="21"/>
          <w:szCs w:val="21"/>
        </w:rPr>
        <w:footnoteReference w:id="23"/>
      </w:r>
      <w:r>
        <w:rPr>
          <w:noProof/>
        </w:rPr>
        <w:t xml:space="preserve">. </w:t>
      </w:r>
    </w:p>
    <w:p>
      <w:pPr>
        <w:spacing w:after="0" w:line="240" w:lineRule="auto"/>
        <w:jc w:val="both"/>
        <w:rPr>
          <w:rStyle w:val="CommentReference"/>
          <w:noProof/>
        </w:rPr>
      </w:pPr>
      <w:r>
        <w:rPr>
          <w:rFonts w:ascii="Times New Roman" w:hAnsi="Times New Roman"/>
          <w:noProof/>
          <w:sz w:val="24"/>
          <w:szCs w:val="24"/>
          <w:lang w:val="en-GB" w:eastAsia="en-GB"/>
        </w:rPr>
        <mc:AlternateContent>
          <mc:Choice Requires="wpg">
            <w:drawing>
              <wp:anchor distT="0" distB="0" distL="114300" distR="114300" simplePos="0" relativeHeight="252191232" behindDoc="0" locked="0" layoutInCell="1" allowOverlap="1">
                <wp:simplePos x="0" y="0"/>
                <wp:positionH relativeFrom="margin">
                  <wp:posOffset>-46567</wp:posOffset>
                </wp:positionH>
                <wp:positionV relativeFrom="paragraph">
                  <wp:posOffset>199390</wp:posOffset>
                </wp:positionV>
                <wp:extent cx="6028055" cy="6379210"/>
                <wp:effectExtent l="0" t="0" r="10795" b="21590"/>
                <wp:wrapTopAndBottom/>
                <wp:docPr id="1" name="Group 1"/>
                <wp:cNvGraphicFramePr/>
                <a:graphic xmlns:a="http://schemas.openxmlformats.org/drawingml/2006/main">
                  <a:graphicData uri="http://schemas.microsoft.com/office/word/2010/wordprocessingGroup">
                    <wpg:wgp>
                      <wpg:cNvGrpSpPr/>
                      <wpg:grpSpPr>
                        <a:xfrm>
                          <a:off x="0" y="0"/>
                          <a:ext cx="6028055" cy="6379210"/>
                          <a:chOff x="-69" y="614572"/>
                          <a:chExt cx="4595304" cy="5331920"/>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61457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Säkerställa verklig jämlikhet, inkludering och delaktighet</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Övergripande mål och delmål fram till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Röd: EU-mål om de framsteg som minst ska ha uppnåtts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Grön:</w:t>
                              </w:r>
                              <w:r>
                                <w:rPr>
                                  <w:sz w:val="20"/>
                                </w:rPr>
                                <w:t xml:space="preserve"> </w:t>
                              </w:r>
                              <w:r>
                                <w:rPr>
                                  <w:rFonts w:asciiTheme="minorHAnsi" w:hAnsi="Calibri"/>
                                  <w:bCs/>
                                  <w:color w:val="00B050"/>
                                  <w:sz w:val="16"/>
                                  <w:szCs w:val="19"/>
                                </w:rPr>
                                <w:t>framsteg när det gäller romsk inkludering som minst ska ha uppnåtts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Blå: senast tillgängliga data som ska ligga till grund för mätning av framstegen</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255119"/>
                            <a:ext cx="4530225" cy="120460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Bekämpa och förebygga antiziganism och diskriminering</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503153"/>
                            <a:ext cx="1915761"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andelen romer som upplever diskriminering med minst hälften</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se till att mindre än 13 % av romer senast 2030 utsätts för diskriminering</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romer som har utsatts för diskriminering: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(de senaste 12 månaderna), 41 % (de senaste 5 åren)</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067625" y="1503153"/>
                            <a:ext cx="2484904"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Minska den andel av majoritetsbefolkningen som inte känner sig bekväma med att ha romska grannar med minst en tredjedel</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 xml:space="preserve">se till att andelen som inte känner sig bekväma med att ha romska grannar är mindre än 30 % senast 2030 </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andel</w:t>
                              </w:r>
                              <w:r>
                                <w:rPr>
                                  <w:rFonts w:asciiTheme="minorHAnsi" w:hAnsi="Calibri"/>
                                  <w:i/>
                                  <w:iCs/>
                                  <w:color w:val="4F81BD" w:themeColor="accent1"/>
                                  <w:sz w:val="20"/>
                                  <w:szCs w:val="18"/>
                                </w:rPr>
                                <w:t xml:space="preserve"> av majoritetsbefolkningen som inte känner sig bekväma med att ha romer som grannar: 46 %</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63521" y="2489569"/>
                            <a:ext cx="4531714" cy="139028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Minska fattigdom och social utestängning för att överbrygga den socioekonomiska klyftan </w:t>
                              </w:r>
                            </w:p>
                            <w:p>
                              <w:pPr>
                                <w:pStyle w:val="NormalWeb"/>
                                <w:spacing w:before="0" w:beforeAutospacing="0" w:after="0" w:afterAutospacing="0"/>
                                <w:jc w:val="center"/>
                              </w:pPr>
                              <w:r>
                                <w:rPr>
                                  <w:rFonts w:asciiTheme="minorHAnsi" w:hAnsi="Calibri"/>
                                  <w:b/>
                                  <w:bCs/>
                                  <w:i/>
                                  <w:iCs/>
                                  <w:color w:val="4F81BD" w:themeColor="accent1"/>
                                </w:rPr>
                                <w:t>mellan romer och majoritetsbefolkningen</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12140" y="2912097"/>
                            <a:ext cx="2194422"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Minska fattigdomsklyftan mellan romer och majoritetsbefolkningen med minst hälften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majoriteten av romer inte lever i fattigdom senast 2030</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fattigdomsrisk: romer 80 %, majoritetsbefolkningen 16,8 % (skillnad 63.2 procentenheter)</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1685" y="2912097"/>
                            <a:ext cx="2159125"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Minska fattigdomsklyftan mellan romska barn och andra barn med minst hälften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majoriteten av romska barn inte lever i fattigdom senast 2030</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 xml:space="preserve">romska barn: 85 % </w:t>
                              </w:r>
                              <w:r>
                                <w:rPr>
                                  <w:rFonts w:asciiTheme="minorHAnsi" w:hAnsi="Calibri"/>
                                  <w:color w:val="4F81BD" w:themeColor="accent1"/>
                                  <w:sz w:val="19"/>
                                  <w:szCs w:val="19"/>
                                </w:rPr>
                                <w:t>andra barn:</w:t>
                              </w:r>
                              <w:r>
                                <w:rPr>
                                  <w:rFonts w:asciiTheme="minorHAnsi" w:hAnsi="Calibri"/>
                                  <w:i/>
                                  <w:iCs/>
                                  <w:color w:val="4F81BD" w:themeColor="accent1"/>
                                  <w:sz w:val="19"/>
                                  <w:szCs w:val="19"/>
                                </w:rPr>
                                <w:t xml:space="preserve"> 19,6% (skillnad: 65.4 procentenheter)</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920584"/>
                            <a:ext cx="4522763" cy="202590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Främja delaktighet genom stärkt egenmakt, samarbete och förtroende</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248405"/>
                            <a:ext cx="2186940" cy="58302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Bygga upp kapaciteten hos och involvera minst 90 icke-statliga organisationer i EU-omfattande samordnad övervakning av det romska civilsamhället</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Icke-statliga organisationer som deltar i projektet Roma Civil Monitor: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248405"/>
                            <a:ext cx="2160593"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Se till att romska icke-statliga organisationer deltar som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Cs/>
                                  <w:color w:val="FF0000"/>
                                  <w:sz w:val="20"/>
                                  <w:szCs w:val="18"/>
                                </w:rPr>
                                <w:t>fullvärdiga medlemmar i nationella övervakningskommittéer</w:t>
                              </w:r>
                              <w:r>
                                <w:rPr>
                                  <w:rFonts w:asciiTheme="minorHAnsi" w:hAnsi="Calibri"/>
                                  <w:bCs/>
                                  <w:sz w:val="20"/>
                                  <w:szCs w:val="18"/>
                                </w:rPr>
                                <w:t xml:space="preserve"> </w:t>
                              </w:r>
                              <w:r>
                                <w:rPr>
                                  <w:rFonts w:asciiTheme="minorHAnsi" w:hAnsi="Calibri"/>
                                  <w:bCs/>
                                  <w:color w:val="4F81BD" w:themeColor="accent1"/>
                                  <w:sz w:val="20"/>
                                  <w:szCs w:val="18"/>
                                </w:rPr>
                                <w:t xml:space="preserve">för alla program som arbetar med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romska gruppers behov</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2224" y="4885704"/>
                            <a:ext cx="2186855" cy="98503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Fördubbla andelen romer som anmäler när de utsätts för diskriminering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se till att andelen romska offer som anmäler diskriminering är minst 30 % 2030</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andel som anmälde det senaste diskrimineringstillfället (inom något område) under de senaste 5 åren: 16 %</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964960"/>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Uppmuntra romers politiska delaktighet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på lokal, regional, nationell och europeisk nivå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(i medlemsstater med en betydande romsk befolkning)</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de registrerar sig som väljare, röstar, ställer upp som kandidater</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65pt;margin-top:15.7pt;width:474.65pt;height:502.3pt;z-index:252191232;mso-position-horizontal-relative:margin;mso-width-relative:margin;mso-height-relative:margin" coordorigin=",6145" coordsize="45953,53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2H2BgYAAN8rAAAOAAAAZHJzL2Uyb0RvYy54bWzsWlFv2zYQfh+w/yDoPbVIUZQo1CnSNC4G&#10;FF3QdugzI0u2UFnUKCZ2OuwH7WG/on9sR1KUHTeOt86d7cEt4MgWeSTv+N19d+TzF4tZ5d3lsi1F&#10;PfTRs8D38joT47KeDP1fPozOEt9rFa/HvBJ1PvTv89Z/cf7jD8/nTZpjMRXVOJceCKnbdN4M/alS&#10;TToYtNk0n/H2mWjyGl4WQs64gq9yMhhLPgfps2qAg4AO5kKOGymyvG3h11f2pX9u5BdFnqmfi6LN&#10;lVcNfZibMp/SfN7oz8H5c55OJG+mZdZNg3/DLGa8rGHQXtQrrrh3K8uvRM3KTIpWFOpZJmYDURRl&#10;lps1wGpQsLaa11LcNmYtk3Q+aXo1gWrX9PTNYrO3d9fSK8dgO9+r+QxMZEb1kFbNvJmk0OK1bN43&#10;17L7YWK/6dUuCjnTf2Ed3sIo9b5Xar5QXgY/0gAnQRT5XgbvaBgzjDq1Z1Owje53Rpnv6beIRDG2&#10;NsmmV50AErEoDIgVEIUhYtgIGLjxB3qa/azmDeykdqms9t8p6/2UN7mxQatV0SkrdMr68OWPScUr&#10;3njE2B9W/aZVWid6/WYH/DYa4ZfR1YicjeDpjAQvydnLK8LORjhMrnA8usQh/V2vGlbk+sOauvG0&#10;Fcxjb4I2bcEaj+j/MT3qaWgzEEIjGgIEtBkSRAJiFN0rkaeNbNXrXMw8/TD0JWDHLInfwYrs7FwT&#10;mKqelJ2GflKLm4XZHm16I8b3oKU5YGrot7/ecqnVx9NaXNwqUZRGlO5jG3aiwGJ2od/ddPQr06Ve&#10;lX/KZf7py58qV8qL929JGoE3MJhAOIoQYhYUvTEBEBh3mEI4IDQIuw3kIOlM5awpbuvxuydNytNW&#10;VOV4VFaVtlcrJzeXlfTuOLjOK6L/d0OsNFvbBq26r3Lduarf5QW4Fdh42GjTOPS8l8ezLK8Vsq+m&#10;fJzbYaIA/rlRdAjQPQwujEAtuYDp9bI7Aa6lFeJk2y3btdddcxMP+s7BUxPr0Oh6mJFFrfrOs7IW&#10;8jEBFayqG9m2d1ixqnFg6VzuE5jx1E81+C7YBTfmIaRaN55U1aWwwYzX2VRALFO+Zx8vlYlserKH&#10;grZ4K9qY0aLze3vxmwhhcIgWblEQosiAyU5F+07EUBRTCJDGdyZxxJyNd4e2h3v4ZuJGOIFt6O8E&#10;bCbcLePOwwC1DrbjAxowKEvfekayHtaQ9cR7RRoOaEx14AISgh6DGiYJYY7sJSeomQh4bHHNuM+N&#10;UKtWw1kf5OTqrzbiHR8IUZ9EbUZhuP94R8MIw0wBgwA3FkH2BTxkGe5IFKIYdQkXChkkcCd26Zjw&#10;8bBLQ9dXUCiFrX60TTYqIcV7w1t1zSWUOwBoUMKBt0AnP/trkdHClSGiGdIaXLtfLVx17g5N6tuZ&#10;IaiwwWAkx1VXaGshxewjVG0u9IjQYRON9aDqk+UXF6YRVEsart7U75tMlyr0dtUZzofFRy6bLsdR&#10;ENreCpew83QtcbVtD4kcQ0TeGrQPoKywQo8xg2yTxQ/9BUaMEAxr0fSYoZjQpEuBTvS4y3O7jNDm&#10;rsbXuszSJsn7z0UjbbIVb/GgfrPE/dFG5u2JKIr2H5lxSBBNLD/egDVIPl3lh0HhkNET1o6NHxuT&#10;/Y+xBmc+W3JRoJ8d49xftTzGBA4bNAsO4UQhSgxfWmXBGMcUCv06quEARyzYfVg71ViXVVm9IYqd&#10;11gNV1nB2okFa8Z8UCx4e+kKyOXe3cUKCya6ShUYxrT0FxgllOkcSfuLKIEDmt27i1ORuD/D+T7e&#10;wphsxVs8ZME2Ff46DYZfjpUXm4zdHPtvrFjhA6hYAdEN4QDbROsN6KNBxLpoTYOExe4A5ZSDHk0O&#10;auqQG9HX156OFmvbq8P4MMo9GOahiTFJkiiG05gH5WEd6BJ3oYclcIpj7PbETZJ/fvfgFOi+c6Cz&#10;d7A2Ym1HkU6XvfQY/93tHrz9es/BxTNGCaPdnTh3wwcjGhC49mOvHLAwpO72zSmeHU08g+PAp4qq&#10;OwLZ38zlAIjmFqm5TtXdeNXXVFe/G7gu7+We/wUAAP//AwBQSwMEFAAGAAgAAAAhALWmH7bhAAAA&#10;CgEAAA8AAABkcnMvZG93bnJldi54bWxMj0FPwkAQhe8m/ofNmHiDbSki1m4JIeqJkAgmxNvQHdqG&#10;7m7TXdry7x1Pepy8L2++l61G04ieOl87qyCeRiDIFk7XtlTwdXifLEH4gFZj4ywpuJGHVX5/l2Gq&#10;3WA/qd+HUnCJ9SkqqEJoUyl9UZFBP3UtWc7OrjMY+OxKqTscuNw0chZFC2mwtvyhwpY2FRWX/dUo&#10;+BhwWCfxW7+9nDe378PT7riNSanHh3H9CiLQGP5g+NVndcjZ6eSuVnvRKJg8J0wqSOI5CM5f5jPe&#10;dmIwShYRyDyT/yfkPwAAAP//AwBQSwECLQAUAAYACAAAACEAtoM4kv4AAADhAQAAEwAAAAAAAAAA&#10;AAAAAAAAAAAAW0NvbnRlbnRfVHlwZXNdLnhtbFBLAQItABQABgAIAAAAIQA4/SH/1gAAAJQBAAAL&#10;AAAAAAAAAAAAAAAAAC8BAABfcmVscy8ucmVsc1BLAQItABQABgAIAAAAIQAZl2H2BgYAAN8rAAAO&#10;AAAAAAAAAAAAAAAAAC4CAABkcnMvZTJvRG9jLnhtbFBLAQItABQABgAIAAAAIQC1ph+24QAAAAoB&#10;AAAPAAAAAAAAAAAAAAAAAGAIAABkcnMvZG93bnJldi54bWxQSwUGAAAAAAQABADzAAAAbgkAAAAA&#10;">
                <v:rect id="Téglalap 4" o:spid="_x0000_s1027" style="position:absolute;top:6145;width:44655;height:8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Säkerställa verklig jämlikhet, inkludering och delaktighet</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Övergripande mål och delmål fram till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Röd: EU-mål om de framsteg som minst ska ha uppnåtts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Grön:</w:t>
                        </w:r>
                        <w:r>
                          <w:rPr>
                            <w:sz w:val="20"/>
                          </w:rPr>
                          <w:t xml:space="preserve"> </w:t>
                        </w:r>
                        <w:r>
                          <w:rPr>
                            <w:rFonts w:asciiTheme="minorHAnsi" w:hAnsi="Calibri"/>
                            <w:bCs/>
                            <w:color w:val="00B050"/>
                            <w:sz w:val="16"/>
                            <w:szCs w:val="19"/>
                          </w:rPr>
                          <w:t>framsteg när det gäller romsk inkludering som minst ska ha uppnåtts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Blå: senast tillgängliga data som ska ligga till grund för mätning av framstegen</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2551;width:45302;height:120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Bekämpa och förebygga antiziganism och diskriminering</w:t>
                        </w:r>
                      </w:p>
                    </w:txbxContent>
                  </v:textbox>
                </v:roundrect>
                <v:roundrect id="Téglalap: lekerekített 9" o:spid="_x0000_s1029" style="position:absolute;left:1121;top:15031;width:19158;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andelen romer som upplever diskriminering med minst hälften</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se till att mindre än 13 % av romer senast 2030 utsätts för diskriminering</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romer som har utsatts för diskriminering: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(de senaste 12 månaderna), 41 % (de senaste 5 åren)</w:t>
                        </w:r>
                      </w:p>
                    </w:txbxContent>
                  </v:textbox>
                </v:roundrect>
                <v:roundrect id="Téglalap: lekerekített 12" o:spid="_x0000_s1030" style="position:absolute;left:20676;top:15031;width:24849;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Minska den andel av majoritetsbefolkningen som inte känner sig bekväma med att ha romska grannar med minst en tredjedel</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 xml:space="preserve">se till att andelen som inte känner sig bekväma med att ha romska grannar är mindre än 30 % senast 2030 </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andel</w:t>
                        </w:r>
                        <w:r>
                          <w:rPr>
                            <w:rFonts w:asciiTheme="minorHAnsi" w:hAnsi="Calibri"/>
                            <w:i/>
                            <w:iCs/>
                            <w:color w:val="4F81BD" w:themeColor="accent1"/>
                            <w:sz w:val="20"/>
                            <w:szCs w:val="18"/>
                          </w:rPr>
                          <w:t xml:space="preserve"> av majoritetsbefolkningen som inte känner sig bekväma med att ha romer som grannar: 46 %</w:t>
                        </w:r>
                      </w:p>
                    </w:txbxContent>
                  </v:textbox>
                </v:roundrect>
                <v:roundrect id="Téglalap: lekerekített 13" o:spid="_x0000_s1031" style="position:absolute;left:635;top:24895;width:45317;height:1390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Minska fattigdom och social utestängning för att överbrygga den socioekonomiska klyftan </w:t>
                        </w:r>
                      </w:p>
                      <w:p>
                        <w:pPr>
                          <w:pStyle w:val="NormalWeb"/>
                          <w:spacing w:before="0" w:beforeAutospacing="0" w:after="0" w:afterAutospacing="0"/>
                          <w:jc w:val="center"/>
                        </w:pPr>
                        <w:r>
                          <w:rPr>
                            <w:rFonts w:asciiTheme="minorHAnsi" w:hAnsi="Calibri"/>
                            <w:b/>
                            <w:bCs/>
                            <w:i/>
                            <w:iCs/>
                            <w:color w:val="4F81BD" w:themeColor="accent1"/>
                          </w:rPr>
                          <w:t>mellan romer och majoritetsbefolkningen</w:t>
                        </w:r>
                      </w:p>
                    </w:txbxContent>
                  </v:textbox>
                </v:roundrect>
                <v:roundrect id="Téglalap: lekerekített 14" o:spid="_x0000_s1032" style="position:absolute;left:1121;top:29120;width:21944;height:91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Minska fattigdomsklyftan mellan romer och majoritetsbefolkningen med minst hälften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majoriteten av romer inte lever i fattigdom senast 2030</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fattigdomsrisk: romer 80 %, majoritetsbefolkningen 16,8 % (skillnad 63.2 procentenheter)</w:t>
                        </w:r>
                      </w:p>
                    </w:txbxContent>
                  </v:textbox>
                </v:roundrect>
                <v:roundrect id="Téglalap: lekerekített 15" o:spid="_x0000_s1033" style="position:absolute;left:23416;top:29120;width:21592;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Minska fattigdomsklyftan mellan romska barn och andra barn med minst hälften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majoriteten av romska barn inte lever i fattigdom senast 2030</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 xml:space="preserve">romska barn: 85 % </w:t>
                        </w:r>
                        <w:r>
                          <w:rPr>
                            <w:rFonts w:asciiTheme="minorHAnsi" w:hAnsi="Calibri"/>
                            <w:color w:val="4F81BD" w:themeColor="accent1"/>
                            <w:sz w:val="19"/>
                            <w:szCs w:val="19"/>
                          </w:rPr>
                          <w:t>andra barn:</w:t>
                        </w:r>
                        <w:r>
                          <w:rPr>
                            <w:rFonts w:asciiTheme="minorHAnsi" w:hAnsi="Calibri"/>
                            <w:i/>
                            <w:iCs/>
                            <w:color w:val="4F81BD" w:themeColor="accent1"/>
                            <w:sz w:val="19"/>
                            <w:szCs w:val="19"/>
                          </w:rPr>
                          <w:t xml:space="preserve"> 19,6% (skillnad: 65.4 procentenheter)</w:t>
                        </w:r>
                      </w:p>
                    </w:txbxContent>
                  </v:textbox>
                </v:roundrect>
                <v:roundrect id="Téglalap: lekerekített 21" o:spid="_x0000_s1034" style="position:absolute;left:724;top:39205;width:45228;height:202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Främja delaktighet genom stärkt egenmakt, samarbete och förtroende</w:t>
                        </w:r>
                      </w:p>
                    </w:txbxContent>
                  </v:textbox>
                </v:roundrect>
                <v:roundrect id="Téglalap: lekerekített 22" o:spid="_x0000_s1035" style="position:absolute;left:1121;top:42484;width:21869;height:58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Bygga upp kapaciteten hos och involvera minst 90 icke-statliga organisationer i EU-omfattande samordnad övervakning av det romska civilsamhället</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Icke-statliga organisationer som deltar i projektet Roma Civil Monitor: 85</w:t>
                        </w:r>
                      </w:p>
                    </w:txbxContent>
                  </v:textbox>
                </v:roundrect>
                <v:roundrect id="Téglalap: lekerekített 23" o:spid="_x0000_s1036" style="position:absolute;left:23634;top:42484;width:21606;height:60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Se till att romska icke-statliga organisationer deltar som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Cs/>
                            <w:color w:val="FF0000"/>
                            <w:sz w:val="20"/>
                            <w:szCs w:val="18"/>
                          </w:rPr>
                          <w:t>fullvärdiga medlemmar i nationella övervakningskommittéer</w:t>
                        </w:r>
                        <w:r>
                          <w:rPr>
                            <w:rFonts w:asciiTheme="minorHAnsi" w:hAnsi="Calibri"/>
                            <w:bCs/>
                            <w:sz w:val="20"/>
                            <w:szCs w:val="18"/>
                          </w:rPr>
                          <w:t xml:space="preserve"> </w:t>
                        </w:r>
                        <w:r>
                          <w:rPr>
                            <w:rFonts w:asciiTheme="minorHAnsi" w:hAnsi="Calibri"/>
                            <w:bCs/>
                            <w:color w:val="4F81BD" w:themeColor="accent1"/>
                            <w:sz w:val="20"/>
                            <w:szCs w:val="18"/>
                          </w:rPr>
                          <w:t xml:space="preserve">för alla program som arbetar med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romska gruppers behov</w:t>
                        </w:r>
                      </w:p>
                    </w:txbxContent>
                  </v:textbox>
                </v:roundrect>
                <v:roundrect id="Téglalap: lekerekített 24" o:spid="_x0000_s1037" style="position:absolute;left:1122;top:48857;width:21868;height:98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Fördubbla andelen romer som anmäler när de utsätts för diskriminering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se till att andelen romska offer som anmäler diskriminering är minst 30 % 2030</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andel som anmälde det senaste diskrimineringstillfället (inom något område) under de senaste 5 åren: 16 %</w:t>
                        </w:r>
                      </w:p>
                    </w:txbxContent>
                  </v:textbox>
                </v:roundrect>
                <v:roundrect id="Téglalap: lekerekített 23" o:spid="_x0000_s1038" style="position:absolute;left:23634;top:49649;width:21604;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Uppmuntra romers politiska delaktighet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på lokal, regional, nationell och europeisk nivå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(i medlemsstater med en betydande romsk befolkning)</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se till att de registrerar sig som väljare, röstar, ställer upp som kandidater</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rPr>
          <w:rFonts w:ascii="Times New Roman" w:eastAsia="Times New Roman" w:hAnsi="Times New Roman" w:cs="Times New Roman"/>
          <w:noProof/>
          <w:sz w:val="20"/>
          <w:szCs w:val="20"/>
        </w:rPr>
      </w:pPr>
      <w:r>
        <w:rPr>
          <w:rFonts w:ascii="Times New Roman" w:hAnsi="Times New Roman"/>
          <w:noProof/>
          <w:sz w:val="24"/>
          <w:szCs w:val="24"/>
          <w:lang w:val="en-GB" w:eastAsia="en-GB"/>
        </w:rPr>
        <mc:AlternateContent>
          <mc:Choice Requires="wpg">
            <w:drawing>
              <wp:anchor distT="0" distB="0" distL="114300" distR="114300" simplePos="0" relativeHeight="252189184" behindDoc="0" locked="0" layoutInCell="1" allowOverlap="1">
                <wp:simplePos x="0" y="0"/>
                <wp:positionH relativeFrom="margin">
                  <wp:posOffset>0</wp:posOffset>
                </wp:positionH>
                <wp:positionV relativeFrom="paragraph">
                  <wp:posOffset>97790</wp:posOffset>
                </wp:positionV>
                <wp:extent cx="6248400" cy="7191375"/>
                <wp:effectExtent l="0" t="0" r="0" b="28575"/>
                <wp:wrapTopAndBottom/>
                <wp:docPr id="45" name="Group 45"/>
                <wp:cNvGraphicFramePr/>
                <a:graphic xmlns:a="http://schemas.openxmlformats.org/drawingml/2006/main">
                  <a:graphicData uri="http://schemas.microsoft.com/office/word/2010/wordprocessingGroup">
                    <wpg:wgp>
                      <wpg:cNvGrpSpPr/>
                      <wpg:grpSpPr>
                        <a:xfrm>
                          <a:off x="0" y="0"/>
                          <a:ext cx="6248400" cy="7191375"/>
                          <a:chOff x="0" y="0"/>
                          <a:chExt cx="6248400" cy="8027529"/>
                        </a:xfrm>
                      </wpg:grpSpPr>
                      <wpg:grpSp>
                        <wpg:cNvPr id="46" name="Group 46"/>
                        <wpg:cNvGrpSpPr/>
                        <wpg:grpSpPr>
                          <a:xfrm>
                            <a:off x="51162" y="272554"/>
                            <a:ext cx="6117228" cy="7754975"/>
                            <a:chOff x="-24304" y="-109251"/>
                            <a:chExt cx="4552489" cy="6098489"/>
                          </a:xfrm>
                        </wpg:grpSpPr>
                        <wps:wsp>
                          <wps:cNvPr id="47"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3550212"/>
                              <a:ext cx="4528185" cy="80278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b/>
                                    <w:bCs/>
                                    <w:i/>
                                    <w:iCs/>
                                    <w:color w:val="4F81BD" w:themeColor="accent1"/>
                                    <w:szCs w:val="32"/>
                                  </w:rPr>
                                  <w:t>6. Förbättra romers hälsa och deras faktiska tillgång till hälso- och sjukvård samt sociala tjänster av god kvalitet</w:t>
                                </w:r>
                              </w:p>
                            </w:txbxContent>
                          </wps:txbx>
                          <wps:bodyPr lIns="0" tIns="0" rIns="0" bIns="0" rtlCol="0" anchor="t" anchorCtr="0">
                            <a:noAutofit/>
                          </wps:bodyPr>
                        </wps:wsp>
                        <wps:wsp>
                          <wps:cNvPr id="48"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97971" y="3804040"/>
                              <a:ext cx="4299379" cy="49620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skillnaden när det gäller förväntad livslängd med minst hälften</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se till att romska kvinnor och män senast 2030 lever 5 år längre</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skillnad i förväntad livslängd vid födseln (majoritetsbefolkning jämfört med romer): romska kvinnor: 10,4 år, romska män 10,2 år</w:t>
                                </w:r>
                              </w:p>
                            </w:txbxContent>
                          </wps:txbx>
                          <wps:bodyPr lIns="0" tIns="0" rIns="0" bIns="0" rtlCol="0" anchor="t" anchorCtr="0">
                            <a:noAutofit/>
                          </wps:bodyPr>
                        </wps:wsp>
                        <wps:wsp>
                          <wps:cNvPr id="50"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0" y="1899655"/>
                              <a:ext cx="4528185" cy="1589004"/>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5. Öka faktiska möjligheter att hitta hållbar sysselsättning av god kvalitet</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71391" y="2199724"/>
                              <a:ext cx="1737615" cy="7543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sysselsättningsklyftan med minst hälften</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se till att minst 60 % av romer senast 2030 har avlönad sysselsättning</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avlönad sysselsättning: romer 43 %, majoritetsbefolkningen 73,1 % (skillnad 30.1 procentenheter)</w:t>
                                </w:r>
                              </w:p>
                            </w:txbxContent>
                          </wps:txbx>
                          <wps:bodyPr lIns="0" tIns="0" rIns="0" bIns="0" rtlCol="0" anchor="t" anchorCtr="0">
                            <a:noAutofit/>
                          </wps:bodyPr>
                        </wps:wsp>
                        <wps:wsp>
                          <wps:cNvPr id="52"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848703" y="2199725"/>
                              <a:ext cx="2655176" cy="7209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sysselsättningsklyftan mellan romska kvinnor och män med minst hälften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se till att minst 45 % av romska kvinnor senast 2030 har avlönad sysselsättning</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sysselsättningsgap mellan kvinnor och män – romer: 27 procentenheter (kvinnor: 29 %, män: 56 %). gap i majoritetsbefolkningen: 11.7 procentenheter (kvinnor: 67,2 %, män: 78,9 %)</w:t>
                                </w:r>
                              </w:p>
                            </w:txbxContent>
                          </wps:txbx>
                          <wps:bodyPr wrap="square" lIns="0" tIns="0" rIns="0" bIns="0" rtlCol="0" anchor="t" anchorCtr="0">
                            <a:noAutofit/>
                          </wps:bodyPr>
                        </wps:wsp>
                        <wps:wsp>
                          <wps:cNvPr id="53"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357264" y="2977177"/>
                              <a:ext cx="3980947" cy="47857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skillnaden när det gäller UVAS-talet med minst hälften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se till att mindre än var tredje romska ungdom senast 2030 varken arbetar eller studerar</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UVAS-tal (16–24 år): romer 62 %, majoritetsbefolkningen 10,1 % (skillnad 51.9 procentenheter)</w:t>
                                </w:r>
                              </w:p>
                            </w:txbxContent>
                          </wps:txbx>
                          <wps:bodyPr wrap="square" lIns="0" tIns="0" rIns="0" bIns="0" rtlCol="0" anchor="t" anchorCtr="0">
                            <a:noAutofit/>
                          </wps:bodyPr>
                        </wps:wsp>
                        <wps:wsp>
                          <wps:cNvPr id="54"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4304" y="4430761"/>
                              <a:ext cx="4528185" cy="155847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Förbättra romers faktiska tillgång till adekvat och desegregerat boende och grundläggande tjänster</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38988" y="4729857"/>
                              <a:ext cx="2304699" cy="7732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skillnaden när det gäller andelen som bor i bostäder med allvarliga brister med minst en tredjedel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se till att majoriteten av romer senast 2030 inte bor i bostäder med allvarliga brister</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boende i bostäder med allvarliga brister: romer 61 %, majoritetsbefolkningen 17,9 % (skillnad: 43.1 procentenheter)</w:t>
                                </w:r>
                              </w:p>
                            </w:txbxContent>
                          </wps:txbx>
                          <wps:bodyPr lIns="0" tIns="0" rIns="0" bIns="0" rtlCol="0" anchor="t" anchorCtr="0">
                            <a:noAutofit/>
                          </wps:bodyPr>
                        </wps:wsp>
                        <wps:wsp>
                          <wps:cNvPr id="56"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109251"/>
                              <a:ext cx="4528185" cy="206631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4.  Öka faktisk tillgång till inkluderande allmän utbildning av god kvalitet</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881002" y="5555047"/>
                              <a:ext cx="2969515" cy="3733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Se till att minst 95 % av romer har tillgång till rinnande vatten</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tillgång till rinnande vatten i bostaden: romer 70 %, majoritetsbefolkningen: 97,7 %</w:t>
                                </w:r>
                              </w:p>
                            </w:txbxContent>
                          </wps:txbx>
                          <wps:bodyPr wrap="square" lIns="0" tIns="0" rIns="0" bIns="0" rtlCol="0" anchor="t" anchorCtr="0">
                            <a:noAutofit/>
                          </wps:bodyPr>
                        </wps:wsp>
                        <wps:wsp>
                          <wps:cNvPr id="5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212252"/>
                              <a:ext cx="2215104"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Minska skillnaden när det gäller deltagande i förskoleverksamhet och barnomsorg med minst hälften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se till att minst 70 % av de romska barnen senast 2030 går förskola</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deltagande i förskoleverksamhet och barnomsorg (3+): romer 42 %, majoritetsbefolkningen 92,2 % (skillnad 50.2 procentenheter)</w:t>
                                </w:r>
                              </w:p>
                            </w:txbxContent>
                          </wps:txbx>
                          <wps:bodyPr lIns="0" tIns="0" rIns="0" bIns="0" rtlCol="0" anchor="t" anchorCtr="0">
                            <a:noAutofit/>
                          </wps:bodyPr>
                        </wps:wsp>
                        <wps:wsp>
                          <wps:cNvPr id="59"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72557" y="1191375"/>
                              <a:ext cx="4262100" cy="70828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Arbeta för att undanröja segregering genom att minska andelen romska barn som går i segregerade grundskolor</w:t>
                                </w:r>
                                <w:r>
                                  <w:rPr>
                                    <w:rFonts w:asciiTheme="minorHAnsi" w:hAnsi="Calibri"/>
                                    <w:bCs/>
                                    <w:color w:val="4F81BD" w:themeColor="accent1"/>
                                    <w:sz w:val="20"/>
                                    <w:szCs w:val="18"/>
                                  </w:rPr>
                                  <w:t xml:space="preserve"> (i medlemsstater med en betydande romsk befolkning) med minst hälften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color w:val="00B050"/>
                                    <w:sz w:val="19"/>
                                    <w:szCs w:val="19"/>
                                  </w:rPr>
                                  <w:t>se till att mindre än vart femte romska barn senast 2030 går i skolor där de flesta eller alla barn är romer</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romska barn som går i skolor där de flesta eller alla barn är romer: 44 %</w:t>
                                </w:r>
                              </w:p>
                            </w:txbxContent>
                          </wps:txbx>
                          <wps:bodyPr wrap="square" lIns="0" tIns="0" rIns="0" bIns="0" rtlCol="0" anchor="t" anchorCtr="0">
                            <a:noAutofit/>
                          </wps:bodyPr>
                        </wps:wsp>
                        <wps:wsp>
                          <wps:cNvPr id="60"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212252"/>
                              <a:ext cx="2181723"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Minska skillnaden när det gäller utbildning på gymnasienivå</w:t>
                                </w:r>
                                <w:r>
                                  <w:t xml:space="preserve"> </w:t>
                                </w:r>
                                <w:r>
                                  <w:br/>
                                </w:r>
                                <w:r>
                                  <w:rPr>
                                    <w:rFonts w:asciiTheme="minorHAnsi" w:hAnsi="Calibri"/>
                                    <w:b/>
                                    <w:bCs/>
                                    <w:color w:val="FF0000"/>
                                    <w:sz w:val="20"/>
                                    <w:szCs w:val="18"/>
                                  </w:rPr>
                                  <w:t>med minst en tredjedel</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se till att majoriteten av romska ungdomar senast 2030 åtminstone har avslutad gymnasieutbildning</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avslutad utbildning på gymnasienivå eller högre: romer 28 %, majoritetsbefolkningen 83,5 % (skillnad 55.5 procentenheter) </w:t>
                                </w:r>
                              </w:p>
                            </w:txbxContent>
                          </wps:txbx>
                          <wps:bodyPr lIns="0" tIns="0" rIns="0" bIns="0" rtlCol="0" anchor="t" anchorCtr="0">
                            <a:noAutofit/>
                          </wps:bodyPr>
                        </wps:wsp>
                        <wps:wsp>
                          <wps:cNvPr id="61"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3" y="4729857"/>
                              <a:ext cx="2054514" cy="78719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Minska skillnaden i trångboddhet med minst hälften</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se till att majoriteten av romer senast 2030 inte längre bor i trångbodda hushåll</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trångboddhet: romer 78 %, majoritetsbefolkningen 17,1 % (skillnad 60.9 procentenheter)</w:t>
                                </w:r>
                              </w:p>
                            </w:txbxContent>
                          </wps:txbx>
                          <wps:bodyPr wrap="square" lIns="0" tIns="0" rIns="0" bIns="0" rtlCol="0" anchor="t" anchorCtr="0">
                            <a:noAutofit/>
                          </wps:bodyPr>
                        </wps:wsp>
                      </wpg:grpSp>
                      <wps:wsp>
                        <wps:cNvPr id="62"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0"/>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Sektorsspecifika politiska mål </w:t>
                              </w:r>
                            </w:p>
                          </w:txbxContent>
                        </wps:txbx>
                        <wps:bodyPr wrap="square">
                          <a:noAutofit/>
                        </wps:bodyPr>
                      </wps:wsp>
                    </wpg:wgp>
                  </a:graphicData>
                </a:graphic>
                <wp14:sizeRelV relativeFrom="margin">
                  <wp14:pctHeight>0</wp14:pctHeight>
                </wp14:sizeRelV>
              </wp:anchor>
            </w:drawing>
          </mc:Choice>
          <mc:Fallback>
            <w:pict>
              <v:group id="Group 45" o:spid="_x0000_s1039" style="position:absolute;left:0;text-align:left;margin-left:0;margin-top:7.7pt;width:492pt;height:566.25pt;z-index:252189184;mso-position-horizontal-relative:margin;mso-height-relative:margin" coordsize="62484,80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KgvggYAAO03AAAOAAAAZHJzL2Uyb0RvYy54bWzsW19v2zYQfx+w7yDo3bVIiaIo1CnSNC4G&#10;FF3QdugzI1O2UP0bpcTOhn2gPexT9IvtSEqy7CZxlyW1YygGHMkSjzzy7n53x+PLV6ssta6FrJIi&#10;n9johWNbIo+KWZLPJ/Zvn6ajwLaqmucznha5mNg3orJfnfz808tlGQpcLIp0JqQFRPIqXJYTe1HX&#10;ZTgeV9FCZLx6UZQih4dxITNew62cj2eSL4F6lo6x4/jjZSFnpSwiUVXw6xvz0D7R9ONYRPWvcVyJ&#10;2konNoyt1t9Sf1+q7/HJSx7OJS8XSdQMgz9gFBlPcui0I/WG19y6ksk3pLIkkkVVxPWLqMjGRRwn&#10;kdA8ADfI2eLmrSyuSs3LPFzOy26aYGq35unBZKP31xfSSmYT2yO2lfMM1kh3a8E9TM6ynIfwzltZ&#10;fiwvZPPD3NwpflexzNR/4MRa6Wm96aZVrGorgh997AWeA7MfwTOKGHKpps3DaAGr8027aHF+W8vA&#10;wZRgpkY1bjseq/F1w+luunG3vPlbvPkP4I0g5GPbAh4wxYR4igQPOyYRohiDtGsmKfHYN0yOsOc6&#10;nqYwQg7DBBkSa349QmCumCHiOyxQN/fxC0pTreWi+n9y8XHBS6HFrVJr3s4dbefu09e/5ylPeRla&#10;qfgipPjy9Z9a1LVFtejDTLyr6nZOtPD/OZ3i1+R86o2mcDXynNfe6PW5x0ZT7AbnmE7PsOv/1XDY&#10;toc1bfpXy6gvO9mrwgrE8E7BcwlxMMKbK+MRHKAApFutjBKigG7MKQ9LWdVvRZFZ6mJig9blsw9g&#10;OjRb/Bq4MmvQvqf6r4o0mU2TNNU3cn55lkrrmoOZOffUp+mi95rmywxfsVXVN6lQjdP8g4hBBUFT&#10;sO5RGz/R0eNRJPIamUcLPhOmG+LAX9uLMpeqhVYNTVBRjmF4He2GQPumIdLSNvw176umQtvOrrFz&#10;38BM466F7rnI665xluSFvI1AClw1PZv3Yfi9qVGX9epypc2TWVX102UxuwHZTH/JQd6VTW8vZHtx&#10;2V7IOj0rjOXnebQowPDXtmUuz2oNA2q0eXF6VRdxopd53UUzGtAwI4hPr2pgPowJvlPVmJ7HVlWM&#10;+fnBqsYoo0hbMTdwPPioNVwbQg8z5tLGhnnMx2DyzCK3WNGq0cPVbVOIL+etGA3aNrEfR9tctWZr&#10;VThGbSNgO3ZoG3L3r24wSsAtFDDmk8Ztan2ODWRDJGDOE+jaAG1rMHwiaNMGsqdssjBxSlVG0wRc&#10;kne8qi+4hMAEhAGCLXgKWPaHbS0hcJnY1e9XXAr7u3Q0v8o0IoIBB+otOPZwMpZF9hliqlPVC3R3&#10;F25aEJNF4vRUvwSxTMnrd/nHMgJR1TqjjPyn1Wcuy8bM1yC174vWx+Thll9l3j0kNAb3fKd98PZv&#10;HyhymYFjjBijeCsuQdSlPmq8XwhLXK8FywGOG8e6cUGNs6xdmYNzfptY/JidXwKx9S44JvtXNwQx&#10;OXVckwfQCrcFyhhgGlFIOOhEAHaYSaR0KYvHCDcH//epo80mQdQp3H9H2h6m3oWhB4V2INK71M/f&#10;v/q5hGLf5NAwoxRRnctZR58uC0DjIGWltM+jAaFtjmSAu+cDd3pRew7x8WsfiPQO7cPGr95r6qeX&#10;wfYglw2O5Vbup59qRYQEntHPRwW/ISB98oA02Mr+DAHpIaSHIf2z00iYHYS9Ggk3YAEksjX+YgYI&#10;vGkjMOyB+azJD1Pqwr6neuFRTcTgHz+1f6y3JXsIfYS7MaTbNL5zNwYfQEBq8sMbG8q35oex4/su&#10;GrY+223a57P1iXUI01O2AY4PAo53F0ZAMlbnE/dZGREEyHFM3QqBPweCY4DbdcSMmc9ImyB2qeui&#10;IWJuKjmekYnQPlTPRBx/xLy7VgIfQr6qc4ahLglDjntT9zAiSJWEqWwVA8d40L1nCM96UXu6d4y+&#10;MMRru/JTwf6xDkowCcSbumCiX2faOcTYx4CGzd6ME+BgwLrnh3XbtUlHj3U+SOwu7TuAwkAMrqTv&#10;NiXSt6EdCkBBYZ9pQLvwjhrfwy9FMPUlx412sK2xS99cUxG910Qr1NA7yDOlCB69LdXqEI+gxr2E&#10;snfEhlLc5wd327U/+4S79XmbH1QSr07cbEGfdQBJFZN01c7jOpOycc7J9QkF3L5/Z+PeMyZb50W6&#10;kxAQ1gLVngXeEIjvrCnRCwlnyvTGy9ycf1OH1vr3+vzD+pTeyb8AAAD//wMAUEsDBBQABgAIAAAA&#10;IQDPB7q93gAAAAgBAAAPAAAAZHJzL2Rvd25yZXYueG1sTI9BS8NAEIXvgv9hGcGb3URTbWM2pRT1&#10;VARbQbxNk2kSmp0N2W2S/nvHkx7ne48372WrybZqoN43jg3EswgUceHKhisDn/vXuwUoH5BLbB2T&#10;gQt5WOXXVxmmpRv5g4ZdqJSEsE/RQB1Cl2rti5os+pnriEU7ut5ikLOvdNnjKOG21fdR9KgtNiwf&#10;auxoU1Nx2p2tgbcRx/VD/DJsT8fN5Xs/f//axmTM7c20fgYVaAp/ZvitL9Uhl04Hd+bSq9aADAlC&#10;5wkoUZeLRMBBQJw8LUHnmf4/IP8BAAD//wMAUEsBAi0AFAAGAAgAAAAhALaDOJL+AAAA4QEAABMA&#10;AAAAAAAAAAAAAAAAAAAAAFtDb250ZW50X1R5cGVzXS54bWxQSwECLQAUAAYACAAAACEAOP0h/9YA&#10;AACUAQAACwAAAAAAAAAAAAAAAAAvAQAAX3JlbHMvLnJlbHNQSwECLQAUAAYACAAAACEAQ+ioL4IG&#10;AADtNwAADgAAAAAAAAAAAAAAAAAuAgAAZHJzL2Uyb0RvYy54bWxQSwECLQAUAAYACAAAACEAzwe6&#10;vd4AAAAIAQAADwAAAAAAAAAAAAAAAADcCAAAZHJzL2Rvd25yZXYueG1sUEsFBgAAAAAEAAQA8wAA&#10;AOcJAAAAAA==&#10;">
                <v:group id="Group 46" o:spid="_x0000_s1040" style="position:absolute;left:511;top:2725;width:61172;height:77550" coordorigin="-243,-1092" coordsize="45524,60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Téglalap: lekerekített 7" o:spid="_x0000_s1041" style="position:absolute;top:35502;width:45281;height:80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9bJ8UA&#10;AADbAAAADwAAAGRycy9kb3ducmV2LnhtbESPT2sCMRTE7wW/Q3iCt5pVi8pqFC0t9NTiv4O3x+a5&#10;Wd28LEnqbvvpm0Khx2FmfsMs152txZ18qBwrGA0zEMSF0xWXCo6H18c5iBCRNdaOScEXBViveg9L&#10;zLVreUf3fSxFgnDIUYGJscmlDIUhi2HoGuLkXZy3GJP0pdQe2wS3tRxn2VRarDgtGGzo2VBx239a&#10;Bddwnn6YduLP75t5dTp0u+z7ZavUoN9tFiAidfE//Nd+0wqeZv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1s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b/>
                              <w:bCs/>
                              <w:i/>
                              <w:iCs/>
                              <w:color w:val="4F81BD" w:themeColor="accent1"/>
                              <w:szCs w:val="32"/>
                            </w:rPr>
                            <w:t>6. Förbättra romers hälsa och deras faktiska tillgång till hälso- och sjukvård samt sociala tjänster av god kvalitet</w:t>
                          </w:r>
                        </w:p>
                      </w:txbxContent>
                    </v:textbox>
                  </v:roundrect>
                  <v:roundrect id="Téglalap: lekerekített 9" o:spid="_x0000_s1042" style="position:absolute;left:979;top:38040;width:42994;height:49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BDsAA&#10;AADbAAAADwAAAGRycy9kb3ducmV2LnhtbERPyWrDMBC9B/oPYgK9hFpOSU3qWjYhpZBr0l5ym1rj&#10;hVgj15KX/n11CPT4eHtWLKYTEw2utaxgG8UgiEurW64VfH1+PO1BOI+ssbNMCn7JQZE/rDJMtZ35&#10;TNPF1yKEsEtRQeN9n0rpyoYMusj2xIGr7GDQBzjUUg84h3DTyec4TqTBlkNDgz0dGypvl9EoeK3n&#10;Cqfx++W6OZbv3RgjJtOPUo/r5fAGwtPi/8V390kr2IWx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uBD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skillnaden när det gäller förväntad livslängd med minst hälften</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se till att romska kvinnor och män senast 2030 lever 5 år längre</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skillnad i förväntad livslängd vid födseln (majoritetsbefolkning jämfört med romer): romska kvinnor: 10,4 år, romska män 10,2 år</w:t>
                          </w:r>
                        </w:p>
                      </w:txbxContent>
                    </v:textbox>
                  </v:roundrect>
                  <v:roundrect id="Téglalap: lekerekített 13" o:spid="_x0000_s1043" style="position:absolute;top:18996;width:45281;height:158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9VjsMA&#10;AADbAAAADwAAAGRycy9kb3ducmV2LnhtbERPTWvCMBi+C/6H8AreNJ2iSNdU3HCwk8OPHby9NO+a&#10;bs2bkmS2269fDgOPD893sR1sK27kQ+NYwcM8A0FcOd1wreByfpltQISIrLF1TAp+KMC2HI8KzLXr&#10;+Ui3U6xFCuGQowITY5dLGSpDFsPcdcSJ+3DeYkzQ11J77FO4beUiy9bSYsOpwWBHz4aqr9O3VfAZ&#10;rus30y/99bDbNO/n4Zj97p+Umk6G3SOISEO8i//dr1rBKq1P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9VjsMAAADbAAAADwAAAAAAAAAAAAAAAACYAgAAZHJzL2Rv&#10;d25yZXYueG1sUEsFBgAAAAAEAAQA9QAAAIgDA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5. Öka faktiska möjligheter att hitta hållbar sysselsättning av god kvalitet</w:t>
                          </w:r>
                        </w:p>
                      </w:txbxContent>
                    </v:textbox>
                  </v:roundrect>
                  <v:roundrect id="Téglalap: lekerekített 14" o:spid="_x0000_s1044" style="position:absolute;left:713;top:21997;width:17377;height:754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i+TsMA&#10;AADbAAAADwAAAGRycy9kb3ducmV2LnhtbESPT2vCQBTE7wW/w/KEXopuUjBodA2iCF6b9tLbM/tM&#10;gtm3Mbv547fvFgo9DjPzG2aXTaYRA3WutqwgXkYgiAuray4VfH2eF2sQziNrbCyTgic5yPazlx2m&#10;2o78QUPuSxEg7FJUUHnfplK6oiKDbmlb4uDdbGfQB9mVUnc4Brhp5HsUJdJgzWGhwpaOFRX3vDcK&#10;NuV4w6G/rr7fjsWp6SPEZHgo9TqfDlsQnib/H/5rX7SCVQy/X8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i+T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Minska sysselsättningsklyftan med minst hälften</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se till att minst 60 % av romer senast 2030 har avlönad sysselsättning</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avlönad sysselsättning: romer 43 %, majoritetsbefolkningen 73,1 % (skillnad 30.1 procentenheter)</w:t>
                          </w:r>
                        </w:p>
                      </w:txbxContent>
                    </v:textbox>
                  </v:roundrect>
                  <v:roundrect id="Téglalap: lekerekített 15" o:spid="_x0000_s1045" style="position:absolute;left:18487;top:21997;width:26551;height:72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gOcMA&#10;AADbAAAADwAAAGRycy9kb3ducmV2LnhtbESPS2vDMBCE74H+B7GFXEIt1+DQOpZDSQnkmrSX3rbW&#10;+kGslWvJj/z7qFDocZiZb5h8v5hOTDS41rKC5ygGQVxa3XKt4PPj+PQCwnlkjZ1lUnAjB/viYZVj&#10;pu3MZ5ouvhYBwi5DBY33fSalKxsy6CLbEwevsoNBH+RQSz3gHOCmk0kcb6XBlsNCgz0dGiqvl9Eo&#10;eK3nCqfxO/3aHMr3bowRt9OPUuvH5W0HwtPi/8N/7ZNWkCb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g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sysselsättningsklyftan mellan romska kvinnor och män med minst hälften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se till att minst 45 % av romska kvinnor senast 2030 har avlönad sysselsättning</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sysselsättningsgap mellan kvinnor och män – romer: 27 procentenheter (kvinnor: 29 %, män: 56 %). gap i majoritetsbefolkningen: 11.7 procentenheter (kvinnor: 67,2 %, män: 78,9 %)</w:t>
                          </w:r>
                        </w:p>
                      </w:txbxContent>
                    </v:textbox>
                  </v:roundrect>
                  <v:roundrect id="Téglalap: lekerekített 16" o:spid="_x0000_s1046" style="position:absolute;left:3572;top:29771;width:39810;height:47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FosMA&#10;AADbAAAADwAAAGRycy9kb3ducmV2LnhtbESPT2vCQBTE7wW/w/IEL0U3tUQ0uoYSEXpt2ou3Z/aZ&#10;BLNvY3bzp9++Wyj0OMzMb5hDOplGDNS52rKCl1UEgriwuuZSwdfnebkF4TyyxsYyKfgmB+lx9nTA&#10;RNuRP2jIfSkChF2CCirv20RKV1Rk0K1sSxy8m+0M+iC7UuoOxwA3jVxH0UYarDksVNhSVlFxz3uj&#10;YFeONxz6a3x5zopT00eIm+Gh1GI+ve1BeJr8f/iv/a4VxK/w+yX8AH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aFo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skillnaden när det gäller UVAS-talet med minst hälften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se till att mindre än var tredje romska ungdom senast 2030 varken arbetar eller studerar</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UVAS-tal (16–24 år): romer 62 %, majoritetsbefolkningen 10,1 % (skillnad 51.9 procentenheter)</w:t>
                          </w:r>
                        </w:p>
                      </w:txbxContent>
                    </v:textbox>
                  </v:roundrect>
                  <v:roundrect id="Téglalap: lekerekített 21" o:spid="_x0000_s1047" style="position:absolute;left:-243;top:44307;width:45281;height:155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RTjcUA&#10;AADbAAAADwAAAGRycy9kb3ducmV2LnhtbESPQWsCMRSE7wX/Q3hCbzWrrSKrUVQqeKqo7cHbY/Pc&#10;bLt5WZLU3fbXG6HQ4zAz3zDzZWdrcSUfKscKhoMMBHHhdMWlgvfT9mkKIkRkjbVjUvBDAZaL3sMc&#10;c+1aPtD1GEuRIBxyVGBibHIpQ2HIYhi4hjh5F+ctxiR9KbXHNsFtLUdZNpEWK04LBhvaGCq+jt9W&#10;wWc4T/amffbnt9W0+jh1h+z3da3UY79bzUBE6uJ/+K+90wrGL3D/k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FO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Förbättra romers faktiska tillgång till adekvat och desegregerat boende och grundläggande tjänster</w:t>
                          </w:r>
                        </w:p>
                      </w:txbxContent>
                    </v:textbox>
                  </v:roundrect>
                  <v:roundrect id="Téglalap: lekerekített 22" o:spid="_x0000_s1048" style="position:absolute;left:389;top:47298;width:23047;height:77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4TcMA&#10;AADbAAAADwAAAGRycy9kb3ducmV2LnhtbESPT2vCQBTE70K/w/IKXqTZVIjYNKsURfCq9eLtNfvc&#10;hGbfptnNH7+9Wyj0OMzMb5hiO9lGDNT52rGC1yQFQVw6XbNRcPk8vKxB+ICssXFMCu7kYbt5mhWY&#10;azfyiYZzMCJC2OeooAqhzaX0ZUUWfeJa4ujdXGcxRNkZqTscI9w2cpmmK2mx5rhQYUu7isrvc28V&#10;vJnxhkP/lV0Xu3Lf9CniavhRav48fbyDCDSF//Bf+6gVZBn8fo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O4T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Minska skillnaden när det gäller andelen som bor i bostäder med allvarliga brister med minst en tredjedel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se till att majoriteten av romer senast 2030 inte bor i bostäder med allvarliga brister</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boende i bostäder med allvarliga brister: romer 61 %, majoritetsbefolkningen 17,9 % (skillnad: 43.1 procentenheter)</w:t>
                          </w:r>
                        </w:p>
                      </w:txbxContent>
                    </v:textbox>
                  </v:roundrect>
                  <v:roundrect id="Téglalap: lekerekített 25" o:spid="_x0000_s1049" style="position:absolute;top:-1092;width:45281;height:206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poYcUA&#10;AADbAAAADwAAAGRycy9kb3ducmV2LnhtbESPT2sCMRTE74LfITyhN83a0kW2RlGp0FOLf3rw9ti8&#10;brZuXpYkutt++qYgeBxm5jfMfNnbRlzJh9qxgukkA0FcOl1zpeB42I5nIEJE1tg4JgU/FGC5GA7m&#10;WGjX8Y6u+1iJBOFQoAITY1tIGUpDFsPEtcTJ+3LeYkzSV1J77BLcNvIxy3Jpsea0YLCljaHyvL9Y&#10;Bd/hlH+Y7smf3lez+vPQ77Lf17VSD6N+9QIiUh/v4Vv7TSt4zuH/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mhh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4.  Öka faktisk tillgång till inkluderande allmän utbildning av god kvalitet</w:t>
                          </w:r>
                        </w:p>
                      </w:txbxContent>
                    </v:textbox>
                  </v:roundrect>
                  <v:roundrect id="Téglalap: lekerekített 24" o:spid="_x0000_s1050" style="position:absolute;left:8810;top:55550;width:29695;height:3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DocMA&#10;AADbAAAADwAAAGRycy9kb3ducmV2LnhtbESPzWvCQBTE74L/w/IEL1I3CrE1zSolIvRa9dLbM/vy&#10;QbNv0+zmw/++Wyj0OMzMb5j0OJlGDNS52rKCzToCQZxbXXOp4HY9P72AcB5ZY2OZFDzIwfEwn6WY&#10;aDvyBw0XX4oAYZeggsr7NpHS5RUZdGvbEgevsJ1BH2RXSt3hGOCmkdso2kmDNYeFClvKKsq/Lr1R&#10;sC/HAof+Hn+usvzU9BHibvhWarmY3l5BeJr8f/iv/a4VxM/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2D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Se till att minst 95 % av romer har tillgång till rinnande vatten</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tillgång till rinnande vatten i bostaden: romer 70 %, majoritetsbefolkningen: 97,7 %</w:t>
                          </w:r>
                        </w:p>
                      </w:txbxContent>
                    </v:textbox>
                  </v:roundrect>
                  <v:roundrect id="Téglalap: lekerekített 26" o:spid="_x0000_s1051" style="position:absolute;left:389;top:2122;width:22151;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X074A&#10;AADbAAAADwAAAGRycy9kb3ducmV2LnhtbERPyYoCMRC9C/5DKMGLaHoERVujiIMwV5eLt7JTvWCn&#10;0nbSi38/OQgeH2/f7ntTipZqV1hW8DOLQBAnVhecKbhdT9MVCOeRNZaWScGbHOx3w8EWY207PlN7&#10;8ZkIIexiVJB7X8VSuiQng25mK+LApbY26AOsM6lr7EK4KeU8ipbSYMGhIceKjjklz0tjFKyzLsW2&#10;eSzuk2PyWzYR4rJ9KTUe9YcNCE+9/4o/7j+tYBHGhi/hB8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iF9O+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Minska skillnaden när det gäller deltagande i förskoleverksamhet och barnomsorg med minst hälften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se till att minst 70 % av de romska barnen senast 2030 går förskola</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deltagande i förskoleverksamhet och barnomsorg (3+): romer 42 %, majoritetsbefolkningen 92,2 % (skillnad 50.2 procentenheter)</w:t>
                          </w:r>
                        </w:p>
                      </w:txbxContent>
                    </v:textbox>
                  </v:roundrect>
                  <v:roundrect id="Téglalap: lekerekített 28" o:spid="_x0000_s1052" style="position:absolute;left:1725;top:11913;width:42621;height:70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SMEA&#10;AADbAAAADwAAAGRycy9kb3ducmV2LnhtbESPS6vCMBSE94L/IRzBjWiqoGg1ini5cLc+Nu6OzbEt&#10;Nie1SR/33xtBcDnMzDfMZteZQjRUudyygukkAkGcWJ1zquBy/h0vQTiPrLGwTAr+ycFu2+9tMNa2&#10;5SM1J5+KAGEXo4LM+zKW0iUZGXQTWxIH724rgz7IKpW6wjbATSFnUbSQBnMOCxmWdMgoeZxqo2CV&#10;tnds6tv8OjokP0UdIS6ap1LDQbdfg/DU+W/40/7TCuYreH8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uskj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sz w:val="20"/>
                              <w:szCs w:val="18"/>
                            </w:rPr>
                          </w:pPr>
                          <w:r>
                            <w:rPr>
                              <w:rFonts w:asciiTheme="minorHAnsi" w:hAnsi="Calibri"/>
                              <w:b/>
                              <w:bCs/>
                              <w:color w:val="FF0000"/>
                              <w:sz w:val="20"/>
                              <w:szCs w:val="18"/>
                            </w:rPr>
                            <w:t>Arbeta för att undanröja segregering genom att minska andelen romska barn som går i segregerade grundskolor</w:t>
                          </w:r>
                          <w:r>
                            <w:rPr>
                              <w:rFonts w:asciiTheme="minorHAnsi" w:hAnsi="Calibri"/>
                              <w:bCs/>
                              <w:color w:val="4F81BD" w:themeColor="accent1"/>
                              <w:sz w:val="20"/>
                              <w:szCs w:val="18"/>
                            </w:rPr>
                            <w:t xml:space="preserve"> (i medlemsstater med en betydande romsk befolkning) med minst hälften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color w:val="00B050"/>
                              <w:sz w:val="19"/>
                              <w:szCs w:val="19"/>
                            </w:rPr>
                            <w:t>se till att mindre än vart femte romska barn senast 2030 går i skolor där de flesta eller alla barn är romer</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romska barn som går i skolor där de flesta eller alla barn är romer: 44 %</w:t>
                          </w:r>
                        </w:p>
                      </w:txbxContent>
                    </v:textbox>
                  </v:roundrect>
                  <v:roundrect id="Téglalap: lekerekített 29" o:spid="_x0000_s1053" style="position:absolute;left:22966;top:2122;width:21817;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RaL4A&#10;AADbAAAADwAAAGRycy9kb3ducmV2LnhtbERPy4rCMBTdC/5DuIIb0XQEi1ajDIrgdtSNu2tzbYvN&#10;TW3Sh38/WQguD+e92fWmFC3VrrCs4GcWgSBOrS44U3C9HKdLEM4jaywtk4I3Odhth4MNJtp2/Eft&#10;2WcihLBLUEHufZVI6dKcDLqZrYgD97C1QR9gnUldYxfCTSnnURRLgwWHhhwr2ueUPs+NUbDKuge2&#10;zX1xm+zTQ9lEiHH7Umo86n/XIDz1/iv+uE9aQRzWhy/hB8jt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40Wi+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Minska skillnaden när det gäller utbildning på gymnasienivå</w:t>
                          </w:r>
                          <w:r>
                            <w:t xml:space="preserve"> </w:t>
                          </w:r>
                          <w:r>
                            <w:br/>
                          </w:r>
                          <w:r>
                            <w:rPr>
                              <w:rFonts w:asciiTheme="minorHAnsi" w:hAnsi="Calibri"/>
                              <w:b/>
                              <w:bCs/>
                              <w:color w:val="FF0000"/>
                              <w:sz w:val="20"/>
                              <w:szCs w:val="18"/>
                            </w:rPr>
                            <w:t>med minst en tredjedel</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se till att majoriteten av romska ungdomar senast 2030 åtminstone har avslutad gymnasieutbildning</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avslutad utbildning på gymnasienivå eller högre: romer 28 %, majoritetsbefolkningen 83,5 % (skillnad 55.5 procentenheter) </w:t>
                          </w:r>
                        </w:p>
                      </w:txbxContent>
                    </v:textbox>
                  </v:roundrect>
                  <v:roundrect id="Téglalap: lekerekített 30" o:spid="_x0000_s1054" style="position:absolute;left:23801;top:47298;width:20545;height:7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88EA&#10;AADbAAAADwAAAGRycy9kb3ducmV2LnhtbESPT4vCMBTE7wt+h/AEL4umClu0GmVxEbyuevH2bJ5t&#10;sXmpTfrHb28EweMwM79hVpvelKKl2hWWFUwnEQji1OqCMwWn4248B+E8ssbSMil4kIPNevC1wkTb&#10;jv+pPfhMBAi7BBXk3leJlC7NyaCb2Io4eFdbG/RB1pnUNXYBbko5i6JYGiw4LORY0Tan9HZojIJF&#10;1l2xbS4/5+9t+lc2EWLc3pUaDfvfJQhPvf+E3+29VhBP4fUl/A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0dPP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Minska skillnaden i trångboddhet med minst hälften</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se till att majoriteten av romer senast 2030 inte längre bor i trångbodda hushåll</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trångboddhet: romer 78 %, majoritetsbefolkningen 17,1 % (skillnad 60.9 procentenheter)</w:t>
                          </w:r>
                        </w:p>
                      </w:txbxContent>
                    </v:textbox>
                  </v:roundrect>
                </v:group>
                <v:rect id="Téglalap 4" o:spid="_x0000_s1055" style="position:absolute;width:62484;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jsQA&#10;AADbAAAADwAAAGRycy9kb3ducmV2LnhtbESPQWuDQBSE74X8h+UFcinN2hxCMdmEIoRIKIRq4vnh&#10;vqrUfavuVu2/7xYKPQ4z8w2zP86mFSMNrrGs4HkdgSAurW64UnDLT08vIJxH1thaJgXf5OB4WDzs&#10;MdZ24ncaM1+JAGEXo4La+y6W0pU1GXRr2xEH78MOBn2QQyX1gFOAm1ZuomgrDTYcFmrsKKmp/My+&#10;jIKpvI5F/naW18citdynfZLdL0qtlvPrDoSn2f+H/9qpVrDdwO+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v47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Sektorsspecifika politiska mål </w:t>
                        </w:r>
                      </w:p>
                    </w:txbxContent>
                  </v:textbox>
                </v:rect>
                <w10:wrap type="topAndBottom" anchorx="margin"/>
              </v:group>
            </w:pict>
          </mc:Fallback>
        </mc:AlternateContent>
      </w:r>
      <w:r>
        <w:rPr>
          <w:rFonts w:ascii="Times New Roman" w:hAnsi="Times New Roman"/>
          <w:noProof/>
          <w:sz w:val="20"/>
          <w:szCs w:val="20"/>
        </w:rPr>
        <w:t>Andra indikatorer håller på att undersökas</w:t>
      </w:r>
      <w:r>
        <w:rPr>
          <w:rStyle w:val="FootnoteReference"/>
          <w:rFonts w:ascii="Times New Roman" w:eastAsia="Times New Roman" w:hAnsi="Times New Roman" w:cs="Times New Roman"/>
          <w:noProof/>
          <w:sz w:val="20"/>
          <w:szCs w:val="20"/>
        </w:rPr>
        <w:footnoteReference w:id="24"/>
      </w:r>
      <w:r>
        <w:rPr>
          <w:noProof/>
        </w:rPr>
        <w:t>.</w:t>
      </w:r>
    </w:p>
    <w:p>
      <w:pPr>
        <w:rPr>
          <w:rFonts w:ascii="Times New Roman" w:hAnsi="Times New Roman"/>
          <w:noProof/>
          <w:sz w:val="24"/>
          <w:szCs w:val="24"/>
        </w:rPr>
      </w:pPr>
      <w:r>
        <w:rPr>
          <w:noProof/>
        </w:rPr>
        <w:br w:type="page"/>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Förnyade och utökade nationella insatser för romers jämlikhet, inkludering och delaktighet</w:t>
      </w:r>
    </w:p>
    <w:p>
      <w:pPr>
        <w:spacing w:after="120" w:line="240" w:lineRule="auto"/>
        <w:jc w:val="both"/>
        <w:rPr>
          <w:rFonts w:ascii="Times New Roman" w:hAnsi="Times New Roman"/>
          <w:b/>
          <w:noProof/>
          <w:sz w:val="24"/>
          <w:szCs w:val="24"/>
        </w:rPr>
      </w:pPr>
      <w:r>
        <w:rPr>
          <w:rFonts w:ascii="Times New Roman" w:hAnsi="Times New Roman"/>
          <w:noProof/>
          <w:sz w:val="24"/>
          <w:szCs w:val="24"/>
        </w:rPr>
        <w:t>För att målen i denna strategiska ram ska kunna uppnås krävs åtgärder både på EU-nivå och på nationell nivå. Detta kompletterande tillvägagångssätt är det enda sättet att driva på en förändring på fältet. Medlemsstaterna har de viktigaste befogenheterna på de områden som omfattas av denna ram och det behövs en strukturerad strategi. Romernas situation varierar mellan olika länder, men det finns ett behov av att öka engagemanget och ansvaret på nationell nivå för att få till stånd en verklig förändring i romernas vardag. Detta inbegriper deltagande av det civila samhället och alla berörda parter i utarbetandet av nationella strategiska ramar för romer.</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Främjande av nationella åtgärder genom nationella strategiska ramar för romer</w:t>
            </w:r>
          </w:p>
          <w:p>
            <w:pPr>
              <w:spacing w:after="120"/>
              <w:jc w:val="both"/>
              <w:rPr>
                <w:rFonts w:ascii="Times New Roman" w:hAnsi="Times New Roman"/>
                <w:noProof/>
                <w:sz w:val="24"/>
                <w:szCs w:val="24"/>
              </w:rPr>
            </w:pPr>
            <w:r>
              <w:rPr>
                <w:rFonts w:ascii="Times New Roman" w:hAnsi="Times New Roman"/>
                <w:noProof/>
                <w:sz w:val="24"/>
                <w:szCs w:val="24"/>
              </w:rPr>
              <w:t>Medlemsstaterna uppmanas att utarbeta, anta och genomföra nationella strategiska ramar för romer, bland annat med avseende på följande:</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Gemensamma egenskaper.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Minimiåtaganden som bör gälla för alla.</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Eventuella ytterligare åtaganden beroende på det nationella sammanhanget.</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Mer ambitiösa åtaganden för medlemsstater med stor romsk befolkning.</w:t>
            </w:r>
          </w:p>
          <w:p>
            <w:pPr>
              <w:ind w:left="22"/>
              <w:jc w:val="both"/>
              <w:rPr>
                <w:rFonts w:ascii="Times New Roman" w:hAnsi="Times New Roman"/>
                <w:noProof/>
                <w:sz w:val="24"/>
                <w:szCs w:val="24"/>
              </w:rPr>
            </w:pPr>
            <w:r>
              <w:rPr>
                <w:rFonts w:ascii="Times New Roman" w:hAnsi="Times New Roman"/>
                <w:noProof/>
                <w:sz w:val="24"/>
                <w:szCs w:val="24"/>
              </w:rPr>
              <w:t xml:space="preserve">Förslag avseende dessa delar presenteras nedan. Om möjligt bör specifika nationella delmål fastställas. Kommissionen kommer att bistå denna process med all nödvändig vägledning. Den kommer också att stödja </w:t>
            </w:r>
          </w:p>
          <w:p>
            <w:pPr>
              <w:spacing w:after="120"/>
              <w:ind w:left="23"/>
              <w:jc w:val="both"/>
              <w:rPr>
                <w:rFonts w:ascii="Times New Roman" w:hAnsi="Times New Roman"/>
                <w:noProof/>
                <w:sz w:val="24"/>
                <w:szCs w:val="24"/>
              </w:rPr>
            </w:pPr>
            <w:r>
              <w:rPr>
                <w:rFonts w:ascii="Times New Roman" w:hAnsi="Times New Roman"/>
                <w:noProof/>
                <w:sz w:val="24"/>
                <w:szCs w:val="24"/>
              </w:rPr>
              <w:t>nationella åtgärder, bland annat genom att säkerställa jämlikhetslagstiftningens efterlevnad, integrera romernas jämlikhet, inkludering och deltagande i EU:s politiska initiativ, mobilisera EU-medel för romer och bekämpa antiziganism.</w:t>
            </w:r>
          </w:p>
          <w:p>
            <w:pPr>
              <w:ind w:left="22"/>
              <w:jc w:val="both"/>
              <w:rPr>
                <w:rFonts w:ascii="Times New Roman" w:hAnsi="Times New Roman"/>
                <w:b/>
                <w:i/>
                <w:noProof/>
                <w:sz w:val="24"/>
                <w:szCs w:val="24"/>
              </w:rPr>
            </w:pPr>
            <w:r>
              <w:rPr>
                <w:rFonts w:ascii="Times New Roman" w:hAnsi="Times New Roman"/>
                <w:noProof/>
                <w:sz w:val="24"/>
                <w:szCs w:val="24"/>
              </w:rPr>
              <w:t>Medlemsstaterna uppmanas att slutföra utarbetandet av de nationella ramarna senast i september 2021 och att informera kommissionen om dessa.</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Tillsammans med denna strategiska ram antar kommissionen ett förslag till </w:t>
      </w:r>
      <w:r>
        <w:rPr>
          <w:rFonts w:ascii="Times New Roman" w:hAnsi="Times New Roman"/>
          <w:b/>
          <w:bCs/>
          <w:noProof/>
          <w:sz w:val="24"/>
          <w:szCs w:val="24"/>
        </w:rPr>
        <w:t>rådets rekommendation</w:t>
      </w:r>
      <w:r>
        <w:rPr>
          <w:rFonts w:ascii="Times New Roman" w:hAnsi="Times New Roman"/>
          <w:noProof/>
          <w:sz w:val="24"/>
          <w:szCs w:val="24"/>
        </w:rPr>
        <w:t xml:space="preserve"> om romers jämlikhet, inkludering och delaktighet. Där anges en förteckning över särskilda åtgärder som medlemsstaterna ska vidta för att uppnå EU:s mål. Dessa båda delar kompletterar varandra. Den föreslagna rekommendationen ger också vägledning för kapacitetsuppbyggnad och partnerskap mellan berörda parter, däribland nationella kontaktpunkter för romer, jämlikhetsorgan, det civila samhället och regionala och lokala aktörer. Dessutom ges vägledning för att säkerställa en bättre användning av EU-medel och nationella medel samt effektiv nationell övervakning, rapportering och utvärdering av nationella strategiska ramar för romer.</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 xml:space="preserve">III.1 </w:t>
      </w:r>
      <w:r>
        <w:rPr>
          <w:b/>
          <w:i/>
          <w:noProof/>
          <w:sz w:val="24"/>
          <w:szCs w:val="24"/>
        </w:rPr>
        <w:t>Vägledning för nationella åtgärder enligt en gemensam men differentierad strategi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För att hjälpa medlemsstaterna att utveckla meningsfulla och effektiva nationella strategiska ramar för romer föreslår kommissionen en rad gemensamma inslag och minimiåtaganden för alla sådana ramar. Eftersom andelen romer och deras nationella sammanhang varierar avsevärt från en medlemsstat till en annan föreslår kommissionen ytterligare och mer riktade åtaganden. Detta är ett erkännande de olikartarde situationerna i medlemsstaterna och möjliggör ett gemensamt men differentierat tillvägagångssätt. </w:t>
      </w:r>
    </w:p>
    <w:p>
      <w:pPr>
        <w:keepNext/>
        <w:keepLines/>
        <w:spacing w:after="120" w:line="240" w:lineRule="auto"/>
        <w:jc w:val="both"/>
        <w:rPr>
          <w:rFonts w:ascii="Times New Roman" w:hAnsi="Times New Roman" w:cs="Times New Roman"/>
          <w:noProof/>
          <w:sz w:val="24"/>
          <w:szCs w:val="24"/>
        </w:rPr>
      </w:pPr>
      <w:r>
        <w:rPr>
          <w:rFonts w:ascii="Times New Roman" w:hAnsi="Times New Roman"/>
          <w:b/>
          <w:bCs/>
          <w:noProof/>
          <w:sz w:val="24"/>
          <w:szCs w:val="24"/>
        </w:rPr>
        <w:t>För det första</w:t>
      </w:r>
      <w:r>
        <w:rPr>
          <w:rFonts w:ascii="Times New Roman" w:hAnsi="Times New Roman"/>
          <w:noProof/>
          <w:sz w:val="24"/>
          <w:szCs w:val="24"/>
        </w:rPr>
        <w:t xml:space="preserve"> föreslår kommissionen att </w:t>
      </w:r>
      <w:r>
        <w:rPr>
          <w:rFonts w:ascii="Times New Roman" w:hAnsi="Times New Roman"/>
          <w:b/>
          <w:bCs/>
          <w:noProof/>
          <w:sz w:val="24"/>
          <w:szCs w:val="24"/>
        </w:rPr>
        <w:t>alla nationella strategiska ramar för romer ska ha följande gemensamma drag</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Större fokusering på jämlikhet som ett komplement till arbetet för inkludering:</w:t>
      </w:r>
      <w:r>
        <w:rPr>
          <w:rFonts w:ascii="Times New Roman" w:hAnsi="Times New Roman"/>
          <w:noProof/>
          <w:sz w:val="24"/>
          <w:szCs w:val="24"/>
        </w:rPr>
        <w:t xml:space="preserve"> Åtgärder inom de fyra politikområdena (utbildning, sysselsättning, hälso- och sjukvård och boende) genom en helhetsstrategi är fortfarande avgörande för romers inkludering, men det behövs även en tydlig tonvikt på jämlikhet. Framför allt bör bekämpningen av diskriminering och antiziganism vara ett centralt mål och en tvärgående prioritering inom alla politikområden, som ett komplement till arbetet för inkludering. Denna dubbla inriktning bör säkerställa att ekonomisk och social rättvisa samt lika möjligheter blir verklighet för romer.</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b/>
          <w:i/>
          <w:noProof/>
          <w:sz w:val="24"/>
          <w:szCs w:val="24"/>
        </w:rPr>
        <w:t>Främja delaktighet genom stärkt egenmakt, samarbete och förtroende</w:t>
      </w:r>
      <w:r>
        <w:rPr>
          <w:rFonts w:ascii="Times New Roman" w:hAnsi="Times New Roman"/>
          <w:noProof/>
          <w:sz w:val="24"/>
          <w:szCs w:val="24"/>
        </w:rPr>
        <w:t xml:space="preserve"> Romer måste bli delaktiga på ett meningsfullt sätt i alla led av beslutsprocesserna. Romers känsla av tillhörighet som fullvärdiga samhällsmedlemmar bör uppmuntras liksom deras politiska, ekonomiska och kulturella engagemang. Egenmakt och kapacitetsuppbyggnad när det gäller romer, civilsamhället och myndigheter måste säkerställas, och samarbete och förtroende byggas upp mellan berörda parter och mellan romska och icke-romska befolkningsgrupper.</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Ta hänsyn till mångfalden bland romer: </w:t>
      </w:r>
      <w:r>
        <w:rPr>
          <w:rFonts w:ascii="Times New Roman" w:hAnsi="Times New Roman"/>
          <w:noProof/>
          <w:sz w:val="24"/>
          <w:szCs w:val="24"/>
        </w:rPr>
        <w:t xml:space="preserve">Medlemsstaterna bör se till att deras strategiska ramar omfattar alla romer inom deras territorium och att de tar hänsyn till olika gruppers behov genom ett intersektionellt tillvägagångssätt. De bör ha i åtanke att olika identitetsaspekter tillsammans kan förvärra diskrimineringen. De bör sätta upp kvalitativa eller kvantitativa mål för att säkerställa att skillnader i fråga om ålder, kön, sexuell läggning, rörlighet och andra personliga drag beaktas.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Kombinera integrering av ett romskt perspektiv i alla politikområden med explicita, men inte exkluderande, riktade insatser för romer</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 xml:space="preserve">De nationella strategiska ramarna för romer bör omfatta både integrering av ett romskt perspektiv i all offentlig verksamhet och explicita, men inte exkluderande, riktade insatser för romer för att säkerställa att allmän samhällsservice är tillgänglig för alla men även ge ytterligare, riktat stöd för att se till att romer rent faktiskt kan hävda sina rättigheter och har lika tillgång till samhällsservice. De bör fungera som planeringsverktyg för användningen av nationella medel och EU-medel för både riktade insatser för romer och allmänna reformer för att integrera ett romskt perspektiv.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Förbättra målsättningar, datainsamling, övervakning och rapportering:</w:t>
      </w:r>
      <w:r>
        <w:rPr>
          <w:rFonts w:ascii="Times New Roman" w:hAnsi="Times New Roman"/>
          <w:noProof/>
          <w:sz w:val="24"/>
          <w:szCs w:val="24"/>
        </w:rPr>
        <w:t xml:space="preserve"> Arbetet för att uppnå delmål på EU-nivå och motsvarande kvantitativa och/eller kvalitativa nationella mål kan leda till verkliga framsteg mot jämlikhet, inkludering och delaktighet för romer. Uppgifter bör samlas in regelbundet som kan ligga till grund för rapportering och övervakning, förbättra transparens och ansvarsskyldighet, samt främja policyöverföring och policylärande</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bCs/>
          <w:noProof/>
          <w:sz w:val="24"/>
          <w:szCs w:val="24"/>
        </w:rPr>
        <w:t>För det andra</w:t>
      </w:r>
      <w:r>
        <w:rPr>
          <w:rFonts w:ascii="Times New Roman" w:hAnsi="Times New Roman"/>
          <w:noProof/>
          <w:sz w:val="24"/>
          <w:szCs w:val="24"/>
        </w:rPr>
        <w:t>: med utgångspunkt i gemensamma inslag och på grundval av erfarenheterna från den nuvarande ramen, samt efter de omfattande samråd</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som genomförts under de senaste två åren, uppmanar kommissionen alla medlemsstater att </w:t>
      </w:r>
      <w:r>
        <w:rPr>
          <w:rFonts w:ascii="Times New Roman" w:hAnsi="Times New Roman"/>
          <w:b/>
          <w:bCs/>
          <w:noProof/>
          <w:sz w:val="24"/>
          <w:szCs w:val="24"/>
        </w:rPr>
        <w:t>i sina nationella strategiska ramar för romer som ett minimum inkludera följande åtaganden</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noProof/>
                <w:sz w:val="24"/>
                <w:szCs w:val="24"/>
              </w:rPr>
              <w:t xml:space="preserve">Den </w:t>
            </w:r>
            <w:r>
              <w:rPr>
                <w:rFonts w:ascii="Times New Roman" w:hAnsi="Times New Roman"/>
                <w:b/>
                <w:noProof/>
                <w:sz w:val="24"/>
                <w:szCs w:val="24"/>
              </w:rPr>
              <w:t>nationella strategiska ramen</w:t>
            </w:r>
            <w:r>
              <w:rPr>
                <w:rFonts w:ascii="Times New Roman" w:hAnsi="Times New Roman"/>
                <w:noProof/>
                <w:sz w:val="24"/>
                <w:szCs w:val="24"/>
              </w:rPr>
              <w:t xml:space="preserve"> bör ange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det nationella utgångsläget och delmål mot uppnåendet av EU:s övergripande mål och delmål baserat på en grundlig behovsbedömning,</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delmål och åtgärder inriktade på särskilda grupper (romska barn, kvinnor, ungdomar, äldre romer eller romer med funktionsnedsättning, rörliga EU-medborgare, icke-EU-medborgare, statslösa romer) som tar hänsyn till mångfalden bland romer, bl.a. åtgärder som tar hänsyn till jämställdhet eller barn- och åldersanpassade åtgärder,</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åtgärder för att motverka antiziganism och diskriminering (t.ex. genom nationella handlingsplaner mot rasism),</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åtgärder för att säkerställa socioekonomisk inkludering av marginaliserade romer, särskilt när det gäller utbildning, sysselsättning, hälso- och sjukvård samt bostäder,</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en kombination av riktade och allmänna åtgärder som tar hänsyn till specifika utmaningar på lokal nivå och uttryckligen undanröjer de hinder som gör att romer inte har lika tillgång till allmänna politikområden</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en särskild budget för genomförande och övervakning</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xml:space="preserve"> som drar full nytta av  social innovation och privat kapital,</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mekanismer för rapportering, övervakning och utvärdering av framstegen mot fastställda delmål,</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ett system för samråd och samarbete om policy med det romska och pro-romska civilsamhället, fackministerier, organ som arbetar med likabehandlingsfrågor, andra nationella människorättsinstitutioner och andra berörda parter, och</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kapacitetsuppbyggnad för att främja civilsamhällets aktiva deltagande i alla led av den politiska beslutsprocessen och säkerställa att det involveras i EU:s plattformsprocesser</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De nationella </w:t>
            </w:r>
            <w:r>
              <w:rPr>
                <w:rFonts w:ascii="Times New Roman" w:hAnsi="Times New Roman"/>
                <w:b/>
                <w:noProof/>
                <w:sz w:val="24"/>
                <w:szCs w:val="24"/>
              </w:rPr>
              <w:t>kontaktpunkterna för romer</w:t>
            </w:r>
            <w:r>
              <w:rPr>
                <w:rFonts w:ascii="Times New Roman" w:hAnsi="Times New Roman"/>
                <w:noProof/>
                <w:sz w:val="24"/>
                <w:szCs w:val="24"/>
              </w:rPr>
              <w:t xml:space="preserve"> bör</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få mandat, tillräckliga resurser och personal för att säkerställa fortlöpande samordning och övervakning, och</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regelbundet lägga fram en lägesrapport och delta i kärnverksamheten inom kommissionens nätverk för nationella kontaktpunkter</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bCs/>
          <w:noProof/>
          <w:sz w:val="24"/>
          <w:szCs w:val="24"/>
        </w:rPr>
        <w:t>För det tredje</w:t>
      </w:r>
      <w:r>
        <w:rPr>
          <w:rFonts w:ascii="Times New Roman" w:hAnsi="Times New Roman"/>
          <w:noProof/>
          <w:sz w:val="24"/>
          <w:szCs w:val="24"/>
        </w:rPr>
        <w:t xml:space="preserve">: utöver dessa gemensamma drag och minimiåtaganden kan ytterligare nationella insatser vara av relevans, </w:t>
      </w:r>
      <w:r>
        <w:rPr>
          <w:rFonts w:ascii="Times New Roman" w:hAnsi="Times New Roman"/>
          <w:b/>
          <w:bCs/>
          <w:noProof/>
          <w:sz w:val="24"/>
          <w:szCs w:val="24"/>
        </w:rPr>
        <w:t>beroende på de specifika nationella förhållandena</w:t>
      </w:r>
      <w:r>
        <w:rPr>
          <w:rFonts w:ascii="Times New Roman" w:hAnsi="Times New Roman"/>
          <w:noProof/>
          <w:sz w:val="24"/>
          <w:szCs w:val="24"/>
        </w:rPr>
        <w:t xml:space="preserve">. Utmaningarna när det gäller romers jämlikhet, inkludering och deltagande varierar beroende på den romska befolkningens storlek och dess andel av den totala befolkningen, samt på det allmänna ekonomiska läget och det historiska arvet av exkludering och diskriminering. De varierar också beroende på var och hur romerna lever (landsbygd, städer, rörliga områden, segregerade områden) och specifika aspekter såsom rörlighet över gränserna, migration eller frågor rörande folkbokföring. Dessa olika utmaningar kan återspeglas i nationella strategiska ramar för romer, med skiftande mål, investeringsnivåer och typer av politiska lösningar. Beroende på den nationella kontexten (exempelvis alternativ för datainsamling, användning av riktat eller generellt EU-stöd, den romska befolkningens relativa storlek och särskilda behov) uppmanar kommissionen medlemsstaterna att </w:t>
      </w:r>
      <w:r>
        <w:rPr>
          <w:rFonts w:ascii="Times New Roman" w:hAnsi="Times New Roman"/>
          <w:b/>
          <w:bCs/>
          <w:noProof/>
          <w:sz w:val="24"/>
          <w:szCs w:val="24"/>
        </w:rPr>
        <w:t>göra ytterligare åtaganden i enlighet med följande</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Den </w:t>
            </w:r>
            <w:r>
              <w:rPr>
                <w:rFonts w:ascii="Times New Roman" w:hAnsi="Times New Roman"/>
                <w:b/>
                <w:noProof/>
                <w:sz w:val="24"/>
                <w:szCs w:val="24"/>
              </w:rPr>
              <w:t>nationella strategiska ramen</w:t>
            </w:r>
            <w:r>
              <w:rPr>
                <w:rFonts w:ascii="Times New Roman" w:hAnsi="Times New Roman"/>
                <w:noProof/>
                <w:sz w:val="24"/>
                <w:szCs w:val="24"/>
              </w:rPr>
              <w:t xml:space="preserve"> bör också ange</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nationella kvantitativa och kvalitativa mål för alla sju EU-målen och därtill knutna delmål (beroende på tillgången till data),</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hur medel och finansieringsinstrument på både EU-nivå och nationell nivå ska användas för satsningar på romer, och</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hur institutionella och administrativa reformer kommer att bidra till jämlikhet och inkludering.</w:t>
            </w:r>
          </w:p>
          <w:p>
            <w:pPr>
              <w:keepNext/>
              <w:spacing w:before="60" w:after="60" w:line="240" w:lineRule="auto"/>
              <w:rPr>
                <w:rFonts w:ascii="Times New Roman" w:hAnsi="Times New Roman"/>
                <w:noProof/>
              </w:rPr>
            </w:pPr>
            <w:r>
              <w:rPr>
                <w:rFonts w:ascii="Times New Roman" w:hAnsi="Times New Roman"/>
                <w:b/>
                <w:bCs/>
                <w:noProof/>
                <w:sz w:val="24"/>
                <w:szCs w:val="24"/>
              </w:rPr>
              <w:t>De nationella kontaktpunkterna för romer</w:t>
            </w:r>
            <w:r>
              <w:rPr>
                <w:rFonts w:ascii="Times New Roman" w:hAnsi="Times New Roman"/>
                <w:noProof/>
                <w:sz w:val="24"/>
                <w:szCs w:val="24"/>
              </w:rPr>
              <w:t xml:space="preserve"> bör också göra en utvärdering och översyn efter halva tiden av den nationella strategiska ramen.</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bCs/>
          <w:noProof/>
          <w:sz w:val="24"/>
          <w:szCs w:val="24"/>
        </w:rPr>
        <w:t>För det fjärde</w:t>
      </w:r>
      <w:r>
        <w:rPr>
          <w:rFonts w:ascii="Times New Roman" w:hAnsi="Times New Roman"/>
          <w:noProof/>
          <w:sz w:val="24"/>
          <w:szCs w:val="24"/>
        </w:rPr>
        <w:t>: Om romerna utgör en betydande andel av befolkningen (dvs. klart över 1 %)</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är främjandet av deras jämlikhet och inkludering inte bara av stor vikt i termer av grundläggande rättigheter, utan har även en stor ekonomisk betydelse. I länder med en större andel romska invånare utgör denna grupp en allt större andel av befolkningen i skolåldern och den framtida arbetskraften. Framsteg i den socioekonomiska inkluderingen av romer kan minska arbetskrafts- och kompetensbrist i ett läge där den demografiska utvecklingen är ogynnsam och medföra lägre sociala utgifter. Satsningar på bättre utbildning och kompetenshöjning för arbetstagare som tidigare varit utestängda kan ha en positiv inverkan på produktivitetsutvecklingen. Säkerställande av att romer fullt ut kan utnyttja sin potential att bidra till ekonomin och samhället i stort kommer att leda till en bättre social och ekonomisk utveckling för alla.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Detta motiverar behovet av mer intensiva åtaganden och EU-stöd, särskilt användningen av EU-medel för både riktade åtgärder och allmänna inkluderande reformer. I detta avseende uppmanas medlemsstater med en betydande romsk befolkning att fullt ut utnyttja det föreslagna särskilda målet ESF + att främja socioekonomisk integration av marginaliserade grupper såsom romer. De uppmuntras också att göra mer för att se till att den tillgängliga finansieringen verkligen når den romska befolkningen. Detta kräver också datainsamling uppdelad efter etnicitet och kön för att stödja utformningen, övervakningen och översynen av politiken.</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 xml:space="preserve">Utöver minimiåtagandena och de åtaganden som härrör från det nationella sammanhanget, uppmanar kommissionen därför </w:t>
      </w:r>
      <w:r>
        <w:rPr>
          <w:rFonts w:ascii="Times New Roman" w:hAnsi="Times New Roman"/>
          <w:b/>
          <w:bCs/>
          <w:noProof/>
          <w:sz w:val="24"/>
          <w:szCs w:val="24"/>
        </w:rPr>
        <w:t>medlemsstater med betydande romsk befolkning att i sina nationella strategiska ramar för romer inkludera mer ambitiösa åtaganden</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noProof/>
                <w:sz w:val="24"/>
                <w:szCs w:val="24"/>
              </w:rPr>
              <w:t xml:space="preserve">Den </w:t>
            </w:r>
            <w:r>
              <w:rPr>
                <w:rFonts w:ascii="Times New Roman" w:hAnsi="Times New Roman"/>
                <w:b/>
                <w:noProof/>
                <w:sz w:val="24"/>
                <w:szCs w:val="24"/>
              </w:rPr>
              <w:t>nationella strategiska ramen</w:t>
            </w:r>
            <w:r>
              <w:rPr>
                <w:rFonts w:ascii="Times New Roman" w:hAnsi="Times New Roman"/>
                <w:noProof/>
                <w:sz w:val="24"/>
                <w:szCs w:val="24"/>
              </w:rPr>
              <w:t xml:space="preserve"> bör också</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ange en plan eller en uppsättning åtgärder för att förebygga och bekämpa antiziganism och diskriminering, segregering inom utbildning och boende samt antiromska fördomar och stereotyper (även online),</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integrera frågor om romers jämlikhet och inkludering i all offentlig verksamhet på regional och lokal nivå, och</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ange hur medel och finansieringsinstrument på EU-nivå och på nationell nivå kommer att utnyttjas för inkluderande reformer av den allmänna politiken och riktade åtgärder.</w:t>
            </w:r>
          </w:p>
          <w:p>
            <w:pPr>
              <w:spacing w:after="0" w:line="240" w:lineRule="auto"/>
              <w:rPr>
                <w:rFonts w:ascii="Times New Roman" w:eastAsia="MS Mincho" w:hAnsi="Times New Roman"/>
                <w:noProof/>
                <w:sz w:val="24"/>
                <w:szCs w:val="24"/>
              </w:rPr>
            </w:pPr>
            <w:r>
              <w:rPr>
                <w:rFonts w:ascii="Times New Roman" w:hAnsi="Times New Roman"/>
                <w:b/>
                <w:noProof/>
                <w:sz w:val="24"/>
                <w:szCs w:val="24"/>
              </w:rPr>
              <w:t>Den nationella kontaktpunktens roll bör stärkas</w:t>
            </w:r>
            <w:r>
              <w:rPr>
                <w:rFonts w:ascii="Times New Roman" w:hAnsi="Times New Roman"/>
                <w:noProof/>
                <w:sz w:val="24"/>
                <w:szCs w:val="24"/>
              </w:rPr>
              <w:t xml:space="preserve"> så att den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har ett särskilt team och ett institutionellt mandat som säkerställer politisk tyngd, effektiv tvärsektoriell samordning och integrering av frågor om romers jämlikhet och inkludering i all offentlig verksamhet på regional och lokal nivå,</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kan involveras (av de myndigheter som förvaltar EU-medel) i samordningen av mellanstatliga diskussionerna om fördelningen av EU-medel för romer och i den systematiska övervakningen av deras användning (t.ex. genom övervakningskommittéer, undersökningar av konsekvenserna för romers inkludering),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säkerställa nationellt samråd och nationell dialog som ger romer (särskilt ungdomar och kvinnor) egenmakt, och</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se till att offentlig verksamhet och samhällsservice verkligen når ut till romer, även till dem som bor i avlägsna landsbygdsområden (t.ex. nödåtgärder och medelsiktiga åtgärder i kristider, lagstiftningsreformer, politisk planering för utbildning, sysselsättning, hälso- och sjukvård, bostäder, andra områden av betydelse för socioekonomisk inkludering, sociala tjänster, transporter, minimiinkomstsystem, lagstiftning mot diskriminering).</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Vid utformningen och genomförandet av nationella strategiska ramar för romer bör medlemsstaterna beakta de </w:t>
      </w:r>
      <w:r>
        <w:rPr>
          <w:rFonts w:ascii="Times New Roman" w:hAnsi="Times New Roman"/>
          <w:b/>
          <w:noProof/>
          <w:sz w:val="24"/>
          <w:szCs w:val="24"/>
        </w:rPr>
        <w:t>gemensamma grundprinciperna</w:t>
      </w:r>
      <w:r>
        <w:rPr>
          <w:rFonts w:ascii="Times New Roman" w:hAnsi="Times New Roman"/>
          <w:noProof/>
          <w:sz w:val="24"/>
          <w:szCs w:val="24"/>
        </w:rPr>
        <w:t xml:space="preserve"> för inkludering av romer</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Bilaga 1</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ger ytterligare </w:t>
      </w:r>
      <w:r>
        <w:rPr>
          <w:rFonts w:ascii="Times New Roman" w:hAnsi="Times New Roman"/>
          <w:b/>
          <w:noProof/>
          <w:sz w:val="24"/>
          <w:szCs w:val="24"/>
        </w:rPr>
        <w:t>vägledning för planering och genomförande av politiken</w:t>
      </w:r>
      <w:r>
        <w:rPr>
          <w:rFonts w:ascii="Times New Roman" w:hAnsi="Times New Roman"/>
          <w:noProof/>
          <w:sz w:val="24"/>
          <w:szCs w:val="24"/>
        </w:rPr>
        <w:t xml:space="preserve"> i arbetet för att bekämpa antiziganism och fattigdom i flera generationer</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främja romers delaktighet och egenmakt, synliggöra romsk mångfald och kombinera riktade insatser och integrering av ett romskt perspektiv i all offentlig verksamhet. Rekommendationen ger även vägledning om hur man bättre kan </w:t>
      </w:r>
      <w:r>
        <w:rPr>
          <w:rFonts w:ascii="Times New Roman" w:hAnsi="Times New Roman"/>
          <w:b/>
          <w:noProof/>
          <w:sz w:val="24"/>
          <w:szCs w:val="24"/>
        </w:rPr>
        <w:t>hantera nya utmaningar</w:t>
      </w:r>
      <w:r>
        <w:rPr>
          <w:rFonts w:ascii="Times New Roman" w:hAnsi="Times New Roman"/>
          <w:noProof/>
          <w:sz w:val="24"/>
          <w:szCs w:val="24"/>
        </w:rPr>
        <w:t xml:space="preserve">, däribland hur kriser som covid-19-pandemin i oproportionerligt hög grad drabbat romer, säkerställa digital inkludering och miljörättvisa. Dessutom ges vägledning om hur man kan främja (kunskaper om) romsk konst, historia och kultur samt social innovation och politiska experiment. </w:t>
      </w:r>
    </w:p>
    <w:p>
      <w:pPr>
        <w:spacing w:after="120" w:line="240" w:lineRule="auto"/>
        <w:jc w:val="both"/>
        <w:rPr>
          <w:rFonts w:ascii="Times New Roman" w:hAnsi="Times New Roman"/>
          <w:noProof/>
          <w:sz w:val="24"/>
          <w:szCs w:val="24"/>
        </w:rPr>
      </w:pPr>
      <w:r>
        <w:rPr>
          <w:rFonts w:ascii="Times New Roman" w:hAnsi="Times New Roman"/>
          <w:noProof/>
          <w:sz w:val="24"/>
          <w:szCs w:val="24"/>
        </w:rPr>
        <w:t>Kommissionen kommer att stödja medlemsstaterna i arbetet med att utveckla och genomföra deras nationella strategiska ramar för romer, inte bara genom ekonomiskt stöd och samordningsåtgärder, såsom ömsesidigt lärande eller kapacitetsuppbyggnad, utan också genom metodologiskt stöd</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och bistånd från stödprogrammet för strukturreformer för att utveckla övervaknings- och utvärderingssystem</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Medlemsstaterna kan också få stöd från FRA, jämställdhetsorgan och andra nationella människorättsinstitutioner och nationella statistikinstitut för att säkerställa/förbättra den regelbundna datainsamlingskapaciteten på nationell nivå</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EU:s stöd kommer att anpassas till nivån på medlemsstaternas åtaganden.</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Rapportering och övervakning av nationella insatser och framsteg vad gäller att uppnå målen</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För att säkerställa en effektivare datainsamling, rapportering och övervakning av framstegen när det gäller både EU-målen och de nationella mål som föreslås ovan föreslår kommissionen för första gången användning av </w:t>
      </w:r>
      <w:r>
        <w:rPr>
          <w:rFonts w:ascii="Times New Roman" w:hAnsi="Times New Roman"/>
          <w:b/>
          <w:bCs/>
          <w:noProof/>
          <w:sz w:val="24"/>
          <w:szCs w:val="24"/>
        </w:rPr>
        <w:t>en uppsättning indikatorer</w:t>
      </w:r>
      <w:r>
        <w:rPr>
          <w:rFonts w:ascii="Times New Roman" w:hAnsi="Times New Roman"/>
          <w:noProof/>
          <w:sz w:val="24"/>
          <w:szCs w:val="24"/>
        </w:rPr>
        <w:t xml:space="preserve"> (se bilaga 2). Detta skulle vara av verkligt värde för det ömsesidiga lärandet mellan medlemsstaterna. Denna uppsättning indikatorer har utarbetats av en arbetsgrupp för indikatorer och rapportering avseende romers jämlikhet , inkludering och delaktighet (under samordning av FRA); i denna arbetsgrupp ingår nationella kontaktpunkter för frågor som rör romer, nationella statistikmyndigheter och kommissionen Detta upplägg kommer också att möjliggöra rapportering om de åtgärder som anges i förslaget till rådets rekommendation.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Rapportering om och övervakning av nationella åtgärder kommer att ske både på EU-nivå och på nationell nivå. </w:t>
      </w:r>
      <w:r>
        <w:rPr>
          <w:rFonts w:ascii="Times New Roman" w:hAnsi="Times New Roman"/>
          <w:b/>
          <w:bCs/>
          <w:noProof/>
          <w:sz w:val="24"/>
          <w:szCs w:val="24"/>
        </w:rPr>
        <w:t>Under 2022 kommer kommissionen att utvärdera nationella strategiska ramar för romer</w:t>
      </w:r>
      <w:r>
        <w:rPr>
          <w:rFonts w:ascii="Times New Roman" w:hAnsi="Times New Roman"/>
          <w:noProof/>
          <w:sz w:val="24"/>
          <w:szCs w:val="24"/>
        </w:rPr>
        <w:t xml:space="preserve">, bedöma medlemsstaternas åtaganden och ge vägledning för eventuella förbättringar som behövs. </w:t>
      </w:r>
    </w:p>
    <w:p>
      <w:pPr>
        <w:spacing w:after="120" w:line="240" w:lineRule="auto"/>
        <w:jc w:val="both"/>
        <w:rPr>
          <w:rFonts w:ascii="Times New Roman" w:hAnsi="Times New Roman"/>
          <w:noProof/>
          <w:sz w:val="24"/>
          <w:szCs w:val="24"/>
        </w:rPr>
      </w:pPr>
      <w:r>
        <w:rPr>
          <w:rFonts w:ascii="Times New Roman" w:hAnsi="Times New Roman"/>
          <w:b/>
          <w:bCs/>
          <w:noProof/>
          <w:sz w:val="24"/>
          <w:szCs w:val="24"/>
        </w:rPr>
        <w:t>Medlemsstaterna uppmanas</w:t>
      </w:r>
      <w:r>
        <w:rPr>
          <w:rFonts w:ascii="Times New Roman" w:hAnsi="Times New Roman"/>
          <w:noProof/>
          <w:sz w:val="24"/>
          <w:szCs w:val="24"/>
        </w:rPr>
        <w:t xml:space="preserve"> att vartannat år från och med 2023 </w:t>
      </w:r>
      <w:r>
        <w:rPr>
          <w:rFonts w:ascii="Times New Roman" w:hAnsi="Times New Roman"/>
          <w:b/>
          <w:bCs/>
          <w:noProof/>
          <w:sz w:val="24"/>
          <w:szCs w:val="24"/>
        </w:rPr>
        <w:t>rapportera om genomförandet av nationella strategiska ramar för romer</w:t>
      </w:r>
      <w:r>
        <w:rPr>
          <w:rFonts w:ascii="Times New Roman" w:hAnsi="Times New Roman"/>
          <w:noProof/>
          <w:sz w:val="24"/>
          <w:szCs w:val="24"/>
        </w:rPr>
        <w:t xml:space="preserve">, inbegripet åtgärder för att främja jämlikhet, inkludering och deltagande och fullt ut utnyttja portföljen med indikatorer. Rapporteringen bör inriktas på genomförandet av de åtaganden som anges i de nationella ramarna, inbegripet uppnåendet av nationella mål, när så är lämpligt. För ökad transparens och för att främja policylärande bör deras rapporter vara offentliga. De strategiska ramarna och slutrapporterna bör även diskuteras i ländernas parlament.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Kommissionen uppmanar </w:t>
      </w:r>
      <w:r>
        <w:rPr>
          <w:rFonts w:ascii="Times New Roman" w:hAnsi="Times New Roman"/>
          <w:b/>
          <w:bCs/>
          <w:noProof/>
          <w:sz w:val="24"/>
          <w:szCs w:val="24"/>
        </w:rPr>
        <w:t>Europeiska unionens byrå för grundläggande rättigheter (FRA)</w:t>
      </w:r>
      <w:r>
        <w:rPr>
          <w:rFonts w:ascii="Times New Roman" w:hAnsi="Times New Roman"/>
          <w:noProof/>
          <w:sz w:val="24"/>
          <w:szCs w:val="24"/>
        </w:rPr>
        <w:t xml:space="preserve"> att genomföra den </w:t>
      </w:r>
      <w:r>
        <w:rPr>
          <w:rFonts w:ascii="Times New Roman" w:hAnsi="Times New Roman"/>
          <w:b/>
          <w:bCs/>
          <w:noProof/>
          <w:sz w:val="24"/>
          <w:szCs w:val="24"/>
        </w:rPr>
        <w:t>återkommande enkäten om romer</w:t>
      </w:r>
      <w:r>
        <w:rPr>
          <w:rFonts w:ascii="Times New Roman" w:hAnsi="Times New Roman"/>
          <w:noProof/>
          <w:sz w:val="24"/>
          <w:szCs w:val="24"/>
        </w:rPr>
        <w:t xml:space="preserve"> vart fjärde år från och med 2020 så att det finns tillräckliga uppgifter om utgångsläge, läge efter halva genomförandet och slutläge för att man ska kunna mäta förändringar</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FRA uppmanas också att stödja medlemsstaternas datainsamling och rapportering, bland annat genom arbetsgruppen för indikatorer och rapportering om romer, och bidra till kommissionens övervakning och analys av nationella framsteg.</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De nationella rapporterna kommer, tillsammans med bidrag från det civila samhället och FRA:s uppgifter, att ligga till grund för kommissionens </w:t>
      </w:r>
      <w:r>
        <w:rPr>
          <w:rFonts w:ascii="Times New Roman" w:hAnsi="Times New Roman"/>
          <w:b/>
          <w:bCs/>
          <w:noProof/>
          <w:sz w:val="24"/>
          <w:szCs w:val="24"/>
        </w:rPr>
        <w:t>återkommande övervakningsrapporter</w:t>
      </w:r>
      <w:r>
        <w:rPr>
          <w:rFonts w:ascii="Times New Roman" w:hAnsi="Times New Roman"/>
          <w:noProof/>
          <w:sz w:val="24"/>
          <w:szCs w:val="24"/>
        </w:rPr>
        <w:t xml:space="preserve"> som sammanställs vartannat år. Kommissionen kommer också att göra en </w:t>
      </w:r>
      <w:r>
        <w:rPr>
          <w:rFonts w:ascii="Times New Roman" w:hAnsi="Times New Roman"/>
          <w:b/>
          <w:bCs/>
          <w:noProof/>
          <w:sz w:val="24"/>
          <w:szCs w:val="24"/>
        </w:rPr>
        <w:t>halvtidsutvärdering</w:t>
      </w:r>
      <w:r>
        <w:rPr>
          <w:rFonts w:ascii="Times New Roman" w:hAnsi="Times New Roman"/>
          <w:noProof/>
          <w:sz w:val="24"/>
          <w:szCs w:val="24"/>
        </w:rPr>
        <w:t xml:space="preserve"> och en </w:t>
      </w:r>
      <w:r>
        <w:rPr>
          <w:rFonts w:ascii="Times New Roman" w:hAnsi="Times New Roman"/>
          <w:b/>
          <w:bCs/>
          <w:noProof/>
          <w:sz w:val="24"/>
          <w:szCs w:val="24"/>
        </w:rPr>
        <w:t>efterhandsutvärdering</w:t>
      </w:r>
      <w:r>
        <w:rPr>
          <w:rFonts w:ascii="Times New Roman" w:hAnsi="Times New Roman"/>
          <w:noProof/>
          <w:sz w:val="24"/>
          <w:szCs w:val="24"/>
        </w:rPr>
        <w:t xml:space="preserve"> av EU:s strategiska ram för romer.</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EU-insatser</w:t>
      </w:r>
    </w:p>
    <w:p>
      <w:pPr>
        <w:spacing w:after="120" w:line="240" w:lineRule="auto"/>
        <w:jc w:val="both"/>
        <w:rPr>
          <w:rFonts w:ascii="Times New Roman" w:hAnsi="Times New Roman"/>
          <w:noProof/>
          <w:sz w:val="24"/>
          <w:szCs w:val="24"/>
        </w:rPr>
      </w:pPr>
      <w:r>
        <w:rPr>
          <w:rFonts w:ascii="Times New Roman" w:hAnsi="Times New Roman"/>
          <w:noProof/>
          <w:sz w:val="24"/>
          <w:szCs w:val="24"/>
        </w:rPr>
        <w:t>Medlemsstaterna är viktiga aktörer för att möjliggöra förändringar på fältet för romer. EU:s insatser och stöd kommer att komplettera de nationella insatserna för att främja att EU-målen och delmålen kan uppnås senast 2030.</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Se till att EU-lagstiftningen efterlevs</w:t>
      </w:r>
    </w:p>
    <w:p>
      <w:pPr>
        <w:spacing w:after="120" w:line="240" w:lineRule="auto"/>
        <w:jc w:val="both"/>
        <w:rPr>
          <w:rFonts w:ascii="Times New Roman" w:hAnsi="Times New Roman"/>
          <w:noProof/>
          <w:sz w:val="24"/>
          <w:szCs w:val="24"/>
        </w:rPr>
      </w:pPr>
      <w:r>
        <w:rPr>
          <w:rFonts w:ascii="Times New Roman" w:hAnsi="Times New Roman"/>
          <w:noProof/>
          <w:sz w:val="24"/>
          <w:szCs w:val="24"/>
        </w:rPr>
        <w:t>Åtgärder för att bekämpa antiziganism och diskriminering av romer bygger på en etablerad rättslig ram inom EU, inbegripet de allmänna principerna om icke-diskriminering och jämlikhet i fördragen, som bekräftas i EU:s stadga om de grundläggande rättigheterna</w:t>
      </w:r>
      <w:r>
        <w:rPr>
          <w:rStyle w:val="FootnoteReference"/>
          <w:rFonts w:ascii="Times New Roman" w:hAnsi="Times New Roman"/>
          <w:noProof/>
          <w:sz w:val="24"/>
          <w:szCs w:val="24"/>
        </w:rPr>
        <w:footnoteReference w:id="40"/>
      </w:r>
      <w:r>
        <w:rPr>
          <w:rFonts w:ascii="Times New Roman" w:hAnsi="Times New Roman"/>
          <w:noProof/>
          <w:sz w:val="24"/>
          <w:szCs w:val="24"/>
        </w:rPr>
        <w:t>, samt direktivet om likabehandling oavsett ras</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och rådets rambeslut om rasism och främlingsfientlighet</w:t>
      </w:r>
      <w:r>
        <w:rPr>
          <w:rFonts w:ascii="Times New Roman" w:hAnsi="Times New Roman"/>
          <w:noProof/>
          <w:sz w:val="24"/>
          <w:szCs w:val="24"/>
          <w:vertAlign w:val="superscript"/>
        </w:rPr>
        <w:footnoteReference w:id="42"/>
      </w:r>
      <w:r>
        <w:rPr>
          <w:rFonts w:ascii="Times New Roman" w:hAnsi="Times New Roman"/>
          <w:noProof/>
          <w:sz w:val="24"/>
          <w:szCs w:val="24"/>
        </w:rPr>
        <w:t>. Såsom framhålls i EU:s handlingsplan mot rasism 2020–2025 kräver ett övergripande system för skydd mot diskriminering först och främst ett effektivt genomförande av den rättsliga ramen, för att säkerställa att individuella rättigheter och skyldigheter respekteras i praktiken. Detta arbete går utöver frågan om romernas situation, men kommer att vara till direkt nytta för de romska befolkningsgrupperna.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Kommissionen kommer att fortsätta att övervaka och säkerställa efterlevnaden av </w:t>
      </w:r>
      <w:r>
        <w:rPr>
          <w:rFonts w:ascii="Times New Roman" w:hAnsi="Times New Roman"/>
          <w:b/>
          <w:bCs/>
          <w:noProof/>
          <w:sz w:val="24"/>
          <w:szCs w:val="24"/>
        </w:rPr>
        <w:t>direktivet om likabehandling oavsett ras</w:t>
      </w:r>
      <w:r>
        <w:rPr>
          <w:rFonts w:ascii="Times New Roman" w:hAnsi="Times New Roman"/>
          <w:noProof/>
          <w:sz w:val="24"/>
          <w:szCs w:val="24"/>
        </w:rPr>
        <w:t xml:space="preserve"> genom att undersöka systematisk diskriminering och vid behov inleda överträdelseförfaranden för att påskynda ändringar av nationell lagstiftning och politik. </w:t>
      </w:r>
      <w:r>
        <w:rPr>
          <w:rFonts w:ascii="Times New Roman" w:hAnsi="Times New Roman"/>
          <w:noProof/>
          <w:sz w:val="24"/>
        </w:rPr>
        <w:t>Under de senaste åren har särskild uppmärksamhet ägnats åt diskriminering av romska barn i utbildning.</w:t>
      </w:r>
      <w:r>
        <w:rPr>
          <w:rFonts w:ascii="Times New Roman" w:hAnsi="Times New Roman"/>
          <w:noProof/>
          <w:sz w:val="24"/>
          <w:szCs w:val="24"/>
        </w:rPr>
        <w:t xml:space="preserve"> Kommissionen kommer att tillhandahålla vägledning och utbildning och erbjuda ekonomiskt stöd för insamling av uppgifter om jämlikhet och för ett effektivt genomförande och säkerställande av efterlevnaden av direktivet, bland annat genom att företräda offers intressen. Såsom tillkännagavs i EU:s handlingsplan mot rasism kommer kommissionen att rapportera om tillämpningen av direktivet</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under 2021 och följa upp med eventuell lagstiftning senast 2022. Vidare kommer kommissionen att fortsätta att stödja jämlikhetsorganens insatser. De ger i sitt arbete hög prioritet</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åt att försöka förbättra romernas situation och erfarenhet. Kommissionen kommer att övervaka genomförandet av kommissionens rekommendation om standarder för jämlikhetsorgan</w:t>
      </w:r>
      <w:r>
        <w:rPr>
          <w:rStyle w:val="FootnoteReference"/>
          <w:rFonts w:ascii="Times New Roman" w:hAnsi="Times New Roman"/>
          <w:noProof/>
          <w:sz w:val="24"/>
          <w:szCs w:val="24"/>
        </w:rPr>
        <w:footnoteReference w:id="45"/>
      </w:r>
      <w:r>
        <w:rPr>
          <w:rFonts w:ascii="Times New Roman" w:hAnsi="Times New Roman"/>
          <w:noProof/>
          <w:sz w:val="24"/>
          <w:szCs w:val="24"/>
        </w:rPr>
        <w:t>. Jämlikhetsorganens roll och oberoende och det eventuella behovet av ny lagstiftning för att stärka jämlikhetsorganens roll kommer att vara viktiga frågor i 2021 års rapport.</w:t>
      </w:r>
    </w:p>
    <w:p>
      <w:pPr>
        <w:spacing w:after="60" w:line="240" w:lineRule="auto"/>
        <w:jc w:val="both"/>
        <w:rPr>
          <w:rFonts w:ascii="Times New Roman" w:hAnsi="Times New Roman"/>
          <w:b/>
          <w:i/>
          <w:noProof/>
          <w:sz w:val="24"/>
          <w:szCs w:val="24"/>
        </w:rPr>
      </w:pPr>
      <w:r>
        <w:rPr>
          <w:rFonts w:ascii="Times New Roman" w:hAnsi="Times New Roman"/>
          <w:noProof/>
          <w:sz w:val="24"/>
          <w:szCs w:val="24"/>
        </w:rPr>
        <w:t>Kommissionen kommer också att fortsätta sitt arbete med att förebygga och bekämpa rasism och främlingsfientlighet, särskilt genom att stärka registreringen och rapporteringen av hatbrott med stöd av FRA, förbättra de brottsbekämpande myndigheternas utbildningsstrategier och stärka stödet till offer för hatbrott. Enligt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upplever romerna en hög grad (30 % av respondenterna av romskt ursprung) av hatmotiverade trakasserier. Kommissionen upprepar sitt åtagande att säkerställa ett fullständigt och korrekt införlivande och genomförande av</w:t>
      </w:r>
      <w:r>
        <w:rPr>
          <w:rFonts w:ascii="Times New Roman" w:hAnsi="Times New Roman"/>
          <w:b/>
          <w:bCs/>
          <w:noProof/>
          <w:sz w:val="24"/>
          <w:szCs w:val="24"/>
        </w:rPr>
        <w:t xml:space="preserve"> rådets rambeslut om rasism och främlingsfientlighet</w:t>
      </w:r>
      <w:r>
        <w:rPr>
          <w:rFonts w:ascii="Times New Roman" w:hAnsi="Times New Roman"/>
          <w:noProof/>
          <w:sz w:val="24"/>
          <w:szCs w:val="24"/>
        </w:rPr>
        <w:t xml:space="preserve"> och vid behov inleda överträdelseförfaranden</w:t>
      </w:r>
      <w:r>
        <w:rPr>
          <w:rFonts w:ascii="Times New Roman" w:hAnsi="Times New Roman"/>
          <w:noProof/>
          <w:sz w:val="24"/>
          <w:szCs w:val="24"/>
          <w:vertAlign w:val="superscript"/>
        </w:rPr>
        <w:footnoteReference w:id="47"/>
      </w:r>
      <w:r>
        <w:rPr>
          <w:rFonts w:ascii="Times New Roman" w:hAnsi="Times New Roman"/>
          <w:noProof/>
          <w:sz w:val="24"/>
          <w:szCs w:val="24"/>
        </w:rPr>
        <w:t>. Som en förutsättning för kampen mot antiziganism måste de miniminormer som fastställts för kriminalisering av hatpropaganda och förnekande, urskuldande eller trivialisering av förintelsen införlivas fullt ut och korrekt i medlemsstaternas lagstiftning. Precis som andra med etnisk eller rasrelaterad minoritetsbakgrund påverkas romerna av hatpropaganda på nätet, och antiziganism är en av de vanligaste grunderna för hatpropaganda. Kommissionen kommer att fortsätta att samarbeta med it-företag för att motverka olaglig hatpropaganda på nätet och utvidga insatserna till andra sociala medieplattformar</w:t>
      </w:r>
      <w:r>
        <w:rPr>
          <w:rStyle w:val="FootnoteReference"/>
          <w:rFonts w:ascii="Times New Roman" w:hAnsi="Times New Roman"/>
          <w:noProof/>
          <w:sz w:val="24"/>
          <w:szCs w:val="24"/>
        </w:rPr>
        <w:footnoteReference w:id="48"/>
      </w:r>
      <w:r>
        <w:rPr>
          <w:rFonts w:ascii="Times New Roman" w:hAnsi="Times New Roman"/>
          <w:noProof/>
          <w:sz w:val="24"/>
          <w:szCs w:val="24"/>
        </w:rPr>
        <w:t>. Rambeslutet kompletteras av direktivet om brottsoffers rättigheter</w:t>
      </w:r>
      <w:r>
        <w:rPr>
          <w:rStyle w:val="FootnoteReference"/>
          <w:rFonts w:ascii="Times New Roman" w:hAnsi="Times New Roman"/>
          <w:noProof/>
          <w:sz w:val="24"/>
          <w:szCs w:val="24"/>
        </w:rPr>
        <w:footnoteReference w:id="49"/>
      </w:r>
      <w:r>
        <w:rPr>
          <w:rFonts w:ascii="Times New Roman" w:hAnsi="Times New Roman"/>
          <w:noProof/>
          <w:sz w:val="24"/>
          <w:szCs w:val="24"/>
        </w:rPr>
        <w:t>, som bland annat ska säkerställa rättvisa, skydd och stöd för personer som har utsatts för hatbrott och hatpropaganda. EU:s strategi för brottsoffers rättigheter (2020–2025) tar upp de särskilda behoven hos offer för hatbrott, däribland romer</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Integrera jämlikhet för romer i EU:s politiska initiativ och mobilisera EU-medel för romer</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Integrering av romers jämlikhet, inkludering och delaktighet i alla relevanta kommissionsinitiativ kommer att vara avgörande för att uppnå de mål som fastställs i denna strategiska ram. Vid utformningen av strategier – från socioekonomisk inkludering till artificiell intelligens, från den gröna given till digital inkludering, och från åtgärder mot hatpropaganda till migrationspolitik – innebär integrering av jämlikhetsperspektivet även att man säkerställer att EU-politiken och den nationella politiken </w:t>
      </w:r>
      <w:r>
        <w:rPr>
          <w:rFonts w:ascii="Times New Roman" w:hAnsi="Times New Roman"/>
          <w:b/>
          <w:bCs/>
          <w:noProof/>
          <w:sz w:val="24"/>
          <w:szCs w:val="24"/>
        </w:rPr>
        <w:t>tillvaratar intressen för alla romer</w:t>
      </w:r>
      <w:r>
        <w:rPr>
          <w:rFonts w:ascii="Times New Roman" w:hAnsi="Times New Roman"/>
          <w:noProof/>
          <w:sz w:val="24"/>
          <w:szCs w:val="24"/>
        </w:rPr>
        <w:t xml:space="preserve">. Som en del av sin verksamhet för att främja jämlikhet för alla, och i alla bemärkelser, kommer kommissionens interna arbetsgrupp för jämlikhet att sträva efter att se till att kampen mot diskriminering på grund av ras eller etniskt ursprung och dess samspel med andra diskrimineringsgrunder integreras i </w:t>
      </w:r>
      <w:r>
        <w:rPr>
          <w:rFonts w:ascii="Times New Roman" w:hAnsi="Times New Roman"/>
          <w:b/>
          <w:bCs/>
          <w:noProof/>
          <w:sz w:val="24"/>
          <w:szCs w:val="24"/>
        </w:rPr>
        <w:t>politik, lagstiftning och finansieringsprogram överlag</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Vid genomförandet av EU:s handlingsplan mot rasism 2020–2025 kommer det romska perspektivet hela tiden att beaktas. Vägledning och utbildning om integrering av jämlikhetsperspektivet kommer att utformas för att stödja alla som är involverade i detta arbete i varje etapp av EU:s insatser, och ett mer aktivt samråd med organisationer som företräder romer kommer att främjas i hela kommissionens policycykel.</w:t>
      </w:r>
    </w:p>
    <w:p>
      <w:pPr>
        <w:spacing w:after="120" w:line="240" w:lineRule="auto"/>
        <w:jc w:val="both"/>
        <w:rPr>
          <w:rFonts w:ascii="Times New Roman" w:hAnsi="Times New Roman"/>
          <w:noProof/>
          <w:sz w:val="24"/>
          <w:szCs w:val="24"/>
        </w:rPr>
      </w:pPr>
      <w:r>
        <w:rPr>
          <w:rFonts w:ascii="Times New Roman" w:hAnsi="Times New Roman"/>
          <w:b/>
          <w:noProof/>
          <w:sz w:val="24"/>
          <w:szCs w:val="24"/>
        </w:rPr>
        <w:t>Arbetsgruppen för romska frågor</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kommer att fortsätta att involvera kommissionsavdelningar på olika nivåer inom viktiga prioriterade områden, så som effektiv användning av EU-medel för att främja romers jämlikhet och inkludering.</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Som en del av </w:t>
      </w:r>
      <w:r>
        <w:rPr>
          <w:rFonts w:ascii="Times New Roman" w:hAnsi="Times New Roman"/>
          <w:b/>
          <w:bCs/>
          <w:noProof/>
          <w:sz w:val="24"/>
          <w:szCs w:val="24"/>
        </w:rPr>
        <w:t>NextGenerationEU</w:t>
      </w:r>
      <w:r>
        <w:rPr>
          <w:rFonts w:ascii="Times New Roman" w:hAnsi="Times New Roman"/>
          <w:noProof/>
          <w:sz w:val="24"/>
          <w:szCs w:val="24"/>
        </w:rPr>
        <w:t xml:space="preserve"> kommer den nya faciliteten för återhämtning och resiliens att stödja investeringar och reformer som är väsentliga för långsiktig återhämtning och främja ekonomisk och social resiliens och sammanhållning. För att få stöd måste medlemsstaterna utforma planer för återhämtning och resiliens som bland annat tar upp de ekonomiska och sociala konsekvenserna av krisen, den digitala och gröna omställningen och de relevanta prioriteringar som fastställs i de landspecifika rekommendationerna inom ramen för den europeiska planeringsterminen. Detta stöd kommer att ge medlemsstaterna möjlighet att främja inkludering av marginaliserade grupper, inklusive romer och andra människor med minoritetsbakgrund vad gäller ras eller etniskt ursprung. Kommissionens förslag till </w:t>
      </w:r>
      <w:r>
        <w:rPr>
          <w:rFonts w:ascii="Times New Roman" w:hAnsi="Times New Roman"/>
          <w:b/>
          <w:bCs/>
          <w:noProof/>
          <w:sz w:val="24"/>
          <w:szCs w:val="24"/>
        </w:rPr>
        <w:t>flerårig budgetram</w:t>
      </w:r>
      <w:r>
        <w:rPr>
          <w:rFonts w:ascii="Times New Roman" w:hAnsi="Times New Roman"/>
          <w:noProof/>
          <w:sz w:val="24"/>
          <w:szCs w:val="24"/>
        </w:rPr>
        <w:t xml:space="preserve"> främjar inkluderingen av romer och kampen mot diskriminering, särskilt genom Europeiska socialfonden + (ESF +), Europeiska regionala utvecklingsfonden (Eruf) och Europeiska jordbruksfonden för landsbygdsutveckling (Ejflu). År 2019 betonade kommissionen vikten av integrering av romer i flera landspecifika rapporter inom ramen för den </w:t>
      </w:r>
      <w:r>
        <w:rPr>
          <w:rFonts w:ascii="Times New Roman" w:hAnsi="Times New Roman"/>
          <w:b/>
          <w:bCs/>
          <w:noProof/>
          <w:sz w:val="24"/>
          <w:szCs w:val="24"/>
        </w:rPr>
        <w:t>europeiska planeringsterminen</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Detta bör återspeglas och åtgärdas i programmen för 2021–2027.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Kommissionens förslag till förordningarna om </w:t>
      </w:r>
      <w:r>
        <w:rPr>
          <w:rFonts w:ascii="Times New Roman" w:hAnsi="Times New Roman"/>
          <w:b/>
          <w:noProof/>
          <w:sz w:val="24"/>
          <w:szCs w:val="24"/>
        </w:rPr>
        <w:t>gemensamma bestämmelser,</w:t>
      </w:r>
      <w:r>
        <w:rPr>
          <w:rFonts w:ascii="Times New Roman" w:hAnsi="Times New Roman"/>
          <w:noProof/>
          <w:sz w:val="24"/>
          <w:szCs w:val="24"/>
        </w:rPr>
        <w:t xml:space="preserve"> </w:t>
      </w:r>
      <w:r>
        <w:rPr>
          <w:rFonts w:ascii="Times New Roman" w:hAnsi="Times New Roman"/>
          <w:b/>
          <w:noProof/>
          <w:sz w:val="24"/>
          <w:szCs w:val="24"/>
        </w:rPr>
        <w:t>ESF+-, ERDF- och EAFRD-förordningarna</w:t>
      </w:r>
      <w:r>
        <w:rPr>
          <w:rStyle w:val="FootnoteReference"/>
          <w:rFonts w:cs="Times New Roman"/>
          <w:noProof/>
        </w:rPr>
        <w:footnoteReference w:id="54"/>
      </w:r>
      <w:r>
        <w:rPr>
          <w:rFonts w:ascii="Times New Roman" w:hAnsi="Times New Roman"/>
          <w:noProof/>
          <w:sz w:val="24"/>
          <w:szCs w:val="24"/>
        </w:rPr>
        <w: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tillhandahålla ekonomiskt stöd för genomförandet av nationella strategiska ramar och åtgärder för romer, inbegripet mänsklig kapacitet, infrastruktur och kapacitetsuppbyggnad.</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se till att alla program främjar lika möjligheter för alla utan diskriminering på grund av kön, ras eller etniskt ursprung, religion eller övertygelse, funktionshinder, ålder eller sexuell läggning under hela utarbetandet, genomförandet, övervakningen och utvärderingen.</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begära uppfyllande av tematiska (nationell strategisk ram för romer, nationell strategisk policyram för social delaktighet och fattigdomsminskning) och övergripande (stadgan om de grundläggande rättigheterna) nödvändiga villkor under perioden 2021–2027,</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kräva att minst 25% av ESF+-medlen främjar social inkludering, med säkerställande av att ett minimibelopp avsätts för de mest behövande, och</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betona ”partnerskapsprincipen”, dvs. deltagande av alla berörda parter, inbegripet organ som företräder social inkludering, icke-diskriminering och grundläggande rättigheter samt det civila samhällets organisationer, i utarbetandet och genomförandet av program och partnerskapsavtal samt i övervakningskommittéerna.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Medlemsstaterna har en nyckelroll när det gäller att utforma offentlig politik och maximera användningen av finansieringsprogram till stöd för romer, eftersom merparten av EU:s budget genomförs av medlemsstaterna genom delad förvaltning. Kommissionen uppmanar därför medlemsstaterna att avsätta medel inom den fleråriga budgetramen 2021–2027 och  NextGenerationEU för att hantera utmaningarna och tillgodose romernas behov, i syfte att genomföra de åtaganden som gjorts i deras nationella strategiska ramar för romer. Kommissionen kommer att sträva efter att se till att landspecifika utmaningar som identifieras i den europeiska planeringsterminen hanteras på lämpligt sätt i de kommande partnerskapsavtalen, och att åtgärder som främjar jämlikhet och inkludering genomförs via operativa program. Kommissionen kommer att noga övervaka att det i sådana medlemsstater finns en tudelad strategi för att å ena sidan göra tjänster inkluderande och å andra sidan tillhandahålla riktade program för marginaliserade romska befolkningsgrupper, och att detta återspeglas i programplaneringsdokumenten för 2021–2027. De nödvändiga villkor som är tillämpliga med avseende på vissa EU-fonder 2021–2027 syftar till att säkerställa respekten för de grundläggande rättigheterna samt romers jämlikhet, inkludering och delaktighet. </w:t>
      </w:r>
    </w:p>
    <w:p>
      <w:pPr>
        <w:spacing w:after="120" w:line="240" w:lineRule="auto"/>
        <w:jc w:val="both"/>
        <w:rPr>
          <w:rFonts w:ascii="Times New Roman" w:hAnsi="Times New Roman"/>
          <w:noProof/>
          <w:sz w:val="24"/>
          <w:szCs w:val="24"/>
        </w:rPr>
      </w:pPr>
      <w:r>
        <w:rPr>
          <w:rFonts w:ascii="Times New Roman" w:hAnsi="Times New Roman"/>
          <w:noProof/>
          <w:sz w:val="24"/>
          <w:szCs w:val="24"/>
        </w:rPr>
        <w:t>För att öka effektiviteten och ändamålsenligheten när det gäller insatser med anknytning till romer kommer kommissionen att stödja gränsöverskridande lärande om både politik och finansiering, såsom nätverket EURoma</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av förvaltningsmyndigheter och nationella kontaktpunkter för romer.</w:t>
      </w:r>
    </w:p>
    <w:p>
      <w:pPr>
        <w:spacing w:line="240" w:lineRule="auto"/>
        <w:jc w:val="both"/>
        <w:rPr>
          <w:rFonts w:ascii="Times New Roman" w:hAnsi="Times New Roman"/>
          <w:noProof/>
          <w:sz w:val="24"/>
          <w:szCs w:val="24"/>
        </w:rPr>
      </w:pPr>
      <w:r>
        <w:rPr>
          <w:rFonts w:ascii="Times New Roman" w:hAnsi="Times New Roman"/>
          <w:noProof/>
          <w:sz w:val="24"/>
          <w:szCs w:val="24"/>
        </w:rPr>
        <w:t>InvestEU-programmet</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kan på området sociala investeringar och kompetens också bidra till socioekonomisk inkludering av marginaliserade grupper, däribland romer. Detta kan ske genom innovativa finansieringsmetoder såsom obligationer med sociala verkningar och resultatinriktade projekt, bland annat genom en kombination med EU-bidrag och/eller finansieringsinstrument från sektorsspecifika program eller en kombination av olika flöden av EU-finansiering. Kommissionen kommer att genomföra riktade pilotinitiativ i syfte att testa och demonstrera arbetsmetoder med avseende på konkreta inkluderingsaspekter (boende, sysselsättning, social trygghet) genom användning av innovativa finansieringsmetoder, som skulle kunna införas/utvidgas eller kopieras via större program på nationell nivå eller EU-nivå. Medlemsstaterna kommer att kunna söka tekniskt stöd till stöd för integrering av romers jämlikhet i det politiska beslutsfattandet och reformprocesser genom instrumentet för tekniskt stöd.</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EU:s insatser och stöd för att främja romers deltagande, inkludering och mångfald</w:t>
      </w:r>
    </w:p>
    <w:p>
      <w:pPr>
        <w:spacing w:after="120" w:line="240" w:lineRule="auto"/>
        <w:jc w:val="both"/>
        <w:rPr>
          <w:rFonts w:ascii="Times New Roman" w:hAnsi="Times New Roman"/>
          <w:noProof/>
          <w:sz w:val="24"/>
          <w:szCs w:val="24"/>
        </w:rPr>
      </w:pPr>
      <w:r>
        <w:rPr>
          <w:rFonts w:ascii="Times New Roman" w:hAnsi="Times New Roman"/>
          <w:noProof/>
          <w:sz w:val="24"/>
        </w:rPr>
        <w:t xml:space="preserve">I EU:s handlingsplan mot rasism 2020–2025 åtog sig kommissionen att föregå med gott exempel som institution genom att vidta åtgärder för att avsevärt </w:t>
      </w:r>
      <w:r>
        <w:rPr>
          <w:rFonts w:ascii="Times New Roman" w:hAnsi="Times New Roman"/>
          <w:b/>
          <w:bCs/>
          <w:noProof/>
          <w:sz w:val="24"/>
        </w:rPr>
        <w:t>förbättra representativiteten hos kommissionens personal genom åtgärder inriktade på rekrytering och urval</w:t>
      </w:r>
      <w:r>
        <w:rPr>
          <w:rFonts w:ascii="Times New Roman" w:hAnsi="Times New Roman"/>
          <w:noProof/>
          <w:sz w:val="24"/>
        </w:rPr>
        <w:t xml:space="preserve">. </w:t>
      </w:r>
      <w:r>
        <w:rPr>
          <w:rFonts w:ascii="Times New Roman" w:hAnsi="Times New Roman"/>
          <w:noProof/>
          <w:sz w:val="24"/>
          <w:szCs w:val="24"/>
        </w:rPr>
        <w:t>I samband med att kommissionen genomför dessa åtgärder kommer den att se till att de tillämpas med avseende på romer. Kommissionen uppmanar övriga EU-institutioner att vidta åtgärder för att främja mångfald och inkludering på sina respektive arbetsplatser.</w:t>
      </w:r>
    </w:p>
    <w:p>
      <w:pPr>
        <w:spacing w:after="120" w:line="240" w:lineRule="auto"/>
        <w:jc w:val="both"/>
        <w:rPr>
          <w:rFonts w:ascii="Times New Roman" w:hAnsi="Times New Roman"/>
          <w:noProof/>
          <w:sz w:val="24"/>
          <w:szCs w:val="24"/>
        </w:rPr>
      </w:pPr>
      <w:r>
        <w:rPr>
          <w:rFonts w:ascii="Times New Roman" w:hAnsi="Times New Roman"/>
          <w:noProof/>
          <w:sz w:val="24"/>
          <w:szCs w:val="24"/>
        </w:rPr>
        <w:t>Kommissionen kommer att anordna regelbundna möten med företrädare för medlemsstaterna</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och </w:t>
      </w:r>
      <w:r>
        <w:rPr>
          <w:rFonts w:ascii="Times New Roman" w:hAnsi="Times New Roman"/>
          <w:b/>
          <w:noProof/>
          <w:sz w:val="24"/>
          <w:szCs w:val="24"/>
        </w:rPr>
        <w:t>civilsamhällesorganisationer på EU-nivå och internationella organisationer</w:t>
      </w:r>
      <w:r>
        <w:rPr>
          <w:rFonts w:ascii="Times New Roman" w:hAnsi="Times New Roman"/>
          <w:noProof/>
          <w:sz w:val="24"/>
          <w:szCs w:val="24"/>
        </w:rPr>
        <w:t xml:space="preserve">, med ett starkare mandat när det gäller ömsesidigt lärande. Kommissionen kommer även se till att det sker regelbundna utbyten mellan berörda parter. Kommissionen kommer att fortsätta att anordna möten om </w:t>
      </w:r>
      <w:r>
        <w:rPr>
          <w:rFonts w:ascii="Times New Roman" w:hAnsi="Times New Roman"/>
          <w:b/>
          <w:noProof/>
          <w:sz w:val="24"/>
          <w:szCs w:val="24"/>
        </w:rPr>
        <w:t>sammanhållningspolitiken</w:t>
      </w:r>
      <w:r>
        <w:rPr>
          <w:rFonts w:ascii="Times New Roman" w:hAnsi="Times New Roman"/>
          <w:noProof/>
          <w:sz w:val="24"/>
          <w:szCs w:val="24"/>
        </w:rPr>
        <w:t xml:space="preserve"> med civilsamhällesorganisationer (”strukturerad dialog”) under 2021–2027. Den kommer att hålla slutna dialogmöten med romska civilsamhällesorganisationer om utvecklingen av sammanhållningspolitiken.</w:t>
      </w:r>
    </w:p>
    <w:p>
      <w:pPr>
        <w:spacing w:after="120" w:line="240" w:lineRule="auto"/>
        <w:jc w:val="both"/>
        <w:rPr>
          <w:rFonts w:ascii="Times New Roman" w:hAnsi="Times New Roman"/>
          <w:noProof/>
          <w:sz w:val="24"/>
          <w:szCs w:val="24"/>
        </w:rPr>
      </w:pPr>
      <w:r>
        <w:rPr>
          <w:rFonts w:ascii="Times New Roman" w:hAnsi="Times New Roman"/>
          <w:noProof/>
          <w:sz w:val="24"/>
          <w:szCs w:val="24"/>
        </w:rPr>
        <w:t>Kommissionen kommer, i enlighet med vad Europaparlamentet har föreslagit</w:t>
      </w:r>
      <w:r>
        <w:rPr>
          <w:rStyle w:val="FootnoteReference"/>
          <w:rFonts w:ascii="Times New Roman" w:hAnsi="Times New Roman"/>
          <w:noProof/>
          <w:sz w:val="24"/>
          <w:szCs w:val="24"/>
        </w:rPr>
        <w:footnoteReference w:id="58"/>
      </w:r>
      <w:r>
        <w:rPr>
          <w:rFonts w:ascii="Times New Roman" w:hAnsi="Times New Roman"/>
          <w:noProof/>
          <w:sz w:val="24"/>
          <w:szCs w:val="24"/>
        </w:rPr>
        <w:t xml:space="preserve">, att lansera en ny omgång kapacitetsuppbyggnad för romska civilsamhällesorganisationer </w:t>
      </w:r>
      <w:r>
        <w:rPr>
          <w:rFonts w:ascii="Times New Roman" w:hAnsi="Times New Roman"/>
          <w:b/>
          <w:noProof/>
          <w:sz w:val="24"/>
          <w:szCs w:val="24"/>
        </w:rPr>
        <w:t xml:space="preserve"> </w:t>
      </w:r>
      <w:r>
        <w:rPr>
          <w:rFonts w:ascii="Times New Roman" w:hAnsi="Times New Roman"/>
          <w:noProof/>
          <w:sz w:val="24"/>
          <w:szCs w:val="24"/>
        </w:rPr>
        <w:noBreakHyphen/>
        <w:t xml:space="preserve">så att en </w:t>
      </w:r>
      <w:r>
        <w:rPr>
          <w:rFonts w:ascii="Times New Roman" w:hAnsi="Times New Roman"/>
          <w:b/>
          <w:noProof/>
          <w:sz w:val="24"/>
          <w:szCs w:val="24"/>
        </w:rPr>
        <w:t>samordnad och oberoende insyn och rapportering</w:t>
      </w:r>
      <w:r>
        <w:rPr>
          <w:rFonts w:ascii="Times New Roman" w:hAnsi="Times New Roman"/>
          <w:noProof/>
          <w:sz w:val="24"/>
          <w:szCs w:val="24"/>
        </w:rPr>
        <w:t xml:space="preserve">, med utgångspunkt i lärdomarna från </w:t>
      </w:r>
      <w:hyperlink r:id="rId16" w:history="1">
        <w:r>
          <w:rPr>
            <w:rStyle w:val="Hyperlink"/>
            <w:rFonts w:ascii="Times New Roman" w:hAnsi="Times New Roman"/>
            <w:i/>
            <w:iCs/>
            <w:noProof/>
            <w:sz w:val="24"/>
            <w:szCs w:val="24"/>
          </w:rPr>
          <w:t>Roma Civil Monitor</w:t>
        </w:r>
      </w:hyperlink>
      <w:r>
        <w:rPr>
          <w:rFonts w:ascii="Times New Roman" w:hAnsi="Times New Roman"/>
          <w:noProof/>
          <w:sz w:val="24"/>
          <w:szCs w:val="24"/>
        </w:rPr>
        <w:t xml:space="preserve">-projektet (2017–2020). Samordnade och oberoende rapporter om övervakningen från civilsamhällets sida ska enligt planerna upprättas vartannat år från och med 2022. </w:t>
      </w:r>
    </w:p>
    <w:p>
      <w:pPr>
        <w:spacing w:after="120" w:line="240" w:lineRule="auto"/>
        <w:jc w:val="both"/>
        <w:rPr>
          <w:rFonts w:ascii="Times New Roman" w:hAnsi="Times New Roman"/>
          <w:noProof/>
          <w:sz w:val="24"/>
          <w:szCs w:val="24"/>
        </w:rPr>
      </w:pPr>
      <w:r>
        <w:rPr>
          <w:rFonts w:ascii="Times New Roman" w:hAnsi="Times New Roman"/>
          <w:noProof/>
          <w:sz w:val="24"/>
          <w:szCs w:val="24"/>
        </w:rPr>
        <w:t>Kommissionen kommer att sträva efter att maximera inflytandet för den</w:t>
      </w:r>
      <w:r>
        <w:rPr>
          <w:rFonts w:ascii="Times New Roman" w:hAnsi="Times New Roman"/>
          <w:b/>
          <w:noProof/>
          <w:sz w:val="24"/>
          <w:szCs w:val="24"/>
        </w:rPr>
        <w:t>europeiska romaplattformen</w:t>
      </w:r>
      <w:r>
        <w:rPr>
          <w:rStyle w:val="FootnoteReference"/>
          <w:rFonts w:ascii="Times New Roman" w:hAnsi="Times New Roman"/>
          <w:b/>
          <w:noProof/>
          <w:sz w:val="24"/>
          <w:szCs w:val="24"/>
        </w:rPr>
        <w:footnoteReference w:id="59"/>
      </w:r>
      <w:r>
        <w:rPr>
          <w:rFonts w:ascii="Times New Roman" w:hAnsi="Times New Roman"/>
          <w:noProof/>
          <w:sz w:val="24"/>
          <w:szCs w:val="24"/>
        </w:rPr>
        <w:t>,</w:t>
      </w:r>
      <w:r>
        <w:rPr>
          <w:rFonts w:ascii="Arial" w:hAnsi="Arial"/>
          <w:noProof/>
          <w:color w:val="404040"/>
          <w:shd w:val="clear" w:color="auto" w:fill="FFFFFF"/>
        </w:rPr>
        <w:t xml:space="preserve"> </w:t>
      </w:r>
      <w:r>
        <w:rPr>
          <w:rFonts w:ascii="Times New Roman" w:hAnsi="Times New Roman"/>
          <w:noProof/>
          <w:sz w:val="24"/>
          <w:szCs w:val="24"/>
        </w:rPr>
        <w:t>, som sammanför nationella myndigheter, EU, internationella organisationer och företrädare för det romska civilsamhället och syftar till att stimulera samarbete och utbyte av erfarenheter. Den kommer att anordna tematiska, landspecifika och regionala översyner av nationella strategiska ramar på grundval av resultaten av projektet Roma Civil Monitor och nationella övervakningsrapporter.</w:t>
      </w:r>
    </w:p>
    <w:p>
      <w:pPr>
        <w:spacing w:after="120" w:line="240" w:lineRule="auto"/>
        <w:jc w:val="both"/>
        <w:rPr>
          <w:rFonts w:ascii="Times New Roman" w:hAnsi="Times New Roman"/>
          <w:noProof/>
          <w:sz w:val="24"/>
          <w:szCs w:val="24"/>
        </w:rPr>
      </w:pPr>
      <w:r>
        <w:rPr>
          <w:rFonts w:ascii="Times New Roman" w:hAnsi="Times New Roman"/>
          <w:noProof/>
          <w:sz w:val="24"/>
          <w:szCs w:val="24"/>
        </w:rPr>
        <w:t>Genom sin finansiering av de nationella plattformarna för romer kommer kommissionen att främja en reform av dessa</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särskilt genom att göra dem mer representativa för den nationella romska befolkningen. De kan utvidgas till att omfatta nya aktörer (t.ex. organisationer som arbetar med barns rättigheter, den privata sektorn) för att möjliggöra nytt lärande, frigöra potentialen till social innovation, förändra attityder och åstadkomma varaktiga sociala förändringar. För att uppmuntra ett </w:t>
      </w:r>
      <w:r>
        <w:rPr>
          <w:rFonts w:ascii="Times New Roman" w:hAnsi="Times New Roman"/>
          <w:b/>
          <w:noProof/>
          <w:sz w:val="24"/>
          <w:szCs w:val="24"/>
        </w:rPr>
        <w:t>aktivt engagemang bland romer, särskilt bland romska kvinnor och ungdomar</w:t>
      </w:r>
      <w:r>
        <w:rPr>
          <w:rFonts w:ascii="Times New Roman" w:hAnsi="Times New Roman"/>
          <w:noProof/>
          <w:sz w:val="24"/>
          <w:szCs w:val="24"/>
        </w:rPr>
        <w:t xml:space="preserve">, bör en plattformsrepresentant väljas för att säkerställa kontakter över gränserna mellan nationella och europeiska romaplattformar, samtidigt som romska ungdomar bör erbjudas särskilda praktikplatser eller lägre befattningar inom de nationella strukturer som är knutna till genomförandet av nationella romaplattformar. Synergier med andra EU-initiativ, nationella eller internationella initiativ, särskilt projektet om civilsamhällets övervakning, bör tas till vara för att främja ömsesidiga lärdomar och policyöverföring.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EU-insatser och stöd för att främja jämlikhet och bekämpa antiziganism</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För att understödja romers jämlikhet genom att motverka antiziganism kommer kommissionen att stödja verksamhet som </w:t>
      </w:r>
      <w:r>
        <w:rPr>
          <w:rFonts w:ascii="Times New Roman" w:hAnsi="Times New Roman"/>
          <w:b/>
          <w:noProof/>
          <w:sz w:val="24"/>
          <w:szCs w:val="24"/>
        </w:rPr>
        <w:t>främjar positiva narrativ</w:t>
      </w:r>
      <w:r>
        <w:rPr>
          <w:noProof/>
        </w:rPr>
        <w:t xml:space="preserve"> </w:t>
      </w:r>
      <w:r>
        <w:rPr>
          <w:rFonts w:ascii="Times New Roman" w:hAnsi="Times New Roman"/>
          <w:noProof/>
          <w:sz w:val="24"/>
          <w:szCs w:val="24"/>
        </w:rPr>
        <w:t xml:space="preserve">och romska förebilder, </w:t>
      </w:r>
      <w:r>
        <w:rPr>
          <w:rFonts w:ascii="Times New Roman" w:hAnsi="Times New Roman"/>
          <w:b/>
          <w:noProof/>
          <w:sz w:val="24"/>
          <w:szCs w:val="24"/>
        </w:rPr>
        <w:t>bekämpar negativa stereotyper,</w:t>
      </w:r>
      <w:r>
        <w:rPr>
          <w:rFonts w:ascii="Times New Roman" w:hAnsi="Times New Roman"/>
          <w:noProof/>
          <w:sz w:val="24"/>
          <w:szCs w:val="24"/>
        </w:rPr>
        <w:t xml:space="preserve"> stärker </w:t>
      </w:r>
      <w:r>
        <w:rPr>
          <w:rFonts w:ascii="Times New Roman" w:hAnsi="Times New Roman"/>
          <w:b/>
          <w:noProof/>
          <w:sz w:val="24"/>
          <w:szCs w:val="24"/>
        </w:rPr>
        <w:t>medvetenheten om romsk historia och kultur</w:t>
      </w:r>
      <w:r>
        <w:rPr>
          <w:rFonts w:ascii="Times New Roman" w:hAnsi="Times New Roman"/>
          <w:noProof/>
          <w:sz w:val="24"/>
          <w:szCs w:val="24"/>
        </w:rPr>
        <w:t xml:space="preserve"> samt främjar</w:t>
      </w:r>
      <w:r>
        <w:rPr>
          <w:rFonts w:ascii="Times New Roman" w:hAnsi="Times New Roman"/>
          <w:b/>
          <w:noProof/>
          <w:sz w:val="24"/>
          <w:szCs w:val="24"/>
        </w:rPr>
        <w:t xml:space="preserve">sanning och försoning </w:t>
      </w:r>
      <w:r>
        <w:rPr>
          <w:rFonts w:ascii="Times New Roman" w:hAnsi="Times New Roman"/>
          <w:noProof/>
          <w:sz w:val="24"/>
          <w:szCs w:val="24"/>
        </w:rPr>
        <w:t xml:space="preserve">inom ramen för </w:t>
      </w:r>
      <w:r>
        <w:rPr>
          <w:rFonts w:ascii="Times New Roman" w:hAnsi="Times New Roman"/>
          <w:b/>
          <w:noProof/>
          <w:sz w:val="24"/>
        </w:rPr>
        <w:t>programmet för medborgare, jämlikhet, rättigheter och värden</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Kommissionen kommer att genomföra en gemensam kampanj tillsammans med Unesco för att bekämpa </w:t>
      </w:r>
      <w:r>
        <w:rPr>
          <w:rFonts w:ascii="Times New Roman" w:hAnsi="Times New Roman"/>
          <w:b/>
          <w:bCs/>
          <w:noProof/>
          <w:sz w:val="24"/>
          <w:szCs w:val="24"/>
        </w:rPr>
        <w:t>desinformation, hatpropaganda och konspirationsteorier</w:t>
      </w:r>
      <w:r>
        <w:rPr>
          <w:rFonts w:ascii="Times New Roman" w:hAnsi="Times New Roman"/>
          <w:noProof/>
          <w:sz w:val="24"/>
          <w:szCs w:val="24"/>
        </w:rPr>
        <w:t xml:space="preserve">, inklusive sådana som berör romer. Den kommer att fortsätta att stödja den privata sektorn genom EU-plattformen för mångfaldsstadgor och undersöka sätt att samarbeta med medierna för att skapa positiva budskap och främja jämlikhet och mångfald på alla områden. </w:t>
      </w:r>
      <w:r>
        <w:rPr>
          <w:rFonts w:ascii="Times New Roman" w:hAnsi="Times New Roman"/>
          <w:noProof/>
          <w:sz w:val="24"/>
        </w:rPr>
        <w:t>På grundval av befintliga erfarenheter</w:t>
      </w:r>
      <w:r>
        <w:rPr>
          <w:rFonts w:ascii="Times New Roman" w:eastAsia="Calibri" w:hAnsi="Times New Roman" w:cs="Times New Roman"/>
          <w:noProof/>
          <w:sz w:val="24"/>
          <w:vertAlign w:val="superscript"/>
        </w:rPr>
        <w:footnoteReference w:id="61"/>
      </w:r>
      <w:r>
        <w:rPr>
          <w:rFonts w:ascii="Times New Roman" w:hAnsi="Times New Roman"/>
          <w:noProof/>
          <w:sz w:val="24"/>
        </w:rPr>
        <w:t xml:space="preserve"> kommer kommissionen att utforma en rad seminarier om stereotyper grundade på ras och etnisk tillhörighet, inbegripet sådana som riktar sig mot romer, med deltagande av journalister, organisationer i civilsamhället och företrädare för grupper med minoritetsbakgrund i fråga om ras eller etnisk tillhörighet.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Kommissionens </w:t>
      </w:r>
      <w:r>
        <w:rPr>
          <w:rFonts w:ascii="Times New Roman" w:hAnsi="Times New Roman"/>
          <w:b/>
          <w:bCs/>
          <w:noProof/>
          <w:sz w:val="24"/>
          <w:szCs w:val="24"/>
        </w:rPr>
        <w:t>kommunikationsverksamhet</w:t>
      </w:r>
      <w:r>
        <w:rPr>
          <w:rFonts w:ascii="Times New Roman" w:hAnsi="Times New Roman"/>
          <w:noProof/>
          <w:sz w:val="24"/>
          <w:szCs w:val="24"/>
        </w:rPr>
        <w:t xml:space="preserve"> kommer att upplysa om fördelarna med jämlikhet och mångfald</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Kommissionen kommer att anordna en rad medvetandehöjande evenemang med fokus på medlemsstater med stora romska befolkningsgrupper, bekämpa stereotyper, främja kulturell mångfald, stärka och lyfta fram romska barn, ungdomar och kvinnor som förebilder i olika grupper samt föra samman befolkningsgrupper.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Medvetenheten om konsekvenserna av den från flera håll kommande diskrimineringen av romska kvinnor kommer att anpassas till den EU-omfattande kommunikationskampanjen om </w:t>
      </w:r>
      <w:r>
        <w:rPr>
          <w:rFonts w:ascii="Times New Roman" w:hAnsi="Times New Roman"/>
          <w:b/>
          <w:bCs/>
          <w:noProof/>
          <w:sz w:val="24"/>
          <w:szCs w:val="24"/>
        </w:rPr>
        <w:t>bekämpande av könsstereotyper</w:t>
      </w:r>
      <w:r>
        <w:rPr>
          <w:rFonts w:ascii="Times New Roman" w:hAnsi="Times New Roman"/>
          <w:noProof/>
          <w:sz w:val="24"/>
          <w:szCs w:val="24"/>
        </w:rPr>
        <w:t>, som tillämpar en intersektionell strategi på alla livets områden, som en del av jämställdhetsstrategin.</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Kommissionen kommer att göra följande:</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Säkerställa efterlevnaden av befintlig EU-lagstiftning som skyddar romer mot diskriminering och rasism och vid behov täppa till luckor.</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Integrera ett romskt perspektiv i EU:s politiska initiativ och mobilisera EU-medel för romers jämlikhet, inkludering och deltagande.</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Vidta åtgärder för att öka mångfalden bland kommissionens personal.</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Lansera en ny omgång av kapacitetsuppbyggnad för romska civilsamhällesorganisationer och stärka romska plattformar på europeisk och nationell nivå.</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Främja positiva narrativ om romer och goda förebilder, bekämpa negativa stereotyper, öka medvetenheten om romernas historia och kultur samt främja sanning och försoning.</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Främja romers jämlikhet, inkludering och delaktighet utanför EU</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EU och medlemsstaterna bör främja romernas jämlikhet, inkludering och deltagande i sina </w:t>
      </w:r>
      <w:r>
        <w:rPr>
          <w:rFonts w:ascii="Times New Roman" w:hAnsi="Times New Roman"/>
          <w:b/>
          <w:bCs/>
          <w:noProof/>
          <w:sz w:val="24"/>
          <w:szCs w:val="24"/>
        </w:rPr>
        <w:t>yttre åtgärder</w:t>
      </w:r>
      <w:r>
        <w:rPr>
          <w:rFonts w:ascii="Times New Roman" w:hAnsi="Times New Roman"/>
          <w:noProof/>
          <w:sz w:val="24"/>
          <w:szCs w:val="24"/>
        </w:rPr>
        <w:t xml:space="preserve">, särskilt inom ramen för sin utvidgnings-, grannskaps- och utvecklingspolitik samt inom ramen för sin politik på det humanitära området. </w:t>
      </w:r>
    </w:p>
    <w:p>
      <w:pPr>
        <w:spacing w:after="120" w:line="240" w:lineRule="auto"/>
        <w:jc w:val="both"/>
        <w:rPr>
          <w:rFonts w:ascii="Times New Roman" w:hAnsi="Times New Roman" w:cs="Times New Roman"/>
          <w:noProof/>
          <w:sz w:val="24"/>
          <w:szCs w:val="24"/>
        </w:rPr>
      </w:pPr>
      <w:r>
        <w:rPr>
          <w:rFonts w:ascii="Times New Roman" w:hAnsi="Times New Roman"/>
          <w:b/>
          <w:noProof/>
          <w:sz w:val="24"/>
          <w:szCs w:val="24"/>
        </w:rPr>
        <w:t>Västra Balkan</w:t>
      </w:r>
      <w:r>
        <w:rPr>
          <w:rFonts w:ascii="Times New Roman" w:hAnsi="Times New Roman"/>
          <w:noProof/>
          <w:sz w:val="24"/>
          <w:szCs w:val="24"/>
        </w:rPr>
        <w:t xml:space="preserve"> är av stor geostrategisk betydelse för EU. I kommissionens meddelande från februari 2020</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efterlyses en anpassning till EU:s politik, däribland i fråga om stödet till de mest missgynnade. Partnerländerna på västra Balkan har redan på eget initiativ anpassat sig till EU:s ram för nationella strategier för integrering av romer fram till 2020. Och de har gjort en del anmärkningsvärda framsteg. Vid toppmötet mellan EU och länderna på västra Balkan i Zagreb i maj 2020 gav EU:s ledare återigen sitt stöd för det europeiska perspektivet när det gäller västra Balkan och sin beslutsamhet att öka stödet för dess politiska, ekonomiska och sociala omvandling</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De välkomnade det starka engagemanget hos partnerländerna på västra Balkan för demokratins och rättsstatsprincipens, samt därunder även mänskliga rättigheters, jämställdhetens och minoritetsrättigheters, företräde</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Romernas närvaro på västra Balkan är betydande och liknar situationen i de EU-medlemsstater som har en betydande romsk befolkning. Det finns övertygande skäl för att behandla frågor om romernas jämlikhet, inkludering och deltagande i EU respektive på </w:t>
      </w:r>
      <w:r>
        <w:rPr>
          <w:rFonts w:ascii="Times New Roman" w:hAnsi="Times New Roman"/>
          <w:b/>
          <w:bCs/>
          <w:noProof/>
          <w:sz w:val="24"/>
          <w:szCs w:val="24"/>
        </w:rPr>
        <w:t>västra Balkan</w:t>
      </w:r>
      <w:r>
        <w:rPr>
          <w:rFonts w:ascii="Times New Roman" w:hAnsi="Times New Roman"/>
          <w:noProof/>
          <w:sz w:val="24"/>
          <w:szCs w:val="24"/>
        </w:rPr>
        <w:t xml:space="preserve"> på samma sätt, inbegripet tillämpning av samma mål för perioden fram till 2030. I juli 2019 antog premiärministrarna på västra Balkan en </w:t>
      </w:r>
      <w:r>
        <w:rPr>
          <w:rFonts w:ascii="Times New Roman" w:hAnsi="Times New Roman"/>
          <w:b/>
          <w:noProof/>
          <w:sz w:val="24"/>
          <w:szCs w:val="24"/>
        </w:rPr>
        <w:t>förklaring om integrering av romer inom ramen för EU:s utvidgningsprocess</w:t>
      </w:r>
      <w:r>
        <w:rPr>
          <w:rFonts w:ascii="Times New Roman" w:hAnsi="Times New Roman"/>
          <w:noProof/>
          <w:sz w:val="24"/>
          <w:szCs w:val="24"/>
        </w:rPr>
        <w:t>, där de åtog sig att vid anslutningen konkret ha förbättrat romernas situation när det gäller utbildning, sysselsättning, hälso- och sjukvård , boende, folkbokföring och icke-diskriminering</w:t>
      </w:r>
      <w:r>
        <w:rPr>
          <w:rStyle w:val="FootnoteReference"/>
          <w:noProof/>
        </w:rPr>
        <w:footnoteReference w:id="66"/>
      </w:r>
      <w:r>
        <w:rPr>
          <w:rFonts w:ascii="Times New Roman" w:hAnsi="Times New Roman"/>
          <w:noProof/>
          <w:sz w:val="24"/>
          <w:szCs w:val="24"/>
        </w:rPr>
        <w:t xml:space="preserve">. EU kommer att fortsätta att stödja genomförandet av förklaringen och arbetet med datainsamling, budgetering med hänsyn till frågor rörande romer samt kartläggning av romers bostadssituation. En gradvis anpassning till EU:s mål och metoder kommer att ingå i det europeiska perspektivet för alla länder som vill ansluta sig till EU.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Partnerna på västra Balkan lägger, i likhet med EU:s medlemsstater inom ramen för planeringsterminen, fram årliga ekonomiska reformprogram (ERP), inbegripet reformer för att öka konkurrenskraften och förbättra förutsättningarna för tillväxt för alla och skapande av arbetstillfällen. ERP-rapport om social inkludering, fattigdomsminskning och lika möjligheter, inbegripet för romer. </w:t>
      </w:r>
      <w:r>
        <w:rPr>
          <w:rFonts w:ascii="Times New Roman" w:hAnsi="Times New Roman"/>
          <w:b/>
          <w:bCs/>
          <w:noProof/>
          <w:sz w:val="24"/>
          <w:szCs w:val="24"/>
        </w:rPr>
        <w:t>Instrumentet för stöd inför anslutningen för perioden 2021–2027</w:t>
      </w:r>
      <w:r>
        <w:rPr>
          <w:rFonts w:ascii="Times New Roman" w:hAnsi="Times New Roman"/>
          <w:noProof/>
          <w:sz w:val="24"/>
          <w:szCs w:val="24"/>
        </w:rPr>
        <w:t xml:space="preserve"> kommer, när det väl har antagits, att fortsätta att stödja reformer och anpassning till EU:s krav på regional och nationell nivå. I den ekonomiska planen och investeringsplanen för västra Balkan fastställs prioriterade investeringsområden för att främja konvergens, tillväxt och konkurrenskraft i regionen, särskilt till stöd för marginaliserade grupper och minoriteter, däribland romer.</w:t>
      </w:r>
      <w:r>
        <w:rPr>
          <w:rStyle w:val="FootnoteReference"/>
          <w:rFonts w:ascii="Times New Roman" w:eastAsia="Times New Roman" w:hAnsi="Times New Roman" w:cs="Times New Roman"/>
          <w:noProof/>
          <w:sz w:val="24"/>
          <w:szCs w:val="24"/>
          <w:lang w:eastAsia="en-GB"/>
        </w:rPr>
        <w:footnoteReference w:id="67"/>
      </w:r>
      <w:r>
        <w:rPr>
          <w:noProof/>
        </w:rPr>
        <w:t>.</w:t>
      </w:r>
      <w:r>
        <w:rPr>
          <w:rFonts w:ascii="Times New Roman" w:hAnsi="Times New Roman"/>
          <w:noProof/>
          <w:sz w:val="24"/>
          <w:szCs w:val="24"/>
        </w:rPr>
        <w:t xml:space="preserve"> Ytterligare relevanta EU-medel, med anknytning till återhämtningen efter covid-19 eller andra stödåtgärder inom ramen för yttre förbindelser, såsom instrumentet för grannskapspolitik, utvecklingssamarbete och internationellt samarbete, kommer också att mobiliseras för att främja inkluderingen av romer </w:t>
      </w:r>
      <w:r>
        <w:rPr>
          <w:rStyle w:val="FootnoteReference"/>
          <w:rFonts w:ascii="Times New Roman" w:hAnsi="Times New Roman" w:cs="Times New Roman"/>
          <w:noProof/>
          <w:sz w:val="24"/>
          <w:szCs w:val="24"/>
        </w:rPr>
        <w:footnoteReference w:id="68"/>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EU kommer att fortsätta att främja icke-diskriminering och jämlikhet i helt världen på grundval av EU:s strategiska ram</w:t>
      </w:r>
      <w:r>
        <w:rPr>
          <w:rStyle w:val="FootnoteReference"/>
          <w:rFonts w:ascii="Times New Roman" w:hAnsi="Times New Roman"/>
          <w:noProof/>
          <w:sz w:val="24"/>
          <w:szCs w:val="24"/>
        </w:rPr>
        <w:footnoteReference w:id="69"/>
      </w:r>
      <w:r>
        <w:rPr>
          <w:rFonts w:ascii="Times New Roman" w:hAnsi="Times New Roman"/>
          <w:noProof/>
          <w:sz w:val="24"/>
          <w:szCs w:val="24"/>
        </w:rPr>
        <w:t>, EU:s</w:t>
      </w:r>
      <w:r>
        <w:rPr>
          <w:rFonts w:ascii="Times New Roman" w:hAnsi="Times New Roman"/>
          <w:b/>
          <w:noProof/>
          <w:sz w:val="24"/>
          <w:szCs w:val="24"/>
        </w:rPr>
        <w:t xml:space="preserve"> handlingsplan om mänskliga rättigheter och demokrati (2020-2024)</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och EU:s handlingsplaner för jämställdhet</w:t>
      </w:r>
      <w:r>
        <w:rPr>
          <w:rStyle w:val="FootnoteReference"/>
          <w:rFonts w:ascii="Times New Roman" w:hAnsi="Times New Roman"/>
          <w:noProof/>
          <w:sz w:val="24"/>
          <w:szCs w:val="24"/>
        </w:rPr>
        <w:footnoteReference w:id="71"/>
      </w:r>
      <w:r>
        <w:rPr>
          <w:rFonts w:ascii="Times New Roman" w:hAnsi="Times New Roman"/>
          <w:noProof/>
          <w:sz w:val="24"/>
          <w:szCs w:val="24"/>
        </w:rPr>
        <w:t>, och att beakta frågor rörande romer vid genomförandet av 2019 års EU-</w:t>
      </w:r>
      <w:r>
        <w:rPr>
          <w:rFonts w:ascii="Times New Roman" w:hAnsi="Times New Roman"/>
          <w:b/>
          <w:noProof/>
          <w:sz w:val="24"/>
          <w:szCs w:val="24"/>
        </w:rPr>
        <w:t>riktlinjer om icke-diskriminering inom de yttre åtgärderna</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EU:s insatser kommer att komplettera nationella initiativ och stödja det civila samhället. Jämlikhet för och integrering av romer kommer att vara en återkommande punkt på dagordningen i människorättsdialoger och andra politiska dialoger med länder utanför EU som har en betydande romsk befolkning. EU kommer att fortsätta sitt aktiva engagemang för jämlikhet för romer i regionala och multilaterala forum, särskilt Europarådet, Organisationen för säkerhet och samarbete i Europa och Förenta nationerna.</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Slutsats</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Romerna har bidragit till Europas kulturella rikedom, mångfald, ekonomi och gemensamma historia i århundraden. EU har en skyldighet att skydda sin romska minoritet mot diskriminering, antiziganism och social utestängning. För att uppnå jämlikhet, inkludering och delaktighet för romer krävs att alla EU-institutioner, nationella regeringar och EU-organ, jämlikhetsorgan och andra människorättsinstitutioner går samman och vidtar åtgärder i partnerskap med det civila samhället och internationella organisationer, och att romerna själva deltar fullt ut i detta. Kommissionen uppmanar Europaparlamentet att stödja denna strategiska ram och uppmanar rådet att arbeta för ett snabbt antagande av den föreslagna </w:t>
      </w:r>
      <w:r>
        <w:rPr>
          <w:rFonts w:ascii="Times New Roman" w:hAnsi="Times New Roman"/>
          <w:b/>
          <w:bCs/>
          <w:noProof/>
          <w:sz w:val="24"/>
          <w:szCs w:val="24"/>
        </w:rPr>
        <w:t>rekommendationen om romers jämlikhet, inkludering och deltagande</w:t>
      </w:r>
      <w:r>
        <w:rPr>
          <w:rFonts w:ascii="Times New Roman" w:hAnsi="Times New Roman"/>
          <w:noProof/>
          <w:sz w:val="24"/>
          <w:szCs w:val="24"/>
        </w:rPr>
        <w:t>, vilket skulle säkerställa att medlemsstaterna och kommissionen arbetar sida vid sida. Genom att arbeta tillsammans kan vi göra verkliga framsteg fram till 2030 för att få till stånd ett Europa där romska individer och befolkningsgrupper, i all sin mångfald, har lika möjligheter på alla områden i livet och kan dra nytta av socioekonomisk integration och delta på lika villkor i samhället.</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17</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i/>
        </w:rPr>
        <w:t>En jämlikhetsunion:</w:t>
      </w:r>
      <w:r>
        <w:rPr>
          <w:rFonts w:ascii="Times New Roman" w:hAnsi="Times New Roman"/>
        </w:rPr>
        <w:t xml:space="preserve"> EU:s handlingsplan mot rasism 2020–2025,</w:t>
      </w:r>
      <w:hyperlink r:id="rId1" w:history="1">
        <w:r>
          <w:rPr>
            <w:rStyle w:val="Hyperlink"/>
            <w:rFonts w:ascii="Times New Roman" w:hAnsi="Times New Roman"/>
          </w:rPr>
          <w:t xml:space="preserve"> COM(2020) 565 final</w:t>
        </w:r>
      </w:hyperlink>
      <w:r>
        <w:rPr>
          <w:rFonts w:ascii="Times New Roman" w:hAnsi="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”Romer” används som paraplyterm för flera olika folkgrupper med romskt ursprung, t.ex. Rom, Sinti, Kale, Romanichels och Boyash/Rudari. Det omfattar även grupper som ashkali, egyptier, yenish, dom, lom, rom och abdal, men också resandegrupper, inbegripet etniska resande och dem som förs in under det administrativa begreppet ”Gens du voyage”, liksom personer som identifierar sig själva som zigenare, utan att förneka dessa gruppers särdrag.</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tab/>
        <w:t xml:space="preserve">Se </w:t>
      </w:r>
      <w:hyperlink r:id="rId2" w:history="1">
        <w:r>
          <w:rPr>
            <w:rStyle w:val="Hyperlink"/>
            <w:rFonts w:ascii="Times New Roman" w:hAnsi="Times New Roman"/>
          </w:rPr>
          <w:t>Europarådets beräkningar</w:t>
        </w:r>
      </w:hyperlink>
      <w:r>
        <w:t xml:space="preserve"> från 2012</w:t>
      </w:r>
      <w:r>
        <w:rPr>
          <w:rStyle w:val="Hyperlink"/>
          <w:rFonts w:ascii="Times New Roman" w:hAnsi="Times New Roman"/>
        </w:rPr>
        <w:t xml:space="preserve">. </w:t>
      </w:r>
    </w:p>
  </w:footnote>
  <w:footnote w:id="4">
    <w:p>
      <w:pPr>
        <w:pStyle w:val="FootnoteText"/>
        <w:ind w:left="284" w:hanging="284"/>
        <w:contextualSpacing/>
        <w:jc w:val="both"/>
      </w:pPr>
      <w:r>
        <w:rPr>
          <w:rStyle w:val="FootnoteReference"/>
        </w:rPr>
        <w:footnoteRef/>
      </w:r>
      <w:r>
        <w:tab/>
      </w:r>
      <w:r>
        <w:rPr>
          <w:rFonts w:ascii="Times New Roman" w:hAnsi="Times New Roman"/>
          <w:sz w:val="19"/>
          <w:szCs w:val="19"/>
        </w:rPr>
        <w:t xml:space="preserve">Antiziganism (en form av rasism som drabbar romer) är ett strukturellt fenomen med historiska rötter som kan visa sig på institutionell, social och interpersonell nivå. Den har sitt ursprung i hur majoritetsbefolkningen ser på och behandlar de som betraktas som ”zigenare”. Den uppstår genom en process av ”andrafiering” som bygger både negativa och positiva exotiserande stereotyper. Även om det råder enighet om vad antiziganism innebär bland dem som vill skärpa bekämpningen av denna form av rasism har själva termen debatterats. Europaparlamentet (i sina resolutioner från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och </w:t>
      </w:r>
      <w:hyperlink r:id="rId6" w:history="1">
        <w:r>
          <w:rPr>
            <w:rStyle w:val="Hyperlink"/>
            <w:rFonts w:ascii="Times New Roman" w:hAnsi="Times New Roman"/>
            <w:sz w:val="19"/>
            <w:szCs w:val="19"/>
          </w:rPr>
          <w:t>2020</w:t>
        </w:r>
      </w:hyperlink>
      <w:r>
        <w:rPr>
          <w:rFonts w:ascii="Times New Roman" w:hAnsi="Times New Roman"/>
          <w:sz w:val="19"/>
          <w:szCs w:val="19"/>
        </w:rPr>
        <w:t xml:space="preserve">), kommissionen (i sina </w:t>
      </w:r>
      <w:hyperlink r:id="rId7" w:history="1">
        <w:r>
          <w:rPr>
            <w:rFonts w:ascii="Times New Roman" w:hAnsi="Times New Roman"/>
            <w:color w:val="0000FF" w:themeColor="hyperlink"/>
            <w:sz w:val="19"/>
            <w:szCs w:val="19"/>
            <w:u w:val="single"/>
          </w:rPr>
          <w:t>årliga meddelanden</w:t>
        </w:r>
      </w:hyperlink>
      <w:r>
        <w:rPr>
          <w:rFonts w:ascii="Times New Roman" w:hAnsi="Times New Roman"/>
          <w:sz w:val="19"/>
          <w:szCs w:val="19"/>
        </w:rPr>
        <w:t xml:space="preserve"> mellan 2015 och 2019 och i sitt </w:t>
      </w:r>
      <w:hyperlink r:id="rId8" w:history="1">
        <w:r>
          <w:rPr>
            <w:rFonts w:ascii="Times New Roman" w:hAnsi="Times New Roman"/>
            <w:color w:val="0000FF" w:themeColor="hyperlink"/>
            <w:sz w:val="19"/>
            <w:szCs w:val="19"/>
            <w:u w:val="single"/>
          </w:rPr>
          <w:t>sammanfattande dokument</w:t>
        </w:r>
      </w:hyperlink>
      <w:r>
        <w:rPr>
          <w:rFonts w:ascii="Times New Roman" w:hAnsi="Times New Roman"/>
          <w:sz w:val="19"/>
          <w:szCs w:val="19"/>
        </w:rPr>
        <w:t xml:space="preserve">) från 2018, rådet (i sin rekommendation från </w:t>
      </w:r>
      <w:hyperlink r:id="rId9" w:history="1">
        <w:r>
          <w:rPr>
            <w:rFonts w:ascii="Times New Roman" w:hAnsi="Times New Roman"/>
            <w:color w:val="0000FF" w:themeColor="hyperlink"/>
            <w:sz w:val="19"/>
            <w:szCs w:val="19"/>
            <w:u w:val="single"/>
          </w:rPr>
          <w:t>2013</w:t>
        </w:r>
      </w:hyperlink>
      <w:r>
        <w:rPr>
          <w:rFonts w:ascii="Times New Roman" w:hAnsi="Times New Roman"/>
          <w:sz w:val="19"/>
          <w:szCs w:val="19"/>
        </w:rPr>
        <w:t xml:space="preserve"> och i sina slutsatser från </w:t>
      </w:r>
      <w:hyperlink r:id="rId10" w:history="1">
        <w:r>
          <w:rPr>
            <w:rFonts w:ascii="Times New Roman" w:hAnsi="Times New Roman"/>
            <w:color w:val="0000FF" w:themeColor="hyperlink"/>
            <w:sz w:val="19"/>
            <w:szCs w:val="19"/>
            <w:u w:val="single"/>
          </w:rPr>
          <w:t>2016</w:t>
        </w:r>
      </w:hyperlink>
      <w:r>
        <w:rPr>
          <w:rFonts w:ascii="Times New Roman" w:hAnsi="Times New Roman"/>
          <w:sz w:val="19"/>
          <w:szCs w:val="19"/>
        </w:rPr>
        <w:t xml:space="preserve">) och </w:t>
      </w:r>
      <w:hyperlink r:id="rId11" w:history="1">
        <w:r>
          <w:rPr>
            <w:rFonts w:ascii="Times New Roman" w:hAnsi="Times New Roman"/>
            <w:color w:val="0000FF" w:themeColor="hyperlink"/>
            <w:sz w:val="19"/>
            <w:szCs w:val="19"/>
            <w:u w:val="single"/>
          </w:rPr>
          <w:t>Europarådet</w:t>
        </w:r>
      </w:hyperlink>
      <w:r>
        <w:rPr>
          <w:rFonts w:ascii="Times New Roman" w:hAnsi="Times New Roman"/>
          <w:sz w:val="19"/>
          <w:szCs w:val="19"/>
        </w:rPr>
        <w:t xml:space="preserve"> har erkänt antiziganism som ett hinder för inkludering, och därmed vikten av att hantera detta problem. </w:t>
      </w:r>
      <w:r>
        <w:rPr>
          <w:rFonts w:ascii="Times New Roman" w:hAnsi="Times New Roman"/>
        </w:rPr>
        <w:t xml:space="preserve">Kommissionen använder den stavning som föreslås av </w:t>
      </w:r>
      <w:hyperlink r:id="rId12" w:history="1">
        <w:r>
          <w:rPr>
            <w:rFonts w:ascii="Times New Roman" w:hAnsi="Times New Roman"/>
            <w:color w:val="0000FF" w:themeColor="hyperlink"/>
            <w:sz w:val="19"/>
            <w:szCs w:val="19"/>
            <w:u w:val="single"/>
          </w:rPr>
          <w:t>Alliance against Antigypsyism</w:t>
        </w:r>
      </w:hyperlink>
      <w:r>
        <w:rPr>
          <w:rFonts w:ascii="Times New Roman" w:hAnsi="Times New Roman"/>
        </w:rPr>
        <w:t>, men inser att olika termer kan vara lämpliga i olika nationella sammanhang.</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COM(2011) 173 final</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Nationella kontaktpunkter för den nationella strategin för romer som har rätt att samordna utveckling och genomförande på nationell nivå. Efter antagandet av EU-ramen utsågs de i alla medlemsstater, utom Malta som inte har någon romsk befolkning.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Rådets rekommendation av den 9 december 2013 om verkningsfulla åtgärder för integrering av romer i medlemsstaterna</w:t>
      </w:r>
      <w:r>
        <w:t xml:space="preserve"> (</w:t>
      </w:r>
      <w:hyperlink r:id="rId14" w:history="1">
        <w:r>
          <w:rPr>
            <w:rStyle w:val="Hyperlink"/>
            <w:rFonts w:ascii="Times New Roman" w:hAnsi="Times New Roman"/>
          </w:rPr>
          <w:t>(EUT C 378, 24.12.2013, s. 1</w:t>
        </w:r>
      </w:hyperlink>
      <w:r>
        <w:rPr>
          <w:rFonts w:ascii="Times New Roman" w:hAnsi="Times New Roman"/>
        </w:rPr>
        <w:t xml:space="preserve">).. </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Vilket framgår av utvärderingen av ramen: </w:t>
      </w:r>
      <w:hyperlink r:id="rId15" w:history="1">
        <w:r>
          <w:rPr>
            <w:rStyle w:val="Hyperlink"/>
            <w:rFonts w:ascii="Times New Roman" w:hAnsi="Times New Roman"/>
          </w:rPr>
          <w:t>COM(2018) 785 final</w:t>
        </w:r>
      </w:hyperlink>
      <w:r>
        <w:rPr>
          <w:rFonts w:ascii="Times New Roman" w:hAnsi="Times New Roman"/>
        </w:rPr>
        <w:t xml:space="preserve">, </w:t>
      </w:r>
      <w:hyperlink r:id="rId16"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Rapport om utvärderingen av EU-ramen för nationella strategier för integrering av romer fram till 2020</w:t>
      </w:r>
      <w:r>
        <w:t xml:space="preserve">, </w:t>
      </w:r>
      <w:hyperlink r:id="rId17" w:history="1">
        <w:r>
          <w:rPr>
            <w:rStyle w:val="Hyperlink"/>
            <w:rFonts w:ascii="Times New Roman" w:hAnsi="Times New Roman"/>
          </w:rPr>
          <w:t>COM(2018) 785 final</w:t>
        </w:r>
      </w:hyperlink>
      <w:r>
        <w:t>.</w:t>
      </w:r>
    </w:p>
  </w:footnote>
  <w:footnote w:id="10">
    <w:p>
      <w:pPr>
        <w:pStyle w:val="FootnoteText"/>
        <w:ind w:left="284" w:hanging="284"/>
        <w:jc w:val="both"/>
      </w:pPr>
      <w:r>
        <w:rPr>
          <w:rStyle w:val="FootnoteReference"/>
        </w:rPr>
        <w:footnoteRef/>
      </w:r>
      <w:r>
        <w:tab/>
      </w:r>
      <w:r>
        <w:rPr>
          <w:rFonts w:ascii="Times New Roman" w:hAnsi="Times New Roman"/>
        </w:rPr>
        <w:t xml:space="preserve"> Kommissionen har med stöd av rådets direktiv </w:t>
      </w:r>
      <w:hyperlink r:id="rId18" w:history="1">
        <w:r>
          <w:rPr>
            <w:rStyle w:val="Hyperlink"/>
            <w:rFonts w:ascii="Times New Roman" w:hAnsi="Times New Roman"/>
          </w:rPr>
          <w:t>2000/43/EG</w:t>
        </w:r>
      </w:hyperlink>
      <w:r>
        <w:rPr>
          <w:rFonts w:ascii="Times New Roman" w:hAnsi="Times New Roman"/>
        </w:rPr>
        <w:t xml:space="preserve"> av den 29 juni 2000 om genomförandet av principen om likabehandling av personer oavsett deras ras eller etniska ursprung inlett överträdelseförfaranden mot tre länder (CZ, HU och SK) för skolsegregering av romska barn</w:t>
      </w:r>
      <w:r>
        <w:t>.</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Rapport om utvärderingen av EU-ramen för nationella strategier för integrering av romer fram till 2020,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Se åtföljande arbetsdokument SWD(2020) 530 final, bilaga 1.</w:t>
      </w:r>
    </w:p>
  </w:footnote>
  <w:footnote w:id="13">
    <w:p>
      <w:pPr>
        <w:pStyle w:val="FootnoteText"/>
        <w:ind w:left="284" w:hanging="284"/>
        <w:contextualSpacing/>
        <w:jc w:val="both"/>
        <w:rPr>
          <w:rStyle w:val="FootnoteReference"/>
          <w:rFonts w:ascii="Times New Roman" w:hAnsi="Times New Roman" w:cs="Times New Roman"/>
          <w:sz w:val="19"/>
          <w:szCs w:val="19"/>
          <w:lang w:val="en-US"/>
        </w:rPr>
      </w:pPr>
      <w:r>
        <w:rPr>
          <w:rStyle w:val="FootnoteReference"/>
          <w:rFonts w:ascii="Times New Roman" w:hAnsi="Times New Roman" w:cs="Times New Roman"/>
        </w:rPr>
        <w:footnoteRef/>
      </w:r>
      <w:r>
        <w:rPr>
          <w:rStyle w:val="FootnoteReference"/>
          <w:rFonts w:ascii="Times New Roman" w:hAnsi="Times New Roman"/>
          <w:sz w:val="19"/>
          <w:szCs w:val="19"/>
          <w:lang w:val="en-US"/>
        </w:rPr>
        <w:t xml:space="preserve"> </w:t>
      </w:r>
      <w:r>
        <w:rPr>
          <w:lang w:val="en-US"/>
        </w:rPr>
        <w:tab/>
      </w:r>
      <w:hyperlink r:id="rId19" w:history="1">
        <w:r>
          <w:rPr>
            <w:rStyle w:val="Hyperlink"/>
            <w:rFonts w:ascii="Times New Roman" w:hAnsi="Times New Roman"/>
            <w:sz w:val="19"/>
            <w:szCs w:val="19"/>
            <w:lang w:val="en-US"/>
          </w:rPr>
          <w:t>COM(2019) 406</w:t>
        </w:r>
      </w:hyperlink>
      <w:r>
        <w:rPr>
          <w:rFonts w:ascii="Times New Roman" w:hAnsi="Times New Roman"/>
          <w:sz w:val="19"/>
          <w:szCs w:val="19"/>
          <w:lang w:val="en-US"/>
        </w:rPr>
        <w:t xml:space="preserve">, </w:t>
      </w:r>
      <w:hyperlink r:id="rId20" w:history="1">
        <w:r>
          <w:rPr>
            <w:rStyle w:val="Hyperlink"/>
            <w:rFonts w:ascii="Times New Roman" w:hAnsi="Times New Roman"/>
            <w:sz w:val="19"/>
            <w:szCs w:val="19"/>
            <w:lang w:val="en-US"/>
          </w:rPr>
          <w:t>SWD(2019)320</w:t>
        </w:r>
      </w:hyperlink>
      <w:r>
        <w:rPr>
          <w:rFonts w:ascii="Times New Roman" w:hAnsi="Times New Roman"/>
          <w:sz w:val="19"/>
          <w:szCs w:val="19"/>
          <w:lang w:val="en-US"/>
        </w:rPr>
        <w:t xml:space="preserve">, </w:t>
      </w:r>
      <w:hyperlink r:id="rId21" w:history="1">
        <w:r>
          <w:rPr>
            <w:rStyle w:val="Hyperlink"/>
            <w:rFonts w:ascii="Times New Roman" w:hAnsi="Times New Roman"/>
            <w:sz w:val="19"/>
            <w:szCs w:val="19"/>
            <w:lang w:val="en-US"/>
          </w:rPr>
          <w:t>alla årsrapporter</w:t>
        </w:r>
      </w:hyperlink>
      <w:r>
        <w:rPr>
          <w:rStyle w:val="Hyperlink"/>
          <w:rFonts w:ascii="Times New Roman" w:hAnsi="Times New Roman"/>
          <w:sz w:val="19"/>
          <w:szCs w:val="19"/>
          <w:u w:val="none"/>
          <w:lang w:val="en-US"/>
        </w:rPr>
        <w:t>.</w:t>
      </w:r>
    </w:p>
  </w:footnote>
  <w:footnote w:id="14">
    <w:p>
      <w:pPr>
        <w:pStyle w:val="FootnoteText"/>
        <w:ind w:left="284" w:hanging="284"/>
        <w:contextualSpacing/>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hyperlink r:id="rId22" w:history="1">
        <w:r>
          <w:rPr>
            <w:rStyle w:val="Hyperlink"/>
            <w:rFonts w:ascii="Times New Roman" w:hAnsi="Times New Roman"/>
            <w:i/>
            <w:shd w:val="clear" w:color="auto" w:fill="F7F8F6"/>
            <w:lang w:val="en-US"/>
          </w:rPr>
          <w:t>A meta-evaluation of interventions for Roma inclusion</w:t>
        </w:r>
      </w:hyperlink>
      <w:r>
        <w:rPr>
          <w:rFonts w:ascii="Times New Roman" w:hAnsi="Times New Roman"/>
          <w:lang w:val="en-US"/>
        </w:rPr>
        <w:t>.</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Se </w:t>
      </w:r>
      <w:hyperlink r:id="rId23" w:history="1">
        <w:r>
          <w:rPr>
            <w:rStyle w:val="Hyperlink"/>
            <w:rFonts w:ascii="Times New Roman" w:hAnsi="Times New Roman"/>
          </w:rPr>
          <w:t>Europaparlamentet 2020</w:t>
        </w:r>
      </w:hyperlink>
      <w:r>
        <w:rPr>
          <w:rFonts w:ascii="Times New Roman" w:hAnsi="Times New Roman"/>
        </w:rPr>
        <w:t xml:space="preserve"> </w:t>
      </w:r>
      <w:hyperlink r:id="rId24" w:history="1">
        <w:r>
          <w:rPr>
            <w:rStyle w:val="Hyperlink"/>
            <w:rFonts w:ascii="Times New Roman" w:hAnsi="Times New Roman"/>
          </w:rPr>
          <w:t>2019</w:t>
        </w:r>
      </w:hyperlink>
      <w:r>
        <w:rPr>
          <w:rFonts w:ascii="Times New Roman" w:hAnsi="Times New Roman"/>
        </w:rPr>
        <w:t xml:space="preserve">, </w:t>
      </w:r>
      <w:hyperlink r:id="rId25" w:history="1">
        <w:r>
          <w:rPr>
            <w:rStyle w:val="Hyperlink"/>
            <w:rFonts w:ascii="Times New Roman" w:hAnsi="Times New Roman"/>
          </w:rPr>
          <w:t>rådet</w:t>
        </w:r>
      </w:hyperlink>
      <w:r>
        <w:rPr>
          <w:rStyle w:val="Hyperlink"/>
          <w:rFonts w:ascii="Times New Roman" w:hAnsi="Times New Roman"/>
          <w:u w:val="none"/>
        </w:rPr>
        <w:t>,</w:t>
      </w:r>
      <w:r>
        <w:rPr>
          <w:rFonts w:ascii="Times New Roman" w:hAnsi="Times New Roman"/>
        </w:rPr>
        <w:t xml:space="preserve"> </w:t>
      </w:r>
      <w:hyperlink r:id="rId26" w:history="1">
        <w:r>
          <w:rPr>
            <w:rStyle w:val="Hyperlink"/>
            <w:rFonts w:ascii="Times New Roman" w:hAnsi="Times New Roman"/>
          </w:rPr>
          <w:t>det civila samhället</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Enligt artikel 10 i fördraget om Europeiska unionens funktionssätt (EUF-fördraget) ska unionen vid ”utformningen och genomförandet av sin politik och verksamhet [ ... ] söka bekämpa all diskriminering på grund av kön, ras eller etniskt ursprung, religion eller övertygelse, funktionshinder, ålder eller sexuell läggning”. Europeiska jämställdhetsinstitutet definierar ”intersektionalitet” som ett ”analytiskt verktyg för att studera, förstå och agera utifrån de sätt på vilka kön och genus samvarierar med andra personliga egenskaper/identiteter och hur dessa samvariationer bidrar till unika erfarenheter av diskriminering”. Definitionen gäller alla former av diskriminering.</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Principerna 1 (inkluderande utbildning av god kvalitet), 3 (lika möjligheter) och 20 (tillgång till grundläggande tjänster) är särskilt viktiga för romer och är vägledande för användningen av EU-medel för både riktade och allmänna åtgärder.</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Det finns stort utrymme att förbättra situationen för romer i Europa och därmed uppnå agendans mål om att ”ingen ska lämnas utanför”. Genom att ta itu med romernas situation kan EU närma sig målen för hållbar utveckling. FN:s hållbarhetsmål 1–2 (minska fattigdom och hunger), 3–4 (främja god hälsa och välbefinnande samt god utbildning för alla), 6–7 (tillgång till rent vatten och sanitet, samt ekonomiskt överkomlig och ren energi), 10–11 (minska ojämlikheten inom och mellan länder, samt främja inkluderande och hållbara städer och samhällen), och 16 (inkluderande samhällen, tillgång till rättslig prövning för alla, samt effektiva, ansvarsskyldiga och inkluderande institutioner) är särskilt viktiga ingångspunkter.</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 rådets slutsatser från 2016 uppmanades kommissionen att föreslå ett initiativ för tiden efter 2020, och i detta inkludera ett förslag till översyn av rådets rekommendation från 2013 om</w:t>
      </w:r>
      <w:hyperlink r:id="rId27" w:history="1">
        <w:r>
          <w:rPr>
            <w:rStyle w:val="Hyperlink"/>
            <w:rFonts w:ascii="Times New Roman" w:hAnsi="Times New Roman"/>
            <w:i/>
          </w:rPr>
          <w:t>påskyndande av processen för integrering av romer</w:t>
        </w:r>
      </w:hyperlink>
      <w:r>
        <w:rPr>
          <w:rStyle w:val="Hyperlink"/>
          <w:rFonts w:ascii="Times New Roman" w:hAnsi="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Europaparlamentets resolution av den 17 september 2020 om genomförandet av nationella strategier för integrering av romer: bekämpning av negativa attityder till människor med romsk bakgrund i Europa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Europaparlamentets resolution av den 12 februari 2019 om behovet av en förstärkt strategisk EU-ram för nationella strategier för integrering av romer efter 2020 och kraftfullare åtgärder mot antiziganism</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Rådets (sysselsättning, socialpolitik, hälso- och sjukvård samt konsumentfrågor) slutsatser av den 24 oktober 2019 om välfärdsekonomi  (</w:t>
      </w:r>
      <w:hyperlink r:id="rId30" w:history="1">
        <w:r>
          <w:rPr>
            <w:rStyle w:val="Hyperlink"/>
            <w:rFonts w:ascii="Times New Roman" w:hAnsi="Times New Roman"/>
          </w:rPr>
          <w:t>13432/19</w:t>
        </w:r>
      </w:hyperlink>
      <w:r>
        <w:rPr>
          <w:rFonts w:ascii="Times New Roman" w:hAnsi="Times New Roman"/>
        </w:rPr>
        <w:t xml:space="preserve">), i vilka kommissionen uppmanas att </w:t>
      </w:r>
      <w:r>
        <w:rPr>
          <w:rFonts w:ascii="Times New Roman" w:hAnsi="Times New Roman"/>
          <w:i/>
        </w:rPr>
        <w:t>förnya</w:t>
      </w:r>
      <w:r>
        <w:rPr>
          <w:rFonts w:ascii="Times New Roman" w:hAnsi="Times New Roman"/>
        </w:rPr>
        <w:t xml:space="preserve"> åtagandet om romers integrering. Vid den högnivåkonferens om EU-ramen för nationella strategier för integrering av romer som hölls i Bukarest den 4–5 mars 2019 uppmanade deltagarna dessutom kommissionen att lägga fram ett förslag till en ny, ambitiös EU-ram för perioden efter 2020 och efterlyste starkare åtaganden från medlemsstaternas och utvidgningsländernas sida när det gäller romers integrering. Information från ordförandeskapet (</w:t>
      </w:r>
      <w:hyperlink r:id="rId31" w:history="1">
        <w:r>
          <w:rPr>
            <w:rStyle w:val="Hyperlink"/>
            <w:rFonts w:ascii="Times New Roman" w:hAnsi="Times New Roman"/>
          </w:rPr>
          <w:t>7003/19</w:t>
        </w:r>
      </w:hyperlink>
      <w:r>
        <w:t>,1</w:t>
      </w:r>
      <w:r>
        <w:rPr>
          <w:rFonts w:ascii="Times New Roman" w:hAnsi="Times New Roman"/>
        </w:rPr>
        <w:t>4.3.2019).</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När det gäller vikten av att EU-ramen för tiden efter 2020 får en tydligare inriktning på att bekämpa antiziganism och diskriminering hänvisas till de</w:t>
      </w:r>
      <w:hyperlink r:id="rId32" w:history="1">
        <w:r>
          <w:rPr>
            <w:rStyle w:val="Hyperlink"/>
            <w:rFonts w:ascii="Times New Roman" w:hAnsi="Times New Roman"/>
          </w:rPr>
          <w:t>expertrekommendationer</w:t>
        </w:r>
      </w:hyperlink>
      <w:r>
        <w:rPr>
          <w:rFonts w:ascii="Times New Roman" w:hAnsi="Times New Roman"/>
        </w:rPr>
        <w:t xml:space="preserve"> som utarbetades efter konferensen om antiziganism (Wien,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Se åtföljande arbetsdokument SWD(2020) 530 final.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 xml:space="preserve">För mer information om indikatorer och uppgiftskällor, se bilaga 2 och rapporten </w:t>
      </w:r>
      <w:hyperlink r:id="rId33" w:history="1">
        <w:r>
          <w:rPr>
            <w:rStyle w:val="Hyperlink"/>
            <w:rFonts w:ascii="Times New Roman" w:hAnsi="Times New Roman"/>
            <w:i/>
            <w:sz w:val="19"/>
            <w:szCs w:val="19"/>
          </w:rPr>
          <w:t>Monitoring framework for a post-2020 EU initiative on Roma equality, inclusion and participation</w:t>
        </w:r>
      </w:hyperlink>
      <w:r>
        <w:rPr>
          <w:rFonts w:ascii="Times New Roman" w:hAnsi="Times New Roman"/>
          <w:sz w:val="19"/>
          <w:szCs w:val="19"/>
        </w:rPr>
        <w:t xml:space="preserve"> från den arbetsgrupp som arbetar med indikatorer och rapportering om romer (och samordnas av Europeiska unionens byrå för grundläggande rättigheter (FRA)), vars deltagare omfattar nationella kontaktpersoner för frågor som rör romer, nationella statistikmyndigheter och kommissionen). </w:t>
      </w:r>
    </w:p>
  </w:footnote>
  <w:footnote w:id="24">
    <w:p>
      <w:pPr>
        <w:pStyle w:val="FootnoteText"/>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Andra indikatorer undersöks av arbetsgruppen för indikatorer och rapportering avseende romers jämlikhet som samordnas av FRA. De rör exempelvis materiell och social fattigdom, tillgång till hälso- och sjukvård och sociala tjänster samt bostadssegregation.</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Se de </w:t>
      </w:r>
      <w:hyperlink r:id="rId34" w:history="1">
        <w:r>
          <w:rPr>
            <w:rStyle w:val="Hyperlink"/>
            <w:rFonts w:ascii="Times New Roman" w:hAnsi="Times New Roman"/>
          </w:rPr>
          <w:t>gemensamma grundprinciperna</w:t>
        </w:r>
      </w:hyperlink>
      <w:r>
        <w:rPr>
          <w:rFonts w:ascii="Times New Roman" w:hAnsi="Times New Roman"/>
        </w:rPr>
        <w:t xml:space="preserve">. Princip 2 (explicita, men inte exkluderande, riktade insatser) innebär att man fokuserar på romer som målgrupp men utan att exkludera andra personer som lever under liknande socioekonomiska förhållanden. Princip 4 (som är inriktad på majoritetssamhället) handlar om att </w:t>
      </w:r>
      <w:r>
        <w:rPr>
          <w:rFonts w:ascii="Times New Roman" w:hAnsi="Times New Roman"/>
          <w:i/>
          <w:iCs/>
        </w:rPr>
        <w:t>romerna ska integreras i majoritetssamhället (</w:t>
      </w:r>
      <w:r>
        <w:rPr>
          <w:rFonts w:ascii="Times New Roman" w:hAnsi="Times New Roman"/>
        </w:rPr>
        <w:t>i fråga om utbildning, arbetsmarknad och boende).</w:t>
      </w:r>
      <w:r>
        <w:rPr>
          <w:rFonts w:ascii="Times New Roman" w:hAnsi="Times New Roman"/>
          <w:i/>
        </w:rPr>
        <w:t xml:space="preserve"> Om det fortfarande finns utbildningar eller bostadsområden som är delvis eller helt segregerade måste politiken för romsk inkludering ha som mål att komma till rätta med detta. Utvecklingen av konstgjorda och separata arbetsmarknader för romer måste undvikas.</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lang w:val="en-US"/>
        </w:rPr>
        <w:t xml:space="preserve"> </w:t>
      </w:r>
      <w:r>
        <w:rPr>
          <w:lang w:val="en-US"/>
        </w:rPr>
        <w:tab/>
      </w:r>
      <w:r>
        <w:rPr>
          <w:rFonts w:ascii="Times New Roman" w:hAnsi="Times New Roman"/>
          <w:lang w:val="en-US"/>
        </w:rPr>
        <w:t xml:space="preserve">För en människorättsbaserad strategi när det gäller datainsamling hänvisas nationella myndigheter till </w:t>
      </w:r>
      <w:hyperlink r:id="rId35" w:history="1">
        <w:r>
          <w:rPr>
            <w:rStyle w:val="Hyperlink"/>
            <w:rFonts w:ascii="Times New Roman" w:hAnsi="Times New Roman"/>
            <w:i/>
            <w:lang w:val="en-US"/>
          </w:rPr>
          <w:t>European handbook on equality data</w:t>
        </w:r>
        <w:r>
          <w:rPr>
            <w:rStyle w:val="Hyperlink"/>
            <w:rFonts w:ascii="Times New Roman" w:hAnsi="Times New Roman"/>
            <w:lang w:val="en-US"/>
          </w:rPr>
          <w:t xml:space="preserve"> (2016 revision)</w:t>
        </w:r>
        <w:r>
          <w:rPr>
            <w:rStyle w:val="Hyperlink"/>
            <w:rFonts w:ascii="Times New Roman" w:hAnsi="Times New Roman"/>
            <w:u w:val="none"/>
            <w:lang w:val="en-US"/>
          </w:rPr>
          <w:t>,</w:t>
        </w:r>
      </w:hyperlink>
      <w:r>
        <w:rPr>
          <w:rFonts w:ascii="Times New Roman" w:hAnsi="Times New Roman"/>
          <w:lang w:val="en-US"/>
        </w:rPr>
        <w:t xml:space="preserve"> </w:t>
      </w:r>
      <w:hyperlink r:id="rId36" w:history="1">
        <w:r>
          <w:rPr>
            <w:rStyle w:val="Hyperlink"/>
            <w:rFonts w:ascii="Times New Roman" w:hAnsi="Times New Roman"/>
            <w:i/>
            <w:lang w:val="en-US"/>
          </w:rPr>
          <w:t>Guidelines on improving the collection and use of equality data</w:t>
        </w:r>
        <w:r>
          <w:rPr>
            <w:rStyle w:val="Hyperlink"/>
            <w:rFonts w:ascii="Times New Roman" w:hAnsi="Times New Roman"/>
            <w:lang w:val="en-US"/>
          </w:rPr>
          <w:t xml:space="preserve"> (2018)</w:t>
        </w:r>
      </w:hyperlink>
      <w:r>
        <w:rPr>
          <w:rFonts w:ascii="Times New Roman" w:hAnsi="Times New Roman"/>
          <w:lang w:val="en-US"/>
        </w:rPr>
        <w:t xml:space="preserve"> and </w:t>
      </w:r>
      <w:hyperlink r:id="rId37" w:history="1">
        <w:r>
          <w:rPr>
            <w:rStyle w:val="Hyperlink"/>
            <w:rFonts w:ascii="Times New Roman" w:hAnsi="Times New Roman"/>
            <w:i/>
            <w:lang w:val="en-US"/>
          </w:rPr>
          <w:t>Data collection in the field of ethnicity</w:t>
        </w:r>
        <w:r>
          <w:rPr>
            <w:rStyle w:val="Hyperlink"/>
            <w:rFonts w:ascii="Times New Roman" w:hAnsi="Times New Roman"/>
            <w:lang w:val="en-US"/>
          </w:rPr>
          <w:t xml:space="preserve"> (2017)</w:t>
        </w:r>
      </w:hyperlink>
      <w:r>
        <w:rPr>
          <w:rStyle w:val="Hyperlink"/>
          <w:rFonts w:ascii="Times New Roman" w:hAnsi="Times New Roman"/>
          <w:u w:val="none"/>
          <w:lang w:val="en-US"/>
        </w:rPr>
        <w:t>.</w:t>
      </w:r>
      <w:r>
        <w:rPr>
          <w:rFonts w:ascii="Times New Roman" w:hAnsi="Times New Roman"/>
          <w:lang w:val="en-US"/>
        </w:rPr>
        <w:t xml:space="preserve"> </w:t>
      </w:r>
      <w:r>
        <w:rPr>
          <w:rFonts w:ascii="Times New Roman" w:hAnsi="Times New Roman"/>
        </w:rPr>
        <w:t>Medlemsstaterna uppmuntras avsätta de resurser som krävs för denna datainsamling och dra nytta av stödet från FRA för att öka sin kapacitet i detta avseende.</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Se åtföljande arbetsdokument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De </w:t>
      </w:r>
      <w:hyperlink r:id="rId38" w:history="1">
        <w:r>
          <w:rPr>
            <w:rStyle w:val="Hyperlink"/>
            <w:rFonts w:ascii="Times New Roman" w:hAnsi="Times New Roman"/>
            <w:sz w:val="19"/>
            <w:szCs w:val="19"/>
          </w:rPr>
          <w:t>gemensamma grundprinciperna</w:t>
        </w:r>
      </w:hyperlink>
      <w:r>
        <w:rPr>
          <w:rStyle w:val="Hyperlink"/>
          <w:rFonts w:ascii="Times New Roman" w:hAnsi="Times New Roman"/>
          <w:color w:val="auto"/>
          <w:sz w:val="19"/>
          <w:szCs w:val="19"/>
          <w:u w:val="none"/>
        </w:rPr>
        <w:t xml:space="preserve"> för inkludering av romer ger en ram för en lyckad utformning och ett framgångsrikt genomförande av åtgärder för att stödja inkludering av romer. Principerna </w:t>
      </w:r>
      <w:r>
        <w:rPr>
          <w:rFonts w:ascii="Times New Roman" w:hAnsi="Times New Roman"/>
          <w:sz w:val="19"/>
          <w:szCs w:val="19"/>
        </w:rPr>
        <w:t>2 och 4 handlar om att kombinera riktade och allmänna åtgärder.</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Medlemsstaternas programplanering när det gäller målet under ESF+ att specifikt främja socioekonomisk integration av marginaliserade grupper så som romer måste uppfylla alla krav i bilaga IV till</w:t>
      </w:r>
      <w:hyperlink r:id="rId39" w:history="1">
        <w:r>
          <w:rPr>
            <w:rStyle w:val="Hyperlink"/>
            <w:rFonts w:ascii="Times New Roman" w:hAnsi="Times New Roman"/>
            <w:sz w:val="19"/>
            <w:szCs w:val="19"/>
          </w:rPr>
          <w:t xml:space="preserve"> kommissionens förslag till förordning om gemensamma bestämmelser för 2021–2027</w:t>
        </w:r>
      </w:hyperlink>
      <w:r>
        <w:rPr>
          <w:rFonts w:ascii="Times New Roman" w:hAnsi="Times New Roman"/>
        </w:rPr>
        <w:t xml:space="preserve"> när det gäller det tematiska nödvändiga villkoret om nationella strategiska ramar för romer.</w:t>
      </w:r>
      <w:r>
        <w:rPr>
          <w:rFonts w:ascii="Times New Roman" w:hAnsi="Times New Roman"/>
          <w:sz w:val="19"/>
          <w:szCs w:val="19"/>
        </w:rPr>
        <w:t xml:space="preserve"> Flera andra EU-finansieringsinstrument, såsom sammanhållningspolitiska medel, kan användas för romers jämlikhet och inkludering.</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Dessa plattformar sammanför myndighetsaktörer och aktörer från det civila samhället. De syftar till att stimulera samarbete och utbyte av erfarenheter om framgångsrik inkludering av romer.</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Redan under perioden 2011–2020 inrättades ett nätverk av nationella kontaktpunkter för romer som möjliggör utbyte av information och erfarenheter mellan medlemsstaterna på europeisk nivå.</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Fyra EU-länder har stora romska befolkningar (Bulgarien: 9,94%, Rumänien: 9,02%, Slovakien: 8,63%, Ungern: 7,49 %) Tjeckien har en mindre romsk befolkning (1,90 %), liksom Grekland (1,63 %) och Spanien (1,55 %). Se </w:t>
      </w:r>
      <w:hyperlink r:id="rId40" w:history="1">
        <w:r>
          <w:rPr>
            <w:rStyle w:val="Hyperlink"/>
            <w:rFonts w:ascii="Times New Roman" w:hAnsi="Times New Roman"/>
          </w:rPr>
          <w:t>Europarådets beräkningar</w:t>
        </w:r>
      </w:hyperlink>
      <w:r>
        <w:rPr>
          <w:rFonts w:ascii="Times New Roman" w:hAnsi="Times New Roman"/>
        </w:rPr>
        <w:t xml:space="preserve"> från 2012</w:t>
      </w:r>
      <w:r>
        <w:rPr>
          <w:rStyle w:val="Hyperlink"/>
        </w:rPr>
        <w:t>.</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Gemensamma grundprinciper</w:t>
        </w:r>
      </w:hyperlink>
      <w:r>
        <w:rPr>
          <w:rFonts w:ascii="Times New Roman" w:hAnsi="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Bilaga 1 utgår från lärdomarna från utvärderingen av EU-ramen,</w:t>
      </w:r>
      <w:r>
        <w:t xml:space="preserve"> </w:t>
      </w:r>
      <w:hyperlink r:id="rId42" w:history="1">
        <w:r>
          <w:rPr>
            <w:rStyle w:val="Hyperlink"/>
            <w:rFonts w:ascii="Times New Roman" w:hAnsi="Times New Roman"/>
          </w:rPr>
          <w:t>synpunkter i tre expertrapporter och civilsamhällesorganisationers synpunkter som underlag för reflektioner om politiken för romer efter 2020</w:t>
        </w:r>
      </w:hyperlink>
      <w:r>
        <w:t xml:space="preserve"> </w:t>
      </w:r>
      <w:r>
        <w:rPr>
          <w:rFonts w:ascii="Times New Roman" w:hAnsi="Times New Roman"/>
        </w:rPr>
        <w:t>och expertis från kommissionens avdelningar.</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Ett pågående kommissionsprojekt, som ska vara slutfört i slutet av 2020, analyserar de bakomliggande orsakerna till att fattigdom och utanförskap ärvs mellan generationer och föreslår åtgärder för att komma till rätta med detta. Ett annat pågående projekt mellan kommissionen och Europeiska unionens byrå för grundläggande rättigheter kommer att omfatta analys av uppgifter för inblick i kopplingarna mellan diskriminering och sårbarhet i Europa på subnationell nivå. Hur stor betydelse diskriminering har för den relativa risken för socioekonomisk exkludering och huruvida romer har drabbats hårdare och är mer sårbara för covid-19-pandemin i specifika territoriella sammanhang. Resultaten kan bli en evidensbas för omfattande insatser för att hantera både socioekonomiska nackdelar och diskriminering.</w:t>
      </w:r>
    </w:p>
  </w:footnote>
  <w:footnote w:id="3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Särskilt från kommissionens gemensamma forskningscentrum för randomiserade konsekvensbedömningar av vissa riktade eller generella flaggskeppsinsatser, men även från byrån för grundläggande rättigheter för att bedöma de planerade åtgärdernas relevans.</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Som exempel får Rumänien för närvarande tekniskt stöd genom stödprogrammet för strukturreformer för att utveckla ett övervaknings- och utvärderingssystem för genomförandet av strategin för inkludering av romer.</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Att fastställa principen om självidentifiering i individbaserade datainsamlingar, t.ex. folkräkningar, stora enkäter och administrativa data.</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Under 2021 kommer enkäten att utvidgas till att omfatta Serbien och Nordmakedonien.</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Se särskilt artiklarna 2 och 3.3 i fördraget om Europeiska unionen (</w:t>
      </w:r>
      <w:hyperlink r:id="rId43" w:history="1">
        <w:r>
          <w:rPr>
            <w:rStyle w:val="Hyperlink"/>
            <w:rFonts w:ascii="Times New Roman" w:hAnsi="Times New Roman"/>
          </w:rPr>
          <w:t>EU-fördraget</w:t>
        </w:r>
      </w:hyperlink>
      <w:r>
        <w:rPr>
          <w:rFonts w:ascii="Times New Roman" w:hAnsi="Times New Roman"/>
        </w:rPr>
        <w:t>), artiklarna 8, 10, 19 och 67.3 i fördraget om Europeiska unionens funktionssätt (</w:t>
      </w:r>
      <w:hyperlink r:id="rId44" w:history="1">
        <w:r>
          <w:rPr>
            <w:rStyle w:val="Hyperlink"/>
            <w:rFonts w:ascii="Times New Roman" w:hAnsi="Times New Roman"/>
          </w:rPr>
          <w:t>EUF-fördraget</w:t>
        </w:r>
      </w:hyperlink>
      <w:r>
        <w:rPr>
          <w:rFonts w:ascii="Times New Roman" w:hAnsi="Times New Roman"/>
        </w:rPr>
        <w:t xml:space="preserve">), och artiklarna 20 och 21 i </w:t>
      </w:r>
      <w:hyperlink r:id="rId45" w:history="1">
        <w:r>
          <w:rPr>
            <w:rStyle w:val="Hyperlink"/>
            <w:rFonts w:ascii="Times New Roman" w:hAnsi="Times New Roman"/>
          </w:rPr>
          <w:t>stadgan</w:t>
        </w:r>
      </w:hyperlink>
      <w:r>
        <w:rPr>
          <w:rFonts w:ascii="Times New Roman" w:hAnsi="Times New Roman"/>
        </w:rPr>
        <w:t>.</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2000/43/EG</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2008/913/RIF</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Rapporten kommer även behandla tillämpningen av</w:t>
      </w:r>
      <w:hyperlink r:id="rId48" w:history="1">
        <w:r>
          <w:rPr>
            <w:rStyle w:val="Hyperlink"/>
            <w:rFonts w:ascii="Times New Roman" w:hAnsi="Times New Roman"/>
          </w:rPr>
          <w:t xml:space="preserve"> rådets direktiv 2000/78/EG av den 27 november 2000 om inrättande av en allmän ram för likabehandling i arbetslivet (EGT L 303, 2.12.2000, s. 16 )</w:t>
        </w:r>
      </w:hyperlink>
      <w:r>
        <w:rPr>
          <w:rFonts w:ascii="Times New Roman" w:hAnsi="Times New Roman"/>
        </w:rPr>
        <w:t>.</w:t>
      </w:r>
    </w:p>
  </w:footnote>
  <w:footnote w:id="44">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r>
        <w:rPr>
          <w:rFonts w:ascii="Times New Roman" w:hAnsi="Times New Roman"/>
          <w:lang w:val="en-US"/>
        </w:rPr>
        <w:t xml:space="preserve">Equinet, 28 juli 2020: </w:t>
      </w:r>
      <w:hyperlink r:id="rId49" w:history="1">
        <w:r>
          <w:rPr>
            <w:rStyle w:val="Hyperlink"/>
            <w:rFonts w:ascii="Times New Roman" w:hAnsi="Times New Roman"/>
            <w:lang w:val="en-US"/>
          </w:rPr>
          <w:t>Roma and Traveller Inclusion:</w:t>
        </w:r>
      </w:hyperlink>
      <w:hyperlink r:id="rId50" w:history="1">
        <w:r>
          <w:rPr>
            <w:rStyle w:val="Hyperlink"/>
            <w:rFonts w:ascii="Times New Roman" w:hAnsi="Times New Roman"/>
            <w:lang w:val="en-US"/>
          </w:rPr>
          <w:t xml:space="preserve"> towards a new EU framework, learning from the work of equality bodies</w:t>
        </w:r>
      </w:hyperlink>
      <w:r>
        <w:rPr>
          <w:rFonts w:ascii="Times New Roman" w:hAnsi="Times New Roman"/>
          <w:lang w:val="en-US"/>
        </w:rPr>
        <w:t>.</w:t>
      </w:r>
    </w:p>
  </w:footnote>
  <w:footnote w:id="45">
    <w:p>
      <w:pPr>
        <w:pStyle w:val="FootnoteText"/>
        <w:ind w:left="284" w:hanging="284"/>
        <w:jc w:val="both"/>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sz w:val="19"/>
          <w:szCs w:val="19"/>
          <w:lang w:val="en-US"/>
        </w:rPr>
        <w:t xml:space="preserve"> </w:t>
      </w:r>
      <w:r>
        <w:rPr>
          <w:lang w:val="en-US"/>
        </w:rPr>
        <w:tab/>
      </w:r>
      <w:hyperlink r:id="rId51" w:history="1">
        <w:r>
          <w:rPr>
            <w:rStyle w:val="Hyperlink"/>
            <w:rFonts w:ascii="Times New Roman" w:hAnsi="Times New Roman"/>
            <w:sz w:val="19"/>
            <w:szCs w:val="19"/>
            <w:lang w:val="en-US"/>
          </w:rPr>
          <w:t>C(2018)3850 final</w:t>
        </w:r>
      </w:hyperlink>
      <w:r>
        <w:rPr>
          <w:rStyle w:val="Hyperlink"/>
          <w:rFonts w:ascii="Times New Roman" w:hAnsi="Times New Roman"/>
          <w:sz w:val="19"/>
          <w:szCs w:val="19"/>
          <w:lang w:val="en-US"/>
        </w:rPr>
        <w:t>.</w:t>
      </w:r>
    </w:p>
  </w:footnote>
  <w:footnote w:id="46">
    <w:p>
      <w:pPr>
        <w:pStyle w:val="FootnoteText"/>
        <w:ind w:left="284" w:hanging="284"/>
        <w:rPr>
          <w:rFonts w:ascii="Times New Roman" w:hAnsi="Times New Roman" w:cs="Times New Roman"/>
          <w:lang w:val="en-US"/>
        </w:rPr>
      </w:pPr>
      <w:r>
        <w:rPr>
          <w:rStyle w:val="FootnoteReference"/>
        </w:rPr>
        <w:footnoteRef/>
      </w:r>
      <w:r>
        <w:rPr>
          <w:lang w:val="en-US"/>
        </w:rPr>
        <w:t xml:space="preserve"> </w:t>
      </w:r>
      <w:r>
        <w:rPr>
          <w:lang w:val="en-US"/>
        </w:rPr>
        <w:tab/>
      </w:r>
      <w:r>
        <w:rPr>
          <w:rFonts w:ascii="Times New Roman" w:hAnsi="Times New Roman"/>
          <w:lang w:val="en-US"/>
        </w:rPr>
        <w:t>FRA, 2017, Second European Minorities and Discrimination Survey</w:t>
      </w:r>
      <w:r>
        <w:rPr>
          <w:lang w:val="en-US"/>
        </w:rPr>
        <w:t>.</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EU:s handlingsplan mot rasism 2020–2025,</w:t>
      </w:r>
      <w:hyperlink r:id="rId52" w:history="1">
        <w:r>
          <w:rPr>
            <w:rStyle w:val="Hyperlink"/>
            <w:rFonts w:ascii="Times New Roman" w:hAnsi="Times New Roman"/>
          </w:rPr>
          <w:t xml:space="preserve"> COM(2020) 565 final</w:t>
        </w:r>
      </w:hyperlink>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Se arbetet med </w:t>
      </w:r>
      <w:hyperlink r:id="rId53" w:history="1">
        <w:r>
          <w:rPr>
            <w:rStyle w:val="Hyperlink"/>
            <w:rFonts w:ascii="Times New Roman" w:hAnsi="Times New Roman"/>
            <w:sz w:val="19"/>
            <w:szCs w:val="19"/>
          </w:rPr>
          <w:t>uppförandekoden för att motverka olaglig hatpropaganda på nätet</w:t>
        </w:r>
      </w:hyperlink>
      <w:r>
        <w:rPr>
          <w:rFonts w:ascii="Times New Roman" w:hAnsi="Times New Roman"/>
          <w:sz w:val="19"/>
          <w:szCs w:val="19"/>
        </w:rPr>
        <w:t xml:space="preserve">, </w:t>
      </w:r>
      <w:hyperlink r:id="rId54" w:history="1">
        <w:r>
          <w:rPr>
            <w:rStyle w:val="Hyperlink"/>
            <w:rFonts w:ascii="Times New Roman" w:hAnsi="Times New Roman"/>
            <w:sz w:val="19"/>
            <w:szCs w:val="19"/>
          </w:rPr>
          <w:t>C(2018) 1177 final</w:t>
        </w:r>
      </w:hyperlink>
      <w:r>
        <w:rPr>
          <w:rStyle w:val="Hyperlink"/>
          <w:rFonts w:ascii="Times New Roman" w:hAnsi="Times New Roman"/>
          <w:sz w:val="19"/>
          <w:szCs w:val="19"/>
        </w:rPr>
        <w:t>.</w:t>
      </w:r>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2012/29/EU.</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COM(2020) 258 final</w:t>
        </w:r>
      </w:hyperlink>
      <w:r>
        <w:rPr>
          <w:rStyle w:val="Hyperlink"/>
        </w:rPr>
        <w:t>.</w:t>
      </w:r>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Se bilaga 3 i arbetsdokumentet från kommissionens avdelningar för mer information om relevanta generella EU-initiativ och användning av EU-medel.</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Inrättades 2010 och består av företrädare för GD JUST, EMPL, EAC, SANTE, NEAR, HOME, REGIO och AGRI.</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Se </w:t>
      </w:r>
      <w:hyperlink r:id="rId56" w:history="1">
        <w:r>
          <w:rPr>
            <w:rStyle w:val="Hyperlink"/>
            <w:rFonts w:ascii="Times New Roman" w:hAnsi="Times New Roman"/>
          </w:rPr>
          <w:t>landrapporterna</w:t>
        </w:r>
      </w:hyperlink>
      <w:r>
        <w:rPr>
          <w:rFonts w:ascii="Times New Roman" w:hAnsi="Times New Roman"/>
        </w:rPr>
        <w:t xml:space="preserve"> för BG, CZ, ES, HU, RO, SK, särskilt bilaga D i dessa.</w:t>
      </w:r>
    </w:p>
  </w:footnote>
  <w:footnote w:id="54">
    <w:p>
      <w:pPr>
        <w:pStyle w:val="FootnoteText"/>
        <w:ind w:left="284" w:hanging="284"/>
        <w:contextualSpacing/>
        <w:jc w:val="both"/>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sz w:val="19"/>
          <w:szCs w:val="19"/>
          <w:lang w:val="en-US"/>
        </w:rPr>
        <w:t xml:space="preserve"> </w:t>
      </w:r>
      <w:r>
        <w:rPr>
          <w:lang w:val="en-US"/>
        </w:rPr>
        <w:tab/>
      </w:r>
      <w:hyperlink r:id="rId57" w:history="1">
        <w:r>
          <w:rPr>
            <w:rStyle w:val="Hyperlink"/>
            <w:rFonts w:ascii="Times New Roman" w:hAnsi="Times New Roman"/>
            <w:sz w:val="19"/>
            <w:szCs w:val="19"/>
            <w:lang w:val="en-US"/>
          </w:rPr>
          <w:t>COM/2018/375 final</w:t>
        </w:r>
      </w:hyperlink>
      <w:r>
        <w:rPr>
          <w:rStyle w:val="Hyperlink"/>
          <w:rFonts w:ascii="Times New Roman" w:hAnsi="Times New Roman"/>
          <w:sz w:val="19"/>
          <w:szCs w:val="19"/>
          <w:lang w:val="en-US"/>
        </w:rPr>
        <w:t xml:space="preserve">, </w:t>
      </w:r>
      <w:hyperlink r:id="rId58" w:history="1">
        <w:r>
          <w:rPr>
            <w:rStyle w:val="Hyperlink"/>
            <w:rFonts w:ascii="Times New Roman" w:hAnsi="Times New Roman"/>
            <w:sz w:val="19"/>
            <w:szCs w:val="19"/>
            <w:lang w:val="en-US"/>
          </w:rPr>
          <w:t>COM/2018/382 final</w:t>
        </w:r>
      </w:hyperlink>
      <w:r>
        <w:rPr>
          <w:rStyle w:val="Hyperlink"/>
          <w:rFonts w:ascii="Times New Roman" w:hAnsi="Times New Roman"/>
          <w:sz w:val="19"/>
          <w:szCs w:val="19"/>
          <w:lang w:val="en-US"/>
        </w:rPr>
        <w:t xml:space="preserve">, </w:t>
      </w:r>
      <w:hyperlink r:id="rId59" w:history="1">
        <w:r>
          <w:rPr>
            <w:rStyle w:val="Hyperlink"/>
            <w:rFonts w:ascii="Times New Roman" w:hAnsi="Times New Roman"/>
            <w:sz w:val="19"/>
            <w:szCs w:val="19"/>
            <w:lang w:val="en-US"/>
          </w:rPr>
          <w:t>COM/2018/392 final</w:t>
        </w:r>
      </w:hyperlink>
      <w:r>
        <w:rPr>
          <w:rStyle w:val="Hyperlink"/>
          <w:rFonts w:ascii="Times New Roman" w:hAnsi="Times New Roman"/>
          <w:color w:val="auto"/>
          <w:sz w:val="19"/>
          <w:szCs w:val="19"/>
          <w:u w:val="none"/>
          <w:lang w:val="en-US"/>
        </w:rP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0" w:history="1">
        <w:r>
          <w:rPr>
            <w:rStyle w:val="Hyperlink"/>
            <w:rFonts w:ascii="Times New Roman" w:hAnsi="Times New Roman"/>
          </w:rPr>
          <w:t>Nätverket</w:t>
        </w:r>
      </w:hyperlink>
      <w:r>
        <w:rPr>
          <w:rFonts w:ascii="Times New Roman" w:hAnsi="Times New Roman"/>
        </w:rPr>
        <w:t xml:space="preserve"> lanserades 2007 av Spaniens ESF-förvaltningsmyndighet.</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InvestEU-programmet (2021–2027), se även bilaga 3 till arbetsdokumentet.</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Inom ramen för nätverket av nationella kontaktpunkter för romer.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Förberedande åtgärd – Roma Civil Monitor – Stärka kapaciteten och delaktigheten för det romska och proromska civilsamhället i övervakningen och översynen av politiken</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https://ec.europa.eu/info/policies/justice-and-fundamental-rights/combatting-discrimination/roma-and-eu/european-platform-roma-inclusion_en</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Nationella romaplattformar är delaktighets- och samrådsprocesser som sammankallas och hanteras av de nationella kontaktpunkterna för romer för att främja dialog, ömsesidigt lärande, samarbete och deltagande i utveckling, genomförande och kontroll av nationella strategiska ramar, med stöd från kommissionen via regelbundna ansökningsomgångar. Nationella romaplattformsprocesser bör bidra till utformning, genomförande, kontroll och omprövning av politiken. Plattformarna har tre huvuduppgifter: bredda de politiska diskussionerna om genomförandet av nationella strategiska ramar för romer, fördjupa de inhemska strukturerna för ansvarsutkrävande och stärka kopplingarna mellan lokala och nationella nivåer.</w:t>
      </w:r>
    </w:p>
  </w:footnote>
  <w:footnote w:id="61">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r>
        <w:rPr>
          <w:rFonts w:ascii="Times New Roman" w:hAnsi="Times New Roman"/>
          <w:lang w:val="en-US"/>
        </w:rPr>
        <w:t xml:space="preserve">Se </w:t>
      </w:r>
      <w:hyperlink r:id="rId63" w:history="1">
        <w:r>
          <w:rPr>
            <w:rStyle w:val="Hyperlink"/>
            <w:rFonts w:ascii="Times New Roman" w:hAnsi="Times New Roman"/>
            <w:lang w:val="en-US"/>
          </w:rPr>
          <w:t>Media seminars - Stopping discrimination against Roma</w:t>
        </w:r>
      </w:hyperlink>
      <w:r>
        <w:rPr>
          <w:rFonts w:ascii="Times New Roman" w:hAnsi="Times New Roman"/>
          <w:lang w:val="en-US"/>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t.ex. ur en romsk kvinnas perspektiv: </w:t>
      </w:r>
      <w:hyperlink r:id="rId64" w:history="1">
        <w:r>
          <w:rPr>
            <w:rStyle w:val="Hyperlink"/>
            <w:rFonts w:ascii="Times New Roman" w:hAnsi="Times New Roman"/>
            <w:i/>
            <w:sz w:val="19"/>
            <w:szCs w:val="19"/>
          </w:rPr>
          <w:t>Equal opportunities — let’s make it a reality for all</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Stärka anslutningsprocessen- Ett trovärdigt EU-perspektiv för västra Balkan, </w:t>
      </w:r>
      <w:hyperlink r:id="rId65" w:history="1">
        <w:r>
          <w:rPr>
            <w:rStyle w:val="Hyperlink"/>
            <w:rFonts w:ascii="Times New Roman" w:hAnsi="Times New Roman"/>
            <w:sz w:val="19"/>
            <w:szCs w:val="19"/>
          </w:rPr>
          <w:t>COM(2020) 57 final</w:t>
        </w:r>
      </w:hyperlink>
      <w:r>
        <w:rPr>
          <w:rStyle w:val="Hyperlink"/>
          <w:rFonts w:ascii="Times New Roman" w:hAnsi="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Toppmötet mellan EU och länderna på västra Balkan den 5–6 maj 2020, rådets slutsatser och </w:t>
      </w:r>
      <w:hyperlink r:id="rId66"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Zagrebförklaringen</w:t>
        </w:r>
      </w:hyperlink>
      <w:r>
        <w:rPr>
          <w:rStyle w:val="Hyperlink"/>
          <w:rFonts w:ascii="Times New Roman" w:hAnsi="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Öka romernas sysselsättning (från 16.5 till 25 %), öka fullgörandet av den obligatoriska utbildningen (från 51 % till 90 %), tillhandahålla sjukförsäkring (för minst 95 %), legalisera boendesituationer, förebygga diskriminering och säkerställa fullständig folkbokföring. </w:t>
      </w:r>
      <w:hyperlink r:id="rId68" w:history="1">
        <w:r>
          <w:rPr>
            <w:rStyle w:val="Hyperlink"/>
            <w:rFonts w:ascii="Times New Roman" w:hAnsi="Times New Roman"/>
            <w:sz w:val="19"/>
            <w:szCs w:val="19"/>
          </w:rPr>
          <w:t>Poznan-deklarationen</w:t>
        </w:r>
      </w:hyperlink>
      <w:r>
        <w:rPr>
          <w:rStyle w:val="Hyperlink"/>
          <w:rFonts w:ascii="Times New Roman" w:hAnsi="Times New Roman"/>
          <w:color w:val="auto"/>
          <w:sz w:val="19"/>
          <w:szCs w:val="19"/>
          <w:u w:val="none"/>
        </w:rPr>
        <w:t>.</w:t>
      </w:r>
    </w:p>
  </w:footnote>
  <w:footnote w:id="67">
    <w:p>
      <w:pPr>
        <w:pStyle w:val="FootnoteText"/>
        <w:rPr>
          <w:rFonts w:ascii="Times New Roman" w:hAnsi="Times New Roman" w:cs="Times New Roman"/>
        </w:rPr>
      </w:pPr>
      <w:r>
        <w:rPr>
          <w:rStyle w:val="FootnoteReference"/>
        </w:rPr>
        <w:footnoteRef/>
      </w:r>
      <w:r>
        <w:t xml:space="preserve"> </w:t>
      </w:r>
      <w:r>
        <w:rPr>
          <w:rFonts w:ascii="Times New Roman" w:hAnsi="Times New Roman"/>
        </w:rPr>
        <w:t>COM(2020) 641 final, antagen</w:t>
      </w:r>
      <w:r>
        <w:t xml:space="preserve"> </w:t>
      </w:r>
      <w:r>
        <w:rPr>
          <w:rFonts w:ascii="Times New Roman" w:hAnsi="Times New Roman"/>
        </w:rPr>
        <w:t>den 6 oktober 2020.</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t xml:space="preserve"> </w:t>
      </w:r>
      <w:r>
        <w:rPr>
          <w:rFonts w:ascii="Times New Roman" w:hAnsi="Times New Roman"/>
          <w:sz w:val="19"/>
          <w:szCs w:val="19"/>
        </w:rPr>
        <w:t xml:space="preserve">Kommissionens meddelande </w:t>
      </w:r>
      <w:r>
        <w:rPr>
          <w:rFonts w:ascii="Times New Roman" w:hAnsi="Times New Roman"/>
          <w:i/>
          <w:sz w:val="19"/>
          <w:szCs w:val="19"/>
        </w:rPr>
        <w:t>Stöd till västra Balkan vid hanteringen av covid-19 och återhämtningen efter pandemin</w:t>
      </w:r>
      <w:r>
        <w:rPr>
          <w:rFonts w:ascii="Times New Roman" w:hAnsi="Times New Roman"/>
          <w:sz w:val="19"/>
          <w:szCs w:val="19"/>
        </w:rPr>
        <w:t xml:space="preserve"> (</w:t>
      </w:r>
      <w:hyperlink r:id="rId69" w:history="1">
        <w:r>
          <w:rPr>
            <w:rStyle w:val="Hyperlink"/>
            <w:rFonts w:ascii="Times New Roman" w:hAnsi="Times New Roman"/>
            <w:sz w:val="19"/>
            <w:szCs w:val="19"/>
          </w:rPr>
          <w:t>COM(2020) 315 final</w:t>
        </w:r>
      </w:hyperlink>
      <w:r>
        <w:rPr>
          <w:rStyle w:val="Hyperlink"/>
          <w:rFonts w:ascii="Times New Roman" w:hAnsi="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11855/12 bilaga II, Europeiska unionens råd, 25 juni 2012.</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EU:s handlingsplaner för mänskliga rättigheter och demokrati 2012–2014 och 2015–2019, </w:t>
      </w:r>
      <w:hyperlink r:id="rId70" w:history="1">
        <w:r>
          <w:rPr>
            <w:rStyle w:val="Hyperlink"/>
            <w:rFonts w:ascii="Times New Roman" w:hAnsi="Times New Roman"/>
          </w:rPr>
          <w:t>Det gemensamma meddelandet om EU:s handlingsplan för mänskliga rättigheter och demokrati (2020–2024)</w:t>
        </w:r>
      </w:hyperlink>
      <w:r>
        <w:rPr>
          <w:rFonts w:ascii="Times New Roman" w:hAnsi="Times New Roman"/>
        </w:rPr>
        <w:t>, antaget av kollegiet den 25 mars 2020. Rådet förväntas anta meddelandet under det sista kvartalet 2020</w:t>
      </w:r>
      <w:r>
        <w:rPr>
          <w:rStyle w:val="Hyperlink"/>
          <w:rFonts w:ascii="Times New Roman" w:hAnsi="Times New Roman"/>
          <w:color w:val="auto"/>
          <w:u w:val="none"/>
        </w:rPr>
        <w:t>.</w:t>
      </w:r>
    </w:p>
  </w:footnote>
  <w:footnote w:id="7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Jämställdhet och kvinnors egenmakt: Förändra flickors och kvinnors liv genom EU:s yttre förbindelser 2016–2020</w:t>
      </w:r>
      <w:hyperlink r:id="rId71" w:history="1">
        <w:r>
          <w:rPr>
            <w:rStyle w:val="Hyperlink"/>
            <w:rFonts w:ascii="Times New Roman" w:hAnsi="Times New Roman"/>
          </w:rPr>
          <w:t xml:space="preserve"> SWD (2015) 182</w:t>
        </w:r>
      </w:hyperlink>
      <w:r>
        <w:rPr>
          <w:rFonts w:ascii="Times New Roman" w:hAnsi="Times New Roman"/>
        </w:rPr>
        <w:t xml:space="preserve"> och dess planerade efterföljare.</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sz w:val="19"/>
            <w:szCs w:val="19"/>
          </w:rPr>
          <w:t>E</w:t>
        </w:r>
        <w:r>
          <w:rPr>
            <w:rStyle w:val="Hyperlink"/>
            <w:rFonts w:ascii="Times New Roman" w:hAnsi="Times New Roman"/>
          </w:rPr>
          <w:t>U:s riktlinjer om mänskliga rättigheter – icke-diskriminering inom de yttre åtgärderna</w:t>
        </w:r>
      </w:hyperlink>
      <w:r>
        <w:rPr>
          <w:rStyle w:val="Hyperlink"/>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Internal 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Internal draft</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2BCD44E5-2F16-4E1D-BED2-29305F290967"/>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Bryssel den "/>
    <w:docVar w:name="LW_EMISSION_SUFFIX" w:val=" "/>
    <w:docVar w:name="LW_ID_DOCTYPE_NONLW" w:val="CP-012"/>
    <w:docVar w:name="LW_LANGUE" w:val="SV"/>
    <w:docVar w:name="LW_LEVEL_OF_SENSITIVITY" w:val="Standard treatment"/>
    <w:docVar w:name="LW_NOM.INST" w:val="EUROPEISKA KOMMISSIONEN"/>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En jämlikhetsunion: EU:s strategiska ram för romers jämlikhet, inkludering och deltagande_x000d_"/>
    <w:docVar w:name="LW_TYPE.DOC.CP" w:val="MEDDELANDE FRÅN KOMMISSIONEN TILL EUROPAPARLAMENTET OCH RÅDET"/>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sv-S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sv-S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SV/TXT/?uri=CELEX:52011DC0173" TargetMode="External"/><Relationship Id="rId18" Type="http://schemas.openxmlformats.org/officeDocument/2006/relationships/hyperlink" Target="https://eur-lex.europa.eu/legal-content/EN/TXT/?uri=CELEX:32000L0043" TargetMode="External"/><Relationship Id="rId26" Type="http://schemas.openxmlformats.org/officeDocument/2006/relationships/hyperlink" Target="https://ec.europa.eu/info/policies/justice-and-fundamental-rights/combatting-discrimination/roma-and-eu/roma-integration-eu/workshop-future-policies-roma_en" TargetMode="External"/><Relationship Id="rId39" Type="http://schemas.openxmlformats.org/officeDocument/2006/relationships/hyperlink" Target="https://eur-lex.europa.eu/legal-content/SV/TXT/?uri=COM:2018:375:FIN" TargetMode="External"/><Relationship Id="rId21" Type="http://schemas.openxmlformats.org/officeDocument/2006/relationships/hyperlink" Target="https://ec.europa.eu/info/policies/justice-and-fundamental-rights/combatting-discrimination/roma-and-eu/roma-integration-eu_en" TargetMode="External"/><Relationship Id="rId34" Type="http://schemas.openxmlformats.org/officeDocument/2006/relationships/hyperlink" Target="https://op.europa.eu/en/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en" TargetMode="External"/><Relationship Id="rId47" Type="http://schemas.openxmlformats.org/officeDocument/2006/relationships/hyperlink" Target="https://eur-lex.europa.eu/legal-content/SV/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c.europa.eu/info/sites/info/files/law/2_en_act_part1_v10.pdf"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HLG_Conclusionspaperantigypsyism_finalpdf%20(1).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n" TargetMode="External"/><Relationship Id="rId29" Type="http://schemas.openxmlformats.org/officeDocument/2006/relationships/hyperlink" Target="https://www.europarl.europa.eu/doceo/document/TA-8-2019-0075_SV.html" TargetMode="External"/><Relationship Id="rId1" Type="http://schemas.openxmlformats.org/officeDocument/2006/relationships/hyperlink" Target="https://eur-lex.europa.eu/legal-content/SV/TXT/PDF/?uri=CELEX:52020DC0565&amp;qid=1601564591426&amp;from=SV" TargetMode="External"/><Relationship Id="rId6" Type="http://schemas.openxmlformats.org/officeDocument/2006/relationships/hyperlink" Target="https://www.europarl.europa.eu/doceo/document/TA-9-2020-0229_SV.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SV.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EN/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en" TargetMode="External"/><Relationship Id="rId58" Type="http://schemas.openxmlformats.org/officeDocument/2006/relationships/hyperlink" Target="https://ec.europa.eu/commission/sites/beta-political/files/budget-may2018-european-social-fund-plus-regulation_en.pdf" TargetMode="External"/><Relationship Id="rId66" Type="http://schemas.openxmlformats.org/officeDocument/2006/relationships/hyperlink" Target="https://eur-lex.europa.eu/legal-content/EN/ALL/?uri=COM:2020:315:FIN" TargetMode="External"/><Relationship Id="rId5" Type="http://schemas.openxmlformats.org/officeDocument/2006/relationships/hyperlink" Target="https://www.europarl.europa.eu/doceo/document/B-8-2019-0098_SV.html" TargetMode="External"/><Relationship Id="rId15" Type="http://schemas.openxmlformats.org/officeDocument/2006/relationships/hyperlink" Target="https://eur-lex.europa.eu/search.html?lang=sv&amp;text=COM%282018%29+785+final&amp;qid=1591611750119&amp;type=quick&amp;scope=EURLEX&amp;locale=sv" TargetMode="External"/><Relationship Id="rId23" Type="http://schemas.openxmlformats.org/officeDocument/2006/relationships/hyperlink" Target="https://www.europarl.europa.eu/doceo/document/TA-9-2020-0229_SV.html" TargetMode="External"/><Relationship Id="rId28" Type="http://schemas.openxmlformats.org/officeDocument/2006/relationships/hyperlink" Target="https://www.europarl.europa.eu/doceo/document/TA-9-2020-0229_SV.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SV/TXT/?uri=COM:2018:375: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s://data.consilium.europa.eu/doc/document/ST-15406-2016-INIT/sv/pdf" TargetMode="External"/><Relationship Id="rId19" Type="http://schemas.openxmlformats.org/officeDocument/2006/relationships/hyperlink" Target="https://eur-lex.europa.eu/search.html?qid=1591613211496&amp;text=COM(2019)%20406&amp;scope=EURLEX&amp;type=quick&amp;lang=sv"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EN/TXT/?uri=CELEX:12012E/TXT" TargetMode="External"/><Relationship Id="rId52" Type="http://schemas.openxmlformats.org/officeDocument/2006/relationships/hyperlink" Target="https://eur-lex.europa.eu/legal-content/SV/TXT/PDF/?uri=CELEX:52020DC0565&amp;qid=1601564591426&amp;from=SV" TargetMode="External"/><Relationship Id="rId60" Type="http://schemas.openxmlformats.org/officeDocument/2006/relationships/hyperlink" Target="https://www.euromanet.eu/" TargetMode="External"/><Relationship Id="rId65" Type="http://schemas.openxmlformats.org/officeDocument/2006/relationships/hyperlink" Target="https://eur-lex.europa.eu/legal-content/SV/TXT/?qid=1599824756582&amp;uri=CELEX:52020DC0057" TargetMode="External"/><Relationship Id="rId4" Type="http://schemas.openxmlformats.org/officeDocument/2006/relationships/hyperlink" Target="https://www.europarl.europa.eu/doceo/document/A-8-2017-0294_SV.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SV/TXT/PDF/?uri=CELEX:32013H1224(01)&amp;from=sv"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s://data.consilium.europa.eu/doc/document/ST-15406-2016-INIT/sv/pdf" TargetMode="External"/><Relationship Id="rId30" Type="http://schemas.openxmlformats.org/officeDocument/2006/relationships/hyperlink" Target="https://data.consilium.europa.eu/doc/document/ST-13432-2019-INIT/sv/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resource.html?uri=cellar:2bf140bf-a3f8-4ab2-b506-fd71826e6da6.0023.02/DOC_1&amp;format=PDF" TargetMode="External"/><Relationship Id="rId48" Type="http://schemas.openxmlformats.org/officeDocument/2006/relationships/hyperlink" Target="https://eur-lex.europa.eu/legal-content/SV/TXT/?uri=celex:32000L0078" TargetMode="External"/><Relationship Id="rId56" Type="http://schemas.openxmlformats.org/officeDocument/2006/relationships/hyperlink" Target="https://ec.europa.eu/info/publications/2019-european-semester-country-reports_en"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ur-lex.europa.eu/legal-content/SV/ALL/?uri=COM%3A2020%3A315%3AFIN"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2_en_act_part1_v4.pdf" TargetMode="External"/><Relationship Id="rId72" Type="http://schemas.openxmlformats.org/officeDocument/2006/relationships/hyperlink" Target="https://data.consilium.europa.eu/doc/document/ST-6337-2019-INIT/sv/pdf" TargetMode="External"/><Relationship Id="rId3" Type="http://schemas.openxmlformats.org/officeDocument/2006/relationships/hyperlink" Target="https://www.europarl.europa.eu/doceo/document/TA-8-2015-0095_SV.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ur-lex.europa.eu/legal-content/SV/TXT/PDF/?uri=CELEX:52018DC0785&amp;from=SV" TargetMode="External"/><Relationship Id="rId25" Type="http://schemas.openxmlformats.org/officeDocument/2006/relationships/hyperlink" Target="https://www.consilium.europa.eu/sv/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en/publication-detail/-/publication/7573706d-e7c4-4ece-ae59-2b361246a7b0" TargetMode="External"/><Relationship Id="rId46" Type="http://schemas.openxmlformats.org/officeDocument/2006/relationships/hyperlink" Target="https://eur-lex.europa.eu/legal-content/EN/TXT/?uri=CELEX:32000L0043" TargetMode="External"/><Relationship Id="rId59" Type="http://schemas.openxmlformats.org/officeDocument/2006/relationships/hyperlink" Target="https://eur-lex.europa.eu/legal-content/SV/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EN/TXT/?qid=1575907500935&amp;uri=CELEX:52019SC0320" TargetMode="External"/><Relationship Id="rId41" Type="http://schemas.openxmlformats.org/officeDocument/2006/relationships/hyperlink" Target="https://op.europa.eu/en/publication-detail/-/publication/7573706d-e7c4-4ece-ae59-2b361246a7b0" TargetMode="External"/><Relationship Id="rId54" Type="http://schemas.openxmlformats.org/officeDocument/2006/relationships/hyperlink" Target="https://ec.europa.eu/digital-single-market/en/news/commission-recommendation-measures-effectively-tackle-illegal-content-online" TargetMode="External"/><Relationship Id="rId62" Type="http://schemas.openxmlformats.org/officeDocument/2006/relationships/hyperlink" Target="https://ec.europa.eu/info/policies/justice-and-fundamental-rights/combatting-discrimination/roma-and-eu/european-platform-roma-inclusion_en" TargetMode="External"/><Relationship Id="rId70" Type="http://schemas.openxmlformats.org/officeDocument/2006/relationships/hyperlink" Target="https://ec.europa.eu/transparency/regdoc/rep/10101/2020/EN/JOIN-2020-5-F1-EN-MAIN-PA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B4124-D5BB-46C2-8AB0-7AC8E12C9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6454</Words>
  <Characters>41442</Characters>
  <Application>Microsoft Office Word</Application>
  <DocSecurity>0</DocSecurity>
  <Lines>592</Lines>
  <Paragraphs>139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47757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cp:lastPrinted>2020-10-02T14:30:00Z</cp:lastPrinted>
  <dcterms:created xsi:type="dcterms:W3CDTF">2020-10-06T07:49:00Z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 Build 20190717</vt:lpwstr>
  </property>
  <property fmtid="{D5CDD505-2E9C-101B-9397-08002B2CF9AE}" pid="8" name="Created using">
    <vt:lpwstr>LW 7.0, Build 20190717</vt:lpwstr>
  </property>
  <property name="OP_sanitized" fmtid="{D5CDD505-2E9C-101B-9397-08002B2CF9AE}" pid="9">
    <vt:lpwstr>True</vt:lpwstr>
  </property>
</Properties>
</file>