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bookmarkStart w:id="0"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alt="EA4E1B16-53BC-4816-9944-E5C8E479E164" style="width:451.05pt;height:320.7pt">
            <v:imagedata r:id="rId9" o:title=""/>
          </v:shape>
        </w:pict>
      </w:r>
    </w:p>
    <w:bookmarkEnd w:id="0"/>
    <w:p>
      <w:pPr>
        <w:rPr>
          <w:noProof/>
        </w:rPr>
        <w:sectPr>
          <w:headerReference w:type="even" r:id="rId10"/>
          <w:headerReference w:type="default" r:id="rId11"/>
          <w:footerReference w:type="even" r:id="rId12"/>
          <w:footerReference w:type="default" r:id="rId13"/>
          <w:headerReference w:type="first" r:id="rId14"/>
          <w:footerReference w:type="first" r:id="rId15"/>
          <w:pgSz w:w="11906" w:h="16838"/>
          <w:pgMar w:top="1134" w:right="1417" w:bottom="1134" w:left="1417" w:header="709" w:footer="709" w:gutter="0"/>
          <w:pgNumType w:start="0"/>
          <w:cols w:space="720"/>
          <w:docGrid w:linePitch="360"/>
        </w:sectPr>
      </w:pPr>
    </w:p>
    <w:p>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i/>
          <w:noProof/>
          <w:sz w:val="20"/>
          <w:szCs w:val="20"/>
        </w:rPr>
      </w:pPr>
      <w:bookmarkStart w:id="1" w:name="_GoBack"/>
      <w:bookmarkEnd w:id="1"/>
      <w:r>
        <w:rPr>
          <w:rFonts w:ascii="Times New Roman" w:hAnsi="Times New Roman"/>
          <w:i/>
          <w:noProof/>
          <w:sz w:val="20"/>
          <w:szCs w:val="20"/>
        </w:rPr>
        <w:lastRenderedPageBreak/>
        <w:t>Ką reiškia būti žmogumi, kai kiekvieną mielą dieną visuomenė atstumia romus, o kitų neprisileidžia dėl jų odos spalvos ar religinių įsitikinimų?</w:t>
      </w:r>
    </w:p>
    <w:p>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i/>
          <w:noProof/>
          <w:sz w:val="18"/>
          <w:szCs w:val="18"/>
        </w:rPr>
      </w:pPr>
      <w:r>
        <w:rPr>
          <w:rFonts w:ascii="Times New Roman" w:hAnsi="Times New Roman"/>
          <w:i/>
          <w:noProof/>
          <w:sz w:val="18"/>
          <w:szCs w:val="18"/>
        </w:rPr>
        <w:t>Komisijos Pirmininkė U. von der Leyen, 2020 m. pranešimas apie Sąjungos padėtį</w:t>
      </w:r>
    </w:p>
    <w:p>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i/>
          <w:noProof/>
          <w:sz w:val="20"/>
          <w:szCs w:val="20"/>
        </w:rPr>
      </w:pPr>
    </w:p>
    <w:p>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i/>
          <w:noProof/>
          <w:sz w:val="20"/>
          <w:szCs w:val="20"/>
        </w:rPr>
      </w:pPr>
      <w:r>
        <w:rPr>
          <w:rFonts w:ascii="Times New Roman" w:hAnsi="Times New Roman"/>
          <w:i/>
          <w:noProof/>
          <w:sz w:val="20"/>
          <w:szCs w:val="20"/>
        </w:rPr>
        <w:t>Europa privalo apsaugoti savo mažumas nuo rasizmo ir diskriminacijos. Priešiškumą romams turime pakeisti atvirumu ir pripažinimu, neapykantos kurstymą ir neapykantos nusikaltimus – tolerancija ir pagarba žmogaus orumui, patyčias – mokymu apie holokaustą. Visų pirma turime skatinti įvairovę kaip nuostabią dovaną, kuri daro Europą stiprią ir atsparią. Todėl Komisija ragina visas valstybes nares prisijungti prie įsipareigojimo nutraukti rasizmą ir diskriminaciją, kurie akivaizdžiai daro poveikį mūsų didelėms etninėms romų mažumoms. Primygtinai raginame valstybes nares įsipareigoti sukurti naują ES romų lygybės, įtraukties ir dalyvavimo strateginį planą, kad būtų užtikrintas socialinis teisingumas ir didesnė lygybė tikrąja to žodžio prasme.</w:t>
      </w:r>
    </w:p>
    <w:p>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i/>
          <w:noProof/>
          <w:sz w:val="18"/>
          <w:szCs w:val="18"/>
        </w:rPr>
      </w:pPr>
      <w:r>
        <w:rPr>
          <w:rFonts w:ascii="Times New Roman" w:hAnsi="Times New Roman"/>
          <w:i/>
          <w:noProof/>
          <w:sz w:val="18"/>
          <w:szCs w:val="18"/>
        </w:rPr>
        <w:t>Pirmininkės U. von der Leyen, pirmininkės pavaduotojos V. Jourovos ir Komisijos narės H. Dalli pareiškimas</w:t>
      </w:r>
    </w:p>
    <w:p>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i/>
          <w:noProof/>
          <w:sz w:val="18"/>
          <w:szCs w:val="18"/>
        </w:rPr>
      </w:pPr>
      <w:r>
        <w:rPr>
          <w:rFonts w:ascii="Times New Roman" w:hAnsi="Times New Roman"/>
          <w:i/>
          <w:noProof/>
          <w:sz w:val="18"/>
          <w:szCs w:val="18"/>
        </w:rPr>
        <w:t>prieš 2020 m. Romų holokausto aukų atminimo dieną</w:t>
      </w:r>
    </w:p>
    <w:p>
      <w:pPr>
        <w:spacing w:after="0" w:line="240" w:lineRule="auto"/>
        <w:jc w:val="both"/>
        <w:rPr>
          <w:rFonts w:ascii="Times New Roman" w:hAnsi="Times New Roman"/>
          <w:i/>
          <w:noProof/>
          <w:sz w:val="18"/>
          <w:szCs w:val="18"/>
        </w:rPr>
      </w:pPr>
    </w:p>
    <w:p>
      <w:pPr>
        <w:spacing w:before="360" w:after="240" w:line="240" w:lineRule="auto"/>
        <w:ind w:left="851" w:hanging="851"/>
        <w:jc w:val="both"/>
        <w:rPr>
          <w:rFonts w:ascii="Times New Roman Bold" w:hAnsi="Times New Roman Bold"/>
          <w:b/>
          <w:i/>
          <w:smallCaps/>
          <w:noProof/>
          <w:sz w:val="24"/>
          <w:szCs w:val="24"/>
        </w:rPr>
      </w:pPr>
      <w:r>
        <w:rPr>
          <w:rFonts w:ascii="Times New Roman Bold" w:hAnsi="Times New Roman Bold"/>
          <w:b/>
          <w:i/>
          <w:smallCaps/>
          <w:noProof/>
          <w:sz w:val="24"/>
          <w:szCs w:val="24"/>
        </w:rPr>
        <w:t xml:space="preserve">I. </w:t>
      </w:r>
      <w:r>
        <w:rPr>
          <w:noProof/>
        </w:rPr>
        <w:tab/>
      </w:r>
      <w:r>
        <w:rPr>
          <w:rFonts w:ascii="Times New Roman Bold" w:hAnsi="Times New Roman Bold"/>
          <w:b/>
          <w:i/>
          <w:smallCaps/>
          <w:noProof/>
          <w:sz w:val="24"/>
          <w:szCs w:val="24"/>
        </w:rPr>
        <w:t xml:space="preserve">Įvadas </w:t>
      </w:r>
    </w:p>
    <w:p>
      <w:pPr>
        <w:spacing w:after="120" w:line="240" w:lineRule="auto"/>
        <w:jc w:val="both"/>
        <w:rPr>
          <w:rFonts w:ascii="Times New Roman" w:hAnsi="Times New Roman" w:cs="Times New Roman"/>
          <w:noProof/>
          <w:sz w:val="24"/>
          <w:szCs w:val="24"/>
        </w:rPr>
      </w:pPr>
      <w:r>
        <w:rPr>
          <w:rFonts w:ascii="Times New Roman" w:hAnsi="Times New Roman"/>
          <w:noProof/>
          <w:sz w:val="24"/>
          <w:szCs w:val="24"/>
        </w:rPr>
        <w:t>Sukurti lygybės Sąjungą – vienas svarbiausių Komisijos prioritetų. ES turi teisinių priemonių ir išsamią politiką tikrai lygybės Sąjungai sukurti. Vis dėlto, kaip pabrėžiama 2020–2025 m. ES kovos su rasizmu veiksmų plane</w:t>
      </w:r>
      <w:r>
        <w:rPr>
          <w:rStyle w:val="FootnoteReference"/>
          <w:rFonts w:ascii="Times New Roman" w:eastAsia="Times New Roman" w:hAnsi="Times New Roman" w:cs="Times New Roman"/>
          <w:noProof/>
          <w:sz w:val="24"/>
          <w:szCs w:val="24"/>
          <w:lang w:eastAsia="en-GB"/>
        </w:rPr>
        <w:footnoteReference w:id="1"/>
      </w:r>
      <w:r>
        <w:rPr>
          <w:rFonts w:ascii="Times New Roman" w:hAnsi="Times New Roman"/>
          <w:noProof/>
          <w:sz w:val="24"/>
          <w:szCs w:val="24"/>
        </w:rPr>
        <w:t>, diskriminacija dėl rasinės ar etninės kilmės išlieka. Tai ypač pasakytina apie romus</w:t>
      </w:r>
      <w:r>
        <w:rPr>
          <w:rStyle w:val="FootnoteReference"/>
          <w:rFonts w:ascii="Times New Roman" w:eastAsia="Times New Roman" w:hAnsi="Times New Roman" w:cs="Times New Roman"/>
          <w:noProof/>
          <w:sz w:val="24"/>
          <w:szCs w:val="24"/>
          <w:lang w:eastAsia="en-GB"/>
        </w:rPr>
        <w:footnoteReference w:id="2"/>
      </w:r>
      <w:r>
        <w:rPr>
          <w:rFonts w:ascii="Times New Roman" w:hAnsi="Times New Roman"/>
          <w:noProof/>
          <w:sz w:val="24"/>
          <w:szCs w:val="24"/>
        </w:rPr>
        <w:t>, kurie daugeliu atvejų tebėra marginalizuoti. Daugelis iš apytikriai 10–12 mln. žemyne gyvenančių romų</w:t>
      </w:r>
      <w:r>
        <w:rPr>
          <w:rFonts w:ascii="Times New Roman" w:eastAsia="Times New Roman" w:hAnsi="Times New Roman" w:cs="Times New Roman"/>
          <w:noProof/>
          <w:sz w:val="24"/>
          <w:szCs w:val="24"/>
          <w:vertAlign w:val="superscript"/>
          <w:lang w:eastAsia="en-GB"/>
        </w:rPr>
        <w:footnoteReference w:id="3"/>
      </w:r>
      <w:r>
        <w:rPr>
          <w:rFonts w:ascii="Times New Roman" w:hAnsi="Times New Roman"/>
          <w:noProof/>
          <w:sz w:val="24"/>
          <w:szCs w:val="24"/>
        </w:rPr>
        <w:t xml:space="preserve"> ir toliau kasdien susiduria su diskriminacija, priešiškumu </w:t>
      </w:r>
      <w:r>
        <w:rPr>
          <w:rStyle w:val="FootnoteReference"/>
          <w:rFonts w:ascii="Times New Roman" w:eastAsia="Times New Roman" w:hAnsi="Times New Roman" w:cs="Times New Roman"/>
          <w:noProof/>
          <w:sz w:val="24"/>
          <w:szCs w:val="24"/>
          <w:lang w:eastAsia="en-GB"/>
        </w:rPr>
        <w:footnoteReference w:id="4"/>
      </w:r>
      <w:r>
        <w:rPr>
          <w:rFonts w:ascii="Times New Roman" w:hAnsi="Times New Roman"/>
          <w:noProof/>
          <w:sz w:val="24"/>
          <w:szCs w:val="24"/>
        </w:rPr>
        <w:t xml:space="preserve"> ir socialine bei ekonomine atskirtimi.</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lastRenderedPageBreak/>
        <w:t xml:space="preserve">2011 m. Komisija priėmė </w:t>
      </w:r>
      <w:r>
        <w:rPr>
          <w:rFonts w:ascii="Times New Roman" w:hAnsi="Times New Roman"/>
          <w:b/>
          <w:noProof/>
          <w:sz w:val="24"/>
          <w:szCs w:val="24"/>
        </w:rPr>
        <w:t>ES romų integracijos nacionalinių strategijų planą iki 2020 m.</w:t>
      </w:r>
      <w:r>
        <w:rPr>
          <w:rFonts w:ascii="Times New Roman" w:eastAsia="Times New Roman" w:hAnsi="Times New Roman" w:cs="Times New Roman"/>
          <w:noProof/>
          <w:sz w:val="24"/>
          <w:szCs w:val="24"/>
          <w:vertAlign w:val="superscript"/>
          <w:lang w:eastAsia="en-GB"/>
        </w:rPr>
        <w:footnoteReference w:id="5"/>
      </w:r>
      <w:r>
        <w:rPr>
          <w:rFonts w:ascii="Times New Roman" w:hAnsi="Times New Roman"/>
          <w:noProof/>
          <w:sz w:val="24"/>
          <w:szCs w:val="24"/>
        </w:rPr>
        <w:t xml:space="preserve"> Juo visų pirma siekta panaikinti romų socialinę ir ekonominę atskirtį ES ir plėtros šalyse, suteikiant vienodas galimybes gauti išsilavinimą, įsidarbinti, naudotis sveikatos priežiūros paslaugomis ir gauti būstą. Valstybės narės buvo paragintos sukurti romų integracijos nacionalines strategijas, įsteigti nacionalinius romų informacijos centrus</w:t>
      </w:r>
      <w:r>
        <w:rPr>
          <w:rStyle w:val="FootnoteReference"/>
          <w:rFonts w:ascii="Times New Roman" w:eastAsia="Times New Roman" w:hAnsi="Times New Roman" w:cs="Times New Roman"/>
          <w:noProof/>
          <w:sz w:val="24"/>
          <w:szCs w:val="24"/>
          <w:lang w:eastAsia="en-GB"/>
        </w:rPr>
        <w:footnoteReference w:id="6"/>
      </w:r>
      <w:r>
        <w:rPr>
          <w:rFonts w:ascii="Times New Roman" w:hAnsi="Times New Roman"/>
          <w:noProof/>
          <w:sz w:val="24"/>
          <w:szCs w:val="24"/>
        </w:rPr>
        <w:t xml:space="preserve"> ir nustatyti nacionalinius tikslus. Po dvejų metų Taryba priėmė rekomendaciją dėl romų veiksmingų integravimo priemonių valstybėse narėse, kurioje valstybėms narėms pateiktos gairės, kaip geriau įgyvendinti jų nacionalines strategijas</w:t>
      </w:r>
      <w:r>
        <w:rPr>
          <w:rFonts w:ascii="Times New Roman" w:eastAsia="Times New Roman" w:hAnsi="Times New Roman" w:cs="Times New Roman"/>
          <w:noProof/>
          <w:sz w:val="24"/>
          <w:szCs w:val="24"/>
          <w:vertAlign w:val="superscript"/>
          <w:lang w:eastAsia="en-GB"/>
        </w:rPr>
        <w:footnoteReference w:id="7"/>
      </w:r>
      <w:r>
        <w:rPr>
          <w:rFonts w:ascii="Times New Roman" w:hAnsi="Times New Roman"/>
          <w:noProof/>
          <w:sz w:val="24"/>
          <w:szCs w:val="24"/>
        </w:rPr>
        <w:t>. Vakarų Balkanų regiono šalys jau savo noru suderino politiką su ES romų integracijos nacionalinių strategijų planu iki 2020 m.</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Šios dvi priemonės buvo svarbios</w:t>
      </w:r>
      <w:r>
        <w:rPr>
          <w:rFonts w:ascii="Times New Roman" w:eastAsia="Times New Roman" w:hAnsi="Times New Roman" w:cs="Times New Roman"/>
          <w:noProof/>
          <w:sz w:val="24"/>
          <w:szCs w:val="24"/>
          <w:vertAlign w:val="superscript"/>
          <w:lang w:eastAsia="en-GB"/>
        </w:rPr>
        <w:footnoteReference w:id="8"/>
      </w:r>
      <w:r>
        <w:rPr>
          <w:rFonts w:ascii="Times New Roman" w:hAnsi="Times New Roman"/>
          <w:noProof/>
          <w:sz w:val="24"/>
          <w:szCs w:val="24"/>
        </w:rPr>
        <w:t xml:space="preserve"> siekiant suteikti prioritetą romų įtraukties klausimui ES ir nacionalinėse darbotvarkėse ir sutelkti ES politikos, teisines ir finansavimo priemones. Nepaisant to, bendra </w:t>
      </w:r>
      <w:r>
        <w:rPr>
          <w:rFonts w:ascii="Times New Roman" w:hAnsi="Times New Roman"/>
          <w:b/>
          <w:noProof/>
          <w:sz w:val="24"/>
          <w:szCs w:val="24"/>
        </w:rPr>
        <w:t>pažanga romų integracijos srityje per pastaruosius 10 metų buvo nedidelė</w:t>
      </w:r>
      <w:r>
        <w:rPr>
          <w:rFonts w:ascii="Times New Roman" w:hAnsi="Times New Roman"/>
          <w:noProof/>
          <w:sz w:val="24"/>
          <w:szCs w:val="24"/>
        </w:rPr>
        <w:t>, nors politikos srityse ir šalyse pastebima didelių skirtumų</w:t>
      </w:r>
      <w:r>
        <w:rPr>
          <w:rFonts w:ascii="Times New Roman" w:eastAsia="Times New Roman" w:hAnsi="Times New Roman" w:cs="Times New Roman"/>
          <w:noProof/>
          <w:sz w:val="24"/>
          <w:szCs w:val="24"/>
          <w:vertAlign w:val="superscript"/>
          <w:lang w:eastAsia="en-GB"/>
        </w:rPr>
        <w:footnoteReference w:id="9"/>
      </w:r>
      <w:r>
        <w:rPr>
          <w:rFonts w:ascii="Times New Roman" w:hAnsi="Times New Roman"/>
          <w:noProof/>
          <w:sz w:val="24"/>
          <w:szCs w:val="24"/>
        </w:rPr>
        <w:t>. Didžiausia pažanga padaryta švietimo srityje, visų pirma mažinant mokyklos nebaigusių asmenų skaičių ir gerinant dalyvavimą ikimokyklinio ugdymo ir privalomą mokyklos lankymą. Tačiau padaugėjo romų tautybės mokinių segregacijos švietimo srityje atvejų</w:t>
      </w:r>
      <w:r>
        <w:rPr>
          <w:rStyle w:val="FootnoteReference"/>
          <w:rFonts w:ascii="Times New Roman" w:eastAsia="Times New Roman" w:hAnsi="Times New Roman" w:cs="Times New Roman"/>
          <w:noProof/>
          <w:sz w:val="24"/>
          <w:szCs w:val="24"/>
          <w:lang w:eastAsia="en-GB"/>
        </w:rPr>
        <w:footnoteReference w:id="10"/>
      </w:r>
      <w:r>
        <w:rPr>
          <w:rFonts w:ascii="Times New Roman" w:hAnsi="Times New Roman"/>
          <w:noProof/>
          <w:sz w:val="24"/>
          <w:szCs w:val="24"/>
        </w:rPr>
        <w:t>. Sumažėjo skurdo rizika ir, romų vertinimu, pagerėjo jų sveikatos būklė, tačiau sveikatos draudimo paslaugos jiems vis dar teikiamos prastai. Galimybių įsidarbinti nepadaugėjo, o nedirbančių ir nesimokančių romų tautybės jaunuolių dalis netgi padidėjo. Padėtis aprūpinant būstu tebėra sudėtinga, visų pirma dėl netinkamo ir segreguoto būsto. Esama duomenų, kad romų diskriminacija šiek tiek sumažėjo ir kad plačioji visuomenė romus priima labiau. Tačiau didelį susirūpinimą tebekelia priešiškumo romams apraiškos, neapykantos nusikaltimai, prekyba romais, ypač moterimis ir vaikais</w:t>
      </w:r>
      <w:r>
        <w:rPr>
          <w:rFonts w:ascii="Times New Roman" w:eastAsia="Times New Roman" w:hAnsi="Times New Roman" w:cs="Times New Roman"/>
          <w:noProof/>
          <w:sz w:val="24"/>
          <w:szCs w:val="24"/>
          <w:vertAlign w:val="superscript"/>
          <w:lang w:eastAsia="en-GB"/>
        </w:rPr>
        <w:footnoteReference w:id="11"/>
      </w:r>
      <w:r>
        <w:rPr>
          <w:rFonts w:ascii="Times New Roman" w:hAnsi="Times New Roman"/>
          <w:noProof/>
          <w:sz w:val="24"/>
          <w:szCs w:val="24"/>
        </w:rPr>
        <w:t xml:space="preserve">. </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Sukūrus ES romų integracijos nacionalinių strategijų planą, galima imtis aktyvesnių veiksmų šiai vis dar aktualiai problemai spręsti. Tai ypač svarbu dėl to, jog per COVID-19 pandemiją paaiškėjo, kad </w:t>
      </w:r>
      <w:r>
        <w:rPr>
          <w:rFonts w:ascii="Times New Roman" w:hAnsi="Times New Roman"/>
          <w:b/>
          <w:noProof/>
          <w:sz w:val="24"/>
          <w:szCs w:val="24"/>
        </w:rPr>
        <w:t>atstumtos ir marginalizuotos romų bendruomenės patiria labai didelį neigiamą poveikį sveikatai, taip pat socialinį ir ekonominį poveikį</w:t>
      </w:r>
      <w:r>
        <w:rPr>
          <w:rFonts w:ascii="Times New Roman" w:hAnsi="Times New Roman"/>
          <w:noProof/>
          <w:sz w:val="24"/>
          <w:szCs w:val="24"/>
        </w:rPr>
        <w:t>.</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Siekiant didesnės ir spartesnės pažangos, šiuo komunikatu nustatomas naujas ES romų integracijos strateginis planas, kuriuo skatinama veiksminga romų </w:t>
      </w:r>
      <w:r>
        <w:rPr>
          <w:rFonts w:ascii="Times New Roman" w:hAnsi="Times New Roman"/>
          <w:b/>
          <w:noProof/>
          <w:sz w:val="24"/>
          <w:szCs w:val="24"/>
        </w:rPr>
        <w:t>lygybė</w:t>
      </w:r>
      <w:r>
        <w:rPr>
          <w:rFonts w:ascii="Times New Roman" w:hAnsi="Times New Roman"/>
          <w:noProof/>
          <w:sz w:val="24"/>
          <w:szCs w:val="24"/>
        </w:rPr>
        <w:t xml:space="preserve">, socialinė ir ekonominė </w:t>
      </w:r>
      <w:r>
        <w:rPr>
          <w:rFonts w:ascii="Times New Roman" w:hAnsi="Times New Roman"/>
          <w:b/>
          <w:noProof/>
          <w:sz w:val="24"/>
          <w:szCs w:val="24"/>
        </w:rPr>
        <w:t>įtrauktis</w:t>
      </w:r>
      <w:r>
        <w:rPr>
          <w:rFonts w:ascii="Times New Roman" w:hAnsi="Times New Roman"/>
          <w:noProof/>
          <w:sz w:val="24"/>
          <w:szCs w:val="24"/>
        </w:rPr>
        <w:t xml:space="preserve">, taip pat prasmingas </w:t>
      </w:r>
      <w:r>
        <w:rPr>
          <w:rFonts w:ascii="Times New Roman" w:hAnsi="Times New Roman"/>
          <w:b/>
          <w:noProof/>
          <w:sz w:val="24"/>
          <w:szCs w:val="24"/>
        </w:rPr>
        <w:t>dalyvavimas</w:t>
      </w:r>
      <w:r>
        <w:rPr>
          <w:rFonts w:ascii="Times New Roman" w:hAnsi="Times New Roman"/>
          <w:noProof/>
          <w:sz w:val="24"/>
          <w:szCs w:val="24"/>
        </w:rPr>
        <w:t>. Būtent valstybės narės gali paskatinti tikrus pokyčius romų atžvilgiu, o ES gali padėti joms suformuoti veiksmingą požiūrį ir aprūpinti jas tinkamomis priemonėmis, tačiau būtinas tvirtesnis valstybių narių politinis įsipareigojimas. Šiame strateginiame plane remiamasi ankstesnio plano vertinimo išvadomis, išsamiomis konsultacijomis</w:t>
      </w:r>
      <w:r>
        <w:rPr>
          <w:rFonts w:ascii="Times New Roman" w:eastAsia="Times New Roman" w:hAnsi="Times New Roman" w:cs="Times New Roman"/>
          <w:noProof/>
          <w:sz w:val="24"/>
          <w:szCs w:val="24"/>
          <w:vertAlign w:val="superscript"/>
          <w:lang w:eastAsia="en-GB"/>
        </w:rPr>
        <w:footnoteReference w:id="12"/>
      </w:r>
      <w:r>
        <w:rPr>
          <w:rFonts w:ascii="Times New Roman" w:hAnsi="Times New Roman"/>
          <w:noProof/>
          <w:sz w:val="24"/>
          <w:szCs w:val="24"/>
        </w:rPr>
        <w:t>, nacionalinių strategijų įgyvendinimo metiniais vertinimais</w:t>
      </w:r>
      <w:r>
        <w:rPr>
          <w:rFonts w:ascii="Times New Roman" w:eastAsia="Times New Roman" w:hAnsi="Times New Roman" w:cs="Times New Roman"/>
          <w:noProof/>
          <w:sz w:val="24"/>
          <w:szCs w:val="24"/>
          <w:vertAlign w:val="superscript"/>
          <w:lang w:eastAsia="en-GB"/>
        </w:rPr>
        <w:footnoteReference w:id="13"/>
      </w:r>
      <w:r>
        <w:rPr>
          <w:rFonts w:ascii="Times New Roman" w:hAnsi="Times New Roman"/>
          <w:noProof/>
          <w:sz w:val="24"/>
          <w:szCs w:val="24"/>
        </w:rPr>
        <w:t xml:space="preserve"> ir buvusių priemonių riboto veiksmingumo priežasčių analize</w:t>
      </w:r>
      <w:r>
        <w:rPr>
          <w:rFonts w:ascii="Times New Roman" w:eastAsia="Times New Roman" w:hAnsi="Times New Roman" w:cs="Times New Roman"/>
          <w:noProof/>
          <w:sz w:val="24"/>
          <w:szCs w:val="24"/>
          <w:vertAlign w:val="superscript"/>
          <w:lang w:eastAsia="en-GB"/>
        </w:rPr>
        <w:footnoteReference w:id="14"/>
      </w:r>
      <w:r>
        <w:rPr>
          <w:rFonts w:ascii="Times New Roman" w:hAnsi="Times New Roman"/>
          <w:noProof/>
          <w:sz w:val="24"/>
          <w:szCs w:val="24"/>
        </w:rPr>
        <w:t>. Juo reaguojama į Europos Parlamento, Tarybos ir pilietinės visuomenės raginimus stiprinti ES iniciatyvą po 2020 m.</w:t>
      </w:r>
      <w:r>
        <w:rPr>
          <w:rFonts w:ascii="Times New Roman" w:eastAsia="Times New Roman" w:hAnsi="Times New Roman" w:cs="Times New Roman"/>
          <w:noProof/>
          <w:sz w:val="24"/>
          <w:szCs w:val="24"/>
          <w:vertAlign w:val="superscript"/>
          <w:lang w:eastAsia="en-GB"/>
        </w:rPr>
        <w:footnoteReference w:id="15"/>
      </w:r>
      <w:r>
        <w:rPr>
          <w:rFonts w:ascii="Times New Roman" w:hAnsi="Times New Roman"/>
          <w:noProof/>
          <w:sz w:val="24"/>
          <w:szCs w:val="24"/>
        </w:rPr>
        <w:t xml:space="preserve"> Jame pripažįstama, kad ne visi romai yra socialiai atskirti, tačiau jie visi gali susidurti su diskriminacija ir galių atėmimu. Būtina vadovautis tarpsektoriniu požiūriu, atsižvelgiant į etninės kilmės ir kitų tapatybės aspektų derinimą ir būdus, kaip tokios sąsajos prisideda prie unikalios diskriminacijos patirties</w:t>
      </w:r>
      <w:r>
        <w:rPr>
          <w:rStyle w:val="FootnoteReference"/>
          <w:rFonts w:ascii="Times New Roman" w:eastAsia="Times New Roman" w:hAnsi="Times New Roman" w:cs="Times New Roman"/>
          <w:noProof/>
          <w:sz w:val="24"/>
          <w:szCs w:val="24"/>
          <w:lang w:eastAsia="en-GB"/>
        </w:rPr>
        <w:footnoteReference w:id="16"/>
      </w:r>
      <w:r>
        <w:rPr>
          <w:rFonts w:ascii="Times New Roman" w:hAnsi="Times New Roman"/>
          <w:noProof/>
          <w:sz w:val="24"/>
          <w:szCs w:val="24"/>
        </w:rPr>
        <w:t xml:space="preserve">. </w:t>
      </w:r>
    </w:p>
    <w:p>
      <w:pPr>
        <w:spacing w:after="120" w:line="240" w:lineRule="auto"/>
        <w:jc w:val="both"/>
        <w:rPr>
          <w:rFonts w:ascii="Times New Roman" w:hAnsi="Times New Roman"/>
          <w:noProof/>
          <w:sz w:val="24"/>
          <w:szCs w:val="24"/>
        </w:rPr>
      </w:pPr>
      <w:r>
        <w:rPr>
          <w:rFonts w:ascii="Times New Roman" w:hAnsi="Times New Roman"/>
          <w:noProof/>
          <w:sz w:val="24"/>
          <w:szCs w:val="24"/>
        </w:rPr>
        <w:t>Šiuo ES romų integracijos strateginiu planu taip pat prisidedama prie keleto kitų iniciatyvų. Juo tiesiogiai padedama įgyvendinti ES kovos su rasizmu veiksmų planą, Europos socialinių teisių ramstį</w:t>
      </w:r>
      <w:r>
        <w:rPr>
          <w:rStyle w:val="FootnoteReference"/>
          <w:rFonts w:ascii="Times New Roman" w:hAnsi="Times New Roman" w:cs="Times New Roman"/>
          <w:noProof/>
          <w:sz w:val="24"/>
          <w:szCs w:val="24"/>
        </w:rPr>
        <w:footnoteReference w:id="17"/>
      </w:r>
      <w:r>
        <w:rPr>
          <w:rFonts w:ascii="Times New Roman" w:hAnsi="Times New Roman"/>
          <w:noProof/>
          <w:sz w:val="24"/>
          <w:szCs w:val="24"/>
        </w:rPr>
        <w:t>, Darbotvarkę iki 2030 m. ir darnaus vystymosi tikslus</w:t>
      </w:r>
      <w:r>
        <w:rPr>
          <w:rStyle w:val="FootnoteReference"/>
          <w:rFonts w:ascii="Times New Roman" w:hAnsi="Times New Roman" w:cs="Times New Roman"/>
          <w:noProof/>
          <w:sz w:val="24"/>
          <w:szCs w:val="24"/>
        </w:rPr>
        <w:footnoteReference w:id="18"/>
      </w:r>
      <w:r>
        <w:rPr>
          <w:rFonts w:ascii="Times New Roman" w:hAnsi="Times New Roman"/>
          <w:noProof/>
          <w:sz w:val="24"/>
          <w:szCs w:val="24"/>
        </w:rPr>
        <w:t>.</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Norint užtikrinti teisingumą ir įtrauktį, raginama aktyviau naudoti ir geriau nukreipti išteklius, taip pat skatinti romų bendruomenių, visų valdžios lygmenų, sektorių ir suinteresuotųjų subjektų (nacionalinių vyriausybių, ES institucijų, tarptautinių organizacijų, pilietinės visuomenės ir pramonės bei akademinės bendruomenės) </w:t>
      </w:r>
      <w:r>
        <w:rPr>
          <w:rFonts w:ascii="Times New Roman" w:hAnsi="Times New Roman"/>
          <w:b/>
          <w:noProof/>
          <w:sz w:val="24"/>
          <w:szCs w:val="24"/>
        </w:rPr>
        <w:t>dalyvavimą ir partnerystę</w:t>
      </w:r>
      <w:r>
        <w:rPr>
          <w:rFonts w:ascii="Times New Roman" w:hAnsi="Times New Roman"/>
          <w:noProof/>
          <w:sz w:val="24"/>
          <w:szCs w:val="24"/>
        </w:rPr>
        <w:t>. Itin svarbu glaudžiai bendradarbiauti Europos ir nacionaliniu lygmenimis. ES lygmeniu šiame strateginiame plane nustatyti plataus užmojo tikslai ir uždaviniai. Nacionaliniu lygmeniu vyriausybės turėtų parengti tvirtus nacionalinius romų integracijos strateginius planus, kad prisiimtų ilgalaikius įsipareigojimus ir bendradarbiautų su ES institucijomis romų lygybės, įtraukties ir dalyvavimo klausimais. Kaip siūloma ir 2016 m. Tarybos išvadose</w:t>
      </w:r>
      <w:r>
        <w:rPr>
          <w:rStyle w:val="FootnoteReference"/>
          <w:rFonts w:ascii="Times New Roman" w:hAnsi="Times New Roman"/>
          <w:noProof/>
          <w:sz w:val="24"/>
          <w:szCs w:val="24"/>
        </w:rPr>
        <w:footnoteReference w:id="19"/>
      </w:r>
      <w:r>
        <w:rPr>
          <w:rFonts w:ascii="Times New Roman" w:hAnsi="Times New Roman"/>
          <w:noProof/>
          <w:sz w:val="24"/>
          <w:szCs w:val="24"/>
        </w:rPr>
        <w:t xml:space="preserve">, Komisija priima </w:t>
      </w:r>
      <w:r>
        <w:rPr>
          <w:rFonts w:ascii="Times New Roman" w:hAnsi="Times New Roman"/>
          <w:b/>
          <w:noProof/>
          <w:sz w:val="24"/>
          <w:szCs w:val="24"/>
        </w:rPr>
        <w:t>pasiūlymą peržiūrėti ir pakeisti 2013 m. Tarybos rekomendaciją</w:t>
      </w:r>
      <w:r>
        <w:rPr>
          <w:rFonts w:ascii="Times New Roman" w:hAnsi="Times New Roman"/>
          <w:noProof/>
          <w:sz w:val="24"/>
          <w:szCs w:val="24"/>
        </w:rPr>
        <w:t>.</w:t>
      </w:r>
    </w:p>
    <w:p>
      <w:pPr>
        <w:spacing w:before="360" w:after="240" w:line="240" w:lineRule="auto"/>
        <w:jc w:val="both"/>
        <w:rPr>
          <w:rFonts w:ascii="Times New Roman Bold" w:hAnsi="Times New Roman Bold"/>
          <w:b/>
          <w:i/>
          <w:smallCaps/>
          <w:noProof/>
          <w:sz w:val="24"/>
          <w:szCs w:val="24"/>
        </w:rPr>
      </w:pPr>
      <w:r>
        <w:rPr>
          <w:rFonts w:ascii="Times New Roman Bold" w:hAnsi="Times New Roman Bold"/>
          <w:b/>
          <w:i/>
          <w:smallCaps/>
          <w:noProof/>
          <w:sz w:val="24"/>
          <w:szCs w:val="24"/>
        </w:rPr>
        <w:t xml:space="preserve">II. </w:t>
      </w:r>
      <w:r>
        <w:rPr>
          <w:noProof/>
        </w:rPr>
        <w:tab/>
      </w:r>
      <w:r>
        <w:rPr>
          <w:rFonts w:ascii="Times New Roman Bold" w:hAnsi="Times New Roman Bold"/>
          <w:b/>
          <w:i/>
          <w:smallCaps/>
          <w:noProof/>
          <w:sz w:val="24"/>
          <w:szCs w:val="24"/>
        </w:rPr>
        <w:t xml:space="preserve">Bendrieji romų lygybės, įtraukties ir dalyvavimo tikslai </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Iš dabartinio plano vertinimo ir išvadų, kurias juo remdamiesi padarė Europos Parlamentas, Taryba ir keletas Europos ir nacionalinių pilietinės visuomenės organizacijų</w:t>
      </w:r>
      <w:r>
        <w:rPr>
          <w:rFonts w:ascii="Times New Roman" w:eastAsia="Times New Roman" w:hAnsi="Times New Roman" w:cs="Times New Roman"/>
          <w:noProof/>
          <w:sz w:val="24"/>
          <w:szCs w:val="24"/>
          <w:vertAlign w:val="superscript"/>
        </w:rPr>
        <w:footnoteReference w:id="20"/>
      </w:r>
      <w:r>
        <w:rPr>
          <w:rFonts w:ascii="Times New Roman" w:hAnsi="Times New Roman"/>
          <w:noProof/>
          <w:sz w:val="24"/>
          <w:szCs w:val="24"/>
        </w:rPr>
        <w:t xml:space="preserve">, </w:t>
      </w:r>
      <w:r>
        <w:rPr>
          <w:rFonts w:ascii="Times New Roman" w:hAnsi="Times New Roman"/>
          <w:b/>
          <w:noProof/>
          <w:sz w:val="24"/>
          <w:szCs w:val="24"/>
        </w:rPr>
        <w:t>matyti, kad reikia atnaujinti ir stiprinti įsipareigojimą siekti romų lygybės, įtraukties ir dalyvavimo</w:t>
      </w:r>
      <w:r>
        <w:rPr>
          <w:rFonts w:ascii="Times New Roman" w:hAnsi="Times New Roman"/>
          <w:noProof/>
          <w:sz w:val="24"/>
          <w:szCs w:val="24"/>
        </w:rPr>
        <w:t xml:space="preserve"> Europos ir nacionaliniu lygmenimis.</w:t>
      </w:r>
      <w:r>
        <w:rPr>
          <w:rFonts w:ascii="Times New Roman" w:hAnsi="Times New Roman"/>
          <w:b/>
          <w:noProof/>
          <w:sz w:val="24"/>
          <w:szCs w:val="24"/>
        </w:rPr>
        <w:t xml:space="preserve"> </w:t>
      </w:r>
      <w:r>
        <w:rPr>
          <w:rFonts w:ascii="Times New Roman" w:hAnsi="Times New Roman"/>
          <w:noProof/>
          <w:sz w:val="24"/>
          <w:szCs w:val="24"/>
        </w:rPr>
        <w:t>Tvirtesnis įsipareigojimas</w:t>
      </w:r>
      <w:r>
        <w:rPr>
          <w:rFonts w:ascii="Times New Roman" w:hAnsi="Times New Roman"/>
          <w:b/>
          <w:noProof/>
          <w:sz w:val="24"/>
          <w:szCs w:val="24"/>
        </w:rPr>
        <w:t xml:space="preserve"> </w:t>
      </w:r>
      <w:r>
        <w:rPr>
          <w:rFonts w:ascii="Times New Roman" w:hAnsi="Times New Roman"/>
          <w:noProof/>
          <w:sz w:val="24"/>
          <w:szCs w:val="24"/>
        </w:rPr>
        <w:t>yra būtinas siekiant kovoti su nuolatine diskriminacija, įskaitant priešiškumą romams, ir didinti romų įtrauktį švietimo, užimtumo, sveikatos priežiūros ir aprūpinimo būstu srityse</w:t>
      </w:r>
      <w:r>
        <w:rPr>
          <w:rFonts w:ascii="Times New Roman" w:eastAsia="Times New Roman" w:hAnsi="Times New Roman" w:cs="Times New Roman"/>
          <w:noProof/>
          <w:sz w:val="24"/>
          <w:szCs w:val="24"/>
          <w:vertAlign w:val="superscript"/>
        </w:rPr>
        <w:footnoteReference w:id="21"/>
      </w:r>
      <w:r>
        <w:rPr>
          <w:rFonts w:ascii="Times New Roman" w:hAnsi="Times New Roman"/>
          <w:noProof/>
          <w:sz w:val="24"/>
          <w:szCs w:val="24"/>
        </w:rPr>
        <w:t xml:space="preserve">. Romai turėtų dalyvauti visais etapais – pradedant priemonių kūrimu ir baigiant jų įgyvendinimu. Be to, veiksmais turėtų būti pripažįstama konkrečių romų grupių įvairovė ir poreikiai. </w:t>
      </w:r>
    </w:p>
    <w:p>
      <w:pPr>
        <w:spacing w:after="0" w:line="240" w:lineRule="auto"/>
        <w:jc w:val="both"/>
        <w:rPr>
          <w:rStyle w:val="CommentReference"/>
          <w:noProof/>
        </w:rPr>
      </w:pPr>
      <w:r>
        <w:rPr>
          <w:rFonts w:ascii="Times New Roman" w:hAnsi="Times New Roman"/>
          <w:noProof/>
          <w:sz w:val="24"/>
          <w:szCs w:val="24"/>
        </w:rPr>
        <w:t xml:space="preserve">Todėl Komisija nustatė </w:t>
      </w:r>
      <w:r>
        <w:rPr>
          <w:rFonts w:ascii="Times New Roman" w:hAnsi="Times New Roman"/>
          <w:b/>
          <w:noProof/>
          <w:sz w:val="24"/>
          <w:szCs w:val="24"/>
        </w:rPr>
        <w:t>septynis ES lygmens tikslus</w:t>
      </w:r>
      <w:r>
        <w:rPr>
          <w:rFonts w:ascii="Times New Roman" w:hAnsi="Times New Roman"/>
          <w:noProof/>
          <w:sz w:val="24"/>
          <w:szCs w:val="24"/>
        </w:rPr>
        <w:t xml:space="preserve"> laikotarpiui iki 2030 m. Trys iš jų yra horizontalieji tikslai lygybės, įtraukties ir dalyvavimo srityse. Kiti keturi yra sektorių tikslai švietimo, užimtumo, aprūpinimo būstu ir sveikatos priežiūros srityse. Kad šie tikslai būtų veiksmingai įgyvendinti, juos reikia paremti užtikrinant gebėjimą įvertinti pažangą. Dėl šios priežasties Komisija pirmą kartą siūlo kiekybinius ES </w:t>
      </w:r>
      <w:r>
        <w:rPr>
          <w:rFonts w:ascii="Times New Roman" w:hAnsi="Times New Roman"/>
          <w:b/>
          <w:noProof/>
          <w:sz w:val="24"/>
          <w:szCs w:val="24"/>
        </w:rPr>
        <w:t>pagrindinius uždavinius</w:t>
      </w:r>
      <w:r>
        <w:rPr>
          <w:rFonts w:ascii="Times New Roman" w:hAnsi="Times New Roman"/>
          <w:noProof/>
          <w:sz w:val="24"/>
          <w:szCs w:val="24"/>
        </w:rPr>
        <w:t xml:space="preserve">, skirtus stebėti, kaip siekiama šių tikslų. Tam, kad būtų įgyvendinti tokie uždaviniai, iki 2030 m. reikia pasiekti bent būtiną pažangą, vis dėlto </w:t>
      </w:r>
      <w:r>
        <w:rPr>
          <w:rFonts w:ascii="Times New Roman" w:hAnsi="Times New Roman"/>
          <w:b/>
          <w:bCs/>
          <w:noProof/>
          <w:sz w:val="24"/>
          <w:szCs w:val="24"/>
        </w:rPr>
        <w:t>ilgalaikis tikslas tebėra užtikrinti veiksmingą lygybę ir panaikinti atotrūkį tarp romų ir visos visuomenės</w:t>
      </w:r>
      <w:r>
        <w:rPr>
          <w:rFonts w:ascii="Times New Roman" w:hAnsi="Times New Roman"/>
          <w:noProof/>
          <w:sz w:val="24"/>
          <w:szCs w:val="24"/>
        </w:rPr>
        <w:t>. Šie uždaviniai yra romų bendruomenių tyrimų apklausos būdu rezultatas ir juos lemia išsamios konsultacijos, kuriose dalyvauja ES pagrindinių teisių agentūra (FRA), valstybės narės, taip pat romai ir romų interesus ginanti pilietinė visuomenė</w:t>
      </w:r>
      <w:r>
        <w:rPr>
          <w:rStyle w:val="FootnoteReference"/>
          <w:rFonts w:ascii="Times New Roman" w:eastAsia="Times New Roman" w:hAnsi="Times New Roman" w:cs="Times New Roman"/>
          <w:noProof/>
          <w:sz w:val="24"/>
          <w:szCs w:val="24"/>
        </w:rPr>
        <w:footnoteReference w:id="22"/>
      </w:r>
      <w:r>
        <w:rPr>
          <w:rFonts w:ascii="Times New Roman" w:hAnsi="Times New Roman"/>
          <w:noProof/>
          <w:sz w:val="24"/>
          <w:szCs w:val="24"/>
        </w:rPr>
        <w:t>. Toliau pateiktose lentelėse nurodyti septyni tikslai, ES lygmens uždaviniai, siektina pažanga ir dabartinė padėtis</w:t>
      </w:r>
      <w:r>
        <w:rPr>
          <w:rStyle w:val="FootnoteReference"/>
          <w:rFonts w:ascii="Times New Roman" w:hAnsi="Times New Roman"/>
          <w:b/>
          <w:i/>
          <w:noProof/>
          <w:sz w:val="21"/>
          <w:szCs w:val="21"/>
        </w:rPr>
        <w:footnoteReference w:id="23"/>
      </w:r>
      <w:r>
        <w:rPr>
          <w:noProof/>
        </w:rPr>
        <w:t xml:space="preserve">. </w:t>
      </w:r>
    </w:p>
    <w:p>
      <w:pPr>
        <w:spacing w:after="0" w:line="240" w:lineRule="auto"/>
        <w:jc w:val="both"/>
        <w:rPr>
          <w:rStyle w:val="CommentReference"/>
          <w:noProof/>
        </w:rPr>
      </w:pPr>
      <w:r>
        <w:rPr>
          <w:rFonts w:ascii="Times New Roman" w:hAnsi="Times New Roman"/>
          <w:noProof/>
          <w:sz w:val="24"/>
          <w:szCs w:val="24"/>
          <w:lang w:val="en-GB" w:eastAsia="en-GB"/>
        </w:rPr>
        <mc:AlternateContent>
          <mc:Choice Requires="wpg">
            <w:drawing>
              <wp:anchor distT="0" distB="0" distL="114300" distR="114300" simplePos="0" relativeHeight="252191232" behindDoc="0" locked="0" layoutInCell="1" allowOverlap="1">
                <wp:simplePos x="0" y="0"/>
                <wp:positionH relativeFrom="margin">
                  <wp:posOffset>-46567</wp:posOffset>
                </wp:positionH>
                <wp:positionV relativeFrom="paragraph">
                  <wp:posOffset>199390</wp:posOffset>
                </wp:positionV>
                <wp:extent cx="6028055" cy="6379210"/>
                <wp:effectExtent l="0" t="0" r="10795" b="21590"/>
                <wp:wrapTopAndBottom/>
                <wp:docPr id="1" name="Group 1"/>
                <wp:cNvGraphicFramePr/>
                <a:graphic xmlns:a="http://schemas.openxmlformats.org/drawingml/2006/main">
                  <a:graphicData uri="http://schemas.microsoft.com/office/word/2010/wordprocessingGroup">
                    <wpg:wgp>
                      <wpg:cNvGrpSpPr/>
                      <wpg:grpSpPr>
                        <a:xfrm>
                          <a:off x="0" y="0"/>
                          <a:ext cx="6028055" cy="6379210"/>
                          <a:chOff x="-69" y="614572"/>
                          <a:chExt cx="4595304" cy="5331920"/>
                        </a:xfrm>
                      </wpg:grpSpPr>
                      <wps:wsp>
                        <wps:cNvPr id="3" name="Téglalap 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B06E6CC-9EE4-499F-880E-972D98319E10}"/>
                            </a:ext>
                          </a:extLst>
                        </wps:cNvPr>
                        <wps:cNvSpPr/>
                        <wps:spPr>
                          <a:xfrm>
                            <a:off x="-69" y="614572"/>
                            <a:ext cx="4465630" cy="814042"/>
                          </a:xfrm>
                          <a:prstGeom prst="rect">
                            <a:avLst/>
                          </a:prstGeom>
                        </wps:spPr>
                        <wps:txbx>
                          <w:txbxContent>
                            <w:p>
                              <w:pPr>
                                <w:pStyle w:val="NormalWeb"/>
                                <w:spacing w:before="0" w:beforeAutospacing="0" w:after="0" w:afterAutospacing="0"/>
                                <w:jc w:val="center"/>
                                <w:rPr>
                                  <w:rFonts w:eastAsia="Calibri" w:cstheme="minorBidi"/>
                                  <w:b/>
                                  <w:bCs/>
                                  <w:smallCaps/>
                                  <w:color w:val="4F81BD" w:themeColor="accent1"/>
                                  <w:kern w:val="24"/>
                                  <w:szCs w:val="28"/>
                                </w:rPr>
                              </w:pPr>
                              <w:r>
                                <w:rPr>
                                  <w:b/>
                                  <w:bCs/>
                                  <w:smallCaps/>
                                  <w:color w:val="4F81BD" w:themeColor="accent1"/>
                                  <w:szCs w:val="28"/>
                                </w:rPr>
                                <w:t>Užtikrinti veiksmingą lygybę, įtrauktį ir dalyvavimą</w:t>
                              </w:r>
                            </w:p>
                            <w:p>
                              <w:pPr>
                                <w:pStyle w:val="NormalWeb"/>
                                <w:spacing w:before="0" w:beforeAutospacing="0" w:after="0" w:afterAutospacing="0"/>
                                <w:jc w:val="center"/>
                                <w:rPr>
                                  <w:rFonts w:eastAsia="Calibri" w:cstheme="minorBidi"/>
                                  <w:b/>
                                  <w:bCs/>
                                  <w:smallCaps/>
                                  <w:color w:val="4F81BD" w:themeColor="accent1"/>
                                  <w:kern w:val="24"/>
                                  <w:szCs w:val="28"/>
                                </w:rPr>
                              </w:pPr>
                              <w:r>
                                <w:rPr>
                                  <w:b/>
                                  <w:bCs/>
                                  <w:smallCaps/>
                                  <w:color w:val="4F81BD" w:themeColor="accent1"/>
                                  <w:szCs w:val="28"/>
                                </w:rPr>
                                <w:t>Horizontalieji tikslai ir uždaviniai iki 2030 m.</w:t>
                              </w:r>
                            </w:p>
                            <w:p>
                              <w:pPr>
                                <w:pStyle w:val="NormalWeb"/>
                                <w:spacing w:before="0" w:beforeAutospacing="0" w:after="0" w:afterAutospacing="0"/>
                                <w:jc w:val="center"/>
                                <w:rPr>
                                  <w:color w:val="FF0000"/>
                                  <w:sz w:val="16"/>
                                  <w:szCs w:val="18"/>
                                </w:rPr>
                              </w:pPr>
                              <w:r>
                                <w:rPr>
                                  <w:rFonts w:asciiTheme="minorHAnsi" w:hAnsi="Calibri"/>
                                  <w:bCs/>
                                  <w:color w:val="FF0000"/>
                                  <w:sz w:val="16"/>
                                  <w:szCs w:val="18"/>
                                </w:rPr>
                                <w:t>Raudona spalva: ES lygmens uždavinys dėl mažiausios būtinos pažangos, kurį reikia įgyvendinti iki 2030 m.</w:t>
                              </w:r>
                            </w:p>
                            <w:p>
                              <w:pPr>
                                <w:pStyle w:val="NormalWeb"/>
                                <w:spacing w:before="0" w:beforeAutospacing="0" w:after="0" w:afterAutospacing="0"/>
                                <w:jc w:val="center"/>
                                <w:rPr>
                                  <w:rFonts w:asciiTheme="minorHAnsi" w:hAnsi="Calibri" w:cstheme="minorBidi"/>
                                  <w:i/>
                                  <w:iCs/>
                                  <w:color w:val="4F81BD" w:themeColor="accent1"/>
                                  <w:kern w:val="24"/>
                                  <w:sz w:val="16"/>
                                  <w:szCs w:val="19"/>
                                </w:rPr>
                              </w:pPr>
                              <w:r>
                                <w:rPr>
                                  <w:rFonts w:asciiTheme="minorHAnsi" w:hAnsi="Calibri"/>
                                  <w:bCs/>
                                  <w:color w:val="00B050"/>
                                  <w:sz w:val="16"/>
                                  <w:szCs w:val="19"/>
                                </w:rPr>
                                <w:t>Žalia spalva:</w:t>
                              </w:r>
                              <w:r>
                                <w:rPr>
                                  <w:sz w:val="20"/>
                                </w:rPr>
                                <w:t xml:space="preserve"> </w:t>
                              </w:r>
                              <w:r>
                                <w:rPr>
                                  <w:rFonts w:asciiTheme="minorHAnsi" w:hAnsi="Calibri"/>
                                  <w:bCs/>
                                  <w:color w:val="00B050"/>
                                  <w:sz w:val="16"/>
                                  <w:szCs w:val="19"/>
                                </w:rPr>
                                <w:t>mažiausia būtina pažanga romų integracijos srityje, kurią reikia užtikrinti iki 2030 m.</w:t>
                              </w:r>
                            </w:p>
                            <w:p>
                              <w:pPr>
                                <w:pStyle w:val="NormalWeb"/>
                                <w:spacing w:before="0" w:beforeAutospacing="0" w:after="0" w:afterAutospacing="0"/>
                                <w:jc w:val="center"/>
                                <w:rPr>
                                  <w:rFonts w:asciiTheme="minorHAnsi" w:hAnsi="Calibri" w:cstheme="minorBidi"/>
                                  <w:i/>
                                  <w:iCs/>
                                  <w:color w:val="4F81BD" w:themeColor="accent1"/>
                                  <w:kern w:val="24"/>
                                  <w:sz w:val="16"/>
                                  <w:szCs w:val="19"/>
                                </w:rPr>
                              </w:pPr>
                              <w:r>
                                <w:rPr>
                                  <w:rFonts w:asciiTheme="minorHAnsi" w:hAnsi="Calibri"/>
                                  <w:i/>
                                  <w:iCs/>
                                  <w:color w:val="4F81BD" w:themeColor="accent1"/>
                                  <w:sz w:val="16"/>
                                  <w:szCs w:val="18"/>
                                </w:rPr>
                                <w:t>Mėlyna spalva: naujausi turimi duomenys, pagal kuriuos bus vertinama pažanga</w:t>
                              </w:r>
                            </w:p>
                            <w:p>
                              <w:pPr>
                                <w:pStyle w:val="NormalWeb"/>
                                <w:spacing w:before="0" w:beforeAutospacing="0" w:after="0" w:afterAutospacing="0"/>
                                <w:rPr>
                                  <w:rFonts w:eastAsia="Calibri" w:cstheme="minorBidi"/>
                                  <w:b/>
                                  <w:bCs/>
                                  <w:smallCaps/>
                                  <w:color w:val="4F81BD" w:themeColor="accent1"/>
                                  <w:kern w:val="24"/>
                                  <w:szCs w:val="28"/>
                                </w:rPr>
                              </w:pPr>
                            </w:p>
                          </w:txbxContent>
                        </wps:txbx>
                        <wps:bodyPr wrap="square">
                          <a:noAutofit/>
                        </wps:bodyPr>
                      </wps:wsp>
                      <wps:wsp>
                        <wps:cNvPr id="6" name="Téglalap: lekerekített 7">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6EA7608-54D3-4E22-939F-C927A8825621}"/>
                            </a:ext>
                          </a:extLst>
                        </wps:cNvPr>
                        <wps:cNvSpPr/>
                        <wps:spPr>
                          <a:xfrm>
                            <a:off x="65010" y="1255119"/>
                            <a:ext cx="4530225" cy="1204603"/>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pPr>
                              <w:r>
                                <w:rPr>
                                  <w:rFonts w:asciiTheme="minorHAnsi" w:hAnsi="Calibri"/>
                                  <w:b/>
                                  <w:bCs/>
                                  <w:i/>
                                  <w:iCs/>
                                  <w:color w:val="4F81BD" w:themeColor="accent1"/>
                                </w:rPr>
                                <w:t>1.  Kovoti su priešiškumu romams ir diskriminacija ir užkirsti tam kelią</w:t>
                              </w:r>
                            </w:p>
                          </w:txbxContent>
                        </wps:txbx>
                        <wps:bodyPr wrap="square" tIns="0" bIns="36000" rtlCol="0" anchor="t" anchorCtr="0">
                          <a:noAutofit/>
                        </wps:bodyPr>
                      </wps:wsp>
                      <wps:wsp>
                        <wps:cNvPr id="7" name="Téglalap: lekerekített 9">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90E2ECE6-A4E1-43FB-BE27-BE345B4E5FBC}"/>
                            </a:ext>
                          </a:extLst>
                        </wps:cNvPr>
                        <wps:cNvSpPr/>
                        <wps:spPr>
                          <a:xfrm>
                            <a:off x="112140" y="1503153"/>
                            <a:ext cx="1915761" cy="887591"/>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Bent perpus sumažinti diskriminaciją patiriančių romų dalį</w:t>
                              </w:r>
                            </w:p>
                            <w:p>
                              <w:pPr>
                                <w:pStyle w:val="NormalWeb"/>
                                <w:numPr>
                                  <w:ilvl w:val="0"/>
                                  <w:numId w:val="61"/>
                                </w:numPr>
                                <w:spacing w:before="0" w:beforeAutospacing="0" w:after="0" w:afterAutospacing="0"/>
                                <w:ind w:left="142" w:hanging="142"/>
                                <w:jc w:val="both"/>
                                <w:rPr>
                                  <w:rFonts w:asciiTheme="minorHAnsi" w:hAnsi="Calibri" w:cstheme="minorBidi"/>
                                  <w:i/>
                                  <w:iCs/>
                                  <w:color w:val="00B050"/>
                                  <w:kern w:val="24"/>
                                  <w:sz w:val="19"/>
                                  <w:szCs w:val="19"/>
                                </w:rPr>
                              </w:pPr>
                              <w:r>
                                <w:rPr>
                                  <w:rFonts w:asciiTheme="minorHAnsi" w:hAnsi="Calibri"/>
                                  <w:bCs/>
                                  <w:color w:val="00B050"/>
                                  <w:sz w:val="19"/>
                                  <w:szCs w:val="19"/>
                                </w:rPr>
                                <w:t>užtikrinti, kad iki 2030 m. diskriminaciją patirtų mažiau kaip 13 proc. romų</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i/>
                                  <w:iCs/>
                                  <w:color w:val="4F81BD" w:themeColor="accent1"/>
                                  <w:sz w:val="20"/>
                                  <w:szCs w:val="18"/>
                                </w:rPr>
                                <w:t xml:space="preserve">diskriminaciją patyrę romai: </w:t>
                              </w:r>
                            </w:p>
                            <w:p>
                              <w:pPr>
                                <w:pStyle w:val="NormalWeb"/>
                                <w:spacing w:before="0" w:beforeAutospacing="0" w:after="0" w:afterAutospacing="0"/>
                                <w:jc w:val="center"/>
                                <w:rPr>
                                  <w:sz w:val="20"/>
                                  <w:szCs w:val="18"/>
                                </w:rPr>
                              </w:pPr>
                              <w:r>
                                <w:rPr>
                                  <w:rFonts w:asciiTheme="minorHAnsi" w:hAnsi="Calibri"/>
                                  <w:i/>
                                  <w:iCs/>
                                  <w:color w:val="4F81BD" w:themeColor="accent1"/>
                                  <w:sz w:val="20"/>
                                  <w:szCs w:val="18"/>
                                </w:rPr>
                                <w:t>26 proc. (per pastaruosius 12 mėnesių), 41 proc. (per pastaruosius 5 metus)</w:t>
                              </w:r>
                            </w:p>
                          </w:txbxContent>
                        </wps:txbx>
                        <wps:bodyPr wrap="square" tIns="0" bIns="0" rtlCol="0" anchor="t" anchorCtr="0">
                          <a:noAutofit/>
                        </wps:bodyPr>
                      </wps:wsp>
                      <wps:wsp>
                        <wps:cNvPr id="9" name="Téglalap: lekerekített 12">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783EA9BE-55BF-4267-AECD-1A849B84E7D6}"/>
                            </a:ext>
                          </a:extLst>
                        </wps:cNvPr>
                        <wps:cNvSpPr/>
                        <wps:spPr>
                          <a:xfrm>
                            <a:off x="2067625" y="1503153"/>
                            <a:ext cx="2484904" cy="887591"/>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40" w:afterAutospacing="0"/>
                                <w:ind w:left="-68" w:right="-79"/>
                                <w:jc w:val="center"/>
                                <w:rPr>
                                  <w:rFonts w:asciiTheme="minorHAnsi" w:hAnsi="Calibri" w:cstheme="minorBidi"/>
                                  <w:b/>
                                  <w:bCs/>
                                  <w:color w:val="FF0000"/>
                                  <w:kern w:val="24"/>
                                  <w:sz w:val="20"/>
                                  <w:szCs w:val="18"/>
                                </w:rPr>
                              </w:pPr>
                              <w:r>
                                <w:rPr>
                                  <w:rFonts w:asciiTheme="minorHAnsi" w:hAnsi="Calibri"/>
                                  <w:b/>
                                  <w:bCs/>
                                  <w:color w:val="FF0000"/>
                                  <w:sz w:val="20"/>
                                  <w:szCs w:val="18"/>
                                </w:rPr>
                                <w:t>Bent trečdaliu sumažinti plačiosios visuomenės atstovų, kurie jaučiasi nejaukiai dėl to, kad jų kaimynai yra romai, dalį</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užtikrinti, kad iki 2030 m. mažiau kaip 30 proc. plačiosios visuomenės atstovų jaustųsi nejaukiai dėl to, kad jų kaimynai yra romai</w:t>
                              </w:r>
                            </w:p>
                            <w:p>
                              <w:pPr>
                                <w:pStyle w:val="NormalWeb"/>
                                <w:numPr>
                                  <w:ilvl w:val="0"/>
                                  <w:numId w:val="61"/>
                                </w:numPr>
                                <w:spacing w:before="0" w:beforeAutospacing="0" w:after="0" w:afterAutospacing="0"/>
                                <w:ind w:left="142" w:hanging="142"/>
                                <w:jc w:val="both"/>
                                <w:rPr>
                                  <w:rFonts w:asciiTheme="minorHAnsi" w:hAnsi="Calibri" w:cstheme="minorBidi"/>
                                  <w:bCs/>
                                  <w:color w:val="4F81BD" w:themeColor="accent1"/>
                                  <w:kern w:val="24"/>
                                  <w:sz w:val="19"/>
                                  <w:szCs w:val="19"/>
                                </w:rPr>
                              </w:pPr>
                              <w:r>
                                <w:rPr>
                                  <w:rFonts w:asciiTheme="minorHAnsi" w:hAnsi="Calibri"/>
                                  <w:i/>
                                  <w:iCs/>
                                  <w:color w:val="4F81BD" w:themeColor="accent1"/>
                                  <w:sz w:val="20"/>
                                  <w:szCs w:val="18"/>
                                </w:rPr>
                                <w:t>plačiosios visuomenės atstovų, kurie jaučiasi nejaukiai dėl to, kad jų kaimynai yra romai</w:t>
                              </w:r>
                              <w:r>
                                <w:rPr>
                                  <w:rFonts w:asciiTheme="minorHAnsi" w:hAnsi="Calibri"/>
                                  <w:color w:val="4F81BD" w:themeColor="accent1"/>
                                </w:rPr>
                                <w:t>, dalis –</w:t>
                              </w:r>
                              <w:r>
                                <w:rPr>
                                  <w:rFonts w:asciiTheme="minorHAnsi" w:hAnsi="Calibri"/>
                                  <w:i/>
                                  <w:iCs/>
                                  <w:color w:val="4F81BD" w:themeColor="accent1"/>
                                  <w:sz w:val="20"/>
                                  <w:szCs w:val="18"/>
                                </w:rPr>
                                <w:t xml:space="preserve"> 46 proc.</w:t>
                              </w:r>
                            </w:p>
                          </w:txbxContent>
                        </wps:txbx>
                        <wps:bodyPr wrap="square" lIns="36000" tIns="0" rIns="36000" bIns="0" rtlCol="0" anchor="t" anchorCtr="0">
                          <a:noAutofit/>
                        </wps:bodyPr>
                      </wps:wsp>
                      <wps:wsp>
                        <wps:cNvPr id="11" name="Téglalap: lekerekített 13">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EC99626-67C6-437C-B15D-53125CBD19C3}"/>
                            </a:ext>
                          </a:extLst>
                        </wps:cNvPr>
                        <wps:cNvSpPr/>
                        <wps:spPr>
                          <a:xfrm>
                            <a:off x="63521" y="2489569"/>
                            <a:ext cx="4531714" cy="1390283"/>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i/>
                                  <w:iCs/>
                                  <w:color w:val="4F81BD" w:themeColor="accent1"/>
                                  <w:kern w:val="24"/>
                                </w:rPr>
                              </w:pPr>
                              <w:r>
                                <w:rPr>
                                  <w:rFonts w:asciiTheme="minorHAnsi" w:hAnsi="Calibri"/>
                                  <w:b/>
                                  <w:bCs/>
                                  <w:i/>
                                  <w:iCs/>
                                  <w:color w:val="4F81BD" w:themeColor="accent1"/>
                                </w:rPr>
                                <w:t xml:space="preserve">2.  Sumažinti skurdą ir socialinę atskirtį, siekiant panaikinti socialinį ir ekonominį atotrūkį </w:t>
                              </w:r>
                            </w:p>
                            <w:p>
                              <w:pPr>
                                <w:pStyle w:val="NormalWeb"/>
                                <w:spacing w:before="0" w:beforeAutospacing="0" w:after="0" w:afterAutospacing="0"/>
                                <w:jc w:val="center"/>
                              </w:pPr>
                              <w:r>
                                <w:rPr>
                                  <w:rFonts w:asciiTheme="minorHAnsi" w:hAnsi="Calibri"/>
                                  <w:b/>
                                  <w:bCs/>
                                  <w:i/>
                                  <w:iCs/>
                                  <w:color w:val="4F81BD" w:themeColor="accent1"/>
                                </w:rPr>
                                <w:t>tarp romų ir plačiosios visuomenės</w:t>
                              </w:r>
                            </w:p>
                          </w:txbxContent>
                        </wps:txbx>
                        <wps:bodyPr rot="0" spcFirstLastPara="0" vert="horz" wrap="square" lIns="91440" tIns="0" rIns="91440" bIns="45720" numCol="1" spcCol="0" rtlCol="0" fromWordArt="0" anchor="t" anchorCtr="0" forceAA="0" compatLnSpc="1">
                          <a:prstTxWarp prst="textNoShape">
                            <a:avLst/>
                          </a:prstTxWarp>
                          <a:noAutofit/>
                        </wps:bodyPr>
                      </wps:wsp>
                      <wps:wsp>
                        <wps:cNvPr id="12" name="Téglalap: lekerekített 1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3BE9DB23-DAB2-4302-AB77-D8AF8BE9F452}"/>
                            </a:ext>
                          </a:extLst>
                        </wps:cNvPr>
                        <wps:cNvSpPr/>
                        <wps:spPr>
                          <a:xfrm>
                            <a:off x="112140" y="2912097"/>
                            <a:ext cx="2194422" cy="917468"/>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40" w:afterAutospacing="0"/>
                                <w:jc w:val="center"/>
                                <w:rPr>
                                  <w:color w:val="FF0000"/>
                                  <w:sz w:val="20"/>
                                  <w:szCs w:val="18"/>
                                </w:rPr>
                              </w:pPr>
                              <w:r>
                                <w:rPr>
                                  <w:rFonts w:asciiTheme="minorHAnsi" w:hAnsi="Calibri"/>
                                  <w:b/>
                                  <w:bCs/>
                                  <w:color w:val="FF0000"/>
                                  <w:sz w:val="20"/>
                                  <w:szCs w:val="18"/>
                                </w:rPr>
                                <w:t>Bent perpus sumažinti su romų ir plačiosios visuomenės skurdo skirtumą</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užtikrinti, kad iki 2030 m. dauguma romų išvengtų skurdo</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i/>
                                  <w:iCs/>
                                  <w:color w:val="4F81BD" w:themeColor="accent1"/>
                                  <w:sz w:val="19"/>
                                  <w:szCs w:val="19"/>
                                </w:rPr>
                                <w:t xml:space="preserve"> skurdo rizikos lygis: romai – 80 proc.; plačioji visuomenė – 16,8 proc. (63,2 procentinio punkto skirtumas)</w:t>
                              </w:r>
                            </w:p>
                          </w:txbxContent>
                        </wps:txbx>
                        <wps:bodyPr wrap="square" tIns="0" bIns="0" rtlCol="0" anchor="t" anchorCtr="0">
                          <a:noAutofit/>
                        </wps:bodyPr>
                      </wps:wsp>
                      <wps:wsp>
                        <wps:cNvPr id="17" name="Téglalap: lekerekített 15">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234F9B31-C470-4D25-9AC4-F07F2CAFE832}"/>
                            </a:ext>
                          </a:extLst>
                        </wps:cNvPr>
                        <wps:cNvSpPr/>
                        <wps:spPr>
                          <a:xfrm>
                            <a:off x="2341685" y="2912097"/>
                            <a:ext cx="2159125" cy="923696"/>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40" w:afterAutospacing="0"/>
                                <w:jc w:val="center"/>
                                <w:rPr>
                                  <w:color w:val="FF0000"/>
                                  <w:sz w:val="20"/>
                                  <w:szCs w:val="18"/>
                                </w:rPr>
                              </w:pPr>
                              <w:r>
                                <w:rPr>
                                  <w:rFonts w:asciiTheme="minorHAnsi" w:hAnsi="Calibri"/>
                                  <w:b/>
                                  <w:bCs/>
                                  <w:color w:val="FF0000"/>
                                  <w:sz w:val="20"/>
                                  <w:szCs w:val="18"/>
                                </w:rPr>
                                <w:t>Bent perpus sumažinti su romų vaikų ir kitų vaikų skurdo skirtumą</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užtikrinti, kad iki 2030 m. dauguma romų vaikų išvengtų skurdo</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bCs/>
                                  <w:color w:val="4F81BD" w:themeColor="accent1"/>
                                  <w:sz w:val="19"/>
                                  <w:szCs w:val="19"/>
                                </w:rPr>
                                <w:t>romų vaikai – 85 proc.; vaikai</w:t>
                              </w:r>
                              <w:r>
                                <w:rPr>
                                  <w:rFonts w:asciiTheme="minorHAnsi" w:hAnsi="Calibri"/>
                                  <w:i/>
                                  <w:iCs/>
                                  <w:color w:val="4F81BD" w:themeColor="accent1"/>
                                  <w:sz w:val="19"/>
                                  <w:szCs w:val="19"/>
                                </w:rPr>
                                <w:t xml:space="preserve"> apskritai</w:t>
                              </w:r>
                              <w:r>
                                <w:rPr>
                                  <w:rFonts w:asciiTheme="minorHAnsi" w:hAnsi="Calibri"/>
                                  <w:color w:val="4F81BD" w:themeColor="accent1"/>
                                  <w:sz w:val="19"/>
                                  <w:szCs w:val="19"/>
                                </w:rPr>
                                <w:t> –</w:t>
                              </w:r>
                              <w:r>
                                <w:rPr>
                                  <w:rFonts w:asciiTheme="minorHAnsi" w:hAnsi="Calibri"/>
                                  <w:i/>
                                  <w:iCs/>
                                  <w:color w:val="4F81BD" w:themeColor="accent1"/>
                                  <w:sz w:val="19"/>
                                  <w:szCs w:val="19"/>
                                </w:rPr>
                                <w:t xml:space="preserve"> 19,6 proc. (65,4 procentinio punkto skirtumas)</w:t>
                              </w:r>
                            </w:p>
                          </w:txbxContent>
                        </wps:txbx>
                        <wps:bodyPr wrap="square" tIns="0" bIns="0" rtlCol="0" anchor="t" anchorCtr="0">
                          <a:noAutofit/>
                        </wps:bodyPr>
                      </wps:wsp>
                      <wps:wsp>
                        <wps:cNvPr id="18" name="Téglalap: lekerekített 21">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FA0A831C-EC51-4F29-BA89-24CBA1034625}"/>
                            </a:ext>
                          </a:extLst>
                        </wps:cNvPr>
                        <wps:cNvSpPr/>
                        <wps:spPr>
                          <a:xfrm>
                            <a:off x="72472" y="3920584"/>
                            <a:ext cx="4522763" cy="2025908"/>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pPr>
                              <w:r>
                                <w:rPr>
                                  <w:rFonts w:asciiTheme="minorHAnsi" w:hAnsi="Calibri"/>
                                  <w:b/>
                                  <w:bCs/>
                                  <w:i/>
                                  <w:iCs/>
                                  <w:color w:val="4F81BD" w:themeColor="accent1"/>
                                </w:rPr>
                                <w:t>3.  Skatinti dalyvavimą suteikiant daugiau galių, stiprinant bendradarbiavimą ir pasitikėjimą</w:t>
                              </w:r>
                            </w:p>
                          </w:txbxContent>
                        </wps:txbx>
                        <wps:bodyPr rot="0" spcFirstLastPara="0" vert="horz" wrap="square" lIns="91440" tIns="0" rIns="91440" bIns="45720" numCol="1" spcCol="0" rtlCol="0" fromWordArt="0" anchor="t" anchorCtr="0" forceAA="0" compatLnSpc="1">
                          <a:prstTxWarp prst="textNoShape">
                            <a:avLst/>
                          </a:prstTxWarp>
                          <a:noAutofit/>
                        </wps:bodyPr>
                      </wps:wsp>
                      <wps:wsp>
                        <wps:cNvPr id="19" name="Téglalap: lekerekített 22">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07C4240-354D-4408-8FF7-3F5CF3B9F0C4}"/>
                            </a:ext>
                          </a:extLst>
                        </wps:cNvPr>
                        <wps:cNvSpPr/>
                        <wps:spPr>
                          <a:xfrm>
                            <a:off x="112140" y="4248405"/>
                            <a:ext cx="2186940" cy="583028"/>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Įgalinti ir įtraukti bent 90 NVO į ES mastu vykdomą koordinuojamą romų pilietinės visuomenės stebėseną</w:t>
                              </w:r>
                            </w:p>
                            <w:p>
                              <w:pPr>
                                <w:pStyle w:val="NormalWeb"/>
                                <w:numPr>
                                  <w:ilvl w:val="0"/>
                                  <w:numId w:val="61"/>
                                </w:numPr>
                                <w:spacing w:before="0" w:beforeAutospacing="0" w:after="0" w:afterAutospacing="0"/>
                                <w:ind w:left="142" w:hanging="142"/>
                                <w:jc w:val="both"/>
                                <w:rPr>
                                  <w:color w:val="4F81BD" w:themeColor="accent1"/>
                                  <w:sz w:val="19"/>
                                  <w:szCs w:val="19"/>
                                </w:rPr>
                              </w:pPr>
                              <w:r>
                                <w:rPr>
                                  <w:rFonts w:asciiTheme="minorHAnsi" w:hAnsi="Calibri"/>
                                  <w:i/>
                                  <w:iCs/>
                                  <w:color w:val="4F81BD" w:themeColor="accent1"/>
                                  <w:sz w:val="19"/>
                                  <w:szCs w:val="19"/>
                                </w:rPr>
                                <w:t>įgyvendinant romų pilietinės stebėsenos projektą dalyvaujančių NVO skaičius – 85</w:t>
                              </w:r>
                            </w:p>
                          </w:txbxContent>
                        </wps:txbx>
                        <wps:bodyPr wrap="square" lIns="0" tIns="0" rIns="0" bIns="0" rtlCol="0" anchor="t" anchorCtr="0">
                          <a:noAutofit/>
                        </wps:bodyPr>
                      </wps:wsp>
                      <wps:wsp>
                        <wps:cNvPr id="20" name="Téglalap: lekerekített 23">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7E4307DA-A4ED-4A36-8A1B-2D6884ED3CB9}"/>
                            </a:ext>
                          </a:extLst>
                        </wps:cNvPr>
                        <wps:cNvSpPr/>
                        <wps:spPr>
                          <a:xfrm>
                            <a:off x="2363465" y="4248405"/>
                            <a:ext cx="2160593" cy="608971"/>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Užtikrinti romų NVO </w:t>
                              </w:r>
                            </w:p>
                            <w:p>
                              <w:pPr>
                                <w:pStyle w:val="NormalWeb"/>
                                <w:spacing w:before="0" w:beforeAutospacing="0" w:after="0" w:afterAutospacing="0"/>
                                <w:jc w:val="center"/>
                                <w:rPr>
                                  <w:rFonts w:asciiTheme="minorHAnsi" w:hAnsi="Calibri" w:cstheme="minorBidi"/>
                                  <w:bCs/>
                                  <w:color w:val="4F81BD" w:themeColor="accent1"/>
                                  <w:kern w:val="24"/>
                                  <w:sz w:val="20"/>
                                  <w:szCs w:val="18"/>
                                </w:rPr>
                              </w:pPr>
                              <w:r>
                                <w:rPr>
                                  <w:rFonts w:asciiTheme="minorHAnsi" w:hAnsi="Calibri"/>
                                  <w:b/>
                                  <w:bCs/>
                                  <w:color w:val="FF0000"/>
                                  <w:sz w:val="20"/>
                                  <w:szCs w:val="18"/>
                                </w:rPr>
                                <w:t>visateisį dalyvavimą nacionalinių stebėsenos komitetų veikloje,</w:t>
                              </w:r>
                              <w:r>
                                <w:rPr>
                                  <w:rFonts w:asciiTheme="minorHAnsi" w:hAnsi="Calibri"/>
                                  <w:b/>
                                  <w:bCs/>
                                  <w:color w:val="4F81BD" w:themeColor="accent1"/>
                                  <w:sz w:val="20"/>
                                  <w:szCs w:val="18"/>
                                </w:rPr>
                                <w:t xml:space="preserve"> </w:t>
                              </w:r>
                              <w:r>
                                <w:rPr>
                                  <w:rFonts w:asciiTheme="minorHAnsi" w:hAnsi="Calibri"/>
                                  <w:bCs/>
                                  <w:color w:val="4F81BD" w:themeColor="accent1"/>
                                  <w:sz w:val="20"/>
                                  <w:szCs w:val="18"/>
                                </w:rPr>
                                <w:t xml:space="preserve">vykdant visas programas, kuriomis siekiama patenkinti </w:t>
                              </w:r>
                            </w:p>
                            <w:p>
                              <w:pPr>
                                <w:pStyle w:val="NormalWeb"/>
                                <w:spacing w:before="0" w:beforeAutospacing="0" w:after="0" w:afterAutospacing="0"/>
                                <w:jc w:val="center"/>
                                <w:rPr>
                                  <w:sz w:val="20"/>
                                  <w:szCs w:val="18"/>
                                </w:rPr>
                              </w:pPr>
                              <w:r>
                                <w:rPr>
                                  <w:rFonts w:asciiTheme="minorHAnsi" w:hAnsi="Calibri"/>
                                  <w:bCs/>
                                  <w:color w:val="4F81BD" w:themeColor="accent1"/>
                                  <w:sz w:val="20"/>
                                  <w:szCs w:val="18"/>
                                </w:rPr>
                                <w:t>romų bendruomenių poreikius</w:t>
                              </w:r>
                            </w:p>
                          </w:txbxContent>
                        </wps:txbx>
                        <wps:bodyPr wrap="square" tIns="0" bIns="0" rtlCol="0" anchor="t" anchorCtr="0">
                          <a:noAutofit/>
                        </wps:bodyPr>
                      </wps:wsp>
                      <wps:wsp>
                        <wps:cNvPr id="21" name="Téglalap: lekerekített 2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137F931-C869-4F62-BB0D-D6F8AD375D21}"/>
                            </a:ext>
                          </a:extLst>
                        </wps:cNvPr>
                        <wps:cNvSpPr/>
                        <wps:spPr>
                          <a:xfrm>
                            <a:off x="112224" y="4885704"/>
                            <a:ext cx="2186855" cy="985039"/>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Užtikrinti, kad dukart daugiau romų praneštų apie patiriamą diskriminaciją </w:t>
                              </w:r>
                            </w:p>
                            <w:p>
                              <w:pPr>
                                <w:pStyle w:val="NormalWeb"/>
                                <w:numPr>
                                  <w:ilvl w:val="0"/>
                                  <w:numId w:val="65"/>
                                </w:numPr>
                                <w:spacing w:before="0" w:beforeAutospacing="0" w:after="0" w:afterAutospacing="0"/>
                                <w:ind w:left="142" w:hanging="142"/>
                                <w:contextualSpacing/>
                                <w:rPr>
                                  <w:rFonts w:asciiTheme="minorHAnsi" w:hAnsi="Calibri" w:cstheme="minorBidi"/>
                                  <w:iCs/>
                                  <w:color w:val="00B050"/>
                                  <w:kern w:val="24"/>
                                  <w:sz w:val="19"/>
                                  <w:szCs w:val="19"/>
                                </w:rPr>
                              </w:pPr>
                              <w:r>
                                <w:rPr>
                                  <w:rFonts w:asciiTheme="minorHAnsi" w:hAnsi="Calibri"/>
                                  <w:iCs/>
                                  <w:color w:val="00B050"/>
                                  <w:sz w:val="19"/>
                                  <w:szCs w:val="19"/>
                                </w:rPr>
                                <w:t>užtikrinti, kad iki 2030 m. bent 30 proc. romų praneštų apie patirtą diskriminaciją</w:t>
                              </w:r>
                            </w:p>
                            <w:p>
                              <w:pPr>
                                <w:pStyle w:val="NormalWeb"/>
                                <w:numPr>
                                  <w:ilvl w:val="0"/>
                                  <w:numId w:val="65"/>
                                </w:numPr>
                                <w:spacing w:before="0" w:beforeAutospacing="0" w:after="0" w:afterAutospacing="0"/>
                                <w:ind w:left="142" w:hanging="142"/>
                                <w:contextualSpacing/>
                                <w:rPr>
                                  <w:rFonts w:asciiTheme="minorHAnsi" w:hAnsi="Calibri" w:cstheme="minorBidi"/>
                                  <w:iCs/>
                                  <w:color w:val="4F81BD" w:themeColor="accent1"/>
                                  <w:kern w:val="24"/>
                                  <w:sz w:val="19"/>
                                  <w:szCs w:val="19"/>
                                </w:rPr>
                              </w:pPr>
                              <w:r>
                                <w:rPr>
                                  <w:rFonts w:asciiTheme="minorHAnsi" w:hAnsi="Calibri"/>
                                  <w:i/>
                                  <w:iCs/>
                                  <w:color w:val="4F81BD" w:themeColor="accent1"/>
                                  <w:sz w:val="19"/>
                                  <w:szCs w:val="19"/>
                                </w:rPr>
                                <w:t>romų, pranešusių apie paskutinį diskriminacijos atvejį (bet kurioje srityje) per pastaruosius 5 metus, dalis – 16 proc.</w:t>
                              </w:r>
                            </w:p>
                          </w:txbxContent>
                        </wps:txbx>
                        <wps:bodyPr wrap="square" lIns="0" tIns="0" rIns="0" bIns="0" rtlCol="0" anchor="t" anchorCtr="0"/>
                      </wps:wsp>
                      <wps:wsp>
                        <wps:cNvPr id="26" name="Téglalap: lekerekített 23">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7E4307DA-A4ED-4A36-8A1B-2D6884ED3CB9}"/>
                            </a:ext>
                          </a:extLst>
                        </wps:cNvPr>
                        <wps:cNvSpPr/>
                        <wps:spPr>
                          <a:xfrm>
                            <a:off x="2363465" y="4964960"/>
                            <a:ext cx="2160419" cy="893364"/>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Skatinti romų dalyvavimą politiniame gyvenime </w:t>
                              </w:r>
                            </w:p>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vietos, regionų, nacionaliniu ir ES lygmenimis </w:t>
                              </w:r>
                            </w:p>
                            <w:p>
                              <w:pPr>
                                <w:pStyle w:val="NormalWeb"/>
                                <w:spacing w:before="0" w:beforeAutospacing="0" w:after="0" w:afterAutospacing="0"/>
                                <w:jc w:val="center"/>
                                <w:rPr>
                                  <w:sz w:val="20"/>
                                  <w:szCs w:val="18"/>
                                </w:rPr>
                              </w:pPr>
                              <w:r>
                                <w:rPr>
                                  <w:rFonts w:asciiTheme="minorHAnsi" w:hAnsi="Calibri"/>
                                  <w:bCs/>
                                  <w:color w:val="4F81BD" w:themeColor="accent1"/>
                                  <w:sz w:val="19"/>
                                  <w:szCs w:val="19"/>
                                </w:rPr>
                                <w:t>(valstybėse narėse, kuriose gyvena daug romų)</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užtikrinti, kad jie užsiregistruotų kaip rinkėjai, balsuotų, keltų savo kandidatūrą</w:t>
                              </w:r>
                            </w:p>
                            <w:p>
                              <w:pPr>
                                <w:pStyle w:val="NormalWeb"/>
                                <w:spacing w:before="0" w:beforeAutospacing="0" w:after="0" w:afterAutospacing="0"/>
                                <w:jc w:val="center"/>
                                <w:rPr>
                                  <w:sz w:val="20"/>
                                  <w:szCs w:val="18"/>
                                </w:rPr>
                              </w:pPr>
                            </w:p>
                          </w:txbxContent>
                        </wps:txbx>
                        <wps:bodyPr wrap="square" lIns="0" tIns="0" rIns="0" bIns="0" rtlCol="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1" o:spid="_x0000_s1026" style="position:absolute;left:0;text-align:left;margin-left:-3.65pt;margin-top:15.7pt;width:474.65pt;height:502.3pt;z-index:252191232;mso-position-horizontal-relative:margin;mso-width-relative:margin;mso-height-relative:margin" coordorigin=",6145" coordsize="45953,533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">
                <v:rect id="Téglalap 4" o:spid="_x0000_s1027" style="position:absolute;top:6145;width:44655;height:81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3Y8sMA&#10;AADaAAAADwAAAGRycy9kb3ducmV2LnhtbESPQWvCQBSE74L/YXlCL6KbVpASsxERpKEUxNh6fmRf&#10;k9Ds25jdJum/dwWhx2FmvmGS7Wga0VPnassKnpcRCOLC6ppLBZ/nw+IVhPPIGhvLpOCPHGzT6STB&#10;WNuBT9TnvhQBwi5GBZX3bSylKyoy6Ja2JQ7et+0M+iC7UuoOhwA3jXyJorU0WHNYqLClfUXFT/5r&#10;FAzFsb+cP97kcX7JLF+z6z7/elfqaTbuNiA8jf4//GhnWsEK7lfCDZDp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3Y8sMAAADaAAAADwAAAAAAAAAAAAAAAACYAgAAZHJzL2Rv&#10;d25yZXYueG1sUEsFBgAAAAAEAAQA9QAAAIgDAAAAAA==&#10;" filled="f" stroked="f">
                  <v:textbox>
                    <w:txbxContent>
                      <w:p>
                        <w:pPr>
                          <w:pStyle w:val="NormalWeb"/>
                          <w:spacing w:before="0" w:beforeAutospacing="0" w:after="0" w:afterAutospacing="0"/>
                          <w:jc w:val="center"/>
                          <w:rPr>
                            <w:rFonts w:eastAsia="Calibri" w:cstheme="minorBidi"/>
                            <w:b/>
                            <w:bCs/>
                            <w:smallCaps/>
                            <w:color w:val="4F81BD" w:themeColor="accent1"/>
                            <w:kern w:val="24"/>
                            <w:szCs w:val="28"/>
                          </w:rPr>
                        </w:pPr>
                        <w:r>
                          <w:rPr>
                            <w:b/>
                            <w:bCs/>
                            <w:smallCaps/>
                            <w:color w:val="4F81BD" w:themeColor="accent1"/>
                            <w:szCs w:val="28"/>
                          </w:rPr>
                          <w:t>Užtikrinti veiksmingą lygybę, įtrauktį ir dalyvavimą</w:t>
                        </w:r>
                      </w:p>
                      <w:p>
                        <w:pPr>
                          <w:pStyle w:val="NormalWeb"/>
                          <w:spacing w:before="0" w:beforeAutospacing="0" w:after="0" w:afterAutospacing="0"/>
                          <w:jc w:val="center"/>
                          <w:rPr>
                            <w:rFonts w:eastAsia="Calibri" w:cstheme="minorBidi"/>
                            <w:b/>
                            <w:bCs/>
                            <w:smallCaps/>
                            <w:color w:val="4F81BD" w:themeColor="accent1"/>
                            <w:kern w:val="24"/>
                            <w:szCs w:val="28"/>
                          </w:rPr>
                        </w:pPr>
                        <w:r>
                          <w:rPr>
                            <w:b/>
                            <w:bCs/>
                            <w:smallCaps/>
                            <w:color w:val="4F81BD" w:themeColor="accent1"/>
                            <w:szCs w:val="28"/>
                          </w:rPr>
                          <w:t>Horizontalieji tikslai ir uždaviniai iki 2030 m.</w:t>
                        </w:r>
                      </w:p>
                      <w:p>
                        <w:pPr>
                          <w:pStyle w:val="NormalWeb"/>
                          <w:spacing w:before="0" w:beforeAutospacing="0" w:after="0" w:afterAutospacing="0"/>
                          <w:jc w:val="center"/>
                          <w:rPr>
                            <w:color w:val="FF0000"/>
                            <w:sz w:val="16"/>
                            <w:szCs w:val="18"/>
                          </w:rPr>
                        </w:pPr>
                        <w:r>
                          <w:rPr>
                            <w:rFonts w:asciiTheme="minorHAnsi" w:hAnsi="Calibri"/>
                            <w:bCs/>
                            <w:color w:val="FF0000"/>
                            <w:sz w:val="16"/>
                            <w:szCs w:val="18"/>
                          </w:rPr>
                          <w:t>Raudona spalva: ES lygmens uždavinys dėl mažiausios būtinos pažangos, kurį reikia įgyvendinti iki 2030 m.</w:t>
                        </w:r>
                      </w:p>
                      <w:p>
                        <w:pPr>
                          <w:pStyle w:val="NormalWeb"/>
                          <w:spacing w:before="0" w:beforeAutospacing="0" w:after="0" w:afterAutospacing="0"/>
                          <w:jc w:val="center"/>
                          <w:rPr>
                            <w:rFonts w:asciiTheme="minorHAnsi" w:hAnsi="Calibri" w:cstheme="minorBidi"/>
                            <w:i/>
                            <w:iCs/>
                            <w:color w:val="4F81BD" w:themeColor="accent1"/>
                            <w:kern w:val="24"/>
                            <w:sz w:val="16"/>
                            <w:szCs w:val="19"/>
                          </w:rPr>
                        </w:pPr>
                        <w:r>
                          <w:rPr>
                            <w:rFonts w:asciiTheme="minorHAnsi" w:hAnsi="Calibri"/>
                            <w:bCs/>
                            <w:color w:val="00B050"/>
                            <w:sz w:val="16"/>
                            <w:szCs w:val="19"/>
                          </w:rPr>
                          <w:t>Žalia spalva:</w:t>
                        </w:r>
                        <w:r>
                          <w:rPr>
                            <w:sz w:val="20"/>
                          </w:rPr>
                          <w:t xml:space="preserve"> </w:t>
                        </w:r>
                        <w:r>
                          <w:rPr>
                            <w:rFonts w:asciiTheme="minorHAnsi" w:hAnsi="Calibri"/>
                            <w:bCs/>
                            <w:color w:val="00B050"/>
                            <w:sz w:val="16"/>
                            <w:szCs w:val="19"/>
                          </w:rPr>
                          <w:t>mažiausia būtina pažanga romų integracijos srityje, kurią reikia užtikrinti iki 2030 m.</w:t>
                        </w:r>
                      </w:p>
                      <w:p>
                        <w:pPr>
                          <w:pStyle w:val="NormalWeb"/>
                          <w:spacing w:before="0" w:beforeAutospacing="0" w:after="0" w:afterAutospacing="0"/>
                          <w:jc w:val="center"/>
                          <w:rPr>
                            <w:rFonts w:asciiTheme="minorHAnsi" w:hAnsi="Calibri" w:cstheme="minorBidi"/>
                            <w:i/>
                            <w:iCs/>
                            <w:color w:val="4F81BD" w:themeColor="accent1"/>
                            <w:kern w:val="24"/>
                            <w:sz w:val="16"/>
                            <w:szCs w:val="19"/>
                          </w:rPr>
                        </w:pPr>
                        <w:r>
                          <w:rPr>
                            <w:rFonts w:asciiTheme="minorHAnsi" w:hAnsi="Calibri"/>
                            <w:i/>
                            <w:iCs/>
                            <w:color w:val="4F81BD" w:themeColor="accent1"/>
                            <w:sz w:val="16"/>
                            <w:szCs w:val="18"/>
                          </w:rPr>
                          <w:t>Mėlyna spalva: naujausi turimi duomenys, pagal kuriuos bus vertinama pažanga</w:t>
                        </w:r>
                      </w:p>
                      <w:p>
                        <w:pPr>
                          <w:pStyle w:val="NormalWeb"/>
                          <w:spacing w:before="0" w:beforeAutospacing="0" w:after="0" w:afterAutospacing="0"/>
                          <w:rPr>
                            <w:rFonts w:eastAsia="Calibri" w:cstheme="minorBidi"/>
                            <w:b/>
                            <w:bCs/>
                            <w:smallCaps/>
                            <w:color w:val="4F81BD" w:themeColor="accent1"/>
                            <w:kern w:val="24"/>
                            <w:szCs w:val="28"/>
                          </w:rPr>
                        </w:pPr>
                      </w:p>
                    </w:txbxContent>
                  </v:textbox>
                </v:rect>
                <v:roundrect id="Téglalap: lekerekített 7" o:spid="_x0000_s1028" style="position:absolute;left:650;top:12551;width:45302;height:1204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nJs8QA&#10;AADaAAAADwAAAGRycy9kb3ducmV2LnhtbESPQWvCQBSE70L/w/IKvZlNPaiNrlJKpaG1lEYFj4/s&#10;a7I0+zZkV43/3hUEj8PMfMPMl71txJE6bxwreE5SEMSl04YrBdvNajgF4QOyxsYxKTiTh+XiYTDH&#10;TLsT/9KxCJWIEPYZKqhDaDMpfVmTRZ+4ljh6f66zGKLsKqk7PEW4beQoTcfSouG4UGNLbzWV/8XB&#10;KqAi/843+cvPen9+/zC7z8nEHL6UenrsX2cgAvXhHr61c61gDNcr8QbIx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pybPEAAAA2gAAAA8AAAAAAAAAAAAAAAAAmAIAAGRycy9k&#10;b3ducmV2LnhtbFBLBQYAAAAABAAEAPUAAACJAwAAAAA=&#10;" fillcolor="#e4e4e4" strokecolor="#243f60 [1604]" strokeweight="2pt">
                  <v:textbox inset=",0,,1mm">
                    <w:txbxContent>
                      <w:p>
                        <w:pPr>
                          <w:pStyle w:val="NormalWeb"/>
                          <w:spacing w:before="0" w:beforeAutospacing="0" w:after="0" w:afterAutospacing="0"/>
                          <w:jc w:val="center"/>
                        </w:pPr>
                        <w:r>
                          <w:rPr>
                            <w:rFonts w:asciiTheme="minorHAnsi" w:hAnsi="Calibri"/>
                            <w:b/>
                            <w:bCs/>
                            <w:i/>
                            <w:iCs/>
                            <w:color w:val="4F81BD" w:themeColor="accent1"/>
                          </w:rPr>
                          <w:t>1.  Kovoti su priešiškumu romams ir diskriminacija ir užkirsti tam kelią</w:t>
                        </w:r>
                      </w:p>
                    </w:txbxContent>
                  </v:textbox>
                </v:roundrect>
                <v:roundrect id="Téglalap: lekerekített 9" o:spid="_x0000_s1029" style="position:absolute;left:1121;top:15031;width:19158;height:887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WdH8QA&#10;AADaAAAADwAAAGRycy9kb3ducmV2LnhtbESPT2vCQBTE74LfYXmCN7PRgy1pVhFBbHso1BTS4yP7&#10;mgSzb2N286f99N1CweMwM79h0v1kGjFQ52rLCtZRDIK4sLrmUsFHdlo9gnAeWWNjmRR8k4P9bj5L&#10;MdF25HcaLr4UAcIuQQWV920ipSsqMugi2xIH78t2Bn2QXSl1h2OAm0Zu4ngrDdYcFips6VhRcb30&#10;RgH9vJ6zW/+y+cThzbZ5zYeMc6WWi+nwBMLT5O/h//azVvAAf1fCDZC7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VnR/EAAAA2gAAAA8AAAAAAAAAAAAAAAAAmAIAAGRycy9k&#10;b3ducmV2LnhtbFBLBQYAAAAABAAEAPUAAACJAwAAAAA=&#10;" fillcolor="white [3212]" strokecolor="#243f60 [1604]" strokeweight="2pt">
                  <v:textbox inset=",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Bent perpus sumažinti diskriminaciją patiriančių romų dalį</w:t>
                        </w:r>
                      </w:p>
                      <w:p>
                        <w:pPr>
                          <w:pStyle w:val="NormalWeb"/>
                          <w:numPr>
                            <w:ilvl w:val="0"/>
                            <w:numId w:val="61"/>
                          </w:numPr>
                          <w:spacing w:before="0" w:beforeAutospacing="0" w:after="0" w:afterAutospacing="0"/>
                          <w:ind w:left="142" w:hanging="142"/>
                          <w:jc w:val="both"/>
                          <w:rPr>
                            <w:rFonts w:asciiTheme="minorHAnsi" w:hAnsi="Calibri" w:cstheme="minorBidi"/>
                            <w:i/>
                            <w:iCs/>
                            <w:color w:val="00B050"/>
                            <w:kern w:val="24"/>
                            <w:sz w:val="19"/>
                            <w:szCs w:val="19"/>
                          </w:rPr>
                        </w:pPr>
                        <w:r>
                          <w:rPr>
                            <w:rFonts w:asciiTheme="minorHAnsi" w:hAnsi="Calibri"/>
                            <w:bCs/>
                            <w:color w:val="00B050"/>
                            <w:sz w:val="19"/>
                            <w:szCs w:val="19"/>
                          </w:rPr>
                          <w:t>užtikrinti, kad iki 2030 m. diskriminaciją patirtų mažiau kaip 13 proc. romų</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i/>
                            <w:iCs/>
                            <w:color w:val="4F81BD" w:themeColor="accent1"/>
                            <w:sz w:val="20"/>
                            <w:szCs w:val="18"/>
                          </w:rPr>
                          <w:t xml:space="preserve">diskriminaciją patyrę romai: </w:t>
                        </w:r>
                      </w:p>
                      <w:p>
                        <w:pPr>
                          <w:pStyle w:val="NormalWeb"/>
                          <w:spacing w:before="0" w:beforeAutospacing="0" w:after="0" w:afterAutospacing="0"/>
                          <w:jc w:val="center"/>
                          <w:rPr>
                            <w:sz w:val="20"/>
                            <w:szCs w:val="18"/>
                          </w:rPr>
                        </w:pPr>
                        <w:r>
                          <w:rPr>
                            <w:rFonts w:asciiTheme="minorHAnsi" w:hAnsi="Calibri"/>
                            <w:i/>
                            <w:iCs/>
                            <w:color w:val="4F81BD" w:themeColor="accent1"/>
                            <w:sz w:val="20"/>
                            <w:szCs w:val="18"/>
                          </w:rPr>
                          <w:t>26 proc. (per pastaruosius 12 mėnesių), 41 proc. (per pastaruosius 5 metus)</w:t>
                        </w:r>
                      </w:p>
                    </w:txbxContent>
                  </v:textbox>
                </v:roundrect>
                <v:roundrect id="Téglalap: lekerekített 12" o:spid="_x0000_s1030" style="position:absolute;left:20676;top:15031;width:24849;height:887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EuZsIA&#10;AADaAAAADwAAAGRycy9kb3ducmV2LnhtbESPT4vCMBTE7wt+h/AEb2uqB1mrqYiuIN78g3h8NM+2&#10;tHkpTdbGb2+EBY/DzPyGWa6CacSDOldZVjAZJyCIc6srLhRczrvvHxDOI2tsLJOCJzlYZYOvJaba&#10;9nykx8kXIkLYpaig9L5NpXR5SQbd2LbE0bvbzqCPsiuk7rCPcNPIaZLMpMGK40KJLW1KyuvTn1Gw&#10;O9w34dpPn+dLuE221/x3fdS1UqNhWC9AeAr+E/5v77WCObyvxBsgs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kS5mwgAAANoAAAAPAAAAAAAAAAAAAAAAAJgCAABkcnMvZG93&#10;bnJldi54bWxQSwUGAAAAAAQABAD1AAAAhwMAAAAA&#10;" fillcolor="white [3212]" strokecolor="#243f60 [1604]" strokeweight="2pt">
                  <v:textbox inset="1mm,0,1mm,0">
                    <w:txbxContent>
                      <w:p>
                        <w:pPr>
                          <w:pStyle w:val="NormalWeb"/>
                          <w:spacing w:before="0" w:beforeAutospacing="0" w:after="40" w:afterAutospacing="0"/>
                          <w:ind w:left="-68" w:right="-79"/>
                          <w:jc w:val="center"/>
                          <w:rPr>
                            <w:rFonts w:asciiTheme="minorHAnsi" w:hAnsi="Calibri" w:cstheme="minorBidi"/>
                            <w:b/>
                            <w:bCs/>
                            <w:color w:val="FF0000"/>
                            <w:kern w:val="24"/>
                            <w:sz w:val="20"/>
                            <w:szCs w:val="18"/>
                          </w:rPr>
                        </w:pPr>
                        <w:r>
                          <w:rPr>
                            <w:rFonts w:asciiTheme="minorHAnsi" w:hAnsi="Calibri"/>
                            <w:b/>
                            <w:bCs/>
                            <w:color w:val="FF0000"/>
                            <w:sz w:val="20"/>
                            <w:szCs w:val="18"/>
                          </w:rPr>
                          <w:t>Bent trečdaliu sumažinti plačiosios visuomenės atstovų, kurie jaučiasi nejaukiai dėl to, kad jų kaimynai yra romai, dalį</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užtikrinti, kad iki 2030 m. mažiau kaip 30 proc. plačiosios visuomenės atstovų jaustųsi nejaukiai dėl to, kad jų kaimynai yra romai</w:t>
                        </w:r>
                      </w:p>
                      <w:p>
                        <w:pPr>
                          <w:pStyle w:val="NormalWeb"/>
                          <w:numPr>
                            <w:ilvl w:val="0"/>
                            <w:numId w:val="61"/>
                          </w:numPr>
                          <w:spacing w:before="0" w:beforeAutospacing="0" w:after="0" w:afterAutospacing="0"/>
                          <w:ind w:left="142" w:hanging="142"/>
                          <w:jc w:val="both"/>
                          <w:rPr>
                            <w:rFonts w:asciiTheme="minorHAnsi" w:hAnsi="Calibri" w:cstheme="minorBidi"/>
                            <w:bCs/>
                            <w:color w:val="4F81BD" w:themeColor="accent1"/>
                            <w:kern w:val="24"/>
                            <w:sz w:val="19"/>
                            <w:szCs w:val="19"/>
                          </w:rPr>
                        </w:pPr>
                        <w:r>
                          <w:rPr>
                            <w:rFonts w:asciiTheme="minorHAnsi" w:hAnsi="Calibri"/>
                            <w:i/>
                            <w:iCs/>
                            <w:color w:val="4F81BD" w:themeColor="accent1"/>
                            <w:sz w:val="20"/>
                            <w:szCs w:val="18"/>
                          </w:rPr>
                          <w:t>plačiosios visuomenės atstovų, kurie jaučiasi nejaukiai dėl to, kad jų kaimynai yra romai</w:t>
                        </w:r>
                        <w:r>
                          <w:rPr>
                            <w:rFonts w:asciiTheme="minorHAnsi" w:hAnsi="Calibri"/>
                            <w:color w:val="4F81BD" w:themeColor="accent1"/>
                          </w:rPr>
                          <w:t>, dalis –</w:t>
                        </w:r>
                        <w:r>
                          <w:rPr>
                            <w:rFonts w:asciiTheme="minorHAnsi" w:hAnsi="Calibri"/>
                            <w:i/>
                            <w:iCs/>
                            <w:color w:val="4F81BD" w:themeColor="accent1"/>
                            <w:sz w:val="20"/>
                            <w:szCs w:val="18"/>
                          </w:rPr>
                          <w:t xml:space="preserve"> 46 proc.</w:t>
                        </w:r>
                      </w:p>
                    </w:txbxContent>
                  </v:textbox>
                </v:roundrect>
                <v:roundrect id="Téglalap: lekerekített 13" o:spid="_x0000_s1031" style="position:absolute;left:635;top:24895;width:45317;height:1390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TsacEA&#10;AADbAAAADwAAAGRycy9kb3ducmV2LnhtbERPTWsCMRC9F/ofwgi9FM1usa2sRimFpTkVaqXncTPu&#10;LiaTJUl1++9NQfA2j/c5q83orDhRiL1nBeWsAEHceNNzq2D3XU8XIGJCNmg9k4I/irBZ39+tsDL+&#10;zF902qZW5BCOFSroUhoqKWPTkcM48wNx5g4+OEwZhlaagOcc7qx8KooX6bDn3NDhQO8dNcftr1Ow&#10;1/2P3pX60z4+1x/Bvs4PstZKPUzGtyWIRGO6ia9ubfL8Ev5/yQfI9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a07GnBAAAA2wAAAA8AAAAAAAAAAAAAAAAAmAIAAGRycy9kb3du&#10;cmV2LnhtbFBLBQYAAAAABAAEAPUAAACGAwAAAAA=&#10;" fillcolor="#e4e4e4" strokecolor="#243f60 [1604]" strokeweight="2pt">
                  <v:textbox inset=",0">
                    <w:txbxContent>
                      <w:p>
                        <w:pPr>
                          <w:pStyle w:val="NormalWeb"/>
                          <w:spacing w:before="0" w:beforeAutospacing="0" w:after="0" w:afterAutospacing="0"/>
                          <w:jc w:val="center"/>
                          <w:rPr>
                            <w:rFonts w:asciiTheme="minorHAnsi" w:hAnsi="Calibri" w:cstheme="minorBidi"/>
                            <w:b/>
                            <w:bCs/>
                            <w:i/>
                            <w:iCs/>
                            <w:color w:val="4F81BD" w:themeColor="accent1"/>
                            <w:kern w:val="24"/>
                          </w:rPr>
                        </w:pPr>
                        <w:r>
                          <w:rPr>
                            <w:rFonts w:asciiTheme="minorHAnsi" w:hAnsi="Calibri"/>
                            <w:b/>
                            <w:bCs/>
                            <w:i/>
                            <w:iCs/>
                            <w:color w:val="4F81BD" w:themeColor="accent1"/>
                          </w:rPr>
                          <w:t xml:space="preserve">2.  Sumažinti skurdą ir socialinę atskirtį, siekiant panaikinti socialinį ir ekonominį atotrūkį </w:t>
                        </w:r>
                      </w:p>
                      <w:p>
                        <w:pPr>
                          <w:pStyle w:val="NormalWeb"/>
                          <w:spacing w:before="0" w:beforeAutospacing="0" w:after="0" w:afterAutospacing="0"/>
                          <w:jc w:val="center"/>
                        </w:pPr>
                        <w:r>
                          <w:rPr>
                            <w:rFonts w:asciiTheme="minorHAnsi" w:hAnsi="Calibri"/>
                            <w:b/>
                            <w:bCs/>
                            <w:i/>
                            <w:iCs/>
                            <w:color w:val="4F81BD" w:themeColor="accent1"/>
                          </w:rPr>
                          <w:t>tarp romų ir plačiosios visuomenės</w:t>
                        </w:r>
                      </w:p>
                    </w:txbxContent>
                  </v:textbox>
                </v:roundrect>
                <v:roundrect id="Téglalap: lekerekített 14" o:spid="_x0000_s1032" style="position:absolute;left:1121;top:29120;width:21944;height:917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RKpMAA&#10;AADbAAAADwAAAGRycy9kb3ducmV2LnhtbERPS4vCMBC+L/gfwgje1tQeRKpRRBAfh4W1gh6HZmyL&#10;zaQ2sdb99RtB8DYf33Nmi85UoqXGlZYVjIYRCOLM6pJzBcd0/T0B4TyyxsoyKXiSg8W89zXDRNsH&#10;/1J78LkIIewSVFB4XydSuqwgg25oa+LAXWxj0AfY5FI3+AjhppJxFI2lwZJDQ4E1rQrKroe7UUB/&#10;+016u+/iM7Y/tj6VvEz5pNSg3y2nIDx1/iN+u7c6zI/h9Us4QM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mRKpMAAAADbAAAADwAAAAAAAAAAAAAAAACYAgAAZHJzL2Rvd25y&#10;ZXYueG1sUEsFBgAAAAAEAAQA9QAAAIUDAAAAAA==&#10;" fillcolor="white [3212]" strokecolor="#243f60 [1604]" strokeweight="2pt">
                  <v:textbox inset=",0,,0">
                    <w:txbxContent>
                      <w:p>
                        <w:pPr>
                          <w:pStyle w:val="NormalWeb"/>
                          <w:spacing w:before="0" w:beforeAutospacing="0" w:after="40" w:afterAutospacing="0"/>
                          <w:jc w:val="center"/>
                          <w:rPr>
                            <w:color w:val="FF0000"/>
                            <w:sz w:val="20"/>
                            <w:szCs w:val="18"/>
                          </w:rPr>
                        </w:pPr>
                        <w:r>
                          <w:rPr>
                            <w:rFonts w:asciiTheme="minorHAnsi" w:hAnsi="Calibri"/>
                            <w:b/>
                            <w:bCs/>
                            <w:color w:val="FF0000"/>
                            <w:sz w:val="20"/>
                            <w:szCs w:val="18"/>
                          </w:rPr>
                          <w:t>Bent perpus sumažinti su romų ir plačiosios visuomenės skurdo skirtumą</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užtikrinti, kad iki 2030 m. dauguma romų išvengtų skurdo</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i/>
                            <w:iCs/>
                            <w:color w:val="4F81BD" w:themeColor="accent1"/>
                            <w:sz w:val="19"/>
                            <w:szCs w:val="19"/>
                          </w:rPr>
                          <w:t xml:space="preserve"> skurdo rizikos lygis: romai – 80 proc.; plačioji visuomenė – 16,8 proc. (63,2 procentinio punkto skirtumas)</w:t>
                        </w:r>
                      </w:p>
                    </w:txbxContent>
                  </v:textbox>
                </v:roundrect>
                <v:roundrect id="Téglalap: lekerekített 15" o:spid="_x0000_s1033" style="position:absolute;left:23416;top:29120;width:21592;height:923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PpPMAA&#10;AADbAAAADwAAAGRycy9kb3ducmV2LnhtbERPTYvCMBC9L/gfwgh7W1M9rFKNIoKsehC0gh6HZmyL&#10;zaTbxFr99UYQvM3jfc5k1ppSNFS7wrKCfi8CQZxaXXCm4JAsf0YgnEfWWFomBXdyMJt2viYYa3vj&#10;HTV7n4kQwi5GBbn3VSylS3My6Hq2Ig7c2dYGfYB1JnWNtxBuSjmIol9psODQkGNFi5zSy/5qFNBj&#10;85f8X9eDEzZbWx0Lnid8VOq7287HIDy1/iN+u1c6zB/C65dwgJ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hPpPMAAAADbAAAADwAAAAAAAAAAAAAAAACYAgAAZHJzL2Rvd25y&#10;ZXYueG1sUEsFBgAAAAAEAAQA9QAAAIUDAAAAAA==&#10;" fillcolor="white [3212]" strokecolor="#243f60 [1604]" strokeweight="2pt">
                  <v:textbox inset=",0,,0">
                    <w:txbxContent>
                      <w:p>
                        <w:pPr>
                          <w:pStyle w:val="NormalWeb"/>
                          <w:spacing w:before="0" w:beforeAutospacing="0" w:after="40" w:afterAutospacing="0"/>
                          <w:jc w:val="center"/>
                          <w:rPr>
                            <w:color w:val="FF0000"/>
                            <w:sz w:val="20"/>
                            <w:szCs w:val="18"/>
                          </w:rPr>
                        </w:pPr>
                        <w:r>
                          <w:rPr>
                            <w:rFonts w:asciiTheme="minorHAnsi" w:hAnsi="Calibri"/>
                            <w:b/>
                            <w:bCs/>
                            <w:color w:val="FF0000"/>
                            <w:sz w:val="20"/>
                            <w:szCs w:val="18"/>
                          </w:rPr>
                          <w:t>Bent perpus sumažinti su romų vaikų ir kitų vaikų skurdo skirtumą</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užtikrinti, kad iki 2030 m. dauguma romų vaikų išvengtų skurdo</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bCs/>
                            <w:color w:val="4F81BD" w:themeColor="accent1"/>
                            <w:sz w:val="19"/>
                            <w:szCs w:val="19"/>
                          </w:rPr>
                          <w:t>romų vaikai – 85 proc.; vaikai</w:t>
                        </w:r>
                        <w:r>
                          <w:rPr>
                            <w:rFonts w:asciiTheme="minorHAnsi" w:hAnsi="Calibri"/>
                            <w:i/>
                            <w:iCs/>
                            <w:color w:val="4F81BD" w:themeColor="accent1"/>
                            <w:sz w:val="19"/>
                            <w:szCs w:val="19"/>
                          </w:rPr>
                          <w:t xml:space="preserve"> apskritai</w:t>
                        </w:r>
                        <w:r>
                          <w:rPr>
                            <w:rFonts w:asciiTheme="minorHAnsi" w:hAnsi="Calibri"/>
                            <w:color w:val="4F81BD" w:themeColor="accent1"/>
                            <w:sz w:val="19"/>
                            <w:szCs w:val="19"/>
                          </w:rPr>
                          <w:t> –</w:t>
                        </w:r>
                        <w:r>
                          <w:rPr>
                            <w:rFonts w:asciiTheme="minorHAnsi" w:hAnsi="Calibri"/>
                            <w:i/>
                            <w:iCs/>
                            <w:color w:val="4F81BD" w:themeColor="accent1"/>
                            <w:sz w:val="19"/>
                            <w:szCs w:val="19"/>
                          </w:rPr>
                          <w:t xml:space="preserve"> 19,6 proc. (65,4 procentinio punkto skirtumas)</w:t>
                        </w:r>
                      </w:p>
                    </w:txbxContent>
                  </v:textbox>
                </v:roundrect>
                <v:roundrect id="Téglalap: lekerekített 21" o:spid="_x0000_s1034" style="position:absolute;left:724;top:39205;width:45228;height:2025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5F9MQA&#10;AADbAAAADwAAAGRycy9kb3ducmV2LnhtbESPT2vDMAzF74N+B6PCLmN1OvaPrG4phTCfBmvLzlqs&#10;JmG2HGyvzb79dBjsJvGe3vtptZmCV2dKeYhsYLmoQBG30Q3cGTgemttnULkgO/SRycAPZdisZ1cr&#10;rF288Dud96VTEsK5RgN9KWOtdW57CpgXcSQW7RRTwCJr6rRLeJHw4PVdVT3qgANLQ48j7Xpqv/bf&#10;wcCnHT7scWnf/M1D85r80/1JN9aY6/m0fQFVaCr/5r9r6wRfYOUXGUCv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ORfTEAAAA2wAAAA8AAAAAAAAAAAAAAAAAmAIAAGRycy9k&#10;b3ducmV2LnhtbFBLBQYAAAAABAAEAPUAAACJAwAAAAA=&#10;" fillcolor="#e4e4e4" strokecolor="#243f60 [1604]" strokeweight="2pt">
                  <v:textbox inset=",0">
                    <w:txbxContent>
                      <w:p>
                        <w:pPr>
                          <w:pStyle w:val="NormalWeb"/>
                          <w:spacing w:before="0" w:beforeAutospacing="0" w:after="0" w:afterAutospacing="0"/>
                          <w:jc w:val="center"/>
                        </w:pPr>
                        <w:r>
                          <w:rPr>
                            <w:rFonts w:asciiTheme="minorHAnsi" w:hAnsi="Calibri"/>
                            <w:b/>
                            <w:bCs/>
                            <w:i/>
                            <w:iCs/>
                            <w:color w:val="4F81BD" w:themeColor="accent1"/>
                          </w:rPr>
                          <w:t>3.  Skatinti dalyvavimą suteikiant daugiau galių, stiprinant bendradarbiavimą ir pasitikėjimą</w:t>
                        </w:r>
                      </w:p>
                    </w:txbxContent>
                  </v:textbox>
                </v:roundrect>
                <v:roundrect id="Téglalap: lekerekített 22" o:spid="_x0000_s1035" style="position:absolute;left:1121;top:42484;width:21869;height:583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QLiMAA&#10;AADbAAAADwAAAGRycy9kb3ducmV2LnhtbERPS2vCQBC+F/wPywi9FN0oVEx0E0QReq314m3MTh6Y&#10;nY3ZzaP/vlso9DYf33P22WQaMVDnassKVssIBHFudc2lguvXebEF4TyyxsYyKfgmB1k6e9ljou3I&#10;nzRcfClCCLsEFVTet4mULq/IoFvaljhwhe0M+gC7UuoOxxBuGrmOoo00WHNoqLClY0X549IbBXE5&#10;Fjj09/fb2zE/NX2EuBmeSr3Op8MOhKfJ/4v/3B86zI/h95dwgE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YQLiMAAAADbAAAADwAAAAAAAAAAAAAAAACYAgAAZHJzL2Rvd25y&#10;ZXYueG1sUEsFBgAAAAAEAAQA9QAAAIUDA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Įgalinti ir įtraukti bent 90 NVO į ES mastu vykdomą koordinuojamą romų pilietinės visuomenės stebėseną</w:t>
                        </w:r>
                      </w:p>
                      <w:p>
                        <w:pPr>
                          <w:pStyle w:val="NormalWeb"/>
                          <w:numPr>
                            <w:ilvl w:val="0"/>
                            <w:numId w:val="61"/>
                          </w:numPr>
                          <w:spacing w:before="0" w:beforeAutospacing="0" w:after="0" w:afterAutospacing="0"/>
                          <w:ind w:left="142" w:hanging="142"/>
                          <w:jc w:val="both"/>
                          <w:rPr>
                            <w:color w:val="4F81BD" w:themeColor="accent1"/>
                            <w:sz w:val="19"/>
                            <w:szCs w:val="19"/>
                          </w:rPr>
                        </w:pPr>
                        <w:r>
                          <w:rPr>
                            <w:rFonts w:asciiTheme="minorHAnsi" w:hAnsi="Calibri"/>
                            <w:i/>
                            <w:iCs/>
                            <w:color w:val="4F81BD" w:themeColor="accent1"/>
                            <w:sz w:val="19"/>
                            <w:szCs w:val="19"/>
                          </w:rPr>
                          <w:t>įgyvendinant romų pilietinės stebėsenos projektą dalyvaujančių NVO skaičius – 85</w:t>
                        </w:r>
                      </w:p>
                    </w:txbxContent>
                  </v:textbox>
                </v:roundrect>
                <v:roundrect id="Téglalap: lekerekített 23" o:spid="_x0000_s1036" style="position:absolute;left:23634;top:42484;width:21606;height:608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a79b8A&#10;AADbAAAADwAAAGRycy9kb3ducmV2LnhtbERPTYvCMBC9C/6HMII3Te1BpBpFBNnVg6AV9Dg0Y1ts&#10;JrWJte6v3xwEj4/3vVh1phItNa60rGAyjkAQZ1aXnCs4p9vRDITzyBory6TgTQ5Wy35vgYm2Lz5S&#10;e/K5CCHsElRQeF8nUrqsIINubGviwN1sY9AH2ORSN/gK4aaScRRNpcGSQ0OBNW0Kyu6np1FAf/uf&#10;9PHcxVdsD7a+lLxO+aLUcNCt5yA8df4r/rh/tYI4rA9fwg+Qy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lrv1vwAAANsAAAAPAAAAAAAAAAAAAAAAAJgCAABkcnMvZG93bnJl&#10;di54bWxQSwUGAAAAAAQABAD1AAAAhAMAAAAA&#10;" fillcolor="white [3212]" strokecolor="#243f60 [1604]" strokeweight="2pt">
                  <v:textbox inset=",0,,0">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Užtikrinti romų NVO </w:t>
                        </w:r>
                      </w:p>
                      <w:p>
                        <w:pPr>
                          <w:pStyle w:val="NormalWeb"/>
                          <w:spacing w:before="0" w:beforeAutospacing="0" w:after="0" w:afterAutospacing="0"/>
                          <w:jc w:val="center"/>
                          <w:rPr>
                            <w:rFonts w:asciiTheme="minorHAnsi" w:hAnsi="Calibri" w:cstheme="minorBidi"/>
                            <w:bCs/>
                            <w:color w:val="4F81BD" w:themeColor="accent1"/>
                            <w:kern w:val="24"/>
                            <w:sz w:val="20"/>
                            <w:szCs w:val="18"/>
                          </w:rPr>
                        </w:pPr>
                        <w:r>
                          <w:rPr>
                            <w:rFonts w:asciiTheme="minorHAnsi" w:hAnsi="Calibri"/>
                            <w:b/>
                            <w:bCs/>
                            <w:color w:val="FF0000"/>
                            <w:sz w:val="20"/>
                            <w:szCs w:val="18"/>
                          </w:rPr>
                          <w:t>visateisį dalyvavimą nacionalinių stebėsenos komitetų veikloje,</w:t>
                        </w:r>
                        <w:r>
                          <w:rPr>
                            <w:rFonts w:asciiTheme="minorHAnsi" w:hAnsi="Calibri"/>
                            <w:b/>
                            <w:bCs/>
                            <w:color w:val="4F81BD" w:themeColor="accent1"/>
                            <w:sz w:val="20"/>
                            <w:szCs w:val="18"/>
                          </w:rPr>
                          <w:t xml:space="preserve"> </w:t>
                        </w:r>
                        <w:r>
                          <w:rPr>
                            <w:rFonts w:asciiTheme="minorHAnsi" w:hAnsi="Calibri"/>
                            <w:bCs/>
                            <w:color w:val="4F81BD" w:themeColor="accent1"/>
                            <w:sz w:val="20"/>
                            <w:szCs w:val="18"/>
                          </w:rPr>
                          <w:t xml:space="preserve">vykdant visas programas, kuriomis siekiama patenkinti </w:t>
                        </w:r>
                      </w:p>
                      <w:p>
                        <w:pPr>
                          <w:pStyle w:val="NormalWeb"/>
                          <w:spacing w:before="0" w:beforeAutospacing="0" w:after="0" w:afterAutospacing="0"/>
                          <w:jc w:val="center"/>
                          <w:rPr>
                            <w:sz w:val="20"/>
                            <w:szCs w:val="18"/>
                          </w:rPr>
                        </w:pPr>
                        <w:r>
                          <w:rPr>
                            <w:rFonts w:asciiTheme="minorHAnsi" w:hAnsi="Calibri"/>
                            <w:bCs/>
                            <w:color w:val="4F81BD" w:themeColor="accent1"/>
                            <w:sz w:val="20"/>
                            <w:szCs w:val="18"/>
                          </w:rPr>
                          <w:t>romų bendruomenių poreikius</w:t>
                        </w:r>
                      </w:p>
                    </w:txbxContent>
                  </v:textbox>
                </v:roundrect>
                <v:roundrect id="Téglalap: lekerekített 24" o:spid="_x0000_s1037" style="position:absolute;left:1122;top:48857;width:21868;height:985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7NM8MA&#10;AADbAAAADwAAAGRycy9kb3ducmV2LnhtbESPS2vDMBCE74H+B7GFXEItx9DQOpZDcSnk2jSX3LbW&#10;+kGslWvJj/z7qFDocZiZb5jssJhOTDS41rKCbRSDIC6tbrlWcP76eHoB4Tyyxs4yKbiRg0P+sMow&#10;1XbmT5pOvhYBwi5FBY33fSqlKxsy6CLbEwevsoNBH+RQSz3gHOCmk0kc76TBlsNCgz0VDZXX02gU&#10;vNZzhdP4/XzZFOV7N8aIu+lHqfXj8rYH4Wnx/+G/9lErSLbw+yX8AJn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Z7NM8MAAADbAAAADwAAAAAAAAAAAAAAAACYAgAAZHJzL2Rv&#10;d25yZXYueG1sUEsFBgAAAAAEAAQA9QAAAIgDAAAAAA==&#10;" fillcolor="white [3212]" strokecolor="#243f60 [1604]" strokeweight="2pt">
                  <v:textbox inset="0,0,0,0">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Užtikrinti, kad dukart daugiau romų praneštų apie patiriamą diskriminaciją </w:t>
                        </w:r>
                      </w:p>
                      <w:p>
                        <w:pPr>
                          <w:pStyle w:val="NormalWeb"/>
                          <w:numPr>
                            <w:ilvl w:val="0"/>
                            <w:numId w:val="65"/>
                          </w:numPr>
                          <w:spacing w:before="0" w:beforeAutospacing="0" w:after="0" w:afterAutospacing="0"/>
                          <w:ind w:left="142" w:hanging="142"/>
                          <w:contextualSpacing/>
                          <w:rPr>
                            <w:rFonts w:asciiTheme="minorHAnsi" w:hAnsi="Calibri" w:cstheme="minorBidi"/>
                            <w:iCs/>
                            <w:color w:val="00B050"/>
                            <w:kern w:val="24"/>
                            <w:sz w:val="19"/>
                            <w:szCs w:val="19"/>
                          </w:rPr>
                        </w:pPr>
                        <w:r>
                          <w:rPr>
                            <w:rFonts w:asciiTheme="minorHAnsi" w:hAnsi="Calibri"/>
                            <w:iCs/>
                            <w:color w:val="00B050"/>
                            <w:sz w:val="19"/>
                            <w:szCs w:val="19"/>
                          </w:rPr>
                          <w:t>užtikrinti, kad iki 2030 m. bent 30 proc. romų praneštų apie patirtą diskriminaciją</w:t>
                        </w:r>
                      </w:p>
                      <w:p>
                        <w:pPr>
                          <w:pStyle w:val="NormalWeb"/>
                          <w:numPr>
                            <w:ilvl w:val="0"/>
                            <w:numId w:val="65"/>
                          </w:numPr>
                          <w:spacing w:before="0" w:beforeAutospacing="0" w:after="0" w:afterAutospacing="0"/>
                          <w:ind w:left="142" w:hanging="142"/>
                          <w:contextualSpacing/>
                          <w:rPr>
                            <w:rFonts w:asciiTheme="minorHAnsi" w:hAnsi="Calibri" w:cstheme="minorBidi"/>
                            <w:iCs/>
                            <w:color w:val="4F81BD" w:themeColor="accent1"/>
                            <w:kern w:val="24"/>
                            <w:sz w:val="19"/>
                            <w:szCs w:val="19"/>
                          </w:rPr>
                        </w:pPr>
                        <w:r>
                          <w:rPr>
                            <w:rFonts w:asciiTheme="minorHAnsi" w:hAnsi="Calibri"/>
                            <w:i/>
                            <w:iCs/>
                            <w:color w:val="4F81BD" w:themeColor="accent1"/>
                            <w:sz w:val="19"/>
                            <w:szCs w:val="19"/>
                          </w:rPr>
                          <w:t>romų, pranešusių apie paskutinį diskriminacijos atvejį (bet kurioje srityje) per pastaruosius 5 metus, dalis – 16 proc.</w:t>
                        </w:r>
                      </w:p>
                    </w:txbxContent>
                  </v:textbox>
                </v:roundrect>
                <v:roundrect id="Téglalap: lekerekített 23" o:spid="_x0000_s1038" style="position:absolute;left:23634;top:49649;width:21604;height:893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dVR8IA&#10;AADbAAAADwAAAGRycy9kb3ducmV2LnhtbESPS4vCQBCE74L/YegFL7JOFAyadRRxWdirj4u3NtN5&#10;sJmemJk8/Pc7guCxqKqvqM1uMJXoqHGlZQXzWQSCOLW65FzB5fzzuQLhPLLGyjIpeJCD3XY82mCi&#10;bc9H6k4+FwHCLkEFhfd1IqVLCzLoZrYmDl5mG4M+yCaXusE+wE0lF1EUS4Mlh4UCazoUlP6dWqNg&#10;nfcZdu1teZ0e0u+qjRDj7q7U5GPYf4HwNPh3+NX+1QoWMTy/hB8g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d1VHwgAAANsAAAAPAAAAAAAAAAAAAAAAAJgCAABkcnMvZG93&#10;bnJldi54bWxQSwUGAAAAAAQABAD1AAAAhwMAAAAA&#10;" fillcolor="white [3212]" strokecolor="#243f60 [1604]" strokeweight="2pt">
                  <v:textbox inset="0,0,0,0">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Skatinti romų dalyvavimą politiniame gyvenime </w:t>
                        </w:r>
                      </w:p>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vietos, regionų, nacionaliniu ir ES lygmenimis </w:t>
                        </w:r>
                      </w:p>
                      <w:p>
                        <w:pPr>
                          <w:pStyle w:val="NormalWeb"/>
                          <w:spacing w:before="0" w:beforeAutospacing="0" w:after="0" w:afterAutospacing="0"/>
                          <w:jc w:val="center"/>
                          <w:rPr>
                            <w:sz w:val="20"/>
                            <w:szCs w:val="18"/>
                          </w:rPr>
                        </w:pPr>
                        <w:r>
                          <w:rPr>
                            <w:rFonts w:asciiTheme="minorHAnsi" w:hAnsi="Calibri"/>
                            <w:bCs/>
                            <w:color w:val="4F81BD" w:themeColor="accent1"/>
                            <w:sz w:val="19"/>
                            <w:szCs w:val="19"/>
                          </w:rPr>
                          <w:t>(valstybėse narėse, kuriose gyvena daug romų)</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užtikrinti, kad jie užsiregistruotų kaip rinkėjai, balsuotų, keltų savo kandidatūrą</w:t>
                        </w:r>
                      </w:p>
                      <w:p>
                        <w:pPr>
                          <w:pStyle w:val="NormalWeb"/>
                          <w:spacing w:before="0" w:beforeAutospacing="0" w:after="0" w:afterAutospacing="0"/>
                          <w:jc w:val="center"/>
                          <w:rPr>
                            <w:sz w:val="20"/>
                            <w:szCs w:val="18"/>
                          </w:rPr>
                        </w:pPr>
                      </w:p>
                    </w:txbxContent>
                  </v:textbox>
                </v:roundrect>
                <w10:wrap type="topAndBottom" anchorx="margin"/>
              </v:group>
            </w:pict>
          </mc:Fallback>
        </mc:AlternateContent>
      </w:r>
    </w:p>
    <w:p>
      <w:pPr>
        <w:ind w:left="5760"/>
        <w:rPr>
          <w:rFonts w:ascii="Times New Roman" w:eastAsia="Times New Roman" w:hAnsi="Times New Roman" w:cs="Times New Roman"/>
          <w:noProof/>
          <w:sz w:val="20"/>
          <w:szCs w:val="20"/>
        </w:rPr>
      </w:pPr>
      <w:r>
        <w:rPr>
          <w:rFonts w:ascii="Times New Roman" w:hAnsi="Times New Roman"/>
          <w:noProof/>
          <w:sz w:val="24"/>
          <w:szCs w:val="24"/>
          <w:lang w:val="en-GB" w:eastAsia="en-GB"/>
        </w:rPr>
        <mc:AlternateContent>
          <mc:Choice Requires="wpg">
            <w:drawing>
              <wp:anchor distT="0" distB="0" distL="114300" distR="114300" simplePos="0" relativeHeight="252189184" behindDoc="0" locked="0" layoutInCell="1" allowOverlap="1">
                <wp:simplePos x="0" y="0"/>
                <wp:positionH relativeFrom="margin">
                  <wp:posOffset>0</wp:posOffset>
                </wp:positionH>
                <wp:positionV relativeFrom="paragraph">
                  <wp:posOffset>97790</wp:posOffset>
                </wp:positionV>
                <wp:extent cx="6248400" cy="7191375"/>
                <wp:effectExtent l="0" t="0" r="0" b="28575"/>
                <wp:wrapTopAndBottom/>
                <wp:docPr id="45" name="Group 45"/>
                <wp:cNvGraphicFramePr/>
                <a:graphic xmlns:a="http://schemas.openxmlformats.org/drawingml/2006/main">
                  <a:graphicData uri="http://schemas.microsoft.com/office/word/2010/wordprocessingGroup">
                    <wpg:wgp>
                      <wpg:cNvGrpSpPr/>
                      <wpg:grpSpPr>
                        <a:xfrm>
                          <a:off x="0" y="0"/>
                          <a:ext cx="6248400" cy="7191375"/>
                          <a:chOff x="0" y="0"/>
                          <a:chExt cx="6248400" cy="8027529"/>
                        </a:xfrm>
                      </wpg:grpSpPr>
                      <wpg:grpSp>
                        <wpg:cNvPr id="46" name="Group 46"/>
                        <wpg:cNvGrpSpPr/>
                        <wpg:grpSpPr>
                          <a:xfrm>
                            <a:off x="51162" y="272554"/>
                            <a:ext cx="6117228" cy="7754975"/>
                            <a:chOff x="-24304" y="-109251"/>
                            <a:chExt cx="4552489" cy="6098489"/>
                          </a:xfrm>
                        </wpg:grpSpPr>
                        <wps:wsp>
                          <wps:cNvPr id="47" name="Téglalap: lekerekített 7">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6EA7608-54D3-4E22-939F-C927A8825621}"/>
                              </a:ext>
                            </a:extLst>
                          </wps:cNvPr>
                          <wps:cNvSpPr/>
                          <wps:spPr>
                            <a:xfrm>
                              <a:off x="0" y="3550212"/>
                              <a:ext cx="4528185" cy="802787"/>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sz w:val="20"/>
                                  </w:rPr>
                                </w:pPr>
                                <w:r>
                                  <w:rPr>
                                    <w:rFonts w:asciiTheme="minorHAnsi" w:hAnsi="Calibri"/>
                                    <w:b/>
                                    <w:bCs/>
                                    <w:i/>
                                    <w:iCs/>
                                    <w:color w:val="4F81BD" w:themeColor="accent1"/>
                                    <w:szCs w:val="32"/>
                                  </w:rPr>
                                  <w:t>6. Gerinti romų sveikatą ir suteikti jiems daugiau veiksmingų vienodų galimybių naudotis kokybiškomis sveikatos priežiūros ir socialinėmis paslaugomis</w:t>
                                </w:r>
                              </w:p>
                            </w:txbxContent>
                          </wps:txbx>
                          <wps:bodyPr lIns="0" tIns="0" rIns="0" bIns="0" rtlCol="0" anchor="t" anchorCtr="0">
                            <a:noAutofit/>
                          </wps:bodyPr>
                        </wps:wsp>
                        <wps:wsp>
                          <wps:cNvPr id="48" name="Téglalap: lekerekített 9">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90E2ECE6-A4E1-43FB-BE27-BE345B4E5FBC}"/>
                              </a:ext>
                            </a:extLst>
                          </wps:cNvPr>
                          <wps:cNvSpPr/>
                          <wps:spPr>
                            <a:xfrm>
                              <a:off x="97971" y="3804040"/>
                              <a:ext cx="4299379" cy="496204"/>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Bent perpus sumažinti tikėtinos gyvenimo trukmės skirtumą</w:t>
                                </w:r>
                              </w:p>
                              <w:p>
                                <w:pPr>
                                  <w:pStyle w:val="NormalWeb"/>
                                  <w:numPr>
                                    <w:ilvl w:val="0"/>
                                    <w:numId w:val="73"/>
                                  </w:numPr>
                                  <w:spacing w:before="0" w:beforeAutospacing="0" w:after="0" w:afterAutospacing="0"/>
                                  <w:ind w:left="142" w:hanging="142"/>
                                  <w:rPr>
                                    <w:color w:val="00B050"/>
                                    <w:sz w:val="20"/>
                                    <w:szCs w:val="18"/>
                                  </w:rPr>
                                </w:pPr>
                                <w:r>
                                  <w:rPr>
                                    <w:sz w:val="20"/>
                                    <w:szCs w:val="18"/>
                                  </w:rPr>
                                  <w:t xml:space="preserve"> </w:t>
                                </w:r>
                                <w:r>
                                  <w:rPr>
                                    <w:color w:val="00B050"/>
                                    <w:sz w:val="20"/>
                                    <w:szCs w:val="18"/>
                                  </w:rPr>
                                  <w:t>užtikrinti, kad iki 2030 m. romų tautybės moterys ir vyrai gyventų 5 metais ilgiau</w:t>
                                </w:r>
                              </w:p>
                              <w:p>
                                <w:pPr>
                                  <w:pStyle w:val="NormalWeb"/>
                                  <w:numPr>
                                    <w:ilvl w:val="0"/>
                                    <w:numId w:val="73"/>
                                  </w:numPr>
                                  <w:spacing w:before="0" w:beforeAutospacing="0" w:after="0" w:afterAutospacing="0"/>
                                  <w:ind w:left="142" w:hanging="142"/>
                                  <w:rPr>
                                    <w:color w:val="4F81BD" w:themeColor="accent1"/>
                                    <w:sz w:val="20"/>
                                    <w:szCs w:val="18"/>
                                  </w:rPr>
                                </w:pPr>
                                <w:r>
                                  <w:rPr>
                                    <w:rFonts w:asciiTheme="minorHAnsi" w:hAnsi="Calibri"/>
                                    <w:i/>
                                    <w:iCs/>
                                    <w:color w:val="4F81BD" w:themeColor="accent1"/>
                                    <w:sz w:val="20"/>
                                    <w:szCs w:val="18"/>
                                  </w:rPr>
                                  <w:t>tikėtinos gyvenimo trukmės nuo gimimo skirtumas (plačioji visuomenė ir romai): romų tautybės moterys – 10,4 m.; romų tautybės vyrai – 10,2 m.</w:t>
                                </w:r>
                              </w:p>
                            </w:txbxContent>
                          </wps:txbx>
                          <wps:bodyPr lIns="0" tIns="0" rIns="0" bIns="0" rtlCol="0" anchor="t" anchorCtr="0">
                            <a:noAutofit/>
                          </wps:bodyPr>
                        </wps:wsp>
                        <wps:wsp>
                          <wps:cNvPr id="50" name="Téglalap: lekerekített 13">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EC99626-67C6-437C-B15D-53125CBD19C3}"/>
                              </a:ext>
                            </a:extLst>
                          </wps:cNvPr>
                          <wps:cNvSpPr/>
                          <wps:spPr>
                            <a:xfrm>
                              <a:off x="0" y="1899655"/>
                              <a:ext cx="4528185" cy="1589004"/>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szCs w:val="22"/>
                                  </w:rPr>
                                </w:pPr>
                                <w:r>
                                  <w:rPr>
                                    <w:rFonts w:asciiTheme="minorHAnsi" w:hAnsi="Calibri"/>
                                    <w:b/>
                                    <w:bCs/>
                                    <w:i/>
                                    <w:iCs/>
                                    <w:color w:val="4F81BD" w:themeColor="accent1"/>
                                    <w:szCs w:val="22"/>
                                  </w:rPr>
                                  <w:t>5. Veiksmingiau užtikrinti vienodas galimybes gauti kokybišką ir tvarų darbą</w:t>
                                </w:r>
                              </w:p>
                            </w:txbxContent>
                          </wps:txbx>
                          <wps:bodyPr rot="0" spcFirstLastPara="0" vert="horz" wrap="square" lIns="0" tIns="0" rIns="0" bIns="0" numCol="1" spcCol="0" rtlCol="0" fromWordArt="0" anchor="t" anchorCtr="0" forceAA="0" compatLnSpc="1">
                            <a:prstTxWarp prst="textNoShape">
                              <a:avLst/>
                            </a:prstTxWarp>
                            <a:noAutofit/>
                          </wps:bodyPr>
                        </wps:wsp>
                        <wps:wsp>
                          <wps:cNvPr id="51" name="Téglalap: lekerekített 1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3BE9DB23-DAB2-4302-AB77-D8AF8BE9F452}"/>
                              </a:ext>
                            </a:extLst>
                          </wps:cNvPr>
                          <wps:cNvSpPr/>
                          <wps:spPr>
                            <a:xfrm>
                              <a:off x="71391" y="2199724"/>
                              <a:ext cx="1737615" cy="754341"/>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Bent perpus sumažinti užimtumo skirtumą</w:t>
                                </w:r>
                              </w:p>
                              <w:p>
                                <w:pPr>
                                  <w:pStyle w:val="NormalWeb"/>
                                  <w:numPr>
                                    <w:ilvl w:val="0"/>
                                    <w:numId w:val="70"/>
                                  </w:numPr>
                                  <w:spacing w:before="0" w:beforeAutospacing="0" w:after="0" w:afterAutospacing="0"/>
                                  <w:ind w:left="142" w:hanging="142"/>
                                  <w:rPr>
                                    <w:color w:val="00B050"/>
                                    <w:sz w:val="19"/>
                                    <w:szCs w:val="19"/>
                                  </w:rPr>
                                </w:pPr>
                                <w:r>
                                  <w:rPr>
                                    <w:color w:val="00B050"/>
                                    <w:sz w:val="19"/>
                                    <w:szCs w:val="19"/>
                                  </w:rPr>
                                  <w:t>užtikrinti, kad iki 2030 m. bent 60 proc. romų turėtų apmokamą darbą</w:t>
                                </w:r>
                              </w:p>
                              <w:p>
                                <w:pPr>
                                  <w:pStyle w:val="NormalWeb"/>
                                  <w:numPr>
                                    <w:ilvl w:val="0"/>
                                    <w:numId w:val="70"/>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apmokamas darbas: romai – 43 proc.; plačioji visuomenė – 73,1 proc. (30,1 procentinio punkto skirtumas)</w:t>
                                </w:r>
                              </w:p>
                            </w:txbxContent>
                          </wps:txbx>
                          <wps:bodyPr lIns="0" tIns="0" rIns="0" bIns="0" rtlCol="0" anchor="t" anchorCtr="0">
                            <a:noAutofit/>
                          </wps:bodyPr>
                        </wps:wsp>
                        <wps:wsp>
                          <wps:cNvPr id="52" name="Téglalap: lekerekített 15">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234F9B31-C470-4D25-9AC4-F07F2CAFE832}"/>
                              </a:ext>
                            </a:extLst>
                          </wps:cNvPr>
                          <wps:cNvSpPr/>
                          <wps:spPr>
                            <a:xfrm>
                              <a:off x="1848703" y="2199725"/>
                              <a:ext cx="2655176" cy="72094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 xml:space="preserve">Bent perpus sumažinti romų lyčių užimtumo lygio skirtumą </w:t>
                                </w:r>
                              </w:p>
                              <w:p>
                                <w:pPr>
                                  <w:pStyle w:val="NormalWeb"/>
                                  <w:numPr>
                                    <w:ilvl w:val="0"/>
                                    <w:numId w:val="71"/>
                                  </w:numPr>
                                  <w:spacing w:before="0" w:beforeAutospacing="0" w:after="0" w:afterAutospacing="0"/>
                                  <w:ind w:left="142" w:hanging="142"/>
                                  <w:rPr>
                                    <w:color w:val="00B050"/>
                                    <w:sz w:val="19"/>
                                    <w:szCs w:val="19"/>
                                  </w:rPr>
                                </w:pPr>
                                <w:r>
                                  <w:rPr>
                                    <w:color w:val="00B050"/>
                                    <w:sz w:val="19"/>
                                    <w:szCs w:val="19"/>
                                  </w:rPr>
                                  <w:t>užtikrinti, kad iki 2030 m. bent 45 proc. romų tautybės moterų turėtų apmokamą darbą</w:t>
                                </w:r>
                              </w:p>
                              <w:p>
                                <w:pPr>
                                  <w:pStyle w:val="NormalWeb"/>
                                  <w:numPr>
                                    <w:ilvl w:val="0"/>
                                    <w:numId w:val="71"/>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lyčių užimtumo skirtumas: romai: 27 procentiniai punktai (moterys – 29 proc., vyrai – 56 proc.); plačiosios visuomenės skirtumas: 11,7 procentinio punkto (moterys – 67,2 proc., vyrai – 78,9 proc.)</w:t>
                                </w:r>
                              </w:p>
                            </w:txbxContent>
                          </wps:txbx>
                          <wps:bodyPr wrap="square" lIns="0" tIns="0" rIns="0" bIns="0" rtlCol="0" anchor="t" anchorCtr="0">
                            <a:noAutofit/>
                          </wps:bodyPr>
                        </wps:wsp>
                        <wps:wsp>
                          <wps:cNvPr id="53" name="Téglalap: lekerekített 16">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559FADA-57F1-463B-ABB7-CEB05123EB7C}"/>
                              </a:ext>
                            </a:extLst>
                          </wps:cNvPr>
                          <wps:cNvSpPr/>
                          <wps:spPr>
                            <a:xfrm>
                              <a:off x="357264" y="2977177"/>
                              <a:ext cx="3980947" cy="47857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 xml:space="preserve">Bent perpus sumažinti NEET lygio skirtumą </w:t>
                                </w:r>
                              </w:p>
                              <w:p>
                                <w:pPr>
                                  <w:pStyle w:val="NormalWeb"/>
                                  <w:numPr>
                                    <w:ilvl w:val="0"/>
                                    <w:numId w:val="72"/>
                                  </w:numPr>
                                  <w:spacing w:before="0" w:beforeAutospacing="0" w:after="0" w:afterAutospacing="0"/>
                                  <w:ind w:left="142" w:hanging="142"/>
                                  <w:rPr>
                                    <w:color w:val="00B050"/>
                                    <w:sz w:val="19"/>
                                    <w:szCs w:val="19"/>
                                  </w:rPr>
                                </w:pPr>
                                <w:r>
                                  <w:rPr>
                                    <w:color w:val="00B050"/>
                                    <w:sz w:val="19"/>
                                    <w:szCs w:val="19"/>
                                  </w:rPr>
                                  <w:t>užtikrinti, kad iki 2030 m. nesimokytų ir nedirbtų mažiau nei kas trečias romų jaunuolis</w:t>
                                </w:r>
                              </w:p>
                              <w:p>
                                <w:pPr>
                                  <w:pStyle w:val="NormalWeb"/>
                                  <w:numPr>
                                    <w:ilvl w:val="0"/>
                                    <w:numId w:val="72"/>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NEET dalis (16–24 m.): romai – 62 proc.; plačioji visuomenė – 10,1 proc. (51,9 procentinio punkto skirtumas)</w:t>
                                </w:r>
                              </w:p>
                            </w:txbxContent>
                          </wps:txbx>
                          <wps:bodyPr wrap="square" lIns="0" tIns="0" rIns="0" bIns="0" rtlCol="0" anchor="t" anchorCtr="0">
                            <a:noAutofit/>
                          </wps:bodyPr>
                        </wps:wsp>
                        <wps:wsp>
                          <wps:cNvPr id="54" name="Téglalap: lekerekített 21">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FA0A831C-EC51-4F29-BA89-24CBA1034625}"/>
                              </a:ext>
                            </a:extLst>
                          </wps:cNvPr>
                          <wps:cNvSpPr/>
                          <wps:spPr>
                            <a:xfrm>
                              <a:off x="-24304" y="4430761"/>
                              <a:ext cx="4528185" cy="1558477"/>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4F81BD" w:themeColor="accent1"/>
                                    <w:szCs w:val="22"/>
                                  </w:rPr>
                                </w:pPr>
                                <w:r>
                                  <w:rPr>
                                    <w:rFonts w:asciiTheme="minorHAnsi" w:hAnsi="Calibri"/>
                                    <w:b/>
                                    <w:bCs/>
                                    <w:i/>
                                    <w:iCs/>
                                    <w:color w:val="4F81BD" w:themeColor="accent1"/>
                                    <w:szCs w:val="22"/>
                                  </w:rPr>
                                  <w:t>7. Suteikti daugiau veiksmingų vienodų galimybių gauti tinkamą atskirą būstą ir naudotis esminėmis paslaugomis</w:t>
                                </w:r>
                              </w:p>
                            </w:txbxContent>
                          </wps:txbx>
                          <wps:bodyPr rot="0" spcFirstLastPara="0" vert="horz" wrap="square" lIns="0" tIns="0" rIns="0" bIns="0" numCol="1" spcCol="0" rtlCol="0" fromWordArt="0" anchor="t" anchorCtr="0" forceAA="0" compatLnSpc="1">
                            <a:prstTxWarp prst="textNoShape">
                              <a:avLst/>
                            </a:prstTxWarp>
                            <a:noAutofit/>
                          </wps:bodyPr>
                        </wps:wsp>
                        <wps:wsp>
                          <wps:cNvPr id="55" name="Téglalap: lekerekített 22">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07C4240-354D-4408-8FF7-3F5CF3B9F0C4}"/>
                              </a:ext>
                            </a:extLst>
                          </wps:cNvPr>
                          <wps:cNvSpPr/>
                          <wps:spPr>
                            <a:xfrm>
                              <a:off x="38988" y="4729857"/>
                              <a:ext cx="2304699" cy="773201"/>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 xml:space="preserve">Bent trečdaliu sumažinti prastų būsto sąlygų skirtumą </w:t>
                                </w:r>
                              </w:p>
                              <w:p>
                                <w:pPr>
                                  <w:pStyle w:val="NormalWeb"/>
                                  <w:numPr>
                                    <w:ilvl w:val="0"/>
                                    <w:numId w:val="73"/>
                                  </w:numPr>
                                  <w:spacing w:before="0" w:beforeAutospacing="0" w:after="0" w:afterAutospacing="0"/>
                                  <w:ind w:left="142" w:hanging="142"/>
                                  <w:rPr>
                                    <w:color w:val="00B050"/>
                                    <w:sz w:val="19"/>
                                    <w:szCs w:val="19"/>
                                  </w:rPr>
                                </w:pPr>
                                <w:r>
                                  <w:rPr>
                                    <w:color w:val="00B050"/>
                                    <w:sz w:val="19"/>
                                    <w:szCs w:val="19"/>
                                  </w:rPr>
                                  <w:t>užtikrinti, kad iki 2030 m. dauguma romų išvengtų prastų būsto sąlygų</w:t>
                                </w:r>
                              </w:p>
                              <w:p>
                                <w:pPr>
                                  <w:pStyle w:val="NormalWeb"/>
                                  <w:numPr>
                                    <w:ilvl w:val="0"/>
                                    <w:numId w:val="73"/>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prastos būsto sąlygos: romai – 61 proc.; plačioji visuomenė – 17,9 proc. (43,1 procentinio punkto skirtumas)</w:t>
                                </w:r>
                              </w:p>
                            </w:txbxContent>
                          </wps:txbx>
                          <wps:bodyPr lIns="0" tIns="0" rIns="0" bIns="0" rtlCol="0" anchor="t" anchorCtr="0">
                            <a:noAutofit/>
                          </wps:bodyPr>
                        </wps:wsp>
                        <wps:wsp>
                          <wps:cNvPr id="56" name="Téglalap: lekerekített 25">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F937739A-7077-4267-A845-43ACD5EC1C71}"/>
                              </a:ext>
                            </a:extLst>
                          </wps:cNvPr>
                          <wps:cNvSpPr/>
                          <wps:spPr>
                            <a:xfrm>
                              <a:off x="0" y="-109251"/>
                              <a:ext cx="4528185" cy="2066317"/>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szCs w:val="22"/>
                                  </w:rPr>
                                </w:pPr>
                                <w:r>
                                  <w:rPr>
                                    <w:rFonts w:asciiTheme="minorHAnsi" w:hAnsi="Calibri"/>
                                    <w:b/>
                                    <w:bCs/>
                                    <w:i/>
                                    <w:iCs/>
                                    <w:color w:val="4F81BD" w:themeColor="accent1"/>
                                    <w:szCs w:val="22"/>
                                  </w:rPr>
                                  <w:t>4.  Suteikti daugiau veiksmingų vienodų galimybių įgyti kokybišką įtraukų bendrąjį išsilavinimą</w:t>
                                </w:r>
                              </w:p>
                            </w:txbxContent>
                          </wps:txbx>
                          <wps:bodyPr rot="0" spcFirstLastPara="0" vert="horz" wrap="square" lIns="0" tIns="0" rIns="0" bIns="0" numCol="1" spcCol="0" rtlCol="0" fromWordArt="0" anchor="t" anchorCtr="0" forceAA="0" compatLnSpc="1">
                            <a:prstTxWarp prst="textNoShape">
                              <a:avLst/>
                            </a:prstTxWarp>
                            <a:noAutofit/>
                          </wps:bodyPr>
                        </wps:wsp>
                        <wps:wsp>
                          <wps:cNvPr id="57" name="Téglalap: lekerekített 2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137F931-C869-4F62-BB0D-D6F8AD375D21}"/>
                              </a:ext>
                            </a:extLst>
                          </wps:cNvPr>
                          <wps:cNvSpPr/>
                          <wps:spPr>
                            <a:xfrm>
                              <a:off x="881002" y="5555047"/>
                              <a:ext cx="2969515" cy="37331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Užtikrinti, kad bent 95 proc. romų galėtų naudotis vandentiekio vandeniu</w:t>
                                </w:r>
                              </w:p>
                              <w:p>
                                <w:pPr>
                                  <w:pStyle w:val="NormalWeb"/>
                                  <w:numPr>
                                    <w:ilvl w:val="0"/>
                                    <w:numId w:val="72"/>
                                  </w:numPr>
                                  <w:spacing w:before="0" w:beforeAutospacing="0" w:after="0" w:afterAutospacing="0"/>
                                  <w:ind w:left="142" w:hanging="142"/>
                                  <w:rPr>
                                    <w:sz w:val="19"/>
                                    <w:szCs w:val="19"/>
                                  </w:rPr>
                                </w:pPr>
                                <w:r>
                                  <w:rPr>
                                    <w:rFonts w:asciiTheme="minorHAnsi" w:hAnsi="Calibri"/>
                                    <w:i/>
                                    <w:iCs/>
                                    <w:color w:val="4F81BD" w:themeColor="accent1"/>
                                    <w:sz w:val="19"/>
                                    <w:szCs w:val="19"/>
                                  </w:rPr>
                                  <w:t>galimybė būste naudotis vandentiekio vandeniu: romai – 70 proc., plačioji visuomenė – 97,7 proc.</w:t>
                                </w:r>
                              </w:p>
                            </w:txbxContent>
                          </wps:txbx>
                          <wps:bodyPr wrap="square" lIns="0" tIns="0" rIns="0" bIns="0" rtlCol="0" anchor="t" anchorCtr="0">
                            <a:noAutofit/>
                          </wps:bodyPr>
                        </wps:wsp>
                        <wps:wsp>
                          <wps:cNvPr id="58" name="Téglalap: lekerekített 26">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B1E117D4-3B55-4FA7-A5C0-AAD4293C5AF7}"/>
                              </a:ext>
                            </a:extLst>
                          </wps:cNvPr>
                          <wps:cNvSpPr/>
                          <wps:spPr>
                            <a:xfrm>
                              <a:off x="38988" y="212252"/>
                              <a:ext cx="2215104" cy="93041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4F81BD" w:themeColor="accent1"/>
                                    <w:kern w:val="24"/>
                                    <w:sz w:val="20"/>
                                    <w:szCs w:val="18"/>
                                  </w:rPr>
                                </w:pPr>
                                <w:r>
                                  <w:rPr>
                                    <w:rFonts w:asciiTheme="minorHAnsi" w:hAnsi="Calibri"/>
                                    <w:b/>
                                    <w:bCs/>
                                    <w:color w:val="FF0000"/>
                                    <w:sz w:val="20"/>
                                    <w:szCs w:val="18"/>
                                  </w:rPr>
                                  <w:t xml:space="preserve">Bent perpus sumažinti dalyvavimo ikimokyklinio ugdymo ir priežiūros programose skirtumą </w:t>
                                </w:r>
                              </w:p>
                              <w:p>
                                <w:pPr>
                                  <w:pStyle w:val="NormalWeb"/>
                                  <w:numPr>
                                    <w:ilvl w:val="0"/>
                                    <w:numId w:val="67"/>
                                  </w:numPr>
                                  <w:spacing w:before="0" w:beforeAutospacing="0" w:after="0" w:afterAutospacing="0"/>
                                  <w:ind w:left="142" w:hanging="142"/>
                                  <w:rPr>
                                    <w:rFonts w:asciiTheme="minorHAnsi" w:hAnsi="Calibri" w:cstheme="minorBidi"/>
                                    <w:bCs/>
                                    <w:color w:val="00B050"/>
                                    <w:kern w:val="24"/>
                                    <w:sz w:val="19"/>
                                    <w:szCs w:val="19"/>
                                  </w:rPr>
                                </w:pPr>
                                <w:r>
                                  <w:rPr>
                                    <w:rFonts w:asciiTheme="minorHAnsi" w:hAnsi="Calibri"/>
                                    <w:bCs/>
                                    <w:color w:val="00B050"/>
                                    <w:sz w:val="19"/>
                                    <w:szCs w:val="19"/>
                                  </w:rPr>
                                  <w:t>užtikrinti, kad iki 2030 m. bent 70 proc. romų vaikų dalyvautų priešmokyklinio ugdymo programose</w:t>
                                </w:r>
                              </w:p>
                              <w:p>
                                <w:pPr>
                                  <w:pStyle w:val="NormalWeb"/>
                                  <w:numPr>
                                    <w:ilvl w:val="0"/>
                                    <w:numId w:val="67"/>
                                  </w:numPr>
                                  <w:spacing w:before="0" w:beforeAutospacing="0" w:after="0" w:afterAutospacing="0"/>
                                  <w:ind w:left="142" w:hanging="142"/>
                                  <w:rPr>
                                    <w:rFonts w:asciiTheme="minorHAnsi" w:hAnsi="Calibri" w:cstheme="minorBidi"/>
                                    <w:bCs/>
                                    <w:color w:val="4F81BD" w:themeColor="accent1"/>
                                    <w:kern w:val="24"/>
                                    <w:sz w:val="19"/>
                                    <w:szCs w:val="19"/>
                                  </w:rPr>
                                </w:pPr>
                                <w:r>
                                  <w:rPr>
                                    <w:rFonts w:asciiTheme="minorHAnsi" w:hAnsi="Calibri"/>
                                    <w:i/>
                                    <w:iCs/>
                                    <w:color w:val="4F81BD" w:themeColor="accent1"/>
                                    <w:sz w:val="19"/>
                                    <w:szCs w:val="19"/>
                                  </w:rPr>
                                  <w:t>dalyvavimas ikimokyklinio ugdymo ir priežiūros programose (vyresni kaip 3 m. vaikai) romai – 42 proc.; plačioji visuomenė – 92,2 proc. (50,2 procentinio punkto skirtumas)</w:t>
                                </w:r>
                              </w:p>
                            </w:txbxContent>
                          </wps:txbx>
                          <wps:bodyPr lIns="0" tIns="0" rIns="0" bIns="0" rtlCol="0" anchor="t" anchorCtr="0">
                            <a:noAutofit/>
                          </wps:bodyPr>
                        </wps:wsp>
                        <wps:wsp>
                          <wps:cNvPr id="59" name="Téglalap: lekerekített 28">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5EDA4507-D961-4E8D-BA9B-663A58705356}"/>
                              </a:ext>
                            </a:extLst>
                          </wps:cNvPr>
                          <wps:cNvSpPr/>
                          <wps:spPr>
                            <a:xfrm>
                              <a:off x="172557" y="1191375"/>
                              <a:ext cx="4262100" cy="70828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sz w:val="20"/>
                                    <w:szCs w:val="18"/>
                                  </w:rPr>
                                </w:pPr>
                                <w:r>
                                  <w:rPr>
                                    <w:rFonts w:asciiTheme="minorHAnsi" w:hAnsi="Calibri"/>
                                    <w:b/>
                                    <w:bCs/>
                                    <w:color w:val="FF0000"/>
                                    <w:sz w:val="20"/>
                                    <w:szCs w:val="18"/>
                                  </w:rPr>
                                  <w:t xml:space="preserve">Siekis panaikinti segregaciją bent perpus sumažinant romų vaikų, lankančių atskiras pradines mokyklas, dalį </w:t>
                                </w:r>
                                <w:r>
                                  <w:rPr>
                                    <w:rFonts w:asciiTheme="minorHAnsi" w:hAnsi="Calibri"/>
                                    <w:bCs/>
                                    <w:color w:val="4F81BD" w:themeColor="accent1"/>
                                    <w:sz w:val="20"/>
                                    <w:szCs w:val="18"/>
                                  </w:rPr>
                                  <w:t>(valstybėse narėse, kuriose gyvena daug romų)</w:t>
                                </w:r>
                              </w:p>
                              <w:p>
                                <w:pPr>
                                  <w:pStyle w:val="NormalWeb"/>
                                  <w:numPr>
                                    <w:ilvl w:val="0"/>
                                    <w:numId w:val="69"/>
                                  </w:numPr>
                                  <w:spacing w:before="0" w:beforeAutospacing="0" w:after="0" w:afterAutospacing="0"/>
                                  <w:ind w:left="142" w:hanging="142"/>
                                  <w:rPr>
                                    <w:rFonts w:asciiTheme="minorHAnsi" w:hAnsi="Calibri" w:cstheme="minorBidi"/>
                                    <w:iCs/>
                                    <w:color w:val="00B050"/>
                                    <w:kern w:val="24"/>
                                    <w:sz w:val="19"/>
                                    <w:szCs w:val="19"/>
                                  </w:rPr>
                                </w:pPr>
                                <w:r>
                                  <w:rPr>
                                    <w:rFonts w:asciiTheme="minorHAnsi" w:hAnsi="Calibri"/>
                                    <w:iCs/>
                                    <w:color w:val="00B050"/>
                                    <w:sz w:val="19"/>
                                    <w:szCs w:val="19"/>
                                  </w:rPr>
                                  <w:t>užtikrinti, kad iki 2030 m. mažiau nei kas penktas romų vaikas lankytų mokyklą, kurioje dauguma vaikų arba visi vaikai yra</w:t>
                                </w:r>
                                <w:r>
                                  <w:rPr>
                                    <w:color w:val="00B050"/>
                                    <w:sz w:val="19"/>
                                    <w:szCs w:val="19"/>
                                  </w:rPr>
                                  <w:t xml:space="preserve"> </w:t>
                                </w:r>
                                <w:r>
                                  <w:rPr>
                                    <w:rFonts w:asciiTheme="minorHAnsi" w:hAnsi="Calibri"/>
                                    <w:iCs/>
                                    <w:color w:val="00B050"/>
                                    <w:sz w:val="19"/>
                                    <w:szCs w:val="19"/>
                                  </w:rPr>
                                  <w:t>romai</w:t>
                                </w:r>
                              </w:p>
                              <w:p>
                                <w:pPr>
                                  <w:pStyle w:val="NormalWeb"/>
                                  <w:numPr>
                                    <w:ilvl w:val="0"/>
                                    <w:numId w:val="69"/>
                                  </w:numPr>
                                  <w:spacing w:before="0" w:beforeAutospacing="0" w:after="0" w:afterAutospacing="0"/>
                                  <w:ind w:left="142" w:hanging="142"/>
                                  <w:rPr>
                                    <w:rFonts w:asciiTheme="minorHAnsi" w:hAnsi="Calibri" w:cstheme="minorBidi"/>
                                    <w:iCs/>
                                    <w:color w:val="4F81BD" w:themeColor="accent1"/>
                                    <w:kern w:val="24"/>
                                    <w:sz w:val="19"/>
                                    <w:szCs w:val="19"/>
                                  </w:rPr>
                                </w:pPr>
                                <w:r>
                                  <w:rPr>
                                    <w:rFonts w:asciiTheme="minorHAnsi" w:hAnsi="Calibri"/>
                                    <w:i/>
                                    <w:iCs/>
                                    <w:color w:val="4F81BD" w:themeColor="accent1"/>
                                    <w:sz w:val="19"/>
                                    <w:szCs w:val="19"/>
                                  </w:rPr>
                                  <w:t>romų vaikai, lankantys mokyklas, kuriose dauguma vaikų arba visi vaikai yra romai – 44 proc.</w:t>
                                </w:r>
                              </w:p>
                            </w:txbxContent>
                          </wps:txbx>
                          <wps:bodyPr wrap="square" lIns="0" tIns="0" rIns="0" bIns="0" rtlCol="0" anchor="t" anchorCtr="0">
                            <a:noAutofit/>
                          </wps:bodyPr>
                        </wps:wsp>
                        <wps:wsp>
                          <wps:cNvPr id="60" name="Téglalap: lekerekített 29">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1A9B402D-0E17-46CA-94F4-392597DED615}"/>
                              </a:ext>
                            </a:extLst>
                          </wps:cNvPr>
                          <wps:cNvSpPr/>
                          <wps:spPr>
                            <a:xfrm>
                              <a:off x="2296632" y="212252"/>
                              <a:ext cx="2181723" cy="93041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Bent trečdaliu</w:t>
                                </w:r>
                                <w:r>
                                  <w:t xml:space="preserve"> </w:t>
                                </w:r>
                                <w:r>
                                  <w:br/>
                                </w:r>
                                <w:r>
                                  <w:rPr>
                                    <w:rFonts w:asciiTheme="minorHAnsi" w:hAnsi="Calibri"/>
                                    <w:b/>
                                    <w:bCs/>
                                    <w:color w:val="FF0000"/>
                                    <w:sz w:val="20"/>
                                    <w:szCs w:val="18"/>
                                  </w:rPr>
                                  <w:t>sumažinti įgyto vidurinio išsilavinimo skirtumą</w:t>
                                </w:r>
                              </w:p>
                              <w:p>
                                <w:pPr>
                                  <w:pStyle w:val="NormalWeb"/>
                                  <w:numPr>
                                    <w:ilvl w:val="0"/>
                                    <w:numId w:val="67"/>
                                  </w:numPr>
                                  <w:spacing w:before="0" w:beforeAutospacing="0" w:after="0" w:afterAutospacing="0"/>
                                  <w:ind w:left="142" w:hanging="142"/>
                                  <w:rPr>
                                    <w:rFonts w:asciiTheme="minorHAnsi" w:hAnsi="Calibri" w:cstheme="minorBidi"/>
                                    <w:iCs/>
                                    <w:color w:val="00B050"/>
                                    <w:kern w:val="24"/>
                                    <w:sz w:val="19"/>
                                    <w:szCs w:val="19"/>
                                  </w:rPr>
                                </w:pPr>
                                <w:r>
                                  <w:rPr>
                                    <w:rFonts w:asciiTheme="minorHAnsi" w:hAnsi="Calibri"/>
                                    <w:iCs/>
                                    <w:color w:val="00B050"/>
                                    <w:sz w:val="19"/>
                                    <w:szCs w:val="19"/>
                                  </w:rPr>
                                  <w:t>užtikrinti, kad iki 2030 m. dauguma romų jaunuolių įgytų bent vidurinį išsilavinimą</w:t>
                                </w:r>
                              </w:p>
                              <w:p>
                                <w:pPr>
                                  <w:pStyle w:val="NormalWeb"/>
                                  <w:numPr>
                                    <w:ilvl w:val="0"/>
                                    <w:numId w:val="68"/>
                                  </w:numPr>
                                  <w:spacing w:before="0" w:beforeAutospacing="0" w:after="0" w:afterAutospacing="0"/>
                                  <w:ind w:left="142" w:hanging="142"/>
                                  <w:rPr>
                                    <w:rFonts w:asciiTheme="minorHAnsi" w:hAnsi="Calibri" w:cstheme="minorBidi"/>
                                    <w:i/>
                                    <w:iCs/>
                                    <w:color w:val="4F81BD" w:themeColor="accent1"/>
                                    <w:kern w:val="24"/>
                                    <w:sz w:val="19"/>
                                    <w:szCs w:val="19"/>
                                  </w:rPr>
                                </w:pPr>
                                <w:r>
                                  <w:rPr>
                                    <w:rFonts w:asciiTheme="minorHAnsi" w:hAnsi="Calibri"/>
                                    <w:i/>
                                    <w:iCs/>
                                    <w:color w:val="4F81BD" w:themeColor="accent1"/>
                                    <w:sz w:val="19"/>
                                    <w:szCs w:val="19"/>
                                  </w:rPr>
                                  <w:t xml:space="preserve">įgytas vidurinis arba aukštesnis išsilavinimas: romai – 28 proc.; plačioji visuomenė – 83,5 proc. (55,5 procentinio punkto skirtumas) </w:t>
                                </w:r>
                              </w:p>
                            </w:txbxContent>
                          </wps:txbx>
                          <wps:bodyPr lIns="0" tIns="0" rIns="0" bIns="0" rtlCol="0" anchor="t" anchorCtr="0">
                            <a:noAutofit/>
                          </wps:bodyPr>
                        </wps:wsp>
                        <wps:wsp>
                          <wps:cNvPr id="61" name="Téglalap: lekerekített 30">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B07D791-3AD4-41EC-B399-D79128044621}"/>
                              </a:ext>
                            </a:extLst>
                          </wps:cNvPr>
                          <wps:cNvSpPr/>
                          <wps:spPr>
                            <a:xfrm>
                              <a:off x="2380143" y="4729857"/>
                              <a:ext cx="2054514" cy="787194"/>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Bent perpus sumažinti perpildyto būsto skirtumą</w:t>
                                </w:r>
                              </w:p>
                              <w:p>
                                <w:pPr>
                                  <w:pStyle w:val="NormalWeb"/>
                                  <w:numPr>
                                    <w:ilvl w:val="0"/>
                                    <w:numId w:val="75"/>
                                  </w:numPr>
                                  <w:spacing w:before="0" w:beforeAutospacing="0" w:after="0" w:afterAutospacing="0"/>
                                  <w:ind w:left="142" w:hanging="142"/>
                                  <w:rPr>
                                    <w:rFonts w:asciiTheme="minorHAnsi" w:hAnsi="Calibri" w:cstheme="minorBidi"/>
                                    <w:i/>
                                    <w:iCs/>
                                    <w:color w:val="00B050"/>
                                    <w:kern w:val="24"/>
                                    <w:sz w:val="19"/>
                                    <w:szCs w:val="19"/>
                                  </w:rPr>
                                </w:pPr>
                                <w:r>
                                  <w:rPr>
                                    <w:rFonts w:asciiTheme="minorHAnsi" w:hAnsi="Calibri"/>
                                    <w:bCs/>
                                    <w:color w:val="00B050"/>
                                    <w:sz w:val="19"/>
                                    <w:szCs w:val="19"/>
                                  </w:rPr>
                                  <w:t>užtikrinti, kad iki 2030 m. dauguma romų nebegyventų perpildytuose namų ūkiuose</w:t>
                                </w:r>
                              </w:p>
                              <w:p>
                                <w:pPr>
                                  <w:pStyle w:val="NormalWeb"/>
                                  <w:numPr>
                                    <w:ilvl w:val="0"/>
                                    <w:numId w:val="75"/>
                                  </w:numPr>
                                  <w:spacing w:before="0" w:beforeAutospacing="0" w:after="0" w:afterAutospacing="0"/>
                                  <w:ind w:left="142" w:hanging="142"/>
                                  <w:rPr>
                                    <w:rFonts w:asciiTheme="minorHAnsi" w:hAnsi="Calibri" w:cstheme="minorBidi"/>
                                    <w:i/>
                                    <w:iCs/>
                                    <w:color w:val="4F81BD" w:themeColor="accent1"/>
                                    <w:kern w:val="24"/>
                                    <w:sz w:val="19"/>
                                    <w:szCs w:val="19"/>
                                  </w:rPr>
                                </w:pPr>
                                <w:r>
                                  <w:rPr>
                                    <w:rFonts w:asciiTheme="minorHAnsi" w:hAnsi="Calibri"/>
                                    <w:i/>
                                    <w:iCs/>
                                    <w:color w:val="4F81BD" w:themeColor="accent1"/>
                                    <w:sz w:val="19"/>
                                    <w:szCs w:val="19"/>
                                  </w:rPr>
                                  <w:t>perpildytas būstas: romai – 78 proc.; plačioji visuomenė – 17,1 proc. (60,9 procentinio punkto skirtumas)</w:t>
                                </w:r>
                              </w:p>
                            </w:txbxContent>
                          </wps:txbx>
                          <wps:bodyPr wrap="square" lIns="0" tIns="0" rIns="0" bIns="0" rtlCol="0" anchor="t" anchorCtr="0">
                            <a:noAutofit/>
                          </wps:bodyPr>
                        </wps:wsp>
                      </wpg:grpSp>
                      <wps:wsp>
                        <wps:cNvPr id="62" name="Téglalap 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B06E6CC-9EE4-499F-880E-972D98319E10}"/>
                            </a:ext>
                          </a:extLst>
                        </wps:cNvPr>
                        <wps:cNvSpPr/>
                        <wps:spPr>
                          <a:xfrm>
                            <a:off x="0" y="0"/>
                            <a:ext cx="6248400" cy="365760"/>
                          </a:xfrm>
                          <a:prstGeom prst="rect">
                            <a:avLst/>
                          </a:prstGeom>
                        </wps:spPr>
                        <wps:txbx>
                          <w:txbxContent>
                            <w:p>
                              <w:pPr>
                                <w:pStyle w:val="NormalWeb"/>
                                <w:spacing w:before="0" w:beforeAutospacing="0" w:after="0" w:afterAutospacing="0"/>
                                <w:jc w:val="center"/>
                                <w:rPr>
                                  <w:rFonts w:eastAsia="Calibri" w:cstheme="minorBidi"/>
                                  <w:bCs/>
                                  <w:smallCaps/>
                                  <w:color w:val="4F81BD" w:themeColor="accent1"/>
                                  <w:kern w:val="24"/>
                                  <w:szCs w:val="28"/>
                                </w:rPr>
                              </w:pPr>
                              <w:r>
                                <w:rPr>
                                  <w:b/>
                                  <w:bCs/>
                                  <w:smallCaps/>
                                  <w:color w:val="4F81BD" w:themeColor="accent1"/>
                                  <w:szCs w:val="28"/>
                                </w:rPr>
                                <w:t xml:space="preserve">Sektorių tikslai </w:t>
                              </w:r>
                            </w:p>
                          </w:txbxContent>
                        </wps:txbx>
                        <wps:bodyPr wrap="square">
                          <a:noAutofit/>
                        </wps:bodyPr>
                      </wps:wsp>
                    </wpg:wgp>
                  </a:graphicData>
                </a:graphic>
                <wp14:sizeRelV relativeFrom="margin">
                  <wp14:pctHeight>0</wp14:pctHeight>
                </wp14:sizeRelV>
              </wp:anchor>
            </w:drawing>
          </mc:Choice>
          <mc:Fallback>
            <w:pict>
              <v:group id="Group 45" o:spid="_x0000_s1039" style="position:absolute;left:0;text-align:left;margin-left:0;margin-top:7.7pt;width:492pt;height:566.25pt;z-index:252189184;mso-position-horizontal-relative:margin;mso-height-relative:margin" coordsize="62484,802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">
                <v:group id="Group 46" o:spid="_x0000_s1040" style="position:absolute;left:511;top:2725;width:61172;height:77550" coordorigin="-243,-1092" coordsize="45524,609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ivQ6MQAAADbAAAADwAAAGRycy9kb3ducmV2LnhtbESPT4vCMBTE74LfITzB&#10;m6bVXVm6RhFR8SAL/oFlb4/m2Rabl9LEtn77jSB4HGbmN8x82ZlSNFS7wrKCeByBIE6tLjhTcDlv&#10;R18gnEfWWFomBQ9ysFz0e3NMtG35SM3JZyJA2CWoIPe+SqR0aU4G3dhWxMG72tqgD7LOpK6xDXBT&#10;ykkUzaTBgsNCjhWtc0pvp7tRsGuxXU3jTXO4XdePv/Pnz+8hJqWGg271DcJT59/hV3uvFXzM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ivQ6MQAAADbAAAA&#10;DwAAAAAAAAAAAAAAAACqAgAAZHJzL2Rvd25yZXYueG1sUEsFBgAAAAAEAAQA+gAAAJsDAAAAAA==&#10;">
                  <v:roundrect id="Téglalap: lekerekített 7" o:spid="_x0000_s1041" style="position:absolute;top:35502;width:45281;height:802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9bJ8UA&#10;AADbAAAADwAAAGRycy9kb3ducmV2LnhtbESPT2sCMRTE7wW/Q3iCt5pVi8pqFC0t9NTiv4O3x+a5&#10;Wd28LEnqbvvpm0Khx2FmfsMs152txZ18qBwrGA0zEMSF0xWXCo6H18c5iBCRNdaOScEXBViveg9L&#10;zLVreUf3fSxFgnDIUYGJscmlDIUhi2HoGuLkXZy3GJP0pdQe2wS3tRxn2VRarDgtGGzo2VBx239a&#10;Bddwnn6YduLP75t5dTp0u+z7ZavUoN9tFiAidfE//Nd+0wqeZvD7Jf0Au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n1snxQAAANsAAAAPAAAAAAAAAAAAAAAAAJgCAABkcnMv&#10;ZG93bnJldi54bWxQSwUGAAAAAAQABAD1AAAAigMAAAAA&#10;" fillcolor="#e4e4e4" strokecolor="#243f60 [1604]" strokeweight="2pt">
                    <v:textbox inset="0,0,0,0">
                      <w:txbxContent>
                        <w:p>
                          <w:pPr>
                            <w:pStyle w:val="NormalWeb"/>
                            <w:spacing w:before="0" w:beforeAutospacing="0" w:after="0" w:afterAutospacing="0"/>
                            <w:jc w:val="center"/>
                            <w:rPr>
                              <w:sz w:val="20"/>
                            </w:rPr>
                          </w:pPr>
                          <w:r>
                            <w:rPr>
                              <w:rFonts w:asciiTheme="minorHAnsi" w:hAnsi="Calibri"/>
                              <w:b/>
                              <w:bCs/>
                              <w:i/>
                              <w:iCs/>
                              <w:color w:val="4F81BD" w:themeColor="accent1"/>
                              <w:szCs w:val="32"/>
                            </w:rPr>
                            <w:t>6. Gerinti romų sveikatą ir suteikti jiems daugiau veiksmingų vienodų galimybių naudotis kokybiškomis sveikatos priežiūros ir socialinėmis paslaugomis</w:t>
                          </w:r>
                        </w:p>
                      </w:txbxContent>
                    </v:textbox>
                  </v:roundrect>
                  <v:roundrect id="Téglalap: lekerekített 9" o:spid="_x0000_s1042" style="position:absolute;left:979;top:38040;width:42994;height:496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uBDsAA&#10;AADbAAAADwAAAGRycy9kb3ducmV2LnhtbERPyWrDMBC9B/oPYgK9hFpOSU3qWjYhpZBr0l5ym1rj&#10;hVgj15KX/n11CPT4eHtWLKYTEw2utaxgG8UgiEurW64VfH1+PO1BOI+ssbNMCn7JQZE/rDJMtZ35&#10;TNPF1yKEsEtRQeN9n0rpyoYMusj2xIGr7GDQBzjUUg84h3DTyec4TqTBlkNDgz0dGypvl9EoeK3n&#10;Cqfx++W6OZbv3RgjJtOPUo/r5fAGwtPi/8V390kr2IWx4Uv4ATL/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XuBDsAAAADbAAAADwAAAAAAAAAAAAAAAACYAgAAZHJzL2Rvd25y&#10;ZXYueG1sUEsFBgAAAAAEAAQA9QAAAIUDA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Bent perpus sumažinti tikėtinos gyvenimo trukmės skirtumą</w:t>
                          </w:r>
                        </w:p>
                        <w:p>
                          <w:pPr>
                            <w:pStyle w:val="NormalWeb"/>
                            <w:numPr>
                              <w:ilvl w:val="0"/>
                              <w:numId w:val="73"/>
                            </w:numPr>
                            <w:spacing w:before="0" w:beforeAutospacing="0" w:after="0" w:afterAutospacing="0"/>
                            <w:ind w:left="142" w:hanging="142"/>
                            <w:rPr>
                              <w:color w:val="00B050"/>
                              <w:sz w:val="20"/>
                              <w:szCs w:val="18"/>
                            </w:rPr>
                          </w:pPr>
                          <w:r>
                            <w:rPr>
                              <w:sz w:val="20"/>
                              <w:szCs w:val="18"/>
                            </w:rPr>
                            <w:t xml:space="preserve"> </w:t>
                          </w:r>
                          <w:r>
                            <w:rPr>
                              <w:color w:val="00B050"/>
                              <w:sz w:val="20"/>
                              <w:szCs w:val="18"/>
                            </w:rPr>
                            <w:t>užtikrinti, kad iki 2030 m. romų tautybės moterys ir vyrai gyventų 5 metais ilgiau</w:t>
                          </w:r>
                        </w:p>
                        <w:p>
                          <w:pPr>
                            <w:pStyle w:val="NormalWeb"/>
                            <w:numPr>
                              <w:ilvl w:val="0"/>
                              <w:numId w:val="73"/>
                            </w:numPr>
                            <w:spacing w:before="0" w:beforeAutospacing="0" w:after="0" w:afterAutospacing="0"/>
                            <w:ind w:left="142" w:hanging="142"/>
                            <w:rPr>
                              <w:color w:val="4F81BD" w:themeColor="accent1"/>
                              <w:sz w:val="20"/>
                              <w:szCs w:val="18"/>
                            </w:rPr>
                          </w:pPr>
                          <w:r>
                            <w:rPr>
                              <w:rFonts w:asciiTheme="minorHAnsi" w:hAnsi="Calibri"/>
                              <w:i/>
                              <w:iCs/>
                              <w:color w:val="4F81BD" w:themeColor="accent1"/>
                              <w:sz w:val="20"/>
                              <w:szCs w:val="18"/>
                            </w:rPr>
                            <w:t>tikėtinos gyvenimo trukmės nuo gimimo skirtumas (plačioji visuomenė ir romai): romų tautybės moterys – 10,4 m.; romų tautybės vyrai – 10,2 m.</w:t>
                          </w:r>
                        </w:p>
                      </w:txbxContent>
                    </v:textbox>
                  </v:roundrect>
                  <v:roundrect id="Téglalap: lekerekített 13" o:spid="_x0000_s1043" style="position:absolute;top:18996;width:45281;height:158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9VjsMA&#10;AADbAAAADwAAAGRycy9kb3ducmV2LnhtbERPTWvCMBi+C/6H8AreNJ2iSNdU3HCwk8OPHby9NO+a&#10;bs2bkmS2269fDgOPD893sR1sK27kQ+NYwcM8A0FcOd1wreByfpltQISIrLF1TAp+KMC2HI8KzLXr&#10;+Ui3U6xFCuGQowITY5dLGSpDFsPcdcSJ+3DeYkzQ11J77FO4beUiy9bSYsOpwWBHz4aqr9O3VfAZ&#10;rus30y/99bDbNO/n4Zj97p+Umk6G3SOISEO8i//dr1rBKq1PX9IPkO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69VjsMAAADbAAAADwAAAAAAAAAAAAAAAACYAgAAZHJzL2Rv&#10;d25yZXYueG1sUEsFBgAAAAAEAAQA9QAAAIgDAAAAAA==&#10;" fillcolor="#e4e4e4" strokecolor="#243f60 [1604]" strokeweight="2pt">
                    <v:textbox inset="0,0,0,0">
                      <w:txbxContent>
                        <w:p>
                          <w:pPr>
                            <w:pStyle w:val="NormalWeb"/>
                            <w:spacing w:before="0" w:beforeAutospacing="0" w:after="0" w:afterAutospacing="0"/>
                            <w:jc w:val="center"/>
                            <w:rPr>
                              <w:szCs w:val="22"/>
                            </w:rPr>
                          </w:pPr>
                          <w:r>
                            <w:rPr>
                              <w:rFonts w:asciiTheme="minorHAnsi" w:hAnsi="Calibri"/>
                              <w:b/>
                              <w:bCs/>
                              <w:i/>
                              <w:iCs/>
                              <w:color w:val="4F81BD" w:themeColor="accent1"/>
                              <w:szCs w:val="22"/>
                            </w:rPr>
                            <w:t>5. Veiksmingiau užtikrinti vienodas galimybes gauti kokybišką ir tvarų darbą</w:t>
                          </w:r>
                        </w:p>
                      </w:txbxContent>
                    </v:textbox>
                  </v:roundrect>
                  <v:roundrect id="Téglalap: lekerekített 14" o:spid="_x0000_s1044" style="position:absolute;left:713;top:21997;width:17377;height:754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i+TsMA&#10;AADbAAAADwAAAGRycy9kb3ducmV2LnhtbESPT2vCQBTE7wW/w/KEXopuUjBodA2iCF6b9tLbM/tM&#10;gtm3Mbv547fvFgo9DjPzG2aXTaYRA3WutqwgXkYgiAuray4VfH2eF2sQziNrbCyTgic5yPazlx2m&#10;2o78QUPuSxEg7FJUUHnfplK6oiKDbmlb4uDdbGfQB9mVUnc4Brhp5HsUJdJgzWGhwpaOFRX3vDcK&#10;NuV4w6G/rr7fjsWp6SPEZHgo9TqfDlsQnib/H/5rX7SCVQy/X8IPkP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i+TsMAAADbAAAADwAAAAAAAAAAAAAAAACYAgAAZHJzL2Rv&#10;d25yZXYueG1sUEsFBgAAAAAEAAQA9QAAAIgDA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Bent perpus sumažinti užimtumo skirtumą</w:t>
                          </w:r>
                        </w:p>
                        <w:p>
                          <w:pPr>
                            <w:pStyle w:val="NormalWeb"/>
                            <w:numPr>
                              <w:ilvl w:val="0"/>
                              <w:numId w:val="70"/>
                            </w:numPr>
                            <w:spacing w:before="0" w:beforeAutospacing="0" w:after="0" w:afterAutospacing="0"/>
                            <w:ind w:left="142" w:hanging="142"/>
                            <w:rPr>
                              <w:color w:val="00B050"/>
                              <w:sz w:val="19"/>
                              <w:szCs w:val="19"/>
                            </w:rPr>
                          </w:pPr>
                          <w:r>
                            <w:rPr>
                              <w:color w:val="00B050"/>
                              <w:sz w:val="19"/>
                              <w:szCs w:val="19"/>
                            </w:rPr>
                            <w:t>užtikrinti, kad iki 2030 m. bent 60 proc. romų turėtų apmokamą darbą</w:t>
                          </w:r>
                        </w:p>
                        <w:p>
                          <w:pPr>
                            <w:pStyle w:val="NormalWeb"/>
                            <w:numPr>
                              <w:ilvl w:val="0"/>
                              <w:numId w:val="70"/>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apmokamas darbas: romai – 43 proc.; plačioji visuomenė – 73,1 proc. (30,1 procentinio punkto skirtumas)</w:t>
                          </w:r>
                        </w:p>
                      </w:txbxContent>
                    </v:textbox>
                  </v:roundrect>
                  <v:roundrect id="Téglalap: lekerekített 15" o:spid="_x0000_s1045" style="position:absolute;left:18487;top:21997;width:26551;height:720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ogOcMA&#10;AADbAAAADwAAAGRycy9kb3ducmV2LnhtbESPS2vDMBCE74H+B7GFXEIt1+DQOpZDSQnkmrSX3rbW&#10;+kGslWvJj/z7qFDocZiZb5h8v5hOTDS41rKC5ygGQVxa3XKt4PPj+PQCwnlkjZ1lUnAjB/viYZVj&#10;pu3MZ5ouvhYBwi5DBY33fSalKxsy6CLbEwevsoNBH+RQSz3gHOCmk0kcb6XBlsNCgz0dGiqvl9Eo&#10;eK3nCqfxO/3aHMr3bowRt9OPUuvH5W0HwtPi/8N/7ZNWkCbw+yX8AFn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UogOcMAAADbAAAADwAAAAAAAAAAAAAAAACYAgAAZHJzL2Rv&#10;d25yZXYueG1sUEsFBgAAAAAEAAQA9QAAAIgDA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 xml:space="preserve">Bent perpus sumažinti romų lyčių užimtumo lygio skirtumą </w:t>
                          </w:r>
                        </w:p>
                        <w:p>
                          <w:pPr>
                            <w:pStyle w:val="NormalWeb"/>
                            <w:numPr>
                              <w:ilvl w:val="0"/>
                              <w:numId w:val="71"/>
                            </w:numPr>
                            <w:spacing w:before="0" w:beforeAutospacing="0" w:after="0" w:afterAutospacing="0"/>
                            <w:ind w:left="142" w:hanging="142"/>
                            <w:rPr>
                              <w:color w:val="00B050"/>
                              <w:sz w:val="19"/>
                              <w:szCs w:val="19"/>
                            </w:rPr>
                          </w:pPr>
                          <w:r>
                            <w:rPr>
                              <w:color w:val="00B050"/>
                              <w:sz w:val="19"/>
                              <w:szCs w:val="19"/>
                            </w:rPr>
                            <w:t>užtikrinti, kad iki 2030 m. bent 45 proc. romų tautybės moterų turėtų apmokamą darbą</w:t>
                          </w:r>
                        </w:p>
                        <w:p>
                          <w:pPr>
                            <w:pStyle w:val="NormalWeb"/>
                            <w:numPr>
                              <w:ilvl w:val="0"/>
                              <w:numId w:val="71"/>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lyčių užimtumo skirtumas: romai: 27 procentiniai punktai (moterys – 29 proc., vyrai – 56 proc.); plačiosios visuomenės skirtumas: 11,7 procentinio punkto (moterys – 67,2 proc., vyrai – 78,9 proc.)</w:t>
                          </w:r>
                        </w:p>
                      </w:txbxContent>
                    </v:textbox>
                  </v:roundrect>
                  <v:roundrect id="Téglalap: lekerekített 16" o:spid="_x0000_s1046" style="position:absolute;left:3572;top:29771;width:39810;height:478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aFosMA&#10;AADbAAAADwAAAGRycy9kb3ducmV2LnhtbESPT2vCQBTE7wW/w/IEL0U3tUQ0uoYSEXpt2ou3Z/aZ&#10;BLNvY3bzp9++Wyj0OMzMb5hDOplGDNS52rKCl1UEgriwuuZSwdfnebkF4TyyxsYyKfgmB+lx9nTA&#10;RNuRP2jIfSkChF2CCirv20RKV1Rk0K1sSxy8m+0M+iC7UuoOxwA3jVxH0UYarDksVNhSVlFxz3uj&#10;YFeONxz6a3x5zopT00eIm+Gh1GI+ve1BeJr8f/iv/a4VxK/w+yX8AH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gaFosMAAADbAAAADwAAAAAAAAAAAAAAAACYAgAAZHJzL2Rv&#10;d25yZXYueG1sUEsFBgAAAAAEAAQA9QAAAIgDA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 xml:space="preserve">Bent perpus sumažinti NEET lygio skirtumą </w:t>
                          </w:r>
                        </w:p>
                        <w:p>
                          <w:pPr>
                            <w:pStyle w:val="NormalWeb"/>
                            <w:numPr>
                              <w:ilvl w:val="0"/>
                              <w:numId w:val="72"/>
                            </w:numPr>
                            <w:spacing w:before="0" w:beforeAutospacing="0" w:after="0" w:afterAutospacing="0"/>
                            <w:ind w:left="142" w:hanging="142"/>
                            <w:rPr>
                              <w:color w:val="00B050"/>
                              <w:sz w:val="19"/>
                              <w:szCs w:val="19"/>
                            </w:rPr>
                          </w:pPr>
                          <w:r>
                            <w:rPr>
                              <w:color w:val="00B050"/>
                              <w:sz w:val="19"/>
                              <w:szCs w:val="19"/>
                            </w:rPr>
                            <w:t>užtikrinti, kad iki 2030 m. nesimokytų ir nedirbtų mažiau nei kas trečias romų jaunuolis</w:t>
                          </w:r>
                        </w:p>
                        <w:p>
                          <w:pPr>
                            <w:pStyle w:val="NormalWeb"/>
                            <w:numPr>
                              <w:ilvl w:val="0"/>
                              <w:numId w:val="72"/>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NEET dalis (16–24 m.): romai – 62 proc.; plačioji visuomenė – 10,1 proc. (51,9 procentinio punkto skirtumas)</w:t>
                          </w:r>
                        </w:p>
                      </w:txbxContent>
                    </v:textbox>
                  </v:roundrect>
                  <v:roundrect id="Téglalap: lekerekített 21" o:spid="_x0000_s1047" style="position:absolute;left:-243;top:44307;width:45281;height:1558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RTjcUA&#10;AADbAAAADwAAAGRycy9kb3ducmV2LnhtbESPQWsCMRSE7wX/Q3hCbzWrrSKrUVQqeKqo7cHbY/Pc&#10;bLt5WZLU3fbXG6HQ4zAz3zDzZWdrcSUfKscKhoMMBHHhdMWlgvfT9mkKIkRkjbVjUvBDAZaL3sMc&#10;c+1aPtD1GEuRIBxyVGBibHIpQ2HIYhi4hjh5F+ctxiR9KbXHNsFtLUdZNpEWK04LBhvaGCq+jt9W&#10;wWc4T/amffbnt9W0+jh1h+z3da3UY79bzUBE6uJ/+K+90wrGL3D/kn6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lFONxQAAANsAAAAPAAAAAAAAAAAAAAAAAJgCAABkcnMv&#10;ZG93bnJldi54bWxQSwUGAAAAAAQABAD1AAAAigMAAAAA&#10;" fillcolor="#e4e4e4" strokecolor="#243f60 [1604]" strokeweight="2pt">
                    <v:textbox inset="0,0,0,0">
                      <w:txbxContent>
                        <w:p>
                          <w:pPr>
                            <w:pStyle w:val="NormalWeb"/>
                            <w:spacing w:before="0" w:beforeAutospacing="0" w:after="0" w:afterAutospacing="0"/>
                            <w:jc w:val="center"/>
                            <w:rPr>
                              <w:color w:val="4F81BD" w:themeColor="accent1"/>
                              <w:szCs w:val="22"/>
                            </w:rPr>
                          </w:pPr>
                          <w:r>
                            <w:rPr>
                              <w:rFonts w:asciiTheme="minorHAnsi" w:hAnsi="Calibri"/>
                              <w:b/>
                              <w:bCs/>
                              <w:i/>
                              <w:iCs/>
                              <w:color w:val="4F81BD" w:themeColor="accent1"/>
                              <w:szCs w:val="22"/>
                            </w:rPr>
                            <w:t>7. Suteikti daugiau veiksmingų vienodų galimybių gauti tinkamą atskirą būstą ir naudotis esminėmis paslaugomis</w:t>
                          </w:r>
                        </w:p>
                      </w:txbxContent>
                    </v:textbox>
                  </v:roundrect>
                  <v:roundrect id="Téglalap: lekerekített 22" o:spid="_x0000_s1048" style="position:absolute;left:389;top:47298;width:23047;height:773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O4TcMA&#10;AADbAAAADwAAAGRycy9kb3ducmV2LnhtbESPT2vCQBTE70K/w/IKXqTZVIjYNKsURfCq9eLtNfvc&#10;hGbfptnNH7+9Wyj0OMzMb5hiO9lGDNT52rGC1yQFQVw6XbNRcPk8vKxB+ICssXFMCu7kYbt5mhWY&#10;azfyiYZzMCJC2OeooAqhzaX0ZUUWfeJa4ujdXGcxRNkZqTscI9w2cpmmK2mx5rhQYUu7isrvc28V&#10;vJnxhkP/lV0Xu3Lf9CniavhRav48fbyDCDSF//Bf+6gVZBn8fok/QG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qO4TcMAAADbAAAADwAAAAAAAAAAAAAAAACYAgAAZHJzL2Rv&#10;d25yZXYueG1sUEsFBgAAAAAEAAQA9QAAAIgDA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 xml:space="preserve">Bent trečdaliu sumažinti prastų būsto sąlygų skirtumą </w:t>
                          </w:r>
                        </w:p>
                        <w:p>
                          <w:pPr>
                            <w:pStyle w:val="NormalWeb"/>
                            <w:numPr>
                              <w:ilvl w:val="0"/>
                              <w:numId w:val="73"/>
                            </w:numPr>
                            <w:spacing w:before="0" w:beforeAutospacing="0" w:after="0" w:afterAutospacing="0"/>
                            <w:ind w:left="142" w:hanging="142"/>
                            <w:rPr>
                              <w:color w:val="00B050"/>
                              <w:sz w:val="19"/>
                              <w:szCs w:val="19"/>
                            </w:rPr>
                          </w:pPr>
                          <w:r>
                            <w:rPr>
                              <w:color w:val="00B050"/>
                              <w:sz w:val="19"/>
                              <w:szCs w:val="19"/>
                            </w:rPr>
                            <w:t>užtikrinti, kad iki 2030 m. dauguma romų išvengtų prastų būsto sąlygų</w:t>
                          </w:r>
                        </w:p>
                        <w:p>
                          <w:pPr>
                            <w:pStyle w:val="NormalWeb"/>
                            <w:numPr>
                              <w:ilvl w:val="0"/>
                              <w:numId w:val="73"/>
                            </w:numPr>
                            <w:spacing w:before="0" w:beforeAutospacing="0" w:after="0" w:afterAutospacing="0"/>
                            <w:ind w:left="142" w:hanging="142"/>
                            <w:rPr>
                              <w:color w:val="4F81BD" w:themeColor="accent1"/>
                              <w:sz w:val="19"/>
                              <w:szCs w:val="19"/>
                            </w:rPr>
                          </w:pPr>
                          <w:r>
                            <w:rPr>
                              <w:rFonts w:asciiTheme="minorHAnsi" w:hAnsi="Calibri"/>
                              <w:i/>
                              <w:iCs/>
                              <w:color w:val="4F81BD" w:themeColor="accent1"/>
                              <w:sz w:val="19"/>
                              <w:szCs w:val="19"/>
                            </w:rPr>
                            <w:t>prastos būsto sąlygos: romai – 61 proc.; plačioji visuomenė – 17,9 proc. (43,1 procentinio punkto skirtumas)</w:t>
                          </w:r>
                        </w:p>
                      </w:txbxContent>
                    </v:textbox>
                  </v:roundrect>
                  <v:roundrect id="Téglalap: lekerekített 25" o:spid="_x0000_s1049" style="position:absolute;top:-1092;width:45281;height:2066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poYcUA&#10;AADbAAAADwAAAGRycy9kb3ducmV2LnhtbESPT2sCMRTE74LfITyhN83a0kW2RlGp0FOLf3rw9ti8&#10;brZuXpYkutt++qYgeBxm5jfMfNnbRlzJh9qxgukkA0FcOl1zpeB42I5nIEJE1tg4JgU/FGC5GA7m&#10;WGjX8Y6u+1iJBOFQoAITY1tIGUpDFsPEtcTJ+3LeYkzSV1J77BLcNvIxy3Jpsea0YLCljaHyvL9Y&#10;Bd/hlH+Y7smf3lez+vPQ77Lf17VSD6N+9QIiUh/v4Vv7TSt4zuH/S/oB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CmhhxQAAANsAAAAPAAAAAAAAAAAAAAAAAJgCAABkcnMv&#10;ZG93bnJldi54bWxQSwUGAAAAAAQABAD1AAAAigMAAAAA&#10;" fillcolor="#e4e4e4" strokecolor="#243f60 [1604]" strokeweight="2pt">
                    <v:textbox inset="0,0,0,0">
                      <w:txbxContent>
                        <w:p>
                          <w:pPr>
                            <w:pStyle w:val="NormalWeb"/>
                            <w:spacing w:before="0" w:beforeAutospacing="0" w:after="0" w:afterAutospacing="0"/>
                            <w:jc w:val="center"/>
                            <w:rPr>
                              <w:szCs w:val="22"/>
                            </w:rPr>
                          </w:pPr>
                          <w:r>
                            <w:rPr>
                              <w:rFonts w:asciiTheme="minorHAnsi" w:hAnsi="Calibri"/>
                              <w:b/>
                              <w:bCs/>
                              <w:i/>
                              <w:iCs/>
                              <w:color w:val="4F81BD" w:themeColor="accent1"/>
                              <w:szCs w:val="22"/>
                            </w:rPr>
                            <w:t>4.  Suteikti daugiau veiksmingų vienodų galimybių įgyti kokybišką įtraukų bendrąjį išsilavinimą</w:t>
                          </w:r>
                        </w:p>
                      </w:txbxContent>
                    </v:textbox>
                  </v:roundrect>
                  <v:roundrect id="Téglalap: lekerekített 24" o:spid="_x0000_s1050" style="position:absolute;left:8810;top:55550;width:29695;height:3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2DocMA&#10;AADbAAAADwAAAGRycy9kb3ducmV2LnhtbESPzWvCQBTE74L/w/IEL1I3CrE1zSolIvRa9dLbM/vy&#10;QbNv0+zmw/++Wyj0OMzMb5j0OJlGDNS52rKCzToCQZxbXXOp4HY9P72AcB5ZY2OZFDzIwfEwn6WY&#10;aDvyBw0XX4oAYZeggsr7NpHS5RUZdGvbEgevsJ1BH2RXSt3hGOCmkdso2kmDNYeFClvKKsq/Lr1R&#10;sC/HAof+Hn+usvzU9BHibvhWarmY3l5BeJr8f/iv/a4VxM/w+yX8AHn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T2DocMAAADbAAAADwAAAAAAAAAAAAAAAACYAgAAZHJzL2Rv&#10;d25yZXYueG1sUEsFBgAAAAAEAAQA9QAAAIgDA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Užtikrinti, kad bent 95 proc. romų galėtų naudotis vandentiekio vandeniu</w:t>
                          </w:r>
                        </w:p>
                        <w:p>
                          <w:pPr>
                            <w:pStyle w:val="NormalWeb"/>
                            <w:numPr>
                              <w:ilvl w:val="0"/>
                              <w:numId w:val="72"/>
                            </w:numPr>
                            <w:spacing w:before="0" w:beforeAutospacing="0" w:after="0" w:afterAutospacing="0"/>
                            <w:ind w:left="142" w:hanging="142"/>
                            <w:rPr>
                              <w:sz w:val="19"/>
                              <w:szCs w:val="19"/>
                            </w:rPr>
                          </w:pPr>
                          <w:r>
                            <w:rPr>
                              <w:rFonts w:asciiTheme="minorHAnsi" w:hAnsi="Calibri"/>
                              <w:i/>
                              <w:iCs/>
                              <w:color w:val="4F81BD" w:themeColor="accent1"/>
                              <w:sz w:val="19"/>
                              <w:szCs w:val="19"/>
                            </w:rPr>
                            <w:t>galimybė būste naudotis vandentiekio vandeniu: romai – 70 proc., plačioji visuomenė – 97,7 proc.</w:t>
                          </w:r>
                        </w:p>
                      </w:txbxContent>
                    </v:textbox>
                  </v:roundrect>
                  <v:roundrect id="Téglalap: lekerekített 26" o:spid="_x0000_s1051" style="position:absolute;left:389;top:2122;width:22151;height:930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IX074A&#10;AADbAAAADwAAAGRycy9kb3ducmV2LnhtbERPyYoCMRC9C/5DKMGLaHoERVujiIMwV5eLt7JTvWCn&#10;0nbSi38/OQgeH2/f7ntTipZqV1hW8DOLQBAnVhecKbhdT9MVCOeRNZaWScGbHOx3w8EWY207PlN7&#10;8ZkIIexiVJB7X8VSuiQng25mK+LApbY26AOsM6lr7EK4KeU8ipbSYMGhIceKjjklz0tjFKyzLsW2&#10;eSzuk2PyWzYR4rJ9KTUe9YcNCE+9/4o/7j+tYBHGhi/hB8jd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iiF9O+AAAA2wAAAA8AAAAAAAAAAAAAAAAAmAIAAGRycy9kb3ducmV2&#10;LnhtbFBLBQYAAAAABAAEAPUAAACDAwAAAAA=&#10;" fillcolor="white [3212]" strokecolor="#243f60 [1604]" strokeweight="2pt">
                    <v:textbox inset="0,0,0,0">
                      <w:txbxContent>
                        <w:p>
                          <w:pPr>
                            <w:pStyle w:val="NormalWeb"/>
                            <w:spacing w:before="0" w:beforeAutospacing="0" w:after="0" w:afterAutospacing="0"/>
                            <w:jc w:val="center"/>
                            <w:rPr>
                              <w:rFonts w:asciiTheme="minorHAnsi" w:hAnsi="Calibri" w:cstheme="minorBidi"/>
                              <w:b/>
                              <w:bCs/>
                              <w:color w:val="4F81BD" w:themeColor="accent1"/>
                              <w:kern w:val="24"/>
                              <w:sz w:val="20"/>
                              <w:szCs w:val="18"/>
                            </w:rPr>
                          </w:pPr>
                          <w:r>
                            <w:rPr>
                              <w:rFonts w:asciiTheme="minorHAnsi" w:hAnsi="Calibri"/>
                              <w:b/>
                              <w:bCs/>
                              <w:color w:val="FF0000"/>
                              <w:sz w:val="20"/>
                              <w:szCs w:val="18"/>
                            </w:rPr>
                            <w:t xml:space="preserve">Bent perpus sumažinti dalyvavimo ikimokyklinio ugdymo ir priežiūros programose skirtumą </w:t>
                          </w:r>
                        </w:p>
                        <w:p>
                          <w:pPr>
                            <w:pStyle w:val="NormalWeb"/>
                            <w:numPr>
                              <w:ilvl w:val="0"/>
                              <w:numId w:val="67"/>
                            </w:numPr>
                            <w:spacing w:before="0" w:beforeAutospacing="0" w:after="0" w:afterAutospacing="0"/>
                            <w:ind w:left="142" w:hanging="142"/>
                            <w:rPr>
                              <w:rFonts w:asciiTheme="minorHAnsi" w:hAnsi="Calibri" w:cstheme="minorBidi"/>
                              <w:bCs/>
                              <w:color w:val="00B050"/>
                              <w:kern w:val="24"/>
                              <w:sz w:val="19"/>
                              <w:szCs w:val="19"/>
                            </w:rPr>
                          </w:pPr>
                          <w:r>
                            <w:rPr>
                              <w:rFonts w:asciiTheme="minorHAnsi" w:hAnsi="Calibri"/>
                              <w:bCs/>
                              <w:color w:val="00B050"/>
                              <w:sz w:val="19"/>
                              <w:szCs w:val="19"/>
                            </w:rPr>
                            <w:t>užtikrinti, kad iki 2030 m. bent 70 proc. romų vaikų dalyvautų priešmokyklinio ugdymo programose</w:t>
                          </w:r>
                        </w:p>
                        <w:p>
                          <w:pPr>
                            <w:pStyle w:val="NormalWeb"/>
                            <w:numPr>
                              <w:ilvl w:val="0"/>
                              <w:numId w:val="67"/>
                            </w:numPr>
                            <w:spacing w:before="0" w:beforeAutospacing="0" w:after="0" w:afterAutospacing="0"/>
                            <w:ind w:left="142" w:hanging="142"/>
                            <w:rPr>
                              <w:rFonts w:asciiTheme="minorHAnsi" w:hAnsi="Calibri" w:cstheme="minorBidi"/>
                              <w:bCs/>
                              <w:color w:val="4F81BD" w:themeColor="accent1"/>
                              <w:kern w:val="24"/>
                              <w:sz w:val="19"/>
                              <w:szCs w:val="19"/>
                            </w:rPr>
                          </w:pPr>
                          <w:r>
                            <w:rPr>
                              <w:rFonts w:asciiTheme="minorHAnsi" w:hAnsi="Calibri"/>
                              <w:i/>
                              <w:iCs/>
                              <w:color w:val="4F81BD" w:themeColor="accent1"/>
                              <w:sz w:val="19"/>
                              <w:szCs w:val="19"/>
                            </w:rPr>
                            <w:t>dalyvavimas ikimokyklinio ugdymo ir priežiūros programose (vyresni kaip 3 m. vaikai) romai – 42 proc.; plačioji visuomenė – 92,2 proc. (50,2 procentinio punkto skirtumas)</w:t>
                          </w:r>
                        </w:p>
                      </w:txbxContent>
                    </v:textbox>
                  </v:roundrect>
                  <v:roundrect id="Téglalap: lekerekített 28" o:spid="_x0000_s1052" style="position:absolute;left:1725;top:11913;width:42621;height:708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ySMEA&#10;AADbAAAADwAAAGRycy9kb3ducmV2LnhtbESPS6vCMBSE94L/IRzBjWiqoGg1ini5cLc+Nu6OzbEt&#10;Nie1SR/33xtBcDnMzDfMZteZQjRUudyygukkAkGcWJ1zquBy/h0vQTiPrLGwTAr+ycFu2+9tMNa2&#10;5SM1J5+KAGEXo4LM+zKW0iUZGXQTWxIH724rgz7IKpW6wjbATSFnUbSQBnMOCxmWdMgoeZxqo2CV&#10;tnds6tv8OjokP0UdIS6ap1LDQbdfg/DU+W/40/7TCuYreH8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fuskjBAAAA2wAAAA8AAAAAAAAAAAAAAAAAmAIAAGRycy9kb3du&#10;cmV2LnhtbFBLBQYAAAAABAAEAPUAAACGAwAAAAA=&#10;" fillcolor="white [3212]" strokecolor="#243f60 [1604]" strokeweight="2pt">
                    <v:textbox inset="0,0,0,0">
                      <w:txbxContent>
                        <w:p>
                          <w:pPr>
                            <w:pStyle w:val="NormalWeb"/>
                            <w:spacing w:before="0" w:beforeAutospacing="0" w:after="0" w:afterAutospacing="0"/>
                            <w:jc w:val="center"/>
                            <w:rPr>
                              <w:sz w:val="20"/>
                              <w:szCs w:val="18"/>
                            </w:rPr>
                          </w:pPr>
                          <w:r>
                            <w:rPr>
                              <w:rFonts w:asciiTheme="minorHAnsi" w:hAnsi="Calibri"/>
                              <w:b/>
                              <w:bCs/>
                              <w:color w:val="FF0000"/>
                              <w:sz w:val="20"/>
                              <w:szCs w:val="18"/>
                            </w:rPr>
                            <w:t xml:space="preserve">Siekis panaikinti segregaciją bent perpus sumažinant romų vaikų, lankančių atskiras pradines mokyklas, dalį </w:t>
                          </w:r>
                          <w:r>
                            <w:rPr>
                              <w:rFonts w:asciiTheme="minorHAnsi" w:hAnsi="Calibri"/>
                              <w:bCs/>
                              <w:color w:val="4F81BD" w:themeColor="accent1"/>
                              <w:sz w:val="20"/>
                              <w:szCs w:val="18"/>
                            </w:rPr>
                            <w:t>(valstybėse narėse, kuriose gyvena daug romų)</w:t>
                          </w:r>
                        </w:p>
                        <w:p>
                          <w:pPr>
                            <w:pStyle w:val="NormalWeb"/>
                            <w:numPr>
                              <w:ilvl w:val="0"/>
                              <w:numId w:val="69"/>
                            </w:numPr>
                            <w:spacing w:before="0" w:beforeAutospacing="0" w:after="0" w:afterAutospacing="0"/>
                            <w:ind w:left="142" w:hanging="142"/>
                            <w:rPr>
                              <w:rFonts w:asciiTheme="minorHAnsi" w:hAnsi="Calibri" w:cstheme="minorBidi"/>
                              <w:iCs/>
                              <w:color w:val="00B050"/>
                              <w:kern w:val="24"/>
                              <w:sz w:val="19"/>
                              <w:szCs w:val="19"/>
                            </w:rPr>
                          </w:pPr>
                          <w:r>
                            <w:rPr>
                              <w:rFonts w:asciiTheme="minorHAnsi" w:hAnsi="Calibri"/>
                              <w:iCs/>
                              <w:color w:val="00B050"/>
                              <w:sz w:val="19"/>
                              <w:szCs w:val="19"/>
                            </w:rPr>
                            <w:t>užtikrinti, kad iki 2030 m. mažiau nei kas penktas romų vaikas lankytų mokyklą, kurioje dauguma vaikų arba visi vaikai yra</w:t>
                          </w:r>
                          <w:r>
                            <w:rPr>
                              <w:color w:val="00B050"/>
                              <w:sz w:val="19"/>
                              <w:szCs w:val="19"/>
                            </w:rPr>
                            <w:t xml:space="preserve"> </w:t>
                          </w:r>
                          <w:r>
                            <w:rPr>
                              <w:rFonts w:asciiTheme="minorHAnsi" w:hAnsi="Calibri"/>
                              <w:iCs/>
                              <w:color w:val="00B050"/>
                              <w:sz w:val="19"/>
                              <w:szCs w:val="19"/>
                            </w:rPr>
                            <w:t>romai</w:t>
                          </w:r>
                        </w:p>
                        <w:p>
                          <w:pPr>
                            <w:pStyle w:val="NormalWeb"/>
                            <w:numPr>
                              <w:ilvl w:val="0"/>
                              <w:numId w:val="69"/>
                            </w:numPr>
                            <w:spacing w:before="0" w:beforeAutospacing="0" w:after="0" w:afterAutospacing="0"/>
                            <w:ind w:left="142" w:hanging="142"/>
                            <w:rPr>
                              <w:rFonts w:asciiTheme="minorHAnsi" w:hAnsi="Calibri" w:cstheme="minorBidi"/>
                              <w:iCs/>
                              <w:color w:val="4F81BD" w:themeColor="accent1"/>
                              <w:kern w:val="24"/>
                              <w:sz w:val="19"/>
                              <w:szCs w:val="19"/>
                            </w:rPr>
                          </w:pPr>
                          <w:r>
                            <w:rPr>
                              <w:rFonts w:asciiTheme="minorHAnsi" w:hAnsi="Calibri"/>
                              <w:i/>
                              <w:iCs/>
                              <w:color w:val="4F81BD" w:themeColor="accent1"/>
                              <w:sz w:val="19"/>
                              <w:szCs w:val="19"/>
                            </w:rPr>
                            <w:t>romų vaikai, lankantys mokyklas, kuriose dauguma vaikų arba visi vaikai yra romai – 44 proc.</w:t>
                          </w:r>
                        </w:p>
                      </w:txbxContent>
                    </v:textbox>
                  </v:roundrect>
                  <v:roundrect id="Téglalap: lekerekített 29" o:spid="_x0000_s1053" style="position:absolute;left:22966;top:2122;width:21817;height:930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jRaL4A&#10;AADbAAAADwAAAGRycy9kb3ducmV2LnhtbERPy4rCMBTdC/5DuIIb0XQEi1ajDIrgdtSNu2tzbYvN&#10;TW3Sh38/WQguD+e92fWmFC3VrrCs4GcWgSBOrS44U3C9HKdLEM4jaywtk4I3Odhth4MNJtp2/Eft&#10;2WcihLBLUEHufZVI6dKcDLqZrYgD97C1QR9gnUldYxfCTSnnURRLgwWHhhwr2ueUPs+NUbDKuge2&#10;zX1xm+zTQ9lEiHH7Umo86n/XIDz1/iv+uE9aQRzWhy/hB8jt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i40Wi+AAAA2wAAAA8AAAAAAAAAAAAAAAAAmAIAAGRycy9kb3ducmV2&#10;LnhtbFBLBQYAAAAABAAEAPUAAACDAwAAAAA=&#10;" fillcolor="white [3212]" strokecolor="#243f60 [1604]" strokeweight="2pt">
                    <v:textbox inset="0,0,0,0">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Bent trečdaliu</w:t>
                          </w:r>
                          <w:r>
                            <w:t xml:space="preserve"> </w:t>
                          </w:r>
                          <w:r>
                            <w:br/>
                          </w:r>
                          <w:r>
                            <w:rPr>
                              <w:rFonts w:asciiTheme="minorHAnsi" w:hAnsi="Calibri"/>
                              <w:b/>
                              <w:bCs/>
                              <w:color w:val="FF0000"/>
                              <w:sz w:val="20"/>
                              <w:szCs w:val="18"/>
                            </w:rPr>
                            <w:t>sumažinti įgyto vidurinio išsilavinimo skirtumą</w:t>
                          </w:r>
                        </w:p>
                        <w:p>
                          <w:pPr>
                            <w:pStyle w:val="NormalWeb"/>
                            <w:numPr>
                              <w:ilvl w:val="0"/>
                              <w:numId w:val="67"/>
                            </w:numPr>
                            <w:spacing w:before="0" w:beforeAutospacing="0" w:after="0" w:afterAutospacing="0"/>
                            <w:ind w:left="142" w:hanging="142"/>
                            <w:rPr>
                              <w:rFonts w:asciiTheme="minorHAnsi" w:hAnsi="Calibri" w:cstheme="minorBidi"/>
                              <w:iCs/>
                              <w:color w:val="00B050"/>
                              <w:kern w:val="24"/>
                              <w:sz w:val="19"/>
                              <w:szCs w:val="19"/>
                            </w:rPr>
                          </w:pPr>
                          <w:r>
                            <w:rPr>
                              <w:rFonts w:asciiTheme="minorHAnsi" w:hAnsi="Calibri"/>
                              <w:iCs/>
                              <w:color w:val="00B050"/>
                              <w:sz w:val="19"/>
                              <w:szCs w:val="19"/>
                            </w:rPr>
                            <w:t>užtikrinti, kad iki 2030 m. dauguma romų jaunuolių įgytų bent vidurinį išsilavinimą</w:t>
                          </w:r>
                        </w:p>
                        <w:p>
                          <w:pPr>
                            <w:pStyle w:val="NormalWeb"/>
                            <w:numPr>
                              <w:ilvl w:val="0"/>
                              <w:numId w:val="68"/>
                            </w:numPr>
                            <w:spacing w:before="0" w:beforeAutospacing="0" w:after="0" w:afterAutospacing="0"/>
                            <w:ind w:left="142" w:hanging="142"/>
                            <w:rPr>
                              <w:rFonts w:asciiTheme="minorHAnsi" w:hAnsi="Calibri" w:cstheme="minorBidi"/>
                              <w:i/>
                              <w:iCs/>
                              <w:color w:val="4F81BD" w:themeColor="accent1"/>
                              <w:kern w:val="24"/>
                              <w:sz w:val="19"/>
                              <w:szCs w:val="19"/>
                            </w:rPr>
                          </w:pPr>
                          <w:r>
                            <w:rPr>
                              <w:rFonts w:asciiTheme="minorHAnsi" w:hAnsi="Calibri"/>
                              <w:i/>
                              <w:iCs/>
                              <w:color w:val="4F81BD" w:themeColor="accent1"/>
                              <w:sz w:val="19"/>
                              <w:szCs w:val="19"/>
                            </w:rPr>
                            <w:t xml:space="preserve">įgytas vidurinis arba aukštesnis išsilavinimas: romai – 28 proc.; plačioji visuomenė – 83,5 proc. (55,5 procentinio punkto skirtumas) </w:t>
                          </w:r>
                        </w:p>
                      </w:txbxContent>
                    </v:textbox>
                  </v:roundrect>
                  <v:roundrect id="Téglalap: lekerekített 30" o:spid="_x0000_s1054" style="position:absolute;left:23801;top:47298;width:20545;height:787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088EA&#10;AADbAAAADwAAAGRycy9kb3ducmV2LnhtbESPT4vCMBTE7wt+h/AEL4umClu0GmVxEbyuevH2bJ5t&#10;sXmpTfrHb28EweMwM79hVpvelKKl2hWWFUwnEQji1OqCMwWn4248B+E8ssbSMil4kIPNevC1wkTb&#10;jv+pPfhMBAi7BBXk3leJlC7NyaCb2Io4eFdbG/RB1pnUNXYBbko5i6JYGiw4LORY0Tan9HZojIJF&#10;1l2xbS4/5+9t+lc2EWLc3pUaDfvfJQhPvf+E3+29VhBP4fUl/AC5f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f0dPPBAAAA2wAAAA8AAAAAAAAAAAAAAAAAmAIAAGRycy9kb3du&#10;cmV2LnhtbFBLBQYAAAAABAAEAPUAAACGAwAAAAA=&#10;" fillcolor="white [3212]" strokecolor="#243f60 [1604]" strokeweight="2pt">
                    <v:textbox inset="0,0,0,0">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Bent perpus sumažinti perpildyto būsto skirtumą</w:t>
                          </w:r>
                        </w:p>
                        <w:p>
                          <w:pPr>
                            <w:pStyle w:val="NormalWeb"/>
                            <w:numPr>
                              <w:ilvl w:val="0"/>
                              <w:numId w:val="75"/>
                            </w:numPr>
                            <w:spacing w:before="0" w:beforeAutospacing="0" w:after="0" w:afterAutospacing="0"/>
                            <w:ind w:left="142" w:hanging="142"/>
                            <w:rPr>
                              <w:rFonts w:asciiTheme="minorHAnsi" w:hAnsi="Calibri" w:cstheme="minorBidi"/>
                              <w:i/>
                              <w:iCs/>
                              <w:color w:val="00B050"/>
                              <w:kern w:val="24"/>
                              <w:sz w:val="19"/>
                              <w:szCs w:val="19"/>
                            </w:rPr>
                          </w:pPr>
                          <w:r>
                            <w:rPr>
                              <w:rFonts w:asciiTheme="minorHAnsi" w:hAnsi="Calibri"/>
                              <w:bCs/>
                              <w:color w:val="00B050"/>
                              <w:sz w:val="19"/>
                              <w:szCs w:val="19"/>
                            </w:rPr>
                            <w:t>užtikrinti, kad iki 2030 m. dauguma romų nebegyventų perpildytuose namų ūkiuose</w:t>
                          </w:r>
                        </w:p>
                        <w:p>
                          <w:pPr>
                            <w:pStyle w:val="NormalWeb"/>
                            <w:numPr>
                              <w:ilvl w:val="0"/>
                              <w:numId w:val="75"/>
                            </w:numPr>
                            <w:spacing w:before="0" w:beforeAutospacing="0" w:after="0" w:afterAutospacing="0"/>
                            <w:ind w:left="142" w:hanging="142"/>
                            <w:rPr>
                              <w:rFonts w:asciiTheme="minorHAnsi" w:hAnsi="Calibri" w:cstheme="minorBidi"/>
                              <w:i/>
                              <w:iCs/>
                              <w:color w:val="4F81BD" w:themeColor="accent1"/>
                              <w:kern w:val="24"/>
                              <w:sz w:val="19"/>
                              <w:szCs w:val="19"/>
                            </w:rPr>
                          </w:pPr>
                          <w:r>
                            <w:rPr>
                              <w:rFonts w:asciiTheme="minorHAnsi" w:hAnsi="Calibri"/>
                              <w:i/>
                              <w:iCs/>
                              <w:color w:val="4F81BD" w:themeColor="accent1"/>
                              <w:sz w:val="19"/>
                              <w:szCs w:val="19"/>
                            </w:rPr>
                            <w:t>perpildytas būstas: romai – 78 proc.; plačioji visuomenė – 17,1 proc. (60,9 procentinio punkto skirtumas)</w:t>
                          </w:r>
                        </w:p>
                      </w:txbxContent>
                    </v:textbox>
                  </v:roundrect>
                </v:group>
                <v:rect id="Téglalap 4" o:spid="_x0000_s1055" style="position:absolute;width:62484;height:36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S/jsQA&#10;AADbAAAADwAAAGRycy9kb3ducmV2LnhtbESPQWuDQBSE74X8h+UFcinN2hxCMdmEIoRIKIRq4vnh&#10;vqrUfavuVu2/7xYKPQ4z8w2zP86mFSMNrrGs4HkdgSAurW64UnDLT08vIJxH1thaJgXf5OB4WDzs&#10;MdZ24ncaM1+JAGEXo4La+y6W0pU1GXRr2xEH78MOBn2QQyX1gFOAm1ZuomgrDTYcFmrsKKmp/My+&#10;jIKpvI5F/naW18citdynfZLdL0qtlvPrDoSn2f+H/9qpVrDdwO+X8APk4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Uv47EAAAA2wAAAA8AAAAAAAAAAAAAAAAAmAIAAGRycy9k&#10;b3ducmV2LnhtbFBLBQYAAAAABAAEAPUAAACJAwAAAAA=&#10;" filled="f" stroked="f">
                  <v:textbox>
                    <w:txbxContent>
                      <w:p>
                        <w:pPr>
                          <w:pStyle w:val="NormalWeb"/>
                          <w:spacing w:before="0" w:beforeAutospacing="0" w:after="0" w:afterAutospacing="0"/>
                          <w:jc w:val="center"/>
                          <w:rPr>
                            <w:rFonts w:eastAsia="Calibri" w:cstheme="minorBidi"/>
                            <w:bCs/>
                            <w:smallCaps/>
                            <w:color w:val="4F81BD" w:themeColor="accent1"/>
                            <w:kern w:val="24"/>
                            <w:szCs w:val="28"/>
                          </w:rPr>
                        </w:pPr>
                        <w:r>
                          <w:rPr>
                            <w:b/>
                            <w:bCs/>
                            <w:smallCaps/>
                            <w:color w:val="4F81BD" w:themeColor="accent1"/>
                            <w:szCs w:val="28"/>
                          </w:rPr>
                          <w:t xml:space="preserve">Sektorių tikslai </w:t>
                        </w:r>
                      </w:p>
                    </w:txbxContent>
                  </v:textbox>
                </v:rect>
                <w10:wrap type="topAndBottom" anchorx="margin"/>
              </v:group>
            </w:pict>
          </mc:Fallback>
        </mc:AlternateContent>
      </w:r>
      <w:r>
        <w:rPr>
          <w:rFonts w:ascii="Times New Roman" w:hAnsi="Times New Roman"/>
          <w:noProof/>
          <w:sz w:val="20"/>
          <w:szCs w:val="20"/>
        </w:rPr>
        <w:t>Kiti rodikliai nagrinėjami</w:t>
      </w:r>
      <w:r>
        <w:rPr>
          <w:rStyle w:val="FootnoteReference"/>
          <w:rFonts w:ascii="Times New Roman" w:eastAsia="Times New Roman" w:hAnsi="Times New Roman" w:cs="Times New Roman"/>
          <w:noProof/>
          <w:sz w:val="20"/>
          <w:szCs w:val="20"/>
        </w:rPr>
        <w:footnoteReference w:id="24"/>
      </w:r>
      <w:r>
        <w:rPr>
          <w:rFonts w:ascii="Times New Roman" w:hAnsi="Times New Roman"/>
          <w:noProof/>
          <w:sz w:val="20"/>
          <w:szCs w:val="20"/>
        </w:rPr>
        <w:t>.</w:t>
      </w:r>
    </w:p>
    <w:p>
      <w:pPr>
        <w:rPr>
          <w:rFonts w:ascii="Times New Roman" w:hAnsi="Times New Roman"/>
          <w:noProof/>
          <w:sz w:val="24"/>
          <w:szCs w:val="24"/>
        </w:rPr>
      </w:pPr>
      <w:r>
        <w:rPr>
          <w:noProof/>
        </w:rPr>
        <w:br w:type="page"/>
      </w:r>
    </w:p>
    <w:p>
      <w:pPr>
        <w:spacing w:before="360" w:after="240" w:line="240" w:lineRule="auto"/>
        <w:ind w:left="567" w:hanging="567"/>
        <w:jc w:val="both"/>
        <w:rPr>
          <w:rFonts w:ascii="Times New Roman Bold" w:hAnsi="Times New Roman Bold"/>
          <w:b/>
          <w:i/>
          <w:smallCaps/>
          <w:noProof/>
          <w:sz w:val="24"/>
          <w:szCs w:val="24"/>
        </w:rPr>
      </w:pPr>
      <w:r>
        <w:rPr>
          <w:rFonts w:ascii="Times New Roman Bold" w:hAnsi="Times New Roman Bold"/>
          <w:b/>
          <w:i/>
          <w:smallCaps/>
          <w:noProof/>
          <w:sz w:val="24"/>
          <w:szCs w:val="24"/>
        </w:rPr>
        <w:t xml:space="preserve">III. </w:t>
      </w:r>
      <w:r>
        <w:rPr>
          <w:noProof/>
        </w:rPr>
        <w:tab/>
      </w:r>
      <w:r>
        <w:rPr>
          <w:rFonts w:ascii="Times New Roman Bold" w:hAnsi="Times New Roman Bold"/>
          <w:b/>
          <w:i/>
          <w:smallCaps/>
          <w:noProof/>
          <w:sz w:val="24"/>
          <w:szCs w:val="24"/>
        </w:rPr>
        <w:t>Atnaujinti ir sustiprinti nacionaliniai lygybės, įtraukties ir dalyvavimo užtikrinimo veiksmai</w:t>
      </w:r>
    </w:p>
    <w:p>
      <w:pPr>
        <w:spacing w:after="120" w:line="240" w:lineRule="auto"/>
        <w:jc w:val="both"/>
        <w:rPr>
          <w:rFonts w:ascii="Times New Roman" w:hAnsi="Times New Roman"/>
          <w:b/>
          <w:noProof/>
          <w:sz w:val="24"/>
          <w:szCs w:val="24"/>
        </w:rPr>
      </w:pPr>
      <w:r>
        <w:rPr>
          <w:rFonts w:ascii="Times New Roman" w:hAnsi="Times New Roman"/>
          <w:noProof/>
          <w:sz w:val="24"/>
          <w:szCs w:val="24"/>
        </w:rPr>
        <w:t>Norint pasiekti šio strateginio plano tikslus, reikia imtis veiksmų tiek ES, tiek nacionaliniu lygmeniu. Tik remiantis šiuo papildomu požiūriu galima paskatinti realius pokyčius. Valstybėms narėms tenka pagrindinė atsakomybė srityse, kuriose taikomas šis planas, – reikia taikyti struktūrinį požiūrį. Nors romų padėtis įvairiose šalyse skiriasi, reikia stiprinti įsipareigojimą ir atskaitomybę nacionaliniu lygmeniu, kad romų kasdienis gyvenimas iš tikrųjų pasikeistų. Tai apima pilietinės visuomenės ir visų susijusių suinteresuotųjų subjektų dalyvavimą rengiant romų integracijos nacionalinius strateginius planus.</w:t>
      </w:r>
    </w:p>
    <w:tbl>
      <w:tblPr>
        <w:tblStyle w:val="TableGrid"/>
        <w:tblW w:w="0" w:type="auto"/>
        <w:tblLook w:val="04A0" w:firstRow="1" w:lastRow="0" w:firstColumn="1" w:lastColumn="0" w:noHBand="0" w:noVBand="1"/>
      </w:tblPr>
      <w:tblGrid>
        <w:gridCol w:w="9323"/>
      </w:tblGrid>
      <w:tr>
        <w:tc>
          <w:tcPr>
            <w:tcW w:w="9323" w:type="dxa"/>
          </w:tcPr>
          <w:p>
            <w:pPr>
              <w:spacing w:after="120"/>
              <w:jc w:val="both"/>
              <w:rPr>
                <w:rFonts w:ascii="Times New Roman" w:hAnsi="Times New Roman"/>
                <w:b/>
                <w:i/>
                <w:noProof/>
                <w:sz w:val="24"/>
                <w:szCs w:val="24"/>
              </w:rPr>
            </w:pPr>
            <w:r>
              <w:rPr>
                <w:rFonts w:ascii="Times New Roman" w:hAnsi="Times New Roman"/>
                <w:b/>
                <w:i/>
                <w:noProof/>
                <w:sz w:val="24"/>
                <w:szCs w:val="24"/>
              </w:rPr>
              <w:t>Nacionalinių veiksmų įgyvendinimas pasitelkiant romų integracijos nacionalinius strateginius planus</w:t>
            </w:r>
          </w:p>
          <w:p>
            <w:pPr>
              <w:spacing w:after="120"/>
              <w:jc w:val="both"/>
              <w:rPr>
                <w:rFonts w:ascii="Times New Roman" w:hAnsi="Times New Roman"/>
                <w:noProof/>
                <w:sz w:val="24"/>
                <w:szCs w:val="24"/>
              </w:rPr>
            </w:pPr>
            <w:r>
              <w:rPr>
                <w:rFonts w:ascii="Times New Roman" w:hAnsi="Times New Roman"/>
                <w:noProof/>
                <w:sz w:val="24"/>
                <w:szCs w:val="24"/>
              </w:rPr>
              <w:t>Valstybės narės raginamos kurti, priimti ir įgyvendinti romų integracijos nacionalinius strateginius planus, įskaitant:</w:t>
            </w:r>
          </w:p>
          <w:p>
            <w:pPr>
              <w:pStyle w:val="ListParagraph"/>
              <w:numPr>
                <w:ilvl w:val="1"/>
                <w:numId w:val="36"/>
              </w:numPr>
              <w:spacing w:after="0" w:line="240" w:lineRule="auto"/>
              <w:ind w:left="589"/>
              <w:contextualSpacing w:val="0"/>
              <w:rPr>
                <w:rFonts w:ascii="Times New Roman" w:hAnsi="Times New Roman"/>
                <w:noProof/>
                <w:sz w:val="24"/>
                <w:szCs w:val="24"/>
              </w:rPr>
            </w:pPr>
            <w:r>
              <w:rPr>
                <w:rFonts w:ascii="Times New Roman" w:hAnsi="Times New Roman"/>
                <w:noProof/>
                <w:sz w:val="24"/>
                <w:szCs w:val="24"/>
              </w:rPr>
              <w:t xml:space="preserve">bendruosius aspektus; </w:t>
            </w:r>
          </w:p>
          <w:p>
            <w:pPr>
              <w:pStyle w:val="ListParagraph"/>
              <w:numPr>
                <w:ilvl w:val="1"/>
                <w:numId w:val="36"/>
              </w:numPr>
              <w:spacing w:after="0" w:line="240" w:lineRule="auto"/>
              <w:ind w:left="589"/>
              <w:contextualSpacing w:val="0"/>
              <w:rPr>
                <w:rFonts w:ascii="Times New Roman" w:hAnsi="Times New Roman"/>
                <w:noProof/>
                <w:sz w:val="24"/>
                <w:szCs w:val="24"/>
              </w:rPr>
            </w:pPr>
            <w:r>
              <w:rPr>
                <w:rFonts w:ascii="Times New Roman" w:hAnsi="Times New Roman"/>
                <w:noProof/>
                <w:sz w:val="24"/>
                <w:szCs w:val="24"/>
              </w:rPr>
              <w:t>būtinuosius įsipareigojimus, kurie turėtų būti taikomi visiems;</w:t>
            </w:r>
          </w:p>
          <w:p>
            <w:pPr>
              <w:pStyle w:val="ListParagraph"/>
              <w:numPr>
                <w:ilvl w:val="1"/>
                <w:numId w:val="36"/>
              </w:numPr>
              <w:spacing w:after="0" w:line="240" w:lineRule="auto"/>
              <w:ind w:left="589"/>
              <w:contextualSpacing w:val="0"/>
              <w:rPr>
                <w:rFonts w:ascii="Times New Roman" w:hAnsi="Times New Roman"/>
                <w:noProof/>
                <w:sz w:val="24"/>
                <w:szCs w:val="24"/>
              </w:rPr>
            </w:pPr>
            <w:r>
              <w:rPr>
                <w:rFonts w:ascii="Times New Roman" w:hAnsi="Times New Roman"/>
                <w:noProof/>
                <w:sz w:val="24"/>
                <w:szCs w:val="24"/>
              </w:rPr>
              <w:t>galimus papildomus įsipareigojimus, atsižvelgiant į nacionalines aplinkybes;</w:t>
            </w:r>
          </w:p>
          <w:p>
            <w:pPr>
              <w:pStyle w:val="ListParagraph"/>
              <w:numPr>
                <w:ilvl w:val="1"/>
                <w:numId w:val="36"/>
              </w:numPr>
              <w:spacing w:line="240" w:lineRule="auto"/>
              <w:ind w:left="584" w:hanging="357"/>
              <w:contextualSpacing w:val="0"/>
              <w:rPr>
                <w:rFonts w:ascii="Times New Roman" w:hAnsi="Times New Roman"/>
                <w:noProof/>
                <w:sz w:val="24"/>
                <w:szCs w:val="24"/>
              </w:rPr>
            </w:pPr>
            <w:r>
              <w:rPr>
                <w:rFonts w:ascii="Times New Roman" w:hAnsi="Times New Roman"/>
                <w:noProof/>
                <w:sz w:val="24"/>
                <w:szCs w:val="24"/>
              </w:rPr>
              <w:t>valstybių narių, kuriose gyvena daug romų, platesnio užmojo įsipareigojimus.</w:t>
            </w:r>
          </w:p>
          <w:p>
            <w:pPr>
              <w:ind w:left="22"/>
              <w:jc w:val="both"/>
              <w:rPr>
                <w:rFonts w:ascii="Times New Roman" w:hAnsi="Times New Roman"/>
                <w:noProof/>
                <w:sz w:val="24"/>
                <w:szCs w:val="24"/>
              </w:rPr>
            </w:pPr>
            <w:r>
              <w:rPr>
                <w:rFonts w:ascii="Times New Roman" w:hAnsi="Times New Roman"/>
                <w:noProof/>
                <w:sz w:val="24"/>
                <w:szCs w:val="24"/>
              </w:rPr>
              <w:t xml:space="preserve">Toliau pateikiami pasiūlymai dėl šių elementų. Jei įmanoma, turėtų būti nustatyti konkretūs nacionaliniai uždaviniai. Komisija padės įgyvendinti šį procesą teikdama visas būtinas gaires. Ji taip pat rems </w:t>
            </w:r>
          </w:p>
          <w:p>
            <w:pPr>
              <w:spacing w:after="120"/>
              <w:ind w:left="23"/>
              <w:jc w:val="both"/>
              <w:rPr>
                <w:rFonts w:ascii="Times New Roman" w:hAnsi="Times New Roman"/>
                <w:noProof/>
                <w:sz w:val="24"/>
                <w:szCs w:val="24"/>
              </w:rPr>
            </w:pPr>
            <w:r>
              <w:rPr>
                <w:rFonts w:ascii="Times New Roman" w:hAnsi="Times New Roman"/>
                <w:noProof/>
                <w:sz w:val="24"/>
                <w:szCs w:val="24"/>
              </w:rPr>
              <w:t>nacionalines priemones, be kita ko, užtikrins teisės aktų dėl lygybės vykdymą, įtrauks romų lygybės, įtraukties ir dalyvavimo klausimą į ES politikos iniciatyvas, telks ES lėšas romams ir kovos su priešiškumu romams.</w:t>
            </w:r>
          </w:p>
          <w:p>
            <w:pPr>
              <w:ind w:left="22"/>
              <w:jc w:val="both"/>
              <w:rPr>
                <w:rFonts w:ascii="Times New Roman" w:hAnsi="Times New Roman"/>
                <w:b/>
                <w:i/>
                <w:noProof/>
                <w:sz w:val="24"/>
                <w:szCs w:val="24"/>
              </w:rPr>
            </w:pPr>
            <w:r>
              <w:rPr>
                <w:rFonts w:ascii="Times New Roman" w:hAnsi="Times New Roman"/>
                <w:noProof/>
                <w:sz w:val="24"/>
                <w:szCs w:val="24"/>
              </w:rPr>
              <w:t>Valstybės narės raginamos iki 2021 m. rugsėjo mėn. užbaigti šių nacionalinių planų kūrimą ir pasidalyti jais su Komisija.</w:t>
            </w:r>
          </w:p>
        </w:tc>
      </w:tr>
    </w:tbl>
    <w:p>
      <w:pPr>
        <w:spacing w:after="0" w:line="240" w:lineRule="auto"/>
        <w:jc w:val="both"/>
        <w:rPr>
          <w:rFonts w:ascii="Times New Roman" w:hAnsi="Times New Roman"/>
          <w:b/>
          <w:noProof/>
          <w:sz w:val="24"/>
          <w:szCs w:val="24"/>
        </w:rPr>
      </w:pP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Kartu su šiuo komunikatu Komisija priima pasiūlymą dėl </w:t>
      </w:r>
      <w:r>
        <w:rPr>
          <w:rFonts w:ascii="Times New Roman" w:hAnsi="Times New Roman"/>
          <w:b/>
          <w:noProof/>
          <w:sz w:val="24"/>
          <w:szCs w:val="24"/>
        </w:rPr>
        <w:t xml:space="preserve">Tarybos rekomendacijos </w:t>
      </w:r>
      <w:r>
        <w:rPr>
          <w:rFonts w:ascii="Times New Roman" w:hAnsi="Times New Roman"/>
          <w:noProof/>
          <w:sz w:val="24"/>
          <w:szCs w:val="24"/>
        </w:rPr>
        <w:t>dėl romų lygybės, įtraukties ir dalyvavimo, kuriame pateikiamas konkrečių priemonių, kurių valstybės narės turi imtis siekdamos ES tikslų, sąrašas. Todėl šie dokumentai priemonės papildo vienas kitą. Siūlomoje rekomendacijoje taip pat kalbama apie suinteresuotųjų subjektų, įskaitant nacionalinius romų informacijos centrus, lygybės įstaigas, pilietinę visuomenę ir regionų bei vietos subjektus, pajėgumų stiprinimą ir partnerystę. Be to, joje pateikiamos gairės, kaip užtikrinti geresnį ES ir nacionalinių lėšų panaudojimą, taip pat veiksmingą nacionalinę romų integracijos nacionalinių strateginių planų stebėseną, ataskaitų teikimą ir vertinimą.</w:t>
      </w:r>
    </w:p>
    <w:p>
      <w:pPr>
        <w:spacing w:before="240" w:after="240" w:line="240" w:lineRule="auto"/>
        <w:jc w:val="both"/>
        <w:rPr>
          <w:rFonts w:ascii="Times New Roman" w:hAnsi="Times New Roman"/>
          <w:b/>
          <w:i/>
          <w:noProof/>
          <w:sz w:val="24"/>
          <w:szCs w:val="24"/>
        </w:rPr>
      </w:pPr>
      <w:r>
        <w:rPr>
          <w:rFonts w:ascii="Times New Roman" w:hAnsi="Times New Roman"/>
          <w:b/>
          <w:i/>
          <w:noProof/>
          <w:sz w:val="24"/>
          <w:szCs w:val="24"/>
        </w:rPr>
        <w:t>III.1. Gairės dėl nacionalinių veiksmų laikantis bendro, bet diferencijuoto</w:t>
      </w:r>
      <w:r>
        <w:rPr>
          <w:rFonts w:ascii="Times New Roman Bold" w:hAnsi="Times New Roman Bold"/>
          <w:b/>
          <w:i/>
          <w:smallCaps/>
          <w:noProof/>
          <w:sz w:val="24"/>
          <w:szCs w:val="24"/>
        </w:rPr>
        <w:t xml:space="preserve"> </w:t>
      </w:r>
      <w:r>
        <w:rPr>
          <w:rFonts w:ascii="Times New Roman" w:hAnsi="Times New Roman"/>
          <w:b/>
          <w:i/>
          <w:noProof/>
          <w:sz w:val="24"/>
          <w:szCs w:val="24"/>
        </w:rPr>
        <w:t>požiūrio</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Siekdama padėti valstybėms narėms kurti prasmingus ir veiksmingus romų integracijos nacionalinius strateginius planus, Komisija siūlo visuose planuose numatyti keletą bendrųjų aspektų, taip pat būtinuosius įsipareigojimus. Be to, kadangi romų dalis ir jų nacionalinės aplinkybės įvairiose valstybėse narėse labai skiriasi, Komisija siūlo papildomus ir tikslingesnius įsipareigojimus. Taip pripažįstama įvairi padėtis valstybėse narėse ir sudaromos sąlygos taikyti bendrą, bet diferencijuotą požiūrį. </w:t>
      </w:r>
    </w:p>
    <w:p>
      <w:pPr>
        <w:keepNext/>
        <w:keepLines/>
        <w:spacing w:after="120" w:line="240" w:lineRule="auto"/>
        <w:jc w:val="both"/>
        <w:rPr>
          <w:rFonts w:ascii="Times New Roman" w:hAnsi="Times New Roman" w:cs="Times New Roman"/>
          <w:noProof/>
          <w:sz w:val="24"/>
          <w:szCs w:val="24"/>
        </w:rPr>
      </w:pPr>
      <w:r>
        <w:rPr>
          <w:rFonts w:ascii="Times New Roman" w:hAnsi="Times New Roman"/>
          <w:b/>
          <w:noProof/>
          <w:sz w:val="24"/>
          <w:szCs w:val="24"/>
        </w:rPr>
        <w:t>Pirma</w:t>
      </w:r>
      <w:r>
        <w:rPr>
          <w:rFonts w:ascii="Times New Roman" w:hAnsi="Times New Roman"/>
          <w:noProof/>
          <w:sz w:val="24"/>
          <w:szCs w:val="24"/>
        </w:rPr>
        <w:t>, Komisija siūlo, kad</w:t>
      </w:r>
      <w:r>
        <w:rPr>
          <w:rFonts w:ascii="Times New Roman" w:hAnsi="Times New Roman"/>
          <w:b/>
          <w:noProof/>
          <w:sz w:val="24"/>
          <w:szCs w:val="24"/>
        </w:rPr>
        <w:t xml:space="preserve"> visuose romų integracijos nacionaliniuose strateginiuose planuose būtų šie bendrieji elementai</w:t>
      </w:r>
      <w:r>
        <w:rPr>
          <w:rFonts w:ascii="Times New Roman" w:hAnsi="Times New Roman"/>
          <w:noProof/>
          <w:sz w:val="24"/>
          <w:szCs w:val="24"/>
        </w:rPr>
        <w:t>:</w:t>
      </w:r>
    </w:p>
    <w:p>
      <w:pPr>
        <w:pStyle w:val="ListParagraph"/>
        <w:numPr>
          <w:ilvl w:val="0"/>
          <w:numId w:val="43"/>
        </w:numPr>
        <w:spacing w:after="60" w:line="240" w:lineRule="auto"/>
        <w:ind w:left="357" w:hanging="357"/>
        <w:contextualSpacing w:val="0"/>
        <w:rPr>
          <w:rFonts w:ascii="Times New Roman" w:hAnsi="Times New Roman"/>
          <w:noProof/>
          <w:sz w:val="24"/>
          <w:szCs w:val="24"/>
        </w:rPr>
      </w:pPr>
      <w:r>
        <w:rPr>
          <w:rFonts w:ascii="Times New Roman" w:hAnsi="Times New Roman"/>
          <w:i/>
          <w:noProof/>
          <w:sz w:val="24"/>
          <w:szCs w:val="24"/>
        </w:rPr>
        <w:t>Didesnis dėmesys lygybei, kad būtų papildytas įtrauktimi grindžiamas požiūris.</w:t>
      </w:r>
      <w:r>
        <w:rPr>
          <w:rFonts w:ascii="Times New Roman" w:hAnsi="Times New Roman"/>
          <w:noProof/>
          <w:sz w:val="24"/>
          <w:szCs w:val="24"/>
        </w:rPr>
        <w:t xml:space="preserve"> Siekiant romų įtraukties, labai svarbu vadovaujantis integruotu požiūriu spręsti problemas keturiose politikos srityse (švietimo, užimtumo, sveikatos priežiūros ir būsto), tačiau taip pat būtina skirti aiškų dėmesį lygybei. Visų pirma, kova su diskriminacija ir priešiškumu romams turėtų būti svarbus kiekvienos politikos srities tikslas ir kompleksinis prioritetas, kuriuo papildomas įtrauktimi grindžiamas požiūris. Šiuo bendru dėmesiu turėtų būti užtikrinama, kad romai galėtų veiksmingai pasinaudoti teise kreiptis į teismą ekonominiais ir socialiniais klausimais ir teise į lygias galimybes.</w:t>
      </w:r>
    </w:p>
    <w:p>
      <w:pPr>
        <w:pStyle w:val="ListParagraph"/>
        <w:numPr>
          <w:ilvl w:val="0"/>
          <w:numId w:val="43"/>
        </w:numPr>
        <w:spacing w:after="60" w:line="240" w:lineRule="auto"/>
        <w:ind w:left="357" w:hanging="357"/>
        <w:contextualSpacing w:val="0"/>
        <w:rPr>
          <w:rFonts w:ascii="Times New Roman" w:hAnsi="Times New Roman"/>
          <w:noProof/>
          <w:sz w:val="24"/>
          <w:szCs w:val="24"/>
        </w:rPr>
      </w:pPr>
      <w:r>
        <w:rPr>
          <w:rFonts w:ascii="Times New Roman" w:hAnsi="Times New Roman"/>
          <w:i/>
          <w:noProof/>
          <w:sz w:val="24"/>
          <w:szCs w:val="24"/>
        </w:rPr>
        <w:t>Dalyvavimo skatinimas suteikiant daugiau galių, stiprinant bendradarbiavimą ir pasitikėjimą.</w:t>
      </w:r>
      <w:r>
        <w:rPr>
          <w:rFonts w:ascii="Times New Roman" w:hAnsi="Times New Roman"/>
          <w:noProof/>
          <w:sz w:val="24"/>
          <w:szCs w:val="24"/>
        </w:rPr>
        <w:t xml:space="preserve"> Visais politikos formavimo etapais turi būti užtikrintas prasmingas romų dalyvavimas. Romų politinis, ekonominis ir kultūrinis dalyvavimas turėtų būti skatinamas suteikiant jiems galimybę jaustis visateisiais visuomenės nariais. Būtina užtikrinti romų, pilietinės visuomenės ir viešųjų institucijų įgalėjimą ir pajėgumų stiprinimą, šiuo tikslu stiprinant suinteresuotųjų subjektų ir romų bei kitų bendruomenių bendradarbiavimą ir pasitikėjimą.</w:t>
      </w:r>
    </w:p>
    <w:p>
      <w:pPr>
        <w:pStyle w:val="ListParagraph"/>
        <w:numPr>
          <w:ilvl w:val="0"/>
          <w:numId w:val="43"/>
        </w:numPr>
        <w:spacing w:after="60" w:line="240" w:lineRule="auto"/>
        <w:ind w:left="357" w:hanging="357"/>
        <w:contextualSpacing w:val="0"/>
        <w:rPr>
          <w:rFonts w:ascii="Times New Roman" w:hAnsi="Times New Roman"/>
          <w:noProof/>
          <w:sz w:val="24"/>
          <w:szCs w:val="24"/>
        </w:rPr>
      </w:pPr>
      <w:r>
        <w:rPr>
          <w:rFonts w:ascii="Times New Roman" w:hAnsi="Times New Roman"/>
          <w:i/>
          <w:noProof/>
          <w:sz w:val="24"/>
          <w:szCs w:val="24"/>
        </w:rPr>
        <w:t xml:space="preserve">Romų bendruomenės narių įvairovės atspindėjimas. </w:t>
      </w:r>
      <w:r>
        <w:rPr>
          <w:rFonts w:ascii="Times New Roman" w:hAnsi="Times New Roman"/>
          <w:noProof/>
          <w:sz w:val="24"/>
          <w:szCs w:val="24"/>
        </w:rPr>
        <w:t xml:space="preserve">Valstybės narės turėtų užtikrinti, kad jų strateginiai planai apimtų visus jų teritorijoje gyvenančius romus ir, taikant tarpsektorinį požiūrį, atspindėtų įvairių grupių poreikius. Jos turėtų atsižvelgti į tai, kaip skirtingi tapatybės aspektai gali persipinti ir dar labiau padidinti diskriminaciją. Jos turėtų nustatyti kiekybinius ir (arba) kokybinius uždavinius, kad būtų atsižvelgta į įvairovę, susijusią su amžiumi, lytimi, seksualine orientacija, judumu ir kitomis asmeninėmis savybėmis. </w:t>
      </w:r>
    </w:p>
    <w:p>
      <w:pPr>
        <w:pStyle w:val="ListParagraph"/>
        <w:keepNext/>
        <w:keepLines/>
        <w:numPr>
          <w:ilvl w:val="0"/>
          <w:numId w:val="43"/>
        </w:numPr>
        <w:spacing w:after="60" w:line="240" w:lineRule="auto"/>
        <w:ind w:left="357" w:hanging="357"/>
        <w:contextualSpacing w:val="0"/>
        <w:rPr>
          <w:rFonts w:ascii="Times New Roman" w:hAnsi="Times New Roman"/>
          <w:noProof/>
          <w:sz w:val="24"/>
          <w:szCs w:val="24"/>
        </w:rPr>
      </w:pPr>
      <w:r>
        <w:rPr>
          <w:rFonts w:ascii="Times New Roman" w:hAnsi="Times New Roman"/>
          <w:i/>
          <w:noProof/>
          <w:sz w:val="24"/>
          <w:szCs w:val="24"/>
        </w:rPr>
        <w:t>Integravimo ir aiškaus, bet ne išskirtinio atitinkamų priemonių taikymo romams derinimas</w:t>
      </w:r>
      <w:r>
        <w:rPr>
          <w:rStyle w:val="FootnoteReference"/>
          <w:rFonts w:ascii="Times New Roman" w:hAnsi="Times New Roman"/>
          <w:i/>
          <w:noProof/>
          <w:sz w:val="24"/>
          <w:szCs w:val="24"/>
        </w:rPr>
        <w:footnoteReference w:id="25"/>
      </w:r>
      <w:r>
        <w:rPr>
          <w:rFonts w:ascii="Times New Roman" w:hAnsi="Times New Roman"/>
          <w:i/>
          <w:noProof/>
          <w:sz w:val="24"/>
          <w:szCs w:val="24"/>
        </w:rPr>
        <w:t xml:space="preserve">. </w:t>
      </w:r>
      <w:r>
        <w:rPr>
          <w:rFonts w:ascii="Times New Roman" w:hAnsi="Times New Roman"/>
          <w:noProof/>
          <w:sz w:val="24"/>
          <w:szCs w:val="24"/>
        </w:rPr>
        <w:t>Romų integracijos nacionaliniuose strateginiuose planuose</w:t>
      </w:r>
      <w:r>
        <w:rPr>
          <w:rFonts w:ascii="Times New Roman" w:hAnsi="Times New Roman"/>
          <w:i/>
          <w:noProof/>
          <w:sz w:val="24"/>
          <w:szCs w:val="24"/>
        </w:rPr>
        <w:t xml:space="preserve"> </w:t>
      </w:r>
      <w:r>
        <w:rPr>
          <w:rFonts w:ascii="Times New Roman" w:hAnsi="Times New Roman"/>
          <w:noProof/>
          <w:sz w:val="24"/>
          <w:szCs w:val="24"/>
        </w:rPr>
        <w:t xml:space="preserve">turėtų būti derinamas integravimas ir aiškus, bet ne išskirtinis taikymas, užtikrinant, kad bendrosios paslaugos būtų įtraukios, ir teikiant papildomą tikslinę paramą, kad romams būtų suteiktos veiksmingos vienodos galimybės naudotis teisėmis ir paslaugomis. Tai turėtų apimti planavimo priemones, kuriomis remiantis nacionalinės ir ES lėšos būtų naudojamos romams skirtiems veiksmams ir įtraukioms bendrosioms reformoms. </w:t>
      </w:r>
    </w:p>
    <w:p>
      <w:pPr>
        <w:pStyle w:val="ListParagraph"/>
        <w:numPr>
          <w:ilvl w:val="0"/>
          <w:numId w:val="43"/>
        </w:numPr>
        <w:spacing w:line="240" w:lineRule="auto"/>
        <w:ind w:left="357" w:hanging="357"/>
        <w:rPr>
          <w:rFonts w:ascii="Times New Roman" w:hAnsi="Times New Roman"/>
          <w:noProof/>
          <w:sz w:val="24"/>
          <w:szCs w:val="24"/>
        </w:rPr>
      </w:pPr>
      <w:r>
        <w:rPr>
          <w:rFonts w:ascii="Times New Roman" w:hAnsi="Times New Roman"/>
          <w:i/>
          <w:noProof/>
          <w:sz w:val="24"/>
          <w:szCs w:val="24"/>
        </w:rPr>
        <w:t>Tikslų nustatymo, duomenų rinkimo, stebėsenos ir ataskaitų teikimo tobulinimas.</w:t>
      </w:r>
      <w:r>
        <w:rPr>
          <w:rFonts w:ascii="Times New Roman" w:hAnsi="Times New Roman"/>
          <w:noProof/>
          <w:sz w:val="24"/>
          <w:szCs w:val="24"/>
        </w:rPr>
        <w:t xml:space="preserve"> Veikla siekiant ES lygmens pagrindinių uždavinių ir atitinkamų kiekybinių ir (arba) kokybinių nacionalinių uždavinių gali paskatinti tikrą pažangą užtikrinant romų lygybę, įtrauktį ir dalyvavimą. Duomenys turėtų būti renkami nuolat, kad būtų atsižvelgiama į ataskaitų teikimą ir stebėseną, didinamas skaidrumas ir atskaitomybė, skatinamas politikos perdavimas ir mokymasis</w:t>
      </w:r>
      <w:r>
        <w:rPr>
          <w:rStyle w:val="FootnoteReference"/>
          <w:rFonts w:ascii="Times New Roman" w:hAnsi="Times New Roman"/>
          <w:noProof/>
          <w:sz w:val="24"/>
          <w:szCs w:val="24"/>
        </w:rPr>
        <w:footnoteReference w:id="26"/>
      </w:r>
      <w:r>
        <w:rPr>
          <w:rFonts w:ascii="Times New Roman" w:hAnsi="Times New Roman"/>
          <w:noProof/>
          <w:sz w:val="24"/>
          <w:szCs w:val="24"/>
        </w:rPr>
        <w:t>.</w:t>
      </w:r>
    </w:p>
    <w:p>
      <w:pPr>
        <w:spacing w:after="120" w:line="240" w:lineRule="auto"/>
        <w:jc w:val="both"/>
        <w:rPr>
          <w:rFonts w:ascii="Times New Roman" w:hAnsi="Times New Roman" w:cs="Times New Roman"/>
          <w:b/>
          <w:noProof/>
          <w:sz w:val="24"/>
          <w:szCs w:val="24"/>
        </w:rPr>
      </w:pPr>
      <w:r>
        <w:rPr>
          <w:rFonts w:ascii="Times New Roman" w:hAnsi="Times New Roman"/>
          <w:b/>
          <w:noProof/>
          <w:sz w:val="24"/>
          <w:szCs w:val="24"/>
        </w:rPr>
        <w:t>Antra</w:t>
      </w:r>
      <w:r>
        <w:rPr>
          <w:rFonts w:ascii="Times New Roman" w:hAnsi="Times New Roman"/>
          <w:noProof/>
          <w:sz w:val="24"/>
          <w:szCs w:val="24"/>
        </w:rPr>
        <w:t>, užtikrindama bendrųjų charakteristikų taikymą, remdamasi patirtimi, įgyta įgyvendinant dabartinį planą, ir atsižvelgdama į pastarųjų dvejų metų plataus masto konsultacijas</w:t>
      </w:r>
      <w:r>
        <w:rPr>
          <w:rStyle w:val="FootnoteReference"/>
          <w:rFonts w:ascii="Times New Roman" w:hAnsi="Times New Roman" w:cs="Times New Roman"/>
          <w:noProof/>
          <w:sz w:val="24"/>
          <w:szCs w:val="24"/>
        </w:rPr>
        <w:footnoteReference w:id="27"/>
      </w:r>
      <w:r>
        <w:rPr>
          <w:rFonts w:ascii="Times New Roman" w:hAnsi="Times New Roman"/>
          <w:noProof/>
          <w:sz w:val="24"/>
          <w:szCs w:val="24"/>
        </w:rPr>
        <w:t xml:space="preserve">, Komisija ragina visas valstybes nares </w:t>
      </w:r>
      <w:r>
        <w:rPr>
          <w:rFonts w:ascii="Times New Roman" w:hAnsi="Times New Roman"/>
          <w:b/>
          <w:noProof/>
          <w:sz w:val="24"/>
          <w:szCs w:val="24"/>
        </w:rPr>
        <w:t>į savo romų integracijos nacionalinius strateginius planus įtraukti bent toliau išvardytus įsipareigojimus</w:t>
      </w:r>
      <w:r>
        <w:rPr>
          <w:rFonts w:ascii="Times New Roman" w:hAnsi="Times New Roman"/>
          <w:noProof/>
          <w:sz w:val="24"/>
          <w:szCs w:val="24"/>
        </w:rPr>
        <w:t>.</w:t>
      </w:r>
    </w:p>
    <w:tbl>
      <w:tblPr>
        <w:tblW w:w="9464" w:type="dxa"/>
        <w:tblBorders>
          <w:top w:val="single" w:sz="4" w:space="0" w:color="59A9F2"/>
          <w:left w:val="single" w:sz="4" w:space="0" w:color="59A9F2"/>
          <w:bottom w:val="single" w:sz="4" w:space="0" w:color="59A9F2"/>
          <w:right w:val="single" w:sz="4" w:space="0" w:color="59A9F2"/>
          <w:insideH w:val="single" w:sz="4" w:space="0" w:color="59A9F2"/>
          <w:insideV w:val="single" w:sz="4" w:space="0" w:color="59A9F2"/>
        </w:tblBorders>
        <w:tblLayout w:type="fixed"/>
        <w:tblLook w:val="04A0" w:firstRow="1" w:lastRow="0" w:firstColumn="1" w:lastColumn="0" w:noHBand="0" w:noVBand="1"/>
      </w:tblPr>
      <w:tblGrid>
        <w:gridCol w:w="9464"/>
      </w:tblGrid>
      <w:tr>
        <w:tc>
          <w:tcPr>
            <w:tcW w:w="9464" w:type="dxa"/>
            <w:shd w:val="clear" w:color="auto" w:fill="C7E2FA"/>
          </w:tcPr>
          <w:p>
            <w:pPr>
              <w:keepNext/>
              <w:keepLines/>
              <w:spacing w:before="60" w:after="0" w:line="240" w:lineRule="auto"/>
              <w:rPr>
                <w:rFonts w:ascii="Times New Roman" w:eastAsia="MS Mincho" w:hAnsi="Times New Roman"/>
                <w:noProof/>
                <w:sz w:val="24"/>
                <w:szCs w:val="24"/>
              </w:rPr>
            </w:pPr>
            <w:r>
              <w:rPr>
                <w:rFonts w:ascii="Times New Roman" w:hAnsi="Times New Roman"/>
                <w:b/>
                <w:noProof/>
                <w:sz w:val="24"/>
                <w:szCs w:val="24"/>
              </w:rPr>
              <w:t>Nacionaliniame strateginiame plane</w:t>
            </w:r>
            <w:r>
              <w:rPr>
                <w:rFonts w:ascii="Times New Roman" w:hAnsi="Times New Roman"/>
                <w:noProof/>
                <w:sz w:val="24"/>
                <w:szCs w:val="24"/>
              </w:rPr>
              <w:t xml:space="preserve"> turėtų būti nustatyta:</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nacionaliniai bazinio lygio scenarijai ir uždaviniai siekiant ES tikslų ir uždavinių, grindžiamų išsamiu poreikių įvertinimu;</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su konkrečiomis grupėmis (romų vaikais, moterimis, jaunimu, vyresnio amžiaus romais arba neįgaliaisiais, judžiais ES piliečiais, ne ES piliečiais, romais be pilietybės) susiję uždaviniai ir priemonės, kad būtų atspindėta romų bendruomenės narių įvairovė, įskaitant priemones, kuriomis atsižvelgiama į lyčių aspektą, vaiko interesus ir (arba) amžių;</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kovos su priešiškumu romams ir diskriminacija priemonės (pavyzdžiui, rengiant nacionalinius kovos su rasizmu veiksmų planus);</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priemonės, skirtos marginalizuotų romų socialinei ir ekonominei įtraukčiai užtikrinti, visų pirma švietimo, užimtumo, sveikatos priežiūros ir būsto srityse;</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tikslinių ir bendrųjų priemonių derinys, atsižvelgiant į konkrečius vietos uždavinius ir aiškiai šalinant kliūtis, dėl kurių romams neužtikrinamos vienodos galimybės remtis bendrąja politika</w:t>
            </w:r>
            <w:r>
              <w:rPr>
                <w:rStyle w:val="FootnoteReference"/>
                <w:rFonts w:ascii="Times New Roman" w:eastAsia="MS Mincho" w:hAnsi="Times New Roman"/>
                <w:noProof/>
                <w:sz w:val="24"/>
                <w:szCs w:val="24"/>
              </w:rPr>
              <w:footnoteReference w:id="28"/>
            </w:r>
            <w:r>
              <w:rPr>
                <w:rFonts w:ascii="Times New Roman" w:hAnsi="Times New Roman"/>
                <w:noProof/>
                <w:sz w:val="24"/>
                <w:szCs w:val="24"/>
              </w:rPr>
              <w:t>;</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įgyvendinimui ir stebėsenai skirtas biudžetas</w:t>
            </w:r>
            <w:r>
              <w:rPr>
                <w:rStyle w:val="FootnoteReference"/>
                <w:rFonts w:ascii="Times New Roman" w:eastAsia="MS Mincho" w:hAnsi="Times New Roman"/>
                <w:noProof/>
                <w:sz w:val="24"/>
                <w:szCs w:val="24"/>
              </w:rPr>
              <w:footnoteReference w:id="29"/>
            </w:r>
            <w:r>
              <w:rPr>
                <w:rFonts w:ascii="Times New Roman" w:hAnsi="Times New Roman"/>
                <w:noProof/>
                <w:sz w:val="24"/>
                <w:szCs w:val="24"/>
              </w:rPr>
              <w:t>, kuriam visapusiškai panaudojamos socialinės inovacijos ir privatus kapitalas;</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pažangos, padarytos įgyvendinant nustatytus uždavinius, ataskaitų teikimo, stebėsenos ir vertinimo mechanizmai;</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su politika susijusių konsultacijų ir bendradarbiavimo su romais ir romų interesus ginančia pilietine visuomene, sektorių ministerijomis, lygybės įstaigomis, kitomis nacionalinėmis žmogaus teisių institucijomis ir kitais suinteresuotaisiais subjektais sistema, taip pat</w:t>
            </w:r>
          </w:p>
          <w:p>
            <w:pPr>
              <w:pStyle w:val="ListParagraph"/>
              <w:keepNext/>
              <w:keepLines/>
              <w:numPr>
                <w:ilvl w:val="0"/>
                <w:numId w:val="83"/>
              </w:numPr>
              <w:spacing w:before="60" w:after="60" w:line="240" w:lineRule="auto"/>
              <w:ind w:left="735" w:hanging="451"/>
              <w:rPr>
                <w:rFonts w:ascii="Times New Roman" w:eastAsia="MS Mincho" w:hAnsi="Times New Roman"/>
                <w:noProof/>
                <w:sz w:val="24"/>
                <w:szCs w:val="24"/>
              </w:rPr>
            </w:pPr>
            <w:r>
              <w:rPr>
                <w:rFonts w:ascii="Times New Roman" w:hAnsi="Times New Roman"/>
                <w:noProof/>
                <w:sz w:val="24"/>
                <w:szCs w:val="24"/>
              </w:rPr>
              <w:t>pajėgumų stiprinimas, siekiant skatinti aktyvų pilietinės visuomenės dalyvavimą visais politikos formavimo etapais ir užtikrinti jos dalyvavimą nacionalinių ir ES platformų procesuose</w:t>
            </w:r>
            <w:r>
              <w:rPr>
                <w:rStyle w:val="FootnoteReference"/>
                <w:rFonts w:ascii="Times New Roman" w:eastAsia="MS Mincho" w:hAnsi="Times New Roman"/>
                <w:noProof/>
                <w:sz w:val="24"/>
                <w:szCs w:val="24"/>
              </w:rPr>
              <w:footnoteReference w:id="30"/>
            </w:r>
            <w:r>
              <w:rPr>
                <w:rFonts w:ascii="Times New Roman" w:hAnsi="Times New Roman"/>
                <w:noProof/>
                <w:sz w:val="24"/>
                <w:szCs w:val="24"/>
              </w:rPr>
              <w:t>.</w:t>
            </w:r>
          </w:p>
          <w:p>
            <w:pPr>
              <w:keepNext/>
              <w:keepLines/>
              <w:spacing w:before="60" w:after="0" w:line="240" w:lineRule="auto"/>
              <w:rPr>
                <w:rFonts w:ascii="Times New Roman" w:eastAsia="MS Mincho" w:hAnsi="Times New Roman" w:cs="Times New Roman"/>
                <w:noProof/>
                <w:sz w:val="24"/>
                <w:szCs w:val="24"/>
              </w:rPr>
            </w:pPr>
            <w:r>
              <w:rPr>
                <w:rFonts w:ascii="Times New Roman" w:hAnsi="Times New Roman"/>
                <w:b/>
                <w:noProof/>
                <w:sz w:val="24"/>
                <w:szCs w:val="24"/>
              </w:rPr>
              <w:t>Nacionaliniai romų informacijos centrai (NRIC)</w:t>
            </w:r>
            <w:r>
              <w:rPr>
                <w:rFonts w:ascii="Times New Roman" w:hAnsi="Times New Roman"/>
                <w:noProof/>
                <w:sz w:val="24"/>
                <w:szCs w:val="24"/>
              </w:rPr>
              <w:t xml:space="preserve"> turėtų:</w:t>
            </w:r>
          </w:p>
          <w:p>
            <w:pPr>
              <w:pStyle w:val="ListParagraph"/>
              <w:keepNext/>
              <w:keepLines/>
              <w:numPr>
                <w:ilvl w:val="0"/>
                <w:numId w:val="84"/>
              </w:numPr>
              <w:spacing w:after="0" w:line="240" w:lineRule="auto"/>
              <w:ind w:left="735" w:hanging="425"/>
              <w:rPr>
                <w:rFonts w:ascii="Times New Roman" w:eastAsia="MS Mincho" w:hAnsi="Times New Roman"/>
                <w:noProof/>
                <w:sz w:val="24"/>
                <w:szCs w:val="24"/>
              </w:rPr>
            </w:pPr>
            <w:r>
              <w:rPr>
                <w:rFonts w:ascii="Times New Roman" w:hAnsi="Times New Roman"/>
                <w:noProof/>
                <w:sz w:val="24"/>
                <w:szCs w:val="24"/>
              </w:rPr>
              <w:t>gauti įgaliojimus, pakankamai išteklių ir darbuotojų, kad būtų užtikrintas nuolatinis koordinavimas ir stebėsena, taip pat</w:t>
            </w:r>
          </w:p>
          <w:p>
            <w:pPr>
              <w:pStyle w:val="ListParagraph"/>
              <w:keepNext/>
              <w:keepLines/>
              <w:numPr>
                <w:ilvl w:val="0"/>
                <w:numId w:val="84"/>
              </w:numPr>
              <w:spacing w:after="60" w:line="240" w:lineRule="auto"/>
              <w:ind w:left="737" w:hanging="425"/>
              <w:rPr>
                <w:rFonts w:ascii="Times New Roman" w:eastAsia="MS Mincho" w:hAnsi="Times New Roman"/>
                <w:noProof/>
                <w:sz w:val="22"/>
                <w:szCs w:val="22"/>
              </w:rPr>
            </w:pPr>
            <w:r>
              <w:rPr>
                <w:rFonts w:ascii="Times New Roman" w:hAnsi="Times New Roman"/>
                <w:noProof/>
                <w:sz w:val="24"/>
                <w:szCs w:val="24"/>
              </w:rPr>
              <w:t>reguliariai teikti pažangos ataskaitą ir dalyvauti Komisijos valdomo NRIC tinklo pagrindinėje veikloje</w:t>
            </w:r>
            <w:r>
              <w:rPr>
                <w:rStyle w:val="FootnoteReference"/>
                <w:rFonts w:ascii="Times New Roman" w:eastAsia="MS Mincho" w:hAnsi="Times New Roman"/>
                <w:noProof/>
                <w:sz w:val="24"/>
                <w:szCs w:val="24"/>
              </w:rPr>
              <w:footnoteReference w:id="31"/>
            </w:r>
            <w:r>
              <w:rPr>
                <w:rFonts w:ascii="Times New Roman" w:hAnsi="Times New Roman"/>
                <w:noProof/>
                <w:sz w:val="24"/>
                <w:szCs w:val="24"/>
              </w:rPr>
              <w:t>.</w:t>
            </w:r>
          </w:p>
        </w:tc>
      </w:tr>
    </w:tbl>
    <w:p>
      <w:pPr>
        <w:spacing w:before="240" w:after="120" w:line="240" w:lineRule="auto"/>
        <w:jc w:val="both"/>
        <w:rPr>
          <w:rFonts w:ascii="Times New Roman" w:hAnsi="Times New Roman" w:cs="Times New Roman"/>
          <w:b/>
          <w:noProof/>
          <w:sz w:val="24"/>
          <w:szCs w:val="24"/>
        </w:rPr>
      </w:pPr>
      <w:r>
        <w:rPr>
          <w:rFonts w:ascii="Times New Roman" w:hAnsi="Times New Roman"/>
          <w:b/>
          <w:noProof/>
          <w:sz w:val="24"/>
          <w:szCs w:val="24"/>
        </w:rPr>
        <w:t>Trečia</w:t>
      </w:r>
      <w:r>
        <w:rPr>
          <w:rFonts w:ascii="Times New Roman" w:hAnsi="Times New Roman"/>
          <w:noProof/>
          <w:sz w:val="24"/>
          <w:szCs w:val="24"/>
        </w:rPr>
        <w:t xml:space="preserve">, be šių bendrųjų charakteristikų ir būtinųjų įsipareigojimų gali būti svarbu dėti papildomas pastangas nacionaliniu lygmeniu, </w:t>
      </w:r>
      <w:r>
        <w:rPr>
          <w:rFonts w:ascii="Times New Roman" w:hAnsi="Times New Roman"/>
          <w:b/>
          <w:noProof/>
          <w:sz w:val="24"/>
          <w:szCs w:val="24"/>
        </w:rPr>
        <w:t>atsižvelgiant į konkrečias nacionalines aplinkybes</w:t>
      </w:r>
      <w:r>
        <w:rPr>
          <w:rFonts w:ascii="Times New Roman" w:hAnsi="Times New Roman"/>
          <w:noProof/>
          <w:sz w:val="24"/>
          <w:szCs w:val="24"/>
        </w:rPr>
        <w:t xml:space="preserve">. Romų lygybės, įtraukties ir dalyvavimo uždaviniai skiriasi atsižvelgiant į romų bendruomenės dydį ir romų dalį, palyginti su visais gyventojais, taip pat į platesnes ekonomines aplinkybes ir atskirties bei diskriminacijos palikimą. Jie taip pat skiriasi atsižvelgiant į tai, kur ir kaip gyvena romai (kaimo, miesto, judriose, atskirtose vietovėse), ir nuo konkrečių aspektų, tokių kaip tarptautinis judumas, migracija ar su civilinės būklės dokumentais susiję klausimai. Šie įvairūs uždaviniai gali atsispindėti romų integracijos nacionaliniuose strateginiuose planuose, kuriuose nustatyti skirtingi tikslai, investicijų lygis ir politikos sprendimų rūšys. Atsižvelgdama į nacionalines aplinkybes (pavyzdžiui, duomenų rinkimo galimybes, tikslinio ar bendrojo ES finansavimo panaudojimą, santykinį romų bendruomenės dydį ir jos konkrečius poreikius), Komisija ragina </w:t>
      </w:r>
      <w:r>
        <w:rPr>
          <w:rFonts w:ascii="Times New Roman" w:hAnsi="Times New Roman"/>
          <w:b/>
          <w:noProof/>
          <w:sz w:val="24"/>
          <w:szCs w:val="24"/>
        </w:rPr>
        <w:t>valstybes nares prisiimti toliau išvardytus papildomus įsipareigojimus</w:t>
      </w:r>
      <w:r>
        <w:rPr>
          <w:rFonts w:ascii="Times New Roman" w:hAnsi="Times New Roman"/>
          <w:noProof/>
          <w:sz w:val="24"/>
          <w:szCs w:val="24"/>
        </w:rPr>
        <w:t>.</w:t>
      </w:r>
    </w:p>
    <w:tbl>
      <w:tblPr>
        <w:tblW w:w="9464" w:type="dxa"/>
        <w:tblBorders>
          <w:top w:val="single" w:sz="4" w:space="0" w:color="59A9F2"/>
          <w:left w:val="single" w:sz="4" w:space="0" w:color="59A9F2"/>
          <w:bottom w:val="single" w:sz="4" w:space="0" w:color="59A9F2"/>
          <w:right w:val="single" w:sz="4" w:space="0" w:color="59A9F2"/>
          <w:insideH w:val="single" w:sz="4" w:space="0" w:color="59A9F2"/>
          <w:insideV w:val="single" w:sz="4" w:space="0" w:color="59A9F2"/>
        </w:tblBorders>
        <w:tblLayout w:type="fixed"/>
        <w:tblLook w:val="04A0" w:firstRow="1" w:lastRow="0" w:firstColumn="1" w:lastColumn="0" w:noHBand="0" w:noVBand="1"/>
      </w:tblPr>
      <w:tblGrid>
        <w:gridCol w:w="9464"/>
      </w:tblGrid>
      <w:tr>
        <w:tc>
          <w:tcPr>
            <w:tcW w:w="9464" w:type="dxa"/>
            <w:shd w:val="clear" w:color="auto" w:fill="C7E2FA"/>
          </w:tcPr>
          <w:p>
            <w:pPr>
              <w:keepNext/>
              <w:spacing w:before="60" w:after="0" w:line="240" w:lineRule="auto"/>
              <w:rPr>
                <w:rFonts w:ascii="Times New Roman" w:eastAsia="MS Mincho" w:hAnsi="Times New Roman" w:cs="Times New Roman"/>
                <w:noProof/>
                <w:sz w:val="24"/>
                <w:szCs w:val="24"/>
              </w:rPr>
            </w:pPr>
            <w:r>
              <w:rPr>
                <w:rFonts w:ascii="Times New Roman" w:hAnsi="Times New Roman"/>
                <w:b/>
                <w:noProof/>
                <w:sz w:val="24"/>
                <w:szCs w:val="24"/>
              </w:rPr>
              <w:t xml:space="preserve">Nacionaliniame strateginiame plane </w:t>
            </w:r>
            <w:r>
              <w:rPr>
                <w:rFonts w:ascii="Times New Roman" w:hAnsi="Times New Roman"/>
                <w:noProof/>
                <w:sz w:val="24"/>
                <w:szCs w:val="24"/>
              </w:rPr>
              <w:t>taip pat turėtų būti nustatyta:</w:t>
            </w:r>
          </w:p>
          <w:p>
            <w:pPr>
              <w:pStyle w:val="ListParagraph"/>
              <w:keepNext/>
              <w:keepLines/>
              <w:numPr>
                <w:ilvl w:val="0"/>
                <w:numId w:val="85"/>
              </w:numPr>
              <w:spacing w:after="0" w:line="240" w:lineRule="auto"/>
              <w:rPr>
                <w:rFonts w:ascii="Times New Roman" w:eastAsia="MS Mincho" w:hAnsi="Times New Roman"/>
                <w:noProof/>
                <w:sz w:val="24"/>
                <w:szCs w:val="24"/>
              </w:rPr>
            </w:pPr>
            <w:r>
              <w:rPr>
                <w:rFonts w:ascii="Times New Roman" w:hAnsi="Times New Roman"/>
                <w:noProof/>
                <w:sz w:val="24"/>
                <w:szCs w:val="24"/>
              </w:rPr>
              <w:t>visų septynių ES tikslų nacionaliniai kiekybiniai bei kokybiniai uždaviniai ir susiję uždaviniai (atsižvelgiant į duomenų prieinamumą);</w:t>
            </w:r>
          </w:p>
          <w:p>
            <w:pPr>
              <w:pStyle w:val="ListParagraph"/>
              <w:keepNext/>
              <w:keepLines/>
              <w:numPr>
                <w:ilvl w:val="0"/>
                <w:numId w:val="85"/>
              </w:numPr>
              <w:spacing w:after="0" w:line="240" w:lineRule="auto"/>
              <w:rPr>
                <w:rFonts w:ascii="Times New Roman" w:eastAsia="MS Mincho" w:hAnsi="Times New Roman"/>
                <w:noProof/>
                <w:sz w:val="24"/>
                <w:szCs w:val="24"/>
              </w:rPr>
            </w:pPr>
            <w:r>
              <w:rPr>
                <w:rFonts w:ascii="Times New Roman" w:hAnsi="Times New Roman"/>
                <w:noProof/>
                <w:sz w:val="24"/>
                <w:szCs w:val="24"/>
              </w:rPr>
              <w:t>kaip bus romų reikmėms panaudojamos ES ir nacionalinės lėšos ir finansinės priemonės, taip pat</w:t>
            </w:r>
          </w:p>
          <w:p>
            <w:pPr>
              <w:pStyle w:val="ListParagraph"/>
              <w:keepNext/>
              <w:keepLines/>
              <w:numPr>
                <w:ilvl w:val="0"/>
                <w:numId w:val="85"/>
              </w:numPr>
              <w:spacing w:after="60" w:line="240" w:lineRule="auto"/>
              <w:rPr>
                <w:rFonts w:ascii="Times New Roman" w:eastAsia="MS Mincho" w:hAnsi="Times New Roman"/>
                <w:noProof/>
                <w:sz w:val="24"/>
                <w:szCs w:val="24"/>
              </w:rPr>
            </w:pPr>
            <w:r>
              <w:rPr>
                <w:rFonts w:ascii="Times New Roman" w:hAnsi="Times New Roman"/>
                <w:noProof/>
                <w:sz w:val="24"/>
                <w:szCs w:val="24"/>
              </w:rPr>
              <w:t>kaip institucinėmis ar administracinėmis reformomis bus prisidedama prie lygybės ir įtraukties.</w:t>
            </w:r>
          </w:p>
          <w:p>
            <w:pPr>
              <w:keepNext/>
              <w:spacing w:before="60" w:after="60" w:line="240" w:lineRule="auto"/>
              <w:rPr>
                <w:rFonts w:ascii="Times New Roman" w:hAnsi="Times New Roman"/>
                <w:noProof/>
              </w:rPr>
            </w:pPr>
            <w:r>
              <w:rPr>
                <w:rFonts w:ascii="Times New Roman" w:hAnsi="Times New Roman"/>
                <w:b/>
                <w:noProof/>
                <w:sz w:val="24"/>
                <w:szCs w:val="24"/>
              </w:rPr>
              <w:t xml:space="preserve">Nacionaliniai romų informacijos centrai (NRIC) </w:t>
            </w:r>
            <w:r>
              <w:rPr>
                <w:rFonts w:ascii="Times New Roman" w:hAnsi="Times New Roman"/>
                <w:noProof/>
                <w:sz w:val="24"/>
                <w:szCs w:val="24"/>
              </w:rPr>
              <w:t>taip pat turėtų atlikti nacionalinio strateginio plano laikotarpio vidurio vertinimą ir peržiūrą.</w:t>
            </w:r>
          </w:p>
        </w:tc>
      </w:tr>
    </w:tbl>
    <w:p>
      <w:pPr>
        <w:keepNext/>
        <w:keepLines/>
        <w:spacing w:before="240" w:after="120" w:line="240" w:lineRule="auto"/>
        <w:jc w:val="both"/>
        <w:rPr>
          <w:rFonts w:ascii="Times New Roman" w:eastAsia="Times New Roman" w:hAnsi="Times New Roman" w:cs="Times New Roman"/>
          <w:noProof/>
          <w:sz w:val="24"/>
          <w:szCs w:val="24"/>
        </w:rPr>
      </w:pPr>
      <w:r>
        <w:rPr>
          <w:rFonts w:ascii="Times New Roman" w:hAnsi="Times New Roman"/>
          <w:b/>
          <w:noProof/>
          <w:sz w:val="24"/>
          <w:szCs w:val="24"/>
        </w:rPr>
        <w:t>Ketvirta</w:t>
      </w:r>
      <w:r>
        <w:rPr>
          <w:rFonts w:ascii="Times New Roman" w:hAnsi="Times New Roman"/>
          <w:noProof/>
          <w:sz w:val="24"/>
          <w:szCs w:val="24"/>
        </w:rPr>
        <w:t>, kai romai sudaro didelę gyventojų dalį (t. y. gerokai daugiau nei 1 proc.)</w:t>
      </w:r>
      <w:r>
        <w:rPr>
          <w:rStyle w:val="FootnoteReference"/>
          <w:rFonts w:ascii="Times New Roman" w:eastAsia="Times New Roman" w:hAnsi="Times New Roman" w:cs="Times New Roman"/>
          <w:noProof/>
          <w:sz w:val="24"/>
          <w:szCs w:val="24"/>
        </w:rPr>
        <w:footnoteReference w:id="32"/>
      </w:r>
      <w:r>
        <w:rPr>
          <w:rFonts w:ascii="Times New Roman" w:hAnsi="Times New Roman"/>
          <w:noProof/>
          <w:sz w:val="24"/>
          <w:szCs w:val="24"/>
        </w:rPr>
        <w:t xml:space="preserve">, jų lygybės ir įtraukties skatinimas yra svarbus ne tik pagrindinių teisių atžvilgiu, bet ir ekonomiškai. Šalyse, kuriose gyvena daugiau romų, ši grupė sudaro vis didesnę mokyklinio amžiaus gyventojų ir būsimos darbo jėgos dalį. Pažanga romų socialinės ir ekonominės įtraukties srityje gali padėti sumažinti darbo jėgos ir įgūdžių trūkumą vykstant nepalankiems demografiniams pokyčiams, taip pat padėti sumažinti socialines išlaidas. Investicijos į geresnį švietimą ir anksčiau atskirtos darbo jėgos įgūdžių tobulinimą gali turėti teigiamos įtakos našumo didinimui. Užtikrinus, kad romai galėtų išnaudoti savo potencialą prisidėti prie ekonomikos ir visuomenės apskritai, bus pasiekti geresni socialiniai ir ekonominiai rezultatai visiems. </w:t>
      </w:r>
    </w:p>
    <w:p>
      <w:pPr>
        <w:keepNext/>
        <w:keepLines/>
        <w:spacing w:before="120"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Todėl reikia intensyvesnių įsipareigojimų ir ES paramos, visų pirma ES lėšų panaudojimo tiksliniams veiksmams ir įtraukioms bendrosioms reformoms įgyvendinti. Šiuo atžvilgiu valstybės narės, kuriose gyvena daug romų, raginamos visapusiškai pasinaudoti siūlomu ESF+ konkrečiu tikslu skatinti marginalizuotų bendruomenių, pavyzdžiui, romų, socialinę ir ekonominę integraciją. Jos taip pat raginamos dėti daugiau pastangų siekiant užtikrinti, kad turimas finansavimas veiksmingai pasiektų romus. Todėl taip pat reikia rinkti duomenis, suskirstytus pagal etninę kilmę ir lytį, kad būtų galima remti politikos formavimą, stebėseną ir peržiūrą.</w:t>
      </w:r>
    </w:p>
    <w:p>
      <w:pPr>
        <w:keepNext/>
        <w:keepLines/>
        <w:spacing w:before="120" w:after="120" w:line="240" w:lineRule="auto"/>
        <w:jc w:val="both"/>
        <w:rPr>
          <w:rFonts w:ascii="Times New Roman" w:eastAsia="Times New Roman" w:hAnsi="Times New Roman" w:cs="Times New Roman"/>
          <w:b/>
          <w:noProof/>
          <w:sz w:val="24"/>
          <w:szCs w:val="24"/>
        </w:rPr>
      </w:pPr>
      <w:r>
        <w:rPr>
          <w:rFonts w:ascii="Times New Roman" w:hAnsi="Times New Roman"/>
          <w:noProof/>
          <w:sz w:val="24"/>
          <w:szCs w:val="24"/>
        </w:rPr>
        <w:t xml:space="preserve">Todėl be būtinųjų ir nacionalinių aplinkybių nulemtų įsipareigojimų Komisija ragina </w:t>
      </w:r>
      <w:r>
        <w:rPr>
          <w:rFonts w:ascii="Times New Roman" w:hAnsi="Times New Roman"/>
          <w:b/>
          <w:noProof/>
          <w:sz w:val="24"/>
          <w:szCs w:val="24"/>
        </w:rPr>
        <w:t>valstybes nares, kuriose gyvena daug romų, į savo romų integracijos nacionalinį strateginį planą įtraukti toliau išvardytus platesnio užmojo įsipareigojimus</w:t>
      </w:r>
      <w:r>
        <w:rPr>
          <w:rFonts w:ascii="Times New Roman" w:hAnsi="Times New Roman"/>
          <w:noProof/>
          <w:sz w:val="24"/>
          <w:szCs w:val="24"/>
        </w:rPr>
        <w:t>.</w:t>
      </w:r>
    </w:p>
    <w:tbl>
      <w:tblPr>
        <w:tblW w:w="9464" w:type="dxa"/>
        <w:tblBorders>
          <w:top w:val="single" w:sz="4" w:space="0" w:color="59A9F2"/>
          <w:left w:val="single" w:sz="4" w:space="0" w:color="59A9F2"/>
          <w:bottom w:val="single" w:sz="4" w:space="0" w:color="59A9F2"/>
          <w:right w:val="single" w:sz="4" w:space="0" w:color="59A9F2"/>
          <w:insideH w:val="single" w:sz="4" w:space="0" w:color="59A9F2"/>
          <w:insideV w:val="single" w:sz="4" w:space="0" w:color="59A9F2"/>
        </w:tblBorders>
        <w:tblLayout w:type="fixed"/>
        <w:tblLook w:val="04A0" w:firstRow="1" w:lastRow="0" w:firstColumn="1" w:lastColumn="0" w:noHBand="0" w:noVBand="1"/>
      </w:tblPr>
      <w:tblGrid>
        <w:gridCol w:w="9464"/>
      </w:tblGrid>
      <w:tr>
        <w:tc>
          <w:tcPr>
            <w:tcW w:w="9464" w:type="dxa"/>
            <w:shd w:val="clear" w:color="auto" w:fill="C7E2FA"/>
          </w:tcPr>
          <w:p>
            <w:pPr>
              <w:spacing w:before="60" w:after="0" w:line="240" w:lineRule="auto"/>
              <w:jc w:val="both"/>
              <w:rPr>
                <w:rFonts w:ascii="Times New Roman" w:eastAsia="MS Mincho" w:hAnsi="Times New Roman" w:cs="Times New Roman"/>
                <w:noProof/>
                <w:sz w:val="24"/>
                <w:szCs w:val="24"/>
              </w:rPr>
            </w:pPr>
            <w:r>
              <w:rPr>
                <w:rFonts w:ascii="Times New Roman" w:hAnsi="Times New Roman"/>
                <w:b/>
                <w:noProof/>
                <w:sz w:val="24"/>
                <w:szCs w:val="24"/>
              </w:rPr>
              <w:t xml:space="preserve">Nacionaliniame strateginiame plane </w:t>
            </w:r>
            <w:r>
              <w:rPr>
                <w:rFonts w:ascii="Times New Roman" w:hAnsi="Times New Roman"/>
                <w:noProof/>
                <w:sz w:val="24"/>
                <w:szCs w:val="24"/>
              </w:rPr>
              <w:t>taip pat turėtų būti:</w:t>
            </w:r>
          </w:p>
          <w:p>
            <w:pPr>
              <w:pStyle w:val="ListParagraph"/>
              <w:numPr>
                <w:ilvl w:val="0"/>
                <w:numId w:val="44"/>
              </w:numPr>
              <w:spacing w:after="0" w:line="240" w:lineRule="auto"/>
              <w:rPr>
                <w:rFonts w:ascii="Times New Roman" w:eastAsia="MS Mincho" w:hAnsi="Times New Roman"/>
                <w:noProof/>
                <w:sz w:val="24"/>
                <w:szCs w:val="24"/>
              </w:rPr>
            </w:pPr>
            <w:r>
              <w:rPr>
                <w:rFonts w:ascii="Times New Roman" w:hAnsi="Times New Roman"/>
                <w:noProof/>
                <w:sz w:val="24"/>
                <w:szCs w:val="24"/>
              </w:rPr>
              <w:t>pateiktas priešiškumo romams ir diskriminacijos, segregacijos švietimo ir būsto srityse, taip pat prieš romus nukreiptų išankstinių nuostatų ir stereotipų (taip pat ir internetu) prevencijos ir kovos su jais planas arba priemonių rinkinys;</w:t>
            </w:r>
          </w:p>
          <w:p>
            <w:pPr>
              <w:pStyle w:val="ListParagraph"/>
              <w:numPr>
                <w:ilvl w:val="0"/>
                <w:numId w:val="44"/>
              </w:numPr>
              <w:spacing w:after="0" w:line="240" w:lineRule="auto"/>
              <w:rPr>
                <w:rFonts w:ascii="Times New Roman" w:eastAsia="MS Mincho" w:hAnsi="Times New Roman"/>
                <w:noProof/>
                <w:sz w:val="24"/>
                <w:szCs w:val="24"/>
              </w:rPr>
            </w:pPr>
            <w:r>
              <w:rPr>
                <w:rFonts w:ascii="Times New Roman" w:hAnsi="Times New Roman"/>
                <w:noProof/>
                <w:sz w:val="24"/>
                <w:szCs w:val="24"/>
              </w:rPr>
              <w:t>skatinama romų lygybė ir įtrauktis regionų ir vietos lygmenimis, taip pat</w:t>
            </w:r>
          </w:p>
          <w:p>
            <w:pPr>
              <w:pStyle w:val="ListParagraph"/>
              <w:numPr>
                <w:ilvl w:val="0"/>
                <w:numId w:val="44"/>
              </w:numPr>
              <w:spacing w:after="60" w:line="240" w:lineRule="auto"/>
              <w:rPr>
                <w:rFonts w:ascii="Times New Roman" w:eastAsia="MS Mincho" w:hAnsi="Times New Roman"/>
                <w:noProof/>
                <w:sz w:val="24"/>
                <w:szCs w:val="24"/>
              </w:rPr>
            </w:pPr>
            <w:r>
              <w:rPr>
                <w:rFonts w:ascii="Times New Roman" w:hAnsi="Times New Roman"/>
                <w:noProof/>
                <w:sz w:val="24"/>
                <w:szCs w:val="24"/>
              </w:rPr>
              <w:t>nustatyta, kaip bus investuojamos ES ir nacionalinės lėšos ir finansinės priemonės įtraukiajai bendrajai politikos reformai ir tiksliniams veiksmams įgyvendinti.</w:t>
            </w:r>
          </w:p>
          <w:p>
            <w:pPr>
              <w:spacing w:after="0" w:line="240" w:lineRule="auto"/>
              <w:rPr>
                <w:rFonts w:ascii="Times New Roman" w:eastAsia="MS Mincho" w:hAnsi="Times New Roman"/>
                <w:noProof/>
                <w:sz w:val="24"/>
                <w:szCs w:val="24"/>
              </w:rPr>
            </w:pPr>
            <w:r>
              <w:rPr>
                <w:rFonts w:ascii="Times New Roman" w:hAnsi="Times New Roman"/>
                <w:b/>
                <w:noProof/>
                <w:sz w:val="24"/>
                <w:szCs w:val="24"/>
              </w:rPr>
              <w:t>Turėtų būti sustiprintas</w:t>
            </w:r>
            <w:r>
              <w:rPr>
                <w:rFonts w:ascii="Times New Roman" w:hAnsi="Times New Roman"/>
                <w:noProof/>
                <w:sz w:val="24"/>
                <w:szCs w:val="24"/>
              </w:rPr>
              <w:t xml:space="preserve"> </w:t>
            </w:r>
            <w:r>
              <w:rPr>
                <w:rFonts w:ascii="Times New Roman" w:hAnsi="Times New Roman"/>
                <w:b/>
                <w:noProof/>
                <w:sz w:val="24"/>
                <w:szCs w:val="24"/>
              </w:rPr>
              <w:t>NRIC</w:t>
            </w:r>
            <w:r>
              <w:rPr>
                <w:rFonts w:ascii="Times New Roman" w:hAnsi="Times New Roman"/>
                <w:noProof/>
                <w:sz w:val="24"/>
                <w:szCs w:val="24"/>
              </w:rPr>
              <w:t xml:space="preserve"> vaidmuo, kad jie galėtų:</w:t>
            </w:r>
          </w:p>
          <w:p>
            <w:pPr>
              <w:pStyle w:val="ListParagraph"/>
              <w:numPr>
                <w:ilvl w:val="0"/>
                <w:numId w:val="87"/>
              </w:numPr>
              <w:spacing w:after="0" w:line="240" w:lineRule="auto"/>
              <w:rPr>
                <w:rFonts w:ascii="Times New Roman" w:eastAsia="MS Mincho" w:hAnsi="Times New Roman"/>
                <w:noProof/>
                <w:sz w:val="24"/>
                <w:szCs w:val="24"/>
              </w:rPr>
            </w:pPr>
            <w:r>
              <w:rPr>
                <w:rFonts w:ascii="Times New Roman" w:hAnsi="Times New Roman"/>
                <w:noProof/>
                <w:sz w:val="24"/>
                <w:szCs w:val="24"/>
              </w:rPr>
              <w:t>pasikliauti įsipareigojusiais darbuotojais ir instituciniais įgaliojimais, kuriais užtikrinama politinis svoris, veiksmingas tarpsektorinis koordinavimas ir romų lygybės bei įtraukties aspekto integravimas regionų ir vietos lygmenimis;</w:t>
            </w:r>
          </w:p>
          <w:p>
            <w:pPr>
              <w:pStyle w:val="ListParagraph"/>
              <w:numPr>
                <w:ilvl w:val="0"/>
                <w:numId w:val="87"/>
              </w:numPr>
              <w:spacing w:after="0" w:line="240" w:lineRule="auto"/>
              <w:rPr>
                <w:rFonts w:ascii="Times New Roman" w:eastAsia="MS Mincho" w:hAnsi="Times New Roman"/>
                <w:noProof/>
                <w:sz w:val="24"/>
                <w:szCs w:val="24"/>
              </w:rPr>
            </w:pPr>
            <w:r>
              <w:rPr>
                <w:rFonts w:ascii="Times New Roman" w:hAnsi="Times New Roman"/>
                <w:noProof/>
                <w:sz w:val="24"/>
                <w:szCs w:val="24"/>
              </w:rPr>
              <w:t xml:space="preserve">dalyvauti (ES fondų valdymo institucijų kvietimu) koordinuojant tarpvyriausybines diskusijas dėl ES lėšų paskirstymo romams ir sistemingai stebint jų naudojimą (pavyzdžiui, per stebėsenos komitetus, poveikio romų įtraukčiai patikrinimus); </w:t>
            </w:r>
          </w:p>
          <w:p>
            <w:pPr>
              <w:pStyle w:val="ListParagraph"/>
              <w:numPr>
                <w:ilvl w:val="0"/>
                <w:numId w:val="87"/>
              </w:numPr>
              <w:spacing w:after="0" w:line="240" w:lineRule="auto"/>
              <w:rPr>
                <w:rFonts w:ascii="Times New Roman" w:eastAsia="MS Mincho" w:hAnsi="Times New Roman"/>
                <w:noProof/>
                <w:sz w:val="24"/>
                <w:szCs w:val="24"/>
              </w:rPr>
            </w:pPr>
            <w:r>
              <w:rPr>
                <w:rFonts w:ascii="Times New Roman" w:hAnsi="Times New Roman"/>
                <w:noProof/>
                <w:sz w:val="24"/>
                <w:szCs w:val="24"/>
              </w:rPr>
              <w:t>užtikrinti nacionalines konsultacijas ir dialogą, siekiant romams suteikti daugiau galių (visų pirma jaunimui ir moterims), taip pat</w:t>
            </w:r>
          </w:p>
          <w:p>
            <w:pPr>
              <w:pStyle w:val="ListParagraph"/>
              <w:numPr>
                <w:ilvl w:val="0"/>
                <w:numId w:val="87"/>
              </w:numPr>
              <w:spacing w:after="0" w:line="240" w:lineRule="auto"/>
              <w:rPr>
                <w:rFonts w:ascii="Times New Roman" w:eastAsia="MS Mincho" w:hAnsi="Times New Roman"/>
                <w:noProof/>
                <w:sz w:val="22"/>
                <w:szCs w:val="22"/>
              </w:rPr>
            </w:pPr>
            <w:r>
              <w:rPr>
                <w:rFonts w:ascii="Times New Roman" w:hAnsi="Times New Roman"/>
                <w:noProof/>
                <w:sz w:val="24"/>
                <w:szCs w:val="24"/>
              </w:rPr>
              <w:t>užtikrinti, kad romams, įskaitant gyvenantiems atokiose kaimo vietovėse, galėtų būti veiksmingai taikoma viešoji politika ir universaliosios paslaugos (pavyzdžiui, neatidėliotinos ir vidutinės trukmės priemonės krizės metu, teisėkūros reforma, švietimo, užimtumo, sveikatos priežiūros, būsto, kitų socialinės ir ekonominės įtraukties sričių politikos planavimas, socialinės paslaugos, transportas, minimalių pajamų sistemos, teisės aktai dėl kovos su diskriminacija).</w:t>
            </w:r>
          </w:p>
        </w:tc>
      </w:tr>
    </w:tbl>
    <w:p>
      <w:pPr>
        <w:spacing w:before="240"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Galiausiai, kuriant ir įgyvendinant romų integracijos nacionalinius strateginius planus, valstybėms narėms patariama atsižvelgti į </w:t>
      </w:r>
      <w:r>
        <w:rPr>
          <w:rFonts w:ascii="Times New Roman" w:hAnsi="Times New Roman"/>
          <w:b/>
          <w:noProof/>
          <w:sz w:val="24"/>
          <w:szCs w:val="24"/>
        </w:rPr>
        <w:t>bendruosius pagrindinius romų įtraukties principus</w:t>
      </w:r>
      <w:r>
        <w:rPr>
          <w:rFonts w:ascii="Times New Roman" w:eastAsia="Times New Roman" w:hAnsi="Times New Roman" w:cs="Times New Roman"/>
          <w:noProof/>
          <w:sz w:val="24"/>
          <w:szCs w:val="24"/>
          <w:vertAlign w:val="superscript"/>
        </w:rPr>
        <w:footnoteReference w:id="33"/>
      </w:r>
      <w:r>
        <w:rPr>
          <w:rFonts w:ascii="Times New Roman" w:hAnsi="Times New Roman"/>
          <w:noProof/>
          <w:sz w:val="24"/>
          <w:szCs w:val="24"/>
        </w:rPr>
        <w:t>. 1 priede</w:t>
      </w:r>
      <w:r>
        <w:rPr>
          <w:rFonts w:ascii="Times New Roman" w:eastAsia="Times New Roman" w:hAnsi="Times New Roman" w:cs="Times New Roman"/>
          <w:noProof/>
          <w:sz w:val="24"/>
          <w:szCs w:val="24"/>
          <w:vertAlign w:val="superscript"/>
        </w:rPr>
        <w:footnoteReference w:id="34"/>
      </w:r>
      <w:r>
        <w:rPr>
          <w:rFonts w:ascii="Times New Roman" w:hAnsi="Times New Roman"/>
          <w:noProof/>
          <w:sz w:val="24"/>
          <w:szCs w:val="24"/>
        </w:rPr>
        <w:t xml:space="preserve"> pateikiamos papildomos </w:t>
      </w:r>
      <w:r>
        <w:rPr>
          <w:rFonts w:ascii="Times New Roman" w:hAnsi="Times New Roman"/>
          <w:b/>
          <w:noProof/>
          <w:sz w:val="24"/>
          <w:szCs w:val="24"/>
        </w:rPr>
        <w:t>politikos planavimo ir įgyvendinimo gairės</w:t>
      </w:r>
      <w:r>
        <w:rPr>
          <w:rFonts w:ascii="Times New Roman" w:hAnsi="Times New Roman"/>
          <w:noProof/>
          <w:sz w:val="24"/>
          <w:szCs w:val="24"/>
        </w:rPr>
        <w:t xml:space="preserve"> kovojant su priešiškumu romams ir kartų skurdu</w:t>
      </w:r>
      <w:r>
        <w:rPr>
          <w:rFonts w:ascii="Times New Roman" w:eastAsia="Times New Roman" w:hAnsi="Times New Roman" w:cs="Times New Roman"/>
          <w:noProof/>
          <w:sz w:val="24"/>
          <w:szCs w:val="24"/>
          <w:vertAlign w:val="superscript"/>
        </w:rPr>
        <w:footnoteReference w:id="35"/>
      </w:r>
      <w:r>
        <w:rPr>
          <w:rFonts w:ascii="Times New Roman" w:hAnsi="Times New Roman"/>
          <w:noProof/>
          <w:sz w:val="24"/>
          <w:szCs w:val="24"/>
        </w:rPr>
        <w:t xml:space="preserve">, skatinant romų dalyvavimą ir įgalėjimą, atsižvelgiant į romų bendruomenės narių įvairovę ir derinant tikslinius ir bendruosius požiūrius. Jame taip pat pateikiamos gairės, kaip geriau </w:t>
      </w:r>
      <w:r>
        <w:rPr>
          <w:rFonts w:ascii="Times New Roman" w:hAnsi="Times New Roman"/>
          <w:b/>
          <w:noProof/>
          <w:sz w:val="24"/>
          <w:szCs w:val="24"/>
        </w:rPr>
        <w:t>spręsti kylančias problemas</w:t>
      </w:r>
      <w:r>
        <w:rPr>
          <w:rFonts w:ascii="Times New Roman" w:hAnsi="Times New Roman"/>
          <w:noProof/>
          <w:sz w:val="24"/>
          <w:szCs w:val="24"/>
        </w:rPr>
        <w:t xml:space="preserve">, pavyzdžiui, sumažinti neproporcingą krizės, kaip antai COVID-19 pandemijos, poveikį romams, užtikrinti skaitmeninę įtrauktį ir teisingumą aplinkos srityje. Be to, jame pateikiamos gairės, kaip populiarinti (didinti informuotumą apie) romų meną, istoriją ir kultūrą, socialines inovacijas ir politikos eksperimentus. </w:t>
      </w:r>
    </w:p>
    <w:p>
      <w:pPr>
        <w:spacing w:after="120" w:line="240" w:lineRule="auto"/>
        <w:jc w:val="both"/>
        <w:rPr>
          <w:rFonts w:ascii="Times New Roman" w:hAnsi="Times New Roman"/>
          <w:noProof/>
          <w:sz w:val="24"/>
          <w:szCs w:val="24"/>
        </w:rPr>
      </w:pPr>
      <w:r>
        <w:rPr>
          <w:rFonts w:ascii="Times New Roman" w:hAnsi="Times New Roman"/>
          <w:noProof/>
          <w:sz w:val="24"/>
          <w:szCs w:val="24"/>
        </w:rPr>
        <w:t>Komisija rems valstybių narių romų integracijos nacionalinių strateginių planų kūrimą ir įgyvendinimą. Ji ne tik užtikrins finansinę paramą ir koordinavimo priemones (pavyzdžiui, tarpusavio mokymosi ar pajėgumų stiprinimo srityje), bet ir teiks metodinę paramą</w:t>
      </w:r>
      <w:r>
        <w:rPr>
          <w:rStyle w:val="FootnoteReference"/>
          <w:rFonts w:ascii="Times New Roman" w:eastAsia="MS Mincho" w:hAnsi="Times New Roman"/>
          <w:noProof/>
          <w:sz w:val="24"/>
          <w:szCs w:val="24"/>
        </w:rPr>
        <w:footnoteReference w:id="36"/>
      </w:r>
      <w:r>
        <w:rPr>
          <w:rFonts w:ascii="Times New Roman" w:hAnsi="Times New Roman"/>
          <w:noProof/>
          <w:sz w:val="24"/>
          <w:szCs w:val="24"/>
        </w:rPr>
        <w:t xml:space="preserve"> ir pagalbą pagal struktūrinių reformų rėmimo programą stebėsenos ir vertinimo sistemoms kurti</w:t>
      </w:r>
      <w:r>
        <w:rPr>
          <w:rStyle w:val="FootnoteReference"/>
          <w:rFonts w:ascii="Times New Roman" w:eastAsia="MS Mincho" w:hAnsi="Times New Roman"/>
          <w:noProof/>
          <w:sz w:val="24"/>
          <w:szCs w:val="24"/>
        </w:rPr>
        <w:footnoteReference w:id="37"/>
      </w:r>
      <w:r>
        <w:rPr>
          <w:rFonts w:ascii="Times New Roman" w:hAnsi="Times New Roman"/>
          <w:noProof/>
          <w:sz w:val="24"/>
          <w:szCs w:val="24"/>
        </w:rPr>
        <w:t>. Valstybės narės taip pat gali gauti FRA, lygybės įstaigų ir kitų nacionalinių žmogaus teisių institucijų bei nacionalinių statistikos institutų paramą, kad užtikrintų ar pagerintų nuolatinio duomenų rinkimo pajėgumus nacionaliniu lygmeniu</w:t>
      </w:r>
      <w:r>
        <w:rPr>
          <w:rStyle w:val="FootnoteReference"/>
          <w:rFonts w:ascii="Times New Roman" w:eastAsia="MS Mincho" w:hAnsi="Times New Roman"/>
          <w:noProof/>
          <w:sz w:val="24"/>
          <w:szCs w:val="24"/>
        </w:rPr>
        <w:footnoteReference w:id="38"/>
      </w:r>
      <w:r>
        <w:rPr>
          <w:rFonts w:ascii="Times New Roman" w:hAnsi="Times New Roman"/>
          <w:noProof/>
          <w:sz w:val="24"/>
          <w:szCs w:val="24"/>
        </w:rPr>
        <w:t>. ES parama bus moduliuojama atsižvelgiant į valstybių narių įsipareigojimų lygį.</w:t>
      </w:r>
    </w:p>
    <w:p>
      <w:pPr>
        <w:spacing w:before="240" w:after="240" w:line="240" w:lineRule="auto"/>
        <w:jc w:val="both"/>
        <w:rPr>
          <w:rFonts w:ascii="Times New Roman" w:hAnsi="Times New Roman"/>
          <w:noProof/>
          <w:sz w:val="24"/>
          <w:szCs w:val="24"/>
        </w:rPr>
      </w:pPr>
      <w:r>
        <w:rPr>
          <w:rFonts w:ascii="Times New Roman" w:hAnsi="Times New Roman"/>
          <w:b/>
          <w:i/>
          <w:noProof/>
          <w:sz w:val="24"/>
          <w:szCs w:val="24"/>
        </w:rPr>
        <w:t xml:space="preserve">III.2. </w:t>
      </w:r>
      <w:r>
        <w:rPr>
          <w:noProof/>
        </w:rPr>
        <w:tab/>
      </w:r>
      <w:r>
        <w:rPr>
          <w:rFonts w:ascii="Times New Roman" w:hAnsi="Times New Roman"/>
          <w:b/>
          <w:i/>
          <w:noProof/>
          <w:sz w:val="24"/>
          <w:szCs w:val="24"/>
        </w:rPr>
        <w:t>Nacionalinių veiksmų ir pažangos įgyvendinant uždavinius ataskaitų teikimas ir stebėsena</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Siekdama užtikrinti veiksmingesnį duomenų rinkimą, ataskaitų teikimą ir pažangos, padarytos įgyvendinant ES uždavinius, taip pat pirmiau pasiūlytus nacionalinius tikslus, stebėseną, Komisija pirmą kartą siūlo naudoti </w:t>
      </w:r>
      <w:r>
        <w:rPr>
          <w:rFonts w:ascii="Times New Roman" w:hAnsi="Times New Roman"/>
          <w:b/>
          <w:noProof/>
          <w:sz w:val="24"/>
          <w:szCs w:val="24"/>
        </w:rPr>
        <w:t>rodiklių rinkinį</w:t>
      </w:r>
      <w:r>
        <w:rPr>
          <w:rFonts w:ascii="Times New Roman" w:hAnsi="Times New Roman"/>
          <w:noProof/>
          <w:sz w:val="24"/>
          <w:szCs w:val="24"/>
        </w:rPr>
        <w:t xml:space="preserve"> (žr. 2 priedą). Tai būtų labai naudinga valstybių narių tarpusavio mokymuisi. Šį rinkinį parengė FRA koordinuojama darbo grupė su romais susijusių rodiklių ir ataskaitų teikimo klausimais, dalyvaujant nacionaliniams romų informacijos centrams, nacionalinėms statistikos tarnyboms ir Komisijai. Juo remiantis taip pat bus galima teikti ataskaitas dėl pasiūlytoje Tarybos rekomendacijoje nustatytų priemonių. </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Nacionalinių veiksmų ataskaitos bus teikiamos ir stebėsena bus vykdoma tiek ES, tiek nacionaliniu lygmenimis. </w:t>
      </w:r>
      <w:r>
        <w:rPr>
          <w:rFonts w:ascii="Times New Roman" w:hAnsi="Times New Roman"/>
          <w:b/>
          <w:noProof/>
          <w:sz w:val="24"/>
          <w:szCs w:val="24"/>
        </w:rPr>
        <w:t>2022 m. Komisija apžvelgs romų integracijos nacionalinius strateginius planus</w:t>
      </w:r>
      <w:r>
        <w:rPr>
          <w:rFonts w:ascii="Times New Roman" w:hAnsi="Times New Roman"/>
          <w:noProof/>
          <w:sz w:val="24"/>
          <w:szCs w:val="24"/>
        </w:rPr>
        <w:t xml:space="preserve">, įvertins valstybių narių prisiimtus įsipareigojimus ir pateiks gaires, kaip pagerinti padėtį. </w:t>
      </w:r>
    </w:p>
    <w:p>
      <w:pPr>
        <w:spacing w:after="120" w:line="240" w:lineRule="auto"/>
        <w:jc w:val="both"/>
        <w:rPr>
          <w:rFonts w:ascii="Times New Roman" w:hAnsi="Times New Roman"/>
          <w:noProof/>
          <w:sz w:val="24"/>
          <w:szCs w:val="24"/>
        </w:rPr>
      </w:pPr>
      <w:r>
        <w:rPr>
          <w:rFonts w:ascii="Times New Roman" w:hAnsi="Times New Roman"/>
          <w:b/>
          <w:noProof/>
          <w:sz w:val="24"/>
          <w:szCs w:val="24"/>
        </w:rPr>
        <w:t>Valstybių narių prašoma nuo 2023 m. kas dvejus metus teikti ataskaitas dėl romų integracijos nacionalinių strateginių planų įgyvendinimo</w:t>
      </w:r>
      <w:r>
        <w:rPr>
          <w:rFonts w:ascii="Times New Roman" w:hAnsi="Times New Roman"/>
          <w:noProof/>
          <w:sz w:val="24"/>
          <w:szCs w:val="24"/>
        </w:rPr>
        <w:t xml:space="preserve">, įskaitant lygybės, įtraukties ir dalyvavimo skatinimo priemones ir visapusišką rodiklių rinkinio panaudojimą. Teikiant ataskaitas daugiausia dėmesio turėtų būti skiriama nacionaliniuose planuose nustatytų įsipareigojimų įgyvendinimui, įskaitant, kai tinkama, nacionalinių uždavinių įgyvendinimą. Šios ataskaitos turėtų būti viešinamos, kad būtų didinamas skaidrumas ir sudaromos sąlygos formuoti geresnę politiką. Strateginiai planai ir parengtos ataskaitos taip pat turėtų būti aptariami nacionaliniuose parlamentuose. </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Komisija prašo </w:t>
      </w:r>
      <w:r>
        <w:rPr>
          <w:rFonts w:ascii="Times New Roman" w:hAnsi="Times New Roman"/>
          <w:b/>
          <w:noProof/>
          <w:sz w:val="24"/>
          <w:szCs w:val="24"/>
        </w:rPr>
        <w:t xml:space="preserve"> FRA </w:t>
      </w:r>
      <w:r>
        <w:rPr>
          <w:rFonts w:ascii="Times New Roman" w:hAnsi="Times New Roman"/>
          <w:noProof/>
          <w:sz w:val="24"/>
          <w:szCs w:val="24"/>
        </w:rPr>
        <w:t>kas ketverius metus nuo 2020 m.</w:t>
      </w:r>
      <w:r>
        <w:rPr>
          <w:rFonts w:ascii="Times New Roman" w:hAnsi="Times New Roman"/>
          <w:b/>
          <w:noProof/>
          <w:sz w:val="24"/>
          <w:szCs w:val="24"/>
        </w:rPr>
        <w:t xml:space="preserve"> rengti reguliarią romų apklausą</w:t>
      </w:r>
      <w:r>
        <w:rPr>
          <w:rFonts w:ascii="Times New Roman" w:hAnsi="Times New Roman"/>
          <w:noProof/>
          <w:sz w:val="24"/>
          <w:szCs w:val="24"/>
        </w:rPr>
        <w:t>, kad būtų pateikti būtini pradiniai, laikotarpio vidurio ir laikotarpio pabaigos duomenys pokyčiams įvertinti.</w:t>
      </w:r>
      <w:r>
        <w:rPr>
          <w:rStyle w:val="FootnoteReference"/>
          <w:rFonts w:ascii="Times New Roman" w:hAnsi="Times New Roman"/>
          <w:noProof/>
          <w:sz w:val="24"/>
          <w:szCs w:val="24"/>
        </w:rPr>
        <w:footnoteReference w:id="39"/>
      </w:r>
      <w:r>
        <w:rPr>
          <w:noProof/>
        </w:rPr>
        <w:t>.</w:t>
      </w:r>
      <w:r>
        <w:rPr>
          <w:rFonts w:ascii="Times New Roman" w:hAnsi="Times New Roman"/>
          <w:noProof/>
          <w:sz w:val="24"/>
          <w:szCs w:val="24"/>
        </w:rPr>
        <w:t xml:space="preserve"> FRA taip pat prašoma remti valstybių narių duomenų rinkimo ir ataskaitų teikimo pastangas, be kita ko, pasitelkiant darbo grupę su romais susijusių rodiklių ir ataskaitų teikimo klausimais, ir informuoti Komisiją apie nacionalinės pažangos stebėseną ir analizę.</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Nacionalinės ataskaitos kartu su pilietinės visuomenės indėliu ir FRA duomenimis bus kas dvejus metus rengiamų Komisijos </w:t>
      </w:r>
      <w:r>
        <w:rPr>
          <w:rFonts w:ascii="Times New Roman" w:hAnsi="Times New Roman"/>
          <w:b/>
          <w:noProof/>
          <w:sz w:val="24"/>
          <w:szCs w:val="24"/>
        </w:rPr>
        <w:t>periodinių stebėsenos ataskaitų</w:t>
      </w:r>
      <w:r>
        <w:rPr>
          <w:rFonts w:ascii="Times New Roman" w:hAnsi="Times New Roman"/>
          <w:noProof/>
          <w:sz w:val="24"/>
          <w:szCs w:val="24"/>
        </w:rPr>
        <w:t xml:space="preserve"> pagrindas. Komisija taip pat atliks ES romų integracijos strateginio plano laikotarpio vidurio ir </w:t>
      </w:r>
      <w:r>
        <w:rPr>
          <w:rFonts w:ascii="Times New Roman" w:hAnsi="Times New Roman"/>
          <w:i/>
          <w:noProof/>
          <w:sz w:val="24"/>
          <w:szCs w:val="24"/>
        </w:rPr>
        <w:t>ex post</w:t>
      </w:r>
      <w:r>
        <w:rPr>
          <w:rFonts w:ascii="Times New Roman" w:hAnsi="Times New Roman"/>
          <w:noProof/>
          <w:sz w:val="24"/>
          <w:szCs w:val="24"/>
        </w:rPr>
        <w:t xml:space="preserve"> </w:t>
      </w:r>
      <w:r>
        <w:rPr>
          <w:rFonts w:ascii="Times New Roman" w:hAnsi="Times New Roman"/>
          <w:b/>
          <w:noProof/>
          <w:sz w:val="24"/>
          <w:szCs w:val="24"/>
        </w:rPr>
        <w:t>vertinimą</w:t>
      </w:r>
      <w:r>
        <w:rPr>
          <w:rFonts w:ascii="Times New Roman" w:hAnsi="Times New Roman"/>
          <w:noProof/>
          <w:sz w:val="24"/>
          <w:szCs w:val="24"/>
        </w:rPr>
        <w:t>.</w:t>
      </w:r>
    </w:p>
    <w:p>
      <w:pPr>
        <w:keepNext/>
        <w:keepLines/>
        <w:shd w:val="clear" w:color="auto" w:fill="FFFFFF" w:themeFill="background1"/>
        <w:spacing w:before="360" w:after="240" w:line="240" w:lineRule="auto"/>
        <w:jc w:val="both"/>
        <w:rPr>
          <w:rFonts w:ascii="Times New Roman" w:eastAsia="Times New Roman" w:hAnsi="Times New Roman" w:cs="Times New Roman"/>
          <w:b/>
          <w:i/>
          <w:smallCaps/>
          <w:noProof/>
          <w:sz w:val="24"/>
          <w:szCs w:val="24"/>
        </w:rPr>
      </w:pPr>
      <w:r>
        <w:rPr>
          <w:rFonts w:ascii="Times New Roman" w:hAnsi="Times New Roman"/>
          <w:b/>
          <w:i/>
          <w:smallCaps/>
          <w:noProof/>
          <w:sz w:val="24"/>
          <w:szCs w:val="24"/>
        </w:rPr>
        <w:t xml:space="preserve">IV. </w:t>
      </w:r>
      <w:r>
        <w:rPr>
          <w:noProof/>
        </w:rPr>
        <w:tab/>
      </w:r>
      <w:r>
        <w:rPr>
          <w:rFonts w:ascii="Times New Roman" w:hAnsi="Times New Roman"/>
          <w:b/>
          <w:i/>
          <w:smallCaps/>
          <w:noProof/>
          <w:sz w:val="24"/>
          <w:szCs w:val="24"/>
        </w:rPr>
        <w:t>ES veiksmai</w:t>
      </w:r>
    </w:p>
    <w:p>
      <w:pPr>
        <w:spacing w:after="120" w:line="240" w:lineRule="auto"/>
        <w:jc w:val="both"/>
        <w:rPr>
          <w:rFonts w:ascii="Times New Roman" w:hAnsi="Times New Roman"/>
          <w:noProof/>
          <w:sz w:val="24"/>
          <w:szCs w:val="24"/>
        </w:rPr>
      </w:pPr>
      <w:r>
        <w:rPr>
          <w:rFonts w:ascii="Times New Roman" w:hAnsi="Times New Roman"/>
          <w:noProof/>
          <w:sz w:val="24"/>
          <w:szCs w:val="24"/>
        </w:rPr>
        <w:t>Valstybės narės yra pagrindiniai subjektai, užtikrinantys su romais susijusius pokyčius vietoje. ES veiksmais ir parama bus papildytos nacionalinės pastangos skatinti pažangą siekiant ES tikslų ir uždavinių iki 2030 m.</w:t>
      </w:r>
    </w:p>
    <w:p>
      <w:pPr>
        <w:spacing w:before="240" w:after="240" w:line="240" w:lineRule="auto"/>
        <w:ind w:left="851" w:hanging="851"/>
        <w:jc w:val="both"/>
        <w:rPr>
          <w:rFonts w:ascii="Times New Roman" w:hAnsi="Times New Roman"/>
          <w:b/>
          <w:i/>
          <w:noProof/>
          <w:sz w:val="24"/>
          <w:szCs w:val="24"/>
        </w:rPr>
      </w:pPr>
      <w:r>
        <w:rPr>
          <w:rFonts w:ascii="Times New Roman" w:hAnsi="Times New Roman"/>
          <w:b/>
          <w:i/>
          <w:noProof/>
          <w:sz w:val="24"/>
          <w:szCs w:val="24"/>
        </w:rPr>
        <w:t>IV.1.</w:t>
      </w:r>
      <w:r>
        <w:rPr>
          <w:noProof/>
        </w:rPr>
        <w:tab/>
      </w:r>
      <w:r>
        <w:rPr>
          <w:rFonts w:ascii="Times New Roman" w:hAnsi="Times New Roman"/>
          <w:b/>
          <w:i/>
          <w:noProof/>
          <w:sz w:val="24"/>
          <w:szCs w:val="24"/>
        </w:rPr>
        <w:t>ES teisės aktų vykdymo užtikrinimas</w:t>
      </w:r>
    </w:p>
    <w:p>
      <w:pPr>
        <w:spacing w:after="120" w:line="240" w:lineRule="auto"/>
        <w:jc w:val="both"/>
        <w:rPr>
          <w:rFonts w:ascii="Times New Roman" w:hAnsi="Times New Roman"/>
          <w:noProof/>
          <w:sz w:val="24"/>
          <w:szCs w:val="24"/>
        </w:rPr>
      </w:pPr>
      <w:r>
        <w:rPr>
          <w:rFonts w:ascii="Times New Roman" w:hAnsi="Times New Roman"/>
          <w:noProof/>
          <w:sz w:val="24"/>
          <w:szCs w:val="24"/>
        </w:rPr>
        <w:t>Kovos su priešiškumu romams ir diskriminacija veiksmai grindžiami įtvirtinta ES teisine sistema, įskaitant Sutartyse nustatytus bendruosius nediskriminavimo ir lygybės principus, dar kartą patvirtintus ES pagrindinių teisių chartija</w:t>
      </w:r>
      <w:r>
        <w:rPr>
          <w:rStyle w:val="FootnoteReference"/>
          <w:rFonts w:ascii="Times New Roman" w:hAnsi="Times New Roman"/>
          <w:noProof/>
          <w:sz w:val="24"/>
          <w:szCs w:val="24"/>
        </w:rPr>
        <w:footnoteReference w:id="40"/>
      </w:r>
      <w:r>
        <w:rPr>
          <w:rFonts w:ascii="Times New Roman" w:hAnsi="Times New Roman"/>
          <w:noProof/>
          <w:sz w:val="24"/>
          <w:szCs w:val="24"/>
        </w:rPr>
        <w:t>, taip pat Rasinės lygybės direktyva</w:t>
      </w:r>
      <w:r>
        <w:rPr>
          <w:rStyle w:val="FootnoteReference"/>
          <w:rFonts w:ascii="Times New Roman" w:hAnsi="Times New Roman"/>
          <w:noProof/>
          <w:sz w:val="24"/>
          <w:szCs w:val="24"/>
        </w:rPr>
        <w:footnoteReference w:id="41"/>
      </w:r>
      <w:r>
        <w:rPr>
          <w:rFonts w:ascii="Times New Roman" w:hAnsi="Times New Roman"/>
          <w:noProof/>
          <w:sz w:val="24"/>
          <w:szCs w:val="24"/>
        </w:rPr>
        <w:t xml:space="preserve"> ir Tarybos pamatiniu sprendimu dėl rasizmo ir ksenofobijos</w:t>
      </w:r>
      <w:r>
        <w:rPr>
          <w:rFonts w:ascii="Times New Roman" w:hAnsi="Times New Roman"/>
          <w:noProof/>
          <w:sz w:val="24"/>
          <w:szCs w:val="24"/>
          <w:vertAlign w:val="superscript"/>
        </w:rPr>
        <w:footnoteReference w:id="42"/>
      </w:r>
      <w:r>
        <w:rPr>
          <w:rFonts w:ascii="Times New Roman" w:hAnsi="Times New Roman"/>
          <w:noProof/>
          <w:sz w:val="24"/>
          <w:szCs w:val="24"/>
        </w:rPr>
        <w:t>. Kaip pabrėžiama 2020–2025 m. ES kovos su rasizmu veiksmų plane, visapusiškai apsaugos nuo diskriminacijos sistemai visų pirma reikalingas veiksmingas teisinės sistemos įgyvendinimas, siekiant užtikrinti, kad asmens teisės ir pareigos būtų iš tiesų gerbiamos. Šis darbas apima ne tik romus, tačiau jis bus tiesiogiai naudingas romų bendruomenėms.</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Komisija ir toliau stebės ir užtikrins </w:t>
      </w:r>
      <w:r>
        <w:rPr>
          <w:rFonts w:ascii="Times New Roman" w:hAnsi="Times New Roman"/>
          <w:b/>
          <w:noProof/>
          <w:sz w:val="24"/>
          <w:szCs w:val="24"/>
        </w:rPr>
        <w:t>Rasinės lygybės direktyvos</w:t>
      </w:r>
      <w:r>
        <w:rPr>
          <w:rFonts w:ascii="Times New Roman" w:hAnsi="Times New Roman"/>
          <w:noProof/>
          <w:sz w:val="24"/>
          <w:szCs w:val="24"/>
        </w:rPr>
        <w:t xml:space="preserve"> vykdymą: tirs sisteminę diskriminaciją ir prireikus pradės pažeidimų nagrinėjimo procedūras, kad paskatintų nacionalinės teisės aktų ir politikos pokyčius. Pastaraisiais metais</w:t>
      </w:r>
      <w:r>
        <w:rPr>
          <w:rFonts w:ascii="Times New Roman" w:hAnsi="Times New Roman"/>
          <w:noProof/>
          <w:sz w:val="24"/>
        </w:rPr>
        <w:t xml:space="preserve"> ypatingas dėmesys buvo skiriamas romų vaikų diskriminacijai švietimo srityje.</w:t>
      </w:r>
      <w:r>
        <w:rPr>
          <w:rFonts w:ascii="Times New Roman" w:hAnsi="Times New Roman"/>
          <w:noProof/>
          <w:sz w:val="24"/>
          <w:szCs w:val="24"/>
        </w:rPr>
        <w:t xml:space="preserve"> Komisija teiks gaires, rengs mokymus ir skirs finansinę paramą duomenų apie lygybę rinkimui ir veiksmingam šios direktyvos įgyvendinimui ir vykdymo užtikrinimui, be kita ko, atstovaujant aukų interesams. Kaip skelbiama ES kovos su rasizmu veiksmų plane, 2021 m. Komisija pateiks šios direktyvos taikymo ataskaitą</w:t>
      </w:r>
      <w:r>
        <w:rPr>
          <w:rStyle w:val="FootnoteReference"/>
          <w:rFonts w:ascii="Times New Roman" w:hAnsi="Times New Roman"/>
          <w:noProof/>
          <w:sz w:val="24"/>
          <w:szCs w:val="24"/>
        </w:rPr>
        <w:footnoteReference w:id="43"/>
      </w:r>
      <w:r>
        <w:rPr>
          <w:rFonts w:ascii="Times New Roman" w:hAnsi="Times New Roman"/>
          <w:noProof/>
          <w:sz w:val="24"/>
          <w:szCs w:val="24"/>
        </w:rPr>
        <w:t xml:space="preserve"> ir iki 2022 m. imsis tolesnių veiksmų, susijusių su galimais teisės aktais. Be to, Komisija ir toliau rems lygybės įstaigų, kurios aktyviai prisideda prie </w:t>
      </w:r>
      <w:r>
        <w:rPr>
          <w:rStyle w:val="FootnoteReference"/>
          <w:rFonts w:ascii="Times New Roman" w:hAnsi="Times New Roman"/>
          <w:noProof/>
          <w:sz w:val="24"/>
          <w:szCs w:val="24"/>
        </w:rPr>
        <w:footnoteReference w:id="44"/>
      </w:r>
      <w:r>
        <w:rPr>
          <w:rFonts w:ascii="Times New Roman" w:hAnsi="Times New Roman"/>
          <w:noProof/>
          <w:sz w:val="24"/>
          <w:szCs w:val="24"/>
        </w:rPr>
        <w:t xml:space="preserve"> romų padėties ir patirties gerinimo, veiklą. Komisija vykdys Komisijos rekomendacijos dėl lygybės įstaigoms taikomų standartų</w:t>
      </w:r>
      <w:r>
        <w:rPr>
          <w:rStyle w:val="FootnoteReference"/>
          <w:rFonts w:ascii="Times New Roman" w:hAnsi="Times New Roman"/>
          <w:noProof/>
          <w:sz w:val="24"/>
          <w:szCs w:val="24"/>
        </w:rPr>
        <w:footnoteReference w:id="45"/>
      </w:r>
      <w:r>
        <w:rPr>
          <w:rFonts w:ascii="Times New Roman" w:hAnsi="Times New Roman"/>
          <w:noProof/>
          <w:sz w:val="24"/>
          <w:szCs w:val="24"/>
        </w:rPr>
        <w:t xml:space="preserve"> įgyvendinimo stebėseną. Lygybės įstaigų vaidmuo ir nepriklausomumas, taip pat galimas poreikis parengti naujus teisės aktus siekiant sustiprinti šių įstaigų vaidmenį, bus svarbi 2021 m. ataskaitos tema.</w:t>
      </w:r>
    </w:p>
    <w:p>
      <w:pPr>
        <w:spacing w:after="60" w:line="240" w:lineRule="auto"/>
        <w:jc w:val="both"/>
        <w:rPr>
          <w:rFonts w:ascii="Times New Roman" w:hAnsi="Times New Roman"/>
          <w:b/>
          <w:i/>
          <w:noProof/>
          <w:sz w:val="24"/>
          <w:szCs w:val="24"/>
        </w:rPr>
      </w:pPr>
      <w:r>
        <w:rPr>
          <w:rFonts w:ascii="Times New Roman" w:hAnsi="Times New Roman"/>
          <w:noProof/>
          <w:sz w:val="24"/>
          <w:szCs w:val="24"/>
        </w:rPr>
        <w:t>Komisija taip pat tęs darbą rasizmo ir ksenofobijos prevencijos ir kovos su tuo srityje: visų pirma padedama FRA stiprins neapykantos nusikaltimų registravimą ir ataskaitų teikimą, tobulins teisėsaugos institucijų mokymo strategijas ir didins paramą neapykantos nusikaltimų aukoms. FRA duomenimis</w:t>
      </w:r>
      <w:r>
        <w:rPr>
          <w:rStyle w:val="FootnoteReference"/>
          <w:rFonts w:ascii="Times New Roman" w:hAnsi="Times New Roman"/>
          <w:noProof/>
          <w:sz w:val="24"/>
          <w:szCs w:val="24"/>
        </w:rPr>
        <w:footnoteReference w:id="46"/>
      </w:r>
      <w:r>
        <w:rPr>
          <w:rFonts w:ascii="Times New Roman" w:hAnsi="Times New Roman"/>
          <w:noProof/>
          <w:sz w:val="24"/>
          <w:szCs w:val="24"/>
        </w:rPr>
        <w:t xml:space="preserve">, daug romų (30 proc. romų kilmės respondentų) patiria neapykantos motyvuotą priekabiavimą. Komisija pakartoja esanti įsipareigojusi užtikrinti visapusišką ir tinkamą </w:t>
      </w:r>
      <w:r>
        <w:rPr>
          <w:rFonts w:ascii="Times New Roman" w:hAnsi="Times New Roman"/>
          <w:b/>
          <w:noProof/>
          <w:sz w:val="24"/>
          <w:szCs w:val="24"/>
        </w:rPr>
        <w:t>Tarybos pamatinio sprendimo dėl rasizmo ir ksenofobijos</w:t>
      </w:r>
      <w:r>
        <w:rPr>
          <w:rFonts w:ascii="Times New Roman" w:hAnsi="Times New Roman"/>
          <w:noProof/>
          <w:sz w:val="24"/>
          <w:szCs w:val="24"/>
        </w:rPr>
        <w:t xml:space="preserve"> perkėlimą į nacionalinę teisę bei jo įgyvendinimą ir prireikus pradėti pažeidimų nagrinėjimo procedūras</w:t>
      </w:r>
      <w:r>
        <w:rPr>
          <w:rFonts w:ascii="Times New Roman" w:hAnsi="Times New Roman"/>
          <w:noProof/>
          <w:sz w:val="24"/>
          <w:szCs w:val="24"/>
          <w:vertAlign w:val="superscript"/>
        </w:rPr>
        <w:footnoteReference w:id="47"/>
      </w:r>
      <w:r>
        <w:rPr>
          <w:rFonts w:ascii="Times New Roman" w:hAnsi="Times New Roman"/>
          <w:noProof/>
          <w:sz w:val="24"/>
          <w:szCs w:val="24"/>
        </w:rPr>
        <w:t>. Siekiant kovoti su priešiškumu romams, į valstybių narių teisės aktus turi būti visapusiškai ir tinkamai perkelti būtinieji standartai, susiję su neapykantos kurstymo, taip pat su holokausto neigimo, toleravimo ar menkinimo kriminalizavimu. Kaip ir kiti etninėms ar rasinėms mažumoms priklausantys asmenys, romai kenčia nuo neapykantos kurstymo internete, o priešiškumas romams yra vienas dažniausiai nurodomų neapykantos kurstymo motyvų. Komisija ir toliau bendradarbiaus su IT bendrovėmis, siekdama kovoti su neteisėtu neapykantos kurstymu internete, ir dės pastangas kitose socialinės žiniasklaidos platformose</w:t>
      </w:r>
      <w:r>
        <w:rPr>
          <w:rStyle w:val="FootnoteReference"/>
          <w:rFonts w:ascii="Times New Roman" w:hAnsi="Times New Roman"/>
          <w:noProof/>
          <w:sz w:val="24"/>
          <w:szCs w:val="24"/>
        </w:rPr>
        <w:footnoteReference w:id="48"/>
      </w:r>
      <w:r>
        <w:rPr>
          <w:rFonts w:ascii="Times New Roman" w:hAnsi="Times New Roman"/>
          <w:noProof/>
          <w:sz w:val="24"/>
          <w:szCs w:val="24"/>
        </w:rPr>
        <w:t>. Pamatinį sprendimą papildo Nusikaltimų aukų teisių direktyva</w:t>
      </w:r>
      <w:r>
        <w:rPr>
          <w:rStyle w:val="FootnoteReference"/>
          <w:rFonts w:ascii="Times New Roman" w:hAnsi="Times New Roman"/>
          <w:noProof/>
          <w:sz w:val="24"/>
          <w:szCs w:val="24"/>
        </w:rPr>
        <w:footnoteReference w:id="49"/>
      </w:r>
      <w:r>
        <w:rPr>
          <w:rFonts w:ascii="Times New Roman" w:hAnsi="Times New Roman"/>
          <w:noProof/>
          <w:sz w:val="24"/>
          <w:szCs w:val="24"/>
        </w:rPr>
        <w:t>, kuria, bet kita ko, neapykantos nusikaltimų ir neapykantos kurstymo aukoms siekiama užtikrinti teisingumą, apsaugą ir paramą. ES strategijoje dėl aukų teisių (2020–2025 m.) atsižvelgiama į konkrečius neapykantos nusikaltimų aukų, įskaitant romus, poreikius</w:t>
      </w:r>
      <w:r>
        <w:rPr>
          <w:rFonts w:ascii="Times New Roman" w:hAnsi="Times New Roman"/>
          <w:noProof/>
          <w:sz w:val="24"/>
          <w:szCs w:val="24"/>
          <w:vertAlign w:val="superscript"/>
        </w:rPr>
        <w:footnoteReference w:id="50"/>
      </w:r>
      <w:r>
        <w:rPr>
          <w:rFonts w:ascii="Times New Roman" w:hAnsi="Times New Roman"/>
          <w:noProof/>
          <w:sz w:val="24"/>
          <w:szCs w:val="24"/>
        </w:rPr>
        <w:t>.</w:t>
      </w:r>
    </w:p>
    <w:p>
      <w:pPr>
        <w:spacing w:before="240" w:after="240" w:line="240" w:lineRule="auto"/>
        <w:ind w:left="567" w:hanging="567"/>
        <w:jc w:val="both"/>
        <w:rPr>
          <w:rFonts w:ascii="Times New Roman" w:hAnsi="Times New Roman"/>
          <w:noProof/>
          <w:sz w:val="24"/>
          <w:szCs w:val="24"/>
        </w:rPr>
      </w:pPr>
      <w:r>
        <w:rPr>
          <w:rFonts w:ascii="Times New Roman" w:hAnsi="Times New Roman"/>
          <w:b/>
          <w:i/>
          <w:noProof/>
          <w:sz w:val="24"/>
          <w:szCs w:val="24"/>
        </w:rPr>
        <w:t xml:space="preserve">IV.2. </w:t>
      </w:r>
      <w:r>
        <w:rPr>
          <w:noProof/>
        </w:rPr>
        <w:tab/>
      </w:r>
      <w:r>
        <w:rPr>
          <w:rFonts w:ascii="Times New Roman" w:hAnsi="Times New Roman"/>
          <w:b/>
          <w:i/>
          <w:noProof/>
          <w:sz w:val="24"/>
          <w:szCs w:val="24"/>
        </w:rPr>
        <w:t>Romų lygybės aspekto integravimas į ES politikos iniciatyvas ir ES lėšų sutelkimas romams</w:t>
      </w:r>
      <w:r>
        <w:rPr>
          <w:rStyle w:val="FootnoteReference"/>
          <w:rFonts w:ascii="Times New Roman" w:hAnsi="Times New Roman"/>
          <w:b/>
          <w:i/>
          <w:noProof/>
          <w:sz w:val="24"/>
          <w:szCs w:val="24"/>
        </w:rPr>
        <w:footnoteReference w:id="51"/>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Romų lygybės, įtraukties ir dalyvavimo aspekto integravimas į visas susijusias Komisijos iniciatyvas bus labai svarbus siekiant šiame strateginiame plane nustatytų tikslų. Kai rengiant įvairią politiką – nuo socialinės ir ekonominės įtraukties iki dirbtinio intelekto, nuo žaliojo kurso iki skaitmeninės įtraukties ir nuo kovos su neapykantos kurstymu iki migracijos politikos – integruojamas lygybės aspektas, taip pat reikia užtikrinti, kad ES ir nacionalinė politika </w:t>
      </w:r>
      <w:r>
        <w:rPr>
          <w:rFonts w:ascii="Times New Roman" w:hAnsi="Times New Roman"/>
          <w:b/>
          <w:noProof/>
          <w:sz w:val="24"/>
          <w:szCs w:val="24"/>
        </w:rPr>
        <w:t>atitiktų visų romų interesus</w:t>
      </w:r>
      <w:r>
        <w:rPr>
          <w:rFonts w:ascii="Times New Roman" w:hAnsi="Times New Roman"/>
          <w:noProof/>
          <w:sz w:val="24"/>
          <w:szCs w:val="24"/>
        </w:rPr>
        <w:t xml:space="preserve">. Vykdydama veiklą, kuria siekiama skatinti lygybę visiems ir visapusišką lygybę, Komisijos vidaus darbo grupė lygybės klausimais sieks užtikrinti, kad kova su diskriminacija dėl rasinės ar etninės kilmės (įskaitant sąsajas su kitomis diskriminacijos priežastimis) būtų integruota į visą </w:t>
      </w:r>
      <w:r>
        <w:rPr>
          <w:rFonts w:ascii="Times New Roman" w:hAnsi="Times New Roman"/>
          <w:b/>
          <w:noProof/>
          <w:sz w:val="24"/>
          <w:szCs w:val="24"/>
        </w:rPr>
        <w:t>ES politiką, teisės aktus ir finansavimo programas</w:t>
      </w:r>
      <w:r>
        <w:rPr>
          <w:rFonts w:ascii="Times New Roman" w:hAnsi="Times New Roman"/>
          <w:noProof/>
          <w:sz w:val="24"/>
          <w:szCs w:val="24"/>
        </w:rPr>
        <w:t>.</w:t>
      </w:r>
      <w:r>
        <w:rPr>
          <w:rFonts w:ascii="Times New Roman" w:hAnsi="Times New Roman"/>
          <w:b/>
          <w:noProof/>
          <w:sz w:val="24"/>
          <w:szCs w:val="24"/>
        </w:rPr>
        <w:t xml:space="preserve"> </w:t>
      </w:r>
      <w:r>
        <w:rPr>
          <w:rFonts w:ascii="Times New Roman" w:hAnsi="Times New Roman"/>
          <w:noProof/>
          <w:sz w:val="24"/>
          <w:szCs w:val="24"/>
        </w:rPr>
        <w:t>Įgyvendinant 2020–2025 m. ES kovos su rasizmu veiksmų planą visada bus atsižvelgiama į romų aspektą. Su integravimu susijusios gairės ir mokymas padės visiems, dalyvaujantiems integruojant lygybės aspektą į visus ES intervencinių veiksmų etapus, o per visą Komisijos politikos ciklą bus skatinamos aktyvesnės konsultacijos su romams atstovaujančiomis organizacijomis.</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Komisijos </w:t>
      </w:r>
      <w:r>
        <w:rPr>
          <w:rFonts w:ascii="Times New Roman" w:hAnsi="Times New Roman"/>
          <w:b/>
          <w:noProof/>
          <w:sz w:val="24"/>
          <w:szCs w:val="24"/>
        </w:rPr>
        <w:t>darbo grupė romų klausimais</w:t>
      </w:r>
      <w:r>
        <w:rPr>
          <w:rStyle w:val="FootnoteReference"/>
          <w:rFonts w:ascii="Times New Roman" w:hAnsi="Times New Roman"/>
          <w:noProof/>
          <w:sz w:val="24"/>
          <w:szCs w:val="24"/>
        </w:rPr>
        <w:footnoteReference w:id="52"/>
      </w:r>
      <w:r>
        <w:rPr>
          <w:rFonts w:ascii="Times New Roman" w:hAnsi="Times New Roman"/>
          <w:noProof/>
          <w:sz w:val="24"/>
          <w:szCs w:val="24"/>
        </w:rPr>
        <w:t xml:space="preserve"> ir toliau įvairiais lygmenimis įtrauks įvairias Komisijos tarnybas į pagrindines prioritetines veiklos sritis, pavyzdžiui, veiksmingą ES lėšų panaudojimą romų lygybei ir įtraukčiai skatinti.</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Pagal naująją Ekonomikos gaivinimo ir atsparumo didinimo priemonę, kuri yra priemonės </w:t>
      </w:r>
      <w:r>
        <w:rPr>
          <w:rFonts w:ascii="Times New Roman" w:hAnsi="Times New Roman"/>
          <w:b/>
          <w:noProof/>
          <w:sz w:val="24"/>
          <w:szCs w:val="24"/>
        </w:rPr>
        <w:t>„Next Generation EU“</w:t>
      </w:r>
      <w:r>
        <w:rPr>
          <w:rFonts w:ascii="Times New Roman" w:hAnsi="Times New Roman"/>
          <w:noProof/>
          <w:sz w:val="24"/>
          <w:szCs w:val="24"/>
        </w:rPr>
        <w:t xml:space="preserve"> dalis, bus remiamos investicijos ir reformos, būtinos ilgalaikiam atsigavimui užtikrinti, taip pat skatinamas ekonominis bei socialinis atsparumas ir sanglauda. Kad gautų paramą, valstybės narės turės parengti atgaivinimo ir atsparumo planus, kuriuose būtų atsižvelgiama į ekonominį ir socialinį krizės poveikį, perėjimą prie skaitmeninių technologijų ir žaliųjų technologijų ir atitinkamus prioritetus, nustatytus konkrečioms šalims skirtose rekomendacijose pagal Europos semestrą. Teikiant paramą bus skatinama marginalizuotų grupių, įskaitant romus ir kitoms rasinėms ar etninėms mažumoms priklausančius asmenis, įtrauktis. Komisijos pasiūlymais dėl </w:t>
      </w:r>
      <w:r>
        <w:rPr>
          <w:rFonts w:ascii="Times New Roman" w:hAnsi="Times New Roman"/>
          <w:b/>
          <w:noProof/>
          <w:sz w:val="24"/>
          <w:szCs w:val="24"/>
        </w:rPr>
        <w:t>daugiametės finansinės programos</w:t>
      </w:r>
      <w:r>
        <w:rPr>
          <w:rFonts w:ascii="Times New Roman" w:hAnsi="Times New Roman"/>
          <w:noProof/>
          <w:sz w:val="24"/>
          <w:szCs w:val="24"/>
        </w:rPr>
        <w:t xml:space="preserve"> skatinama romų įtrauktis ir kova su diskriminacija, visų pirma pasitelkiant „Europos socialinį fondą +“ (ESF+), Europos regioninės plėtros fondą (ERPF) ir Europos žemės ūkio fondą kaimo plėtrai (EŽŪFKP). 2019 m. Komisija pabrėžė romų įtraukties svarbą keliose konkrečių šalių ataskaitose pagal </w:t>
      </w:r>
      <w:r>
        <w:rPr>
          <w:rFonts w:ascii="Times New Roman" w:hAnsi="Times New Roman"/>
          <w:b/>
          <w:noProof/>
          <w:sz w:val="24"/>
          <w:szCs w:val="24"/>
        </w:rPr>
        <w:t>Europos semestrą</w:t>
      </w:r>
      <w:r>
        <w:rPr>
          <w:rStyle w:val="FootnoteReference"/>
          <w:rFonts w:ascii="Times New Roman" w:hAnsi="Times New Roman"/>
          <w:noProof/>
          <w:sz w:val="24"/>
          <w:szCs w:val="24"/>
        </w:rPr>
        <w:footnoteReference w:id="53"/>
      </w:r>
      <w:r>
        <w:rPr>
          <w:rFonts w:ascii="Times New Roman" w:hAnsi="Times New Roman"/>
          <w:noProof/>
          <w:sz w:val="24"/>
          <w:szCs w:val="24"/>
        </w:rPr>
        <w:t xml:space="preserve">; tai turėtų atsispindėti ir būti sprendžiama 2021–2027 m. programose. </w:t>
      </w:r>
    </w:p>
    <w:p>
      <w:pPr>
        <w:keepNext/>
        <w:spacing w:after="120" w:line="240" w:lineRule="auto"/>
        <w:jc w:val="both"/>
        <w:rPr>
          <w:rFonts w:ascii="Times New Roman" w:hAnsi="Times New Roman"/>
          <w:noProof/>
          <w:sz w:val="24"/>
          <w:szCs w:val="24"/>
        </w:rPr>
      </w:pPr>
      <w:r>
        <w:rPr>
          <w:rFonts w:ascii="Times New Roman" w:hAnsi="Times New Roman"/>
          <w:noProof/>
          <w:sz w:val="24"/>
          <w:szCs w:val="24"/>
        </w:rPr>
        <w:t xml:space="preserve">Komisijos pasiūlymuose dėl </w:t>
      </w:r>
      <w:r>
        <w:rPr>
          <w:rFonts w:ascii="Times New Roman" w:hAnsi="Times New Roman"/>
          <w:b/>
          <w:noProof/>
          <w:sz w:val="24"/>
          <w:szCs w:val="24"/>
        </w:rPr>
        <w:t>Bendrųjų nuostatų</w:t>
      </w:r>
      <w:r>
        <w:rPr>
          <w:rFonts w:ascii="Times New Roman" w:hAnsi="Times New Roman"/>
          <w:noProof/>
          <w:sz w:val="24"/>
          <w:szCs w:val="24"/>
        </w:rPr>
        <w:t xml:space="preserve">, </w:t>
      </w:r>
      <w:r>
        <w:rPr>
          <w:rFonts w:ascii="Times New Roman" w:hAnsi="Times New Roman"/>
          <w:b/>
          <w:noProof/>
          <w:sz w:val="24"/>
          <w:szCs w:val="24"/>
        </w:rPr>
        <w:t>ESF+, ERPF ir EŽŪFKP reglamentų</w:t>
      </w:r>
      <w:r>
        <w:rPr>
          <w:rStyle w:val="FootnoteReference"/>
          <w:rFonts w:cs="Times New Roman"/>
          <w:noProof/>
        </w:rPr>
        <w:footnoteReference w:id="54"/>
      </w:r>
      <w:r>
        <w:rPr>
          <w:rFonts w:ascii="Times New Roman" w:hAnsi="Times New Roman"/>
          <w:noProof/>
          <w:sz w:val="24"/>
          <w:szCs w:val="24"/>
        </w:rPr>
        <w:t xml:space="preserve"> numatyta:</w:t>
      </w:r>
    </w:p>
    <w:p>
      <w:pPr>
        <w:pStyle w:val="ListParagraph"/>
        <w:numPr>
          <w:ilvl w:val="0"/>
          <w:numId w:val="56"/>
        </w:numPr>
        <w:spacing w:after="0" w:line="240" w:lineRule="auto"/>
        <w:contextualSpacing w:val="0"/>
        <w:rPr>
          <w:rFonts w:ascii="Times New Roman" w:hAnsi="Times New Roman"/>
          <w:noProof/>
          <w:sz w:val="24"/>
          <w:szCs w:val="24"/>
        </w:rPr>
      </w:pPr>
      <w:r>
        <w:rPr>
          <w:rFonts w:ascii="Times New Roman" w:hAnsi="Times New Roman"/>
          <w:noProof/>
          <w:sz w:val="24"/>
          <w:szCs w:val="24"/>
        </w:rPr>
        <w:t>suteikti finansinę paramą romų integracijos nacionalinių strateginių planų ir priemonių, įskaitant žmogiškuosius gebėjimus, infrastruktūrą ir pajėgumų stiprinimo veiklą, įgyvendinimui;</w:t>
      </w:r>
    </w:p>
    <w:p>
      <w:pPr>
        <w:pStyle w:val="ListParagraph"/>
        <w:numPr>
          <w:ilvl w:val="0"/>
          <w:numId w:val="56"/>
        </w:numPr>
        <w:spacing w:after="0" w:line="240" w:lineRule="auto"/>
        <w:contextualSpacing w:val="0"/>
        <w:rPr>
          <w:rFonts w:ascii="Times New Roman" w:hAnsi="Times New Roman"/>
          <w:noProof/>
          <w:sz w:val="24"/>
          <w:szCs w:val="24"/>
        </w:rPr>
      </w:pPr>
      <w:r>
        <w:rPr>
          <w:rFonts w:ascii="Times New Roman" w:hAnsi="Times New Roman"/>
          <w:noProof/>
          <w:sz w:val="24"/>
          <w:szCs w:val="24"/>
        </w:rPr>
        <w:t>visais programų rengimo, įgyvendinimo, stebėsenos ir vertinimo etapais skatinti lygias galimybes visiems, nediskriminuojant dėl lyties, rasinės arba etninės kilmės, religijos ar tikėjimo, negalios, amžiaus arba seksualinės orientacijos;</w:t>
      </w:r>
    </w:p>
    <w:p>
      <w:pPr>
        <w:pStyle w:val="ListParagraph"/>
        <w:numPr>
          <w:ilvl w:val="0"/>
          <w:numId w:val="56"/>
        </w:numPr>
        <w:spacing w:after="0" w:line="240" w:lineRule="auto"/>
        <w:contextualSpacing w:val="0"/>
        <w:rPr>
          <w:rFonts w:ascii="Times New Roman" w:hAnsi="Times New Roman"/>
          <w:noProof/>
          <w:sz w:val="24"/>
          <w:szCs w:val="24"/>
        </w:rPr>
      </w:pPr>
      <w:r>
        <w:rPr>
          <w:rFonts w:ascii="Times New Roman" w:hAnsi="Times New Roman"/>
          <w:noProof/>
          <w:sz w:val="24"/>
          <w:szCs w:val="24"/>
        </w:rPr>
        <w:t>reikalauti, kad būtų įvykdytos teminės (romų integracijos nacionalinio strateginio politikos plano, socialinės įtraukties ir skurdo mažinimo nacionalinio strateginės politikos plano) ir horizontaliosios (Pagrindinių teisių chartijos) reikiamos sąlygos 2021–2027 m. laikotarpiu;</w:t>
      </w:r>
    </w:p>
    <w:p>
      <w:pPr>
        <w:pStyle w:val="ListParagraph"/>
        <w:numPr>
          <w:ilvl w:val="0"/>
          <w:numId w:val="56"/>
        </w:numPr>
        <w:spacing w:after="0" w:line="240" w:lineRule="auto"/>
        <w:contextualSpacing w:val="0"/>
        <w:rPr>
          <w:rFonts w:ascii="Times New Roman" w:hAnsi="Times New Roman"/>
          <w:noProof/>
          <w:sz w:val="24"/>
          <w:szCs w:val="24"/>
        </w:rPr>
      </w:pPr>
      <w:r>
        <w:rPr>
          <w:rFonts w:ascii="Times New Roman" w:hAnsi="Times New Roman"/>
          <w:noProof/>
          <w:sz w:val="24"/>
          <w:szCs w:val="24"/>
        </w:rPr>
        <w:t>reikalauti, kad bent 25 proc. ESF+ išteklių būtų panaudota socialinei įtraukčiai skatinti, užtikrinant, kad minimali suma būtų skirta tiems, kuriems jos labiausiai reikia, taip pat</w:t>
      </w:r>
    </w:p>
    <w:p>
      <w:pPr>
        <w:pStyle w:val="ListParagraph"/>
        <w:numPr>
          <w:ilvl w:val="0"/>
          <w:numId w:val="56"/>
        </w:numPr>
        <w:spacing w:line="240" w:lineRule="auto"/>
        <w:contextualSpacing w:val="0"/>
        <w:rPr>
          <w:rFonts w:ascii="Times New Roman" w:hAnsi="Times New Roman"/>
          <w:noProof/>
          <w:sz w:val="24"/>
          <w:szCs w:val="24"/>
        </w:rPr>
      </w:pPr>
      <w:r>
        <w:rPr>
          <w:rFonts w:ascii="Times New Roman" w:hAnsi="Times New Roman"/>
          <w:noProof/>
          <w:sz w:val="24"/>
          <w:szCs w:val="24"/>
        </w:rPr>
        <w:t>pabrėžti „partnerystės principą“, t. y. visų susijusių suinteresuotųjų subjektų, įskaitant socialinės įtraukties, nediskriminavimo ir pagrindinių teisių organizacijas, pilietinės visuomenės organizacijas, dalyvavimą rengiant ir įgyvendinant programas ir partnerystės susitarimus, taip pat stebėsenos komitetų veikloje.</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Valstybės narės atlieka svarbų vaidmenį formuojant viešąją politiką ir maksimaliai panaudojant finansavimo programas romams remti, nes didžiąją dalį ES biudžeto valstybės narės vykdo pagal pasidalijamojo valdymo principą. Todėl Komisija ragina valstybes nares pagal 2021–2027 m. daugiametę finansinę programą (DFP) ir priemonę „Next Generation EU“ lėšas skirti romų problemoms spręsti ir jų poreikiams tenkinti, kad būtų įgyvendinti jų nacionaliniuose romų integracijos strateginiuose planuose prisiimti įsipareigojimai. Komisija sieks užtikrinti, kad būsimuose partnerystės susitarimuose būtų tinkamai sprendžiamos konkrečioms šalims būdingos Europos semestre nustatytos problemos ir kad lygybės ir įtraukties skatinimo priemonės būtų įgyvendinamos pagal veiksmų programas. Komisija atidžiai stebės, kad tokiose valstybėse narėse būtų taikoma ir 2021–2027 m. programavimo dokumentuose atspindėta dvejopa strategija, pagal kurią, viena vertus, paslaugos būtų įtraukios ir, kita vertus, būtų teikiamos tikslinės programos, skirtos marginalizuotoms romų bendruomenėms. Komisijos siūlomomis reikiamomis sąlygomis, kurios taikomos konkretiems ES fondams 2021–2027 m., siekiama užtikrinti pagarbą pagrindinėms teisėms, taip pat romų lygybei, įtraukčiai ir dalyvavimui. </w:t>
      </w:r>
    </w:p>
    <w:p>
      <w:pPr>
        <w:spacing w:after="120" w:line="240" w:lineRule="auto"/>
        <w:jc w:val="both"/>
        <w:rPr>
          <w:rFonts w:ascii="Times New Roman" w:hAnsi="Times New Roman"/>
          <w:noProof/>
          <w:sz w:val="24"/>
          <w:szCs w:val="24"/>
        </w:rPr>
      </w:pPr>
      <w:r>
        <w:rPr>
          <w:rFonts w:ascii="Times New Roman" w:hAnsi="Times New Roman"/>
          <w:noProof/>
          <w:sz w:val="24"/>
          <w:szCs w:val="24"/>
        </w:rPr>
        <w:t>Siekdama padidinti su romais susijusių intervencinių veiksmų veiksmingumą ir efektyvumą, Komisija rems tarpvalstybinį mokymąsi politikos ir finansavimo srityse, pavyzdžiui, valdymo institucijų tinklą „EURoma“</w:t>
      </w:r>
      <w:r>
        <w:rPr>
          <w:rStyle w:val="FootnoteReference"/>
          <w:rFonts w:ascii="Times New Roman" w:hAnsi="Times New Roman"/>
          <w:noProof/>
          <w:sz w:val="24"/>
          <w:szCs w:val="24"/>
        </w:rPr>
        <w:footnoteReference w:id="55"/>
      </w:r>
      <w:r>
        <w:rPr>
          <w:rFonts w:ascii="Times New Roman" w:hAnsi="Times New Roman"/>
          <w:noProof/>
          <w:sz w:val="24"/>
          <w:szCs w:val="24"/>
        </w:rPr>
        <w:t xml:space="preserve"> ir nacionalinius romų informacijos centrus.</w:t>
      </w:r>
    </w:p>
    <w:p>
      <w:pPr>
        <w:spacing w:line="240" w:lineRule="auto"/>
        <w:jc w:val="both"/>
        <w:rPr>
          <w:rFonts w:ascii="Times New Roman" w:hAnsi="Times New Roman"/>
          <w:noProof/>
          <w:sz w:val="24"/>
          <w:szCs w:val="24"/>
        </w:rPr>
      </w:pPr>
      <w:r>
        <w:rPr>
          <w:rFonts w:ascii="Times New Roman" w:hAnsi="Times New Roman"/>
          <w:noProof/>
          <w:sz w:val="24"/>
          <w:szCs w:val="24"/>
        </w:rPr>
        <w:t>Programos „InvestEU“</w:t>
      </w:r>
      <w:r>
        <w:rPr>
          <w:rStyle w:val="FootnoteReference"/>
          <w:rFonts w:ascii="Times New Roman" w:hAnsi="Times New Roman"/>
          <w:noProof/>
          <w:sz w:val="24"/>
          <w:szCs w:val="24"/>
        </w:rPr>
        <w:footnoteReference w:id="56"/>
      </w:r>
      <w:r>
        <w:rPr>
          <w:rFonts w:ascii="Times New Roman" w:hAnsi="Times New Roman"/>
          <w:noProof/>
          <w:sz w:val="24"/>
          <w:szCs w:val="24"/>
        </w:rPr>
        <w:t xml:space="preserve"> socialinių investicijų ir įgūdžių liniją taip pat gali padėti didinti marginalizuotų grupių, įskaitant romus, socialinę ir ekonominę įtrauktį. Tai galima pasiekti taikant naujoviškus finansavimo metodus, pavyzdžiui, socialinio poveikio obligacijas ir į rezultatus orientuotus projektus, be kita ko, derinant lėšas su ES dotacijomis ir (arba) sektorių programų finansinėmis priemonėmis arba derinant įvairius ES finansavimo srautus. Komisija įgyvendins tikslingas bandomąsias iniciatyvas, siekdama išbandyti ir pademonstruoti darbo metodus, susijusius su konkrečiais įtraukties aspektais (būstu, užimtumu, socialine apsauga), taikydama novatoriškus finansavimo metodus, kurių būtų galima imtis (išplėsti) arba kuriuos būtų galima kartoti įgyvendinant platesnio masto programas nacionaliniu arba ES lygmeniu. Naudodamosi techninės paramos priemone, valstybės narės galės prašyti techninės paramos romų lygybės aspektui integruoti į politikos formavimo ir reformų procesus.</w:t>
      </w:r>
    </w:p>
    <w:p>
      <w:pPr>
        <w:keepNext/>
        <w:keepLines/>
        <w:spacing w:before="240" w:after="240" w:line="240" w:lineRule="auto"/>
        <w:ind w:left="851" w:hanging="851"/>
        <w:jc w:val="both"/>
        <w:rPr>
          <w:rFonts w:ascii="Times New Roman" w:hAnsi="Times New Roman"/>
          <w:b/>
          <w:i/>
          <w:noProof/>
          <w:sz w:val="24"/>
          <w:szCs w:val="24"/>
        </w:rPr>
      </w:pPr>
      <w:r>
        <w:rPr>
          <w:rFonts w:ascii="Times New Roman" w:hAnsi="Times New Roman"/>
          <w:b/>
          <w:i/>
          <w:noProof/>
          <w:sz w:val="24"/>
          <w:szCs w:val="24"/>
        </w:rPr>
        <w:t xml:space="preserve">IV.3. </w:t>
      </w:r>
      <w:r>
        <w:rPr>
          <w:noProof/>
        </w:rPr>
        <w:tab/>
      </w:r>
      <w:r>
        <w:rPr>
          <w:rFonts w:ascii="Times New Roman" w:hAnsi="Times New Roman"/>
          <w:b/>
          <w:i/>
          <w:noProof/>
          <w:sz w:val="24"/>
          <w:szCs w:val="24"/>
        </w:rPr>
        <w:t>ES veiksmai ir parama romų dalyvavimui, įtraukčiai ir įvairovei skatinti</w:t>
      </w:r>
    </w:p>
    <w:p>
      <w:pPr>
        <w:spacing w:after="120" w:line="240" w:lineRule="auto"/>
        <w:jc w:val="both"/>
        <w:rPr>
          <w:rFonts w:ascii="Times New Roman" w:hAnsi="Times New Roman"/>
          <w:noProof/>
          <w:sz w:val="24"/>
          <w:szCs w:val="24"/>
        </w:rPr>
      </w:pPr>
      <w:r>
        <w:rPr>
          <w:rFonts w:ascii="Times New Roman" w:hAnsi="Times New Roman"/>
          <w:noProof/>
          <w:sz w:val="24"/>
        </w:rPr>
        <w:t xml:space="preserve">2020–2025 m. ES kovos su rasizmu veiksmų plane Komisija įsipareigojo rodyti pavyzdį kaip institucija ir imtis veiksmų, kad </w:t>
      </w:r>
      <w:r>
        <w:rPr>
          <w:rFonts w:ascii="Times New Roman" w:hAnsi="Times New Roman"/>
          <w:b/>
          <w:bCs/>
          <w:noProof/>
          <w:sz w:val="24"/>
        </w:rPr>
        <w:t>gerokai pagerintų Komisijos darbuotojų atstovavimą taikydama įdarbinimo ir atrankos priemones</w:t>
      </w:r>
      <w:r>
        <w:rPr>
          <w:rFonts w:ascii="Times New Roman" w:hAnsi="Times New Roman"/>
          <w:noProof/>
          <w:sz w:val="24"/>
        </w:rPr>
        <w:t xml:space="preserve">. </w:t>
      </w:r>
      <w:r>
        <w:rPr>
          <w:rFonts w:ascii="Times New Roman" w:hAnsi="Times New Roman"/>
          <w:noProof/>
          <w:sz w:val="24"/>
          <w:szCs w:val="24"/>
        </w:rPr>
        <w:t>Įgyvendindama šias priemones Komisija užtikrins, kad jos būtų taikomos romams. Komisija ragina kitas ES institucijas imtis veiksmų siekiant skatinti įvairovę ir įtrauktį atitinkamose savo darbo vietose.</w:t>
      </w:r>
    </w:p>
    <w:p>
      <w:pPr>
        <w:spacing w:after="120" w:line="240" w:lineRule="auto"/>
        <w:jc w:val="both"/>
        <w:rPr>
          <w:rFonts w:ascii="Times New Roman" w:hAnsi="Times New Roman"/>
          <w:noProof/>
          <w:sz w:val="24"/>
          <w:szCs w:val="24"/>
        </w:rPr>
      </w:pPr>
      <w:r>
        <w:rPr>
          <w:rFonts w:ascii="Times New Roman" w:hAnsi="Times New Roman"/>
          <w:noProof/>
          <w:sz w:val="24"/>
          <w:szCs w:val="24"/>
        </w:rPr>
        <w:t>Komisija reguliariai rengs susitikimus su valstybių narių atstovais</w:t>
      </w:r>
      <w:r>
        <w:rPr>
          <w:rStyle w:val="FootnoteReference"/>
          <w:rFonts w:ascii="Times New Roman" w:hAnsi="Times New Roman"/>
          <w:noProof/>
          <w:sz w:val="24"/>
          <w:szCs w:val="24"/>
        </w:rPr>
        <w:footnoteReference w:id="57"/>
      </w:r>
      <w:r>
        <w:rPr>
          <w:rFonts w:ascii="Times New Roman" w:hAnsi="Times New Roman"/>
          <w:noProof/>
          <w:sz w:val="24"/>
          <w:szCs w:val="24"/>
        </w:rPr>
        <w:t xml:space="preserve">, </w:t>
      </w:r>
      <w:r>
        <w:rPr>
          <w:rFonts w:ascii="Times New Roman" w:hAnsi="Times New Roman"/>
          <w:b/>
          <w:noProof/>
          <w:sz w:val="24"/>
          <w:szCs w:val="24"/>
        </w:rPr>
        <w:t>ES lygmens pilietinės visuomenės ir tarptautinėmis organizacijomis</w:t>
      </w:r>
      <w:r>
        <w:rPr>
          <w:rFonts w:ascii="Times New Roman" w:hAnsi="Times New Roman"/>
          <w:noProof/>
          <w:sz w:val="24"/>
          <w:szCs w:val="24"/>
        </w:rPr>
        <w:t xml:space="preserve">, suteikdama daugiau įgaliojimų dėl tarpusavio mokymosi. Ji taip pat užtikrins reguliarius suinteresuotųjų subjektų mainus. 2021–2027 m. Komisija ir toliau rengs susitikimus su pilietinės visuomenės organizacijomis </w:t>
      </w:r>
      <w:r>
        <w:rPr>
          <w:rFonts w:ascii="Times New Roman" w:hAnsi="Times New Roman"/>
          <w:b/>
          <w:noProof/>
          <w:sz w:val="24"/>
          <w:szCs w:val="24"/>
        </w:rPr>
        <w:t xml:space="preserve"> sanglaudos politikos</w:t>
      </w:r>
      <w:r>
        <w:rPr>
          <w:rFonts w:ascii="Times New Roman" w:hAnsi="Times New Roman"/>
          <w:noProof/>
          <w:sz w:val="24"/>
          <w:szCs w:val="24"/>
        </w:rPr>
        <w:t xml:space="preserve"> klausimais (struktūrinis dialogas). Ji surengs uždarus dialogo palaikymo susitikimus su romų pilietinės visuomenės organizacijomis dėl sanglaudos politikos pokyčių.</w:t>
      </w:r>
    </w:p>
    <w:p>
      <w:pPr>
        <w:spacing w:after="120" w:line="240" w:lineRule="auto"/>
        <w:jc w:val="both"/>
        <w:rPr>
          <w:rFonts w:ascii="Times New Roman" w:hAnsi="Times New Roman"/>
          <w:noProof/>
          <w:sz w:val="24"/>
          <w:szCs w:val="24"/>
        </w:rPr>
      </w:pPr>
      <w:r>
        <w:rPr>
          <w:rFonts w:ascii="Times New Roman" w:hAnsi="Times New Roman"/>
          <w:noProof/>
          <w:sz w:val="24"/>
          <w:szCs w:val="24"/>
        </w:rPr>
        <w:t>Kaip siūlo Europos Parlamentas</w:t>
      </w:r>
      <w:r>
        <w:rPr>
          <w:rStyle w:val="FootnoteReference"/>
          <w:rFonts w:ascii="Times New Roman" w:hAnsi="Times New Roman"/>
          <w:noProof/>
          <w:sz w:val="24"/>
          <w:szCs w:val="24"/>
        </w:rPr>
        <w:footnoteReference w:id="58"/>
      </w:r>
      <w:r>
        <w:rPr>
          <w:rFonts w:ascii="Times New Roman" w:hAnsi="Times New Roman"/>
          <w:noProof/>
          <w:sz w:val="24"/>
          <w:szCs w:val="24"/>
        </w:rPr>
        <w:t>, Komisija pradės naują romų pilietinės visuomenės</w:t>
      </w:r>
      <w:r>
        <w:rPr>
          <w:rFonts w:ascii="Times New Roman" w:hAnsi="Times New Roman"/>
          <w:b/>
          <w:noProof/>
          <w:sz w:val="24"/>
          <w:szCs w:val="24"/>
        </w:rPr>
        <w:t xml:space="preserve"> </w:t>
      </w:r>
      <w:r>
        <w:rPr>
          <w:rFonts w:ascii="Times New Roman" w:hAnsi="Times New Roman"/>
          <w:noProof/>
          <w:sz w:val="24"/>
          <w:szCs w:val="24"/>
        </w:rPr>
        <w:t xml:space="preserve">gebėjimų stiprinimo ciklą, kad galėtų vykdyti </w:t>
      </w:r>
      <w:r>
        <w:rPr>
          <w:rFonts w:ascii="Times New Roman" w:hAnsi="Times New Roman"/>
          <w:b/>
          <w:noProof/>
          <w:sz w:val="24"/>
          <w:szCs w:val="24"/>
        </w:rPr>
        <w:t>suderintą nepriklausomą pilietinę stebėseną ir teikti ataskaitas</w:t>
      </w:r>
      <w:r>
        <w:rPr>
          <w:rFonts w:ascii="Times New Roman" w:hAnsi="Times New Roman"/>
          <w:noProof/>
          <w:sz w:val="24"/>
          <w:szCs w:val="24"/>
        </w:rPr>
        <w:t xml:space="preserve">, remdamasi patirtimi, įgyta įgyvendinant projektą </w:t>
      </w:r>
      <w:hyperlink r:id="rId16" w:history="1">
        <w:r>
          <w:rPr>
            <w:rStyle w:val="Hyperlink"/>
            <w:rFonts w:ascii="Times New Roman" w:hAnsi="Times New Roman"/>
            <w:noProof/>
            <w:sz w:val="24"/>
            <w:szCs w:val="24"/>
          </w:rPr>
          <w:t>„Roma Civil Monitor“</w:t>
        </w:r>
      </w:hyperlink>
      <w:r>
        <w:rPr>
          <w:rFonts w:ascii="Times New Roman" w:hAnsi="Times New Roman"/>
          <w:noProof/>
          <w:sz w:val="24"/>
          <w:szCs w:val="24"/>
        </w:rPr>
        <w:t xml:space="preserve"> (2017–2020 m.). Suderintas nepriklausomos pilietinės stebėsenos ataskaitas planuojama teikti kas dvejus metus nuo 2022 m. </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Komisija sieks kuo labiau padidinti </w:t>
      </w:r>
      <w:r>
        <w:rPr>
          <w:rFonts w:ascii="Times New Roman" w:hAnsi="Times New Roman"/>
          <w:b/>
          <w:noProof/>
          <w:sz w:val="24"/>
          <w:szCs w:val="24"/>
        </w:rPr>
        <w:t>Europos romų platformos</w:t>
      </w:r>
      <w:r>
        <w:rPr>
          <w:rStyle w:val="FootnoteReference"/>
          <w:rFonts w:ascii="Times New Roman" w:hAnsi="Times New Roman"/>
          <w:b/>
          <w:noProof/>
          <w:sz w:val="24"/>
          <w:szCs w:val="24"/>
        </w:rPr>
        <w:footnoteReference w:id="59"/>
      </w:r>
      <w:r>
        <w:rPr>
          <w:rFonts w:ascii="Times New Roman" w:hAnsi="Times New Roman"/>
          <w:noProof/>
          <w:sz w:val="24"/>
          <w:szCs w:val="24"/>
        </w:rPr>
        <w:t xml:space="preserve"> įtaką,</w:t>
      </w:r>
      <w:r>
        <w:rPr>
          <w:rFonts w:ascii="Arial" w:hAnsi="Arial"/>
          <w:noProof/>
          <w:color w:val="404040"/>
          <w:shd w:val="clear" w:color="auto" w:fill="FFFFFF"/>
        </w:rPr>
        <w:t xml:space="preserve"> </w:t>
      </w:r>
      <w:r>
        <w:rPr>
          <w:rFonts w:ascii="Times New Roman" w:hAnsi="Times New Roman"/>
          <w:noProof/>
          <w:sz w:val="24"/>
          <w:szCs w:val="24"/>
        </w:rPr>
        <w:t>: suburs nacionalines vyriausybes, ES, tarptautines organizacijas ir romų pilietinės visuomenės atstovus ir sieks skatinti bendradarbiavimą ir keitimąsi patirtimi. Ji rengs temines, šalių ir regionų nacionalinių strateginių planų apžvalgas, remdamasi romų pilietinės visuomenės stebėsenos projekto išvadomis ir nacionalinėmis stebėsenos ataskaitomis.</w:t>
      </w:r>
    </w:p>
    <w:p>
      <w:pPr>
        <w:spacing w:after="120" w:line="240" w:lineRule="auto"/>
        <w:jc w:val="both"/>
        <w:rPr>
          <w:rFonts w:ascii="Times New Roman" w:hAnsi="Times New Roman"/>
          <w:noProof/>
          <w:sz w:val="24"/>
          <w:szCs w:val="24"/>
        </w:rPr>
      </w:pPr>
      <w:r>
        <w:rPr>
          <w:rFonts w:ascii="Times New Roman" w:hAnsi="Times New Roman"/>
          <w:noProof/>
          <w:sz w:val="24"/>
          <w:szCs w:val="24"/>
        </w:rPr>
        <w:t>Teikdama finansavimą nacionalinėms romų platformoms, Komisija skatins šių platformų reformą</w:t>
      </w:r>
      <w:r>
        <w:rPr>
          <w:rStyle w:val="FootnoteReference"/>
          <w:rFonts w:ascii="Times New Roman" w:hAnsi="Times New Roman"/>
          <w:noProof/>
          <w:sz w:val="24"/>
          <w:szCs w:val="24"/>
        </w:rPr>
        <w:footnoteReference w:id="60"/>
      </w:r>
      <w:r>
        <w:rPr>
          <w:rFonts w:ascii="Times New Roman" w:hAnsi="Times New Roman"/>
          <w:noProof/>
          <w:sz w:val="24"/>
          <w:szCs w:val="24"/>
        </w:rPr>
        <w:t xml:space="preserve">, visų pirma siekdama užtikrinti, kad jos geriau atstovautų romų tautybės piliečiams. Į jas turėtų būti įtraukti nauji suinteresuotieji subjektai (pavyzdžiui, vaiko teisių organizacijos, privatusis sektorius), kad būtų sudarytos sąlygos naujam mokymuisi, išnaudojamas socialinių inovacijų potencialas, keičiama galvosena ir užtikrinti ilgalaikiai socialiniai pokyčiai. Siekiant skatinti </w:t>
      </w:r>
      <w:r>
        <w:rPr>
          <w:rFonts w:ascii="Times New Roman" w:hAnsi="Times New Roman"/>
          <w:b/>
          <w:noProof/>
          <w:sz w:val="24"/>
          <w:szCs w:val="24"/>
        </w:rPr>
        <w:t>aktyvų romų, ypač moterų ir jaunimo, dalyvavimą</w:t>
      </w:r>
      <w:r>
        <w:rPr>
          <w:rFonts w:ascii="Times New Roman" w:hAnsi="Times New Roman"/>
          <w:noProof/>
          <w:sz w:val="24"/>
          <w:szCs w:val="24"/>
        </w:rPr>
        <w:t xml:space="preserve">, turėtų būti renkamas platformos atstovas, kuris užtikrintų tarpvalstybinę nacionalinių ir Europos romų platformų tinklaveiką, o romų jaunimui turėtų būti siūlomos specialios stažuotės ar jaunesniųjų specialistų pareigos nacionalinėse struktūrose, susijusiose su nacionalinių romų platformų įgyvendinimu. Siekiant skatinti tarpusavio mokymąsi ir politikos perdavimą, turėtų būti naudojamasi sąveika su kitomis ES, nacionalinėmis ar tarptautinėmis iniciatyvomis, visų pirma pilietinės stebėsenos projektu. </w:t>
      </w:r>
    </w:p>
    <w:p>
      <w:pPr>
        <w:keepNext/>
        <w:keepLines/>
        <w:spacing w:before="240" w:after="240" w:line="240" w:lineRule="auto"/>
        <w:ind w:left="851" w:hanging="851"/>
        <w:jc w:val="both"/>
        <w:rPr>
          <w:rFonts w:ascii="Times New Roman" w:hAnsi="Times New Roman"/>
          <w:b/>
          <w:i/>
          <w:noProof/>
          <w:sz w:val="24"/>
          <w:szCs w:val="24"/>
        </w:rPr>
      </w:pPr>
      <w:r>
        <w:rPr>
          <w:rFonts w:ascii="Times New Roman" w:hAnsi="Times New Roman"/>
          <w:b/>
          <w:i/>
          <w:noProof/>
          <w:sz w:val="24"/>
          <w:szCs w:val="24"/>
        </w:rPr>
        <w:t xml:space="preserve">IV.4. </w:t>
      </w:r>
      <w:r>
        <w:rPr>
          <w:noProof/>
        </w:rPr>
        <w:tab/>
      </w:r>
      <w:r>
        <w:rPr>
          <w:rFonts w:ascii="Times New Roman" w:hAnsi="Times New Roman"/>
          <w:b/>
          <w:i/>
          <w:noProof/>
          <w:sz w:val="24"/>
          <w:szCs w:val="24"/>
        </w:rPr>
        <w:t>ES veiksmai ir parama siekiant skatinti lygybę ir kovoti su priešiškumu romams</w:t>
      </w:r>
    </w:p>
    <w:p>
      <w:pPr>
        <w:keepNext/>
        <w:keepLines/>
        <w:spacing w:after="120" w:line="240" w:lineRule="auto"/>
        <w:jc w:val="both"/>
        <w:rPr>
          <w:rFonts w:ascii="Times New Roman" w:hAnsi="Times New Roman" w:cs="Times New Roman"/>
          <w:noProof/>
          <w:sz w:val="24"/>
          <w:szCs w:val="24"/>
        </w:rPr>
      </w:pPr>
      <w:r>
        <w:rPr>
          <w:rFonts w:ascii="Times New Roman" w:hAnsi="Times New Roman"/>
          <w:noProof/>
          <w:sz w:val="24"/>
          <w:szCs w:val="24"/>
        </w:rPr>
        <w:t xml:space="preserve">Siekdama skatinti romų lygybę kovojant su priešiškumu romams, Komisija rems veiklą, kuria </w:t>
      </w:r>
      <w:r>
        <w:rPr>
          <w:rFonts w:ascii="Times New Roman" w:hAnsi="Times New Roman"/>
          <w:b/>
          <w:noProof/>
          <w:sz w:val="24"/>
          <w:szCs w:val="24"/>
        </w:rPr>
        <w:t>skatinami teigiami naratyvai</w:t>
      </w:r>
      <w:r>
        <w:rPr>
          <w:noProof/>
        </w:rPr>
        <w:t xml:space="preserve"> </w:t>
      </w:r>
      <w:r>
        <w:rPr>
          <w:rFonts w:ascii="Times New Roman" w:hAnsi="Times New Roman"/>
          <w:noProof/>
          <w:sz w:val="24"/>
          <w:szCs w:val="24"/>
        </w:rPr>
        <w:t xml:space="preserve">ir populiarinami romų tautybės sektini pavyzdžiai, </w:t>
      </w:r>
      <w:r>
        <w:rPr>
          <w:rFonts w:ascii="Times New Roman" w:hAnsi="Times New Roman"/>
          <w:b/>
          <w:noProof/>
          <w:sz w:val="24"/>
          <w:szCs w:val="24"/>
        </w:rPr>
        <w:t>kovojama su neigiamais stereotipais</w:t>
      </w:r>
      <w:r>
        <w:rPr>
          <w:rFonts w:ascii="Times New Roman" w:hAnsi="Times New Roman"/>
          <w:noProof/>
          <w:sz w:val="24"/>
          <w:szCs w:val="24"/>
        </w:rPr>
        <w:t xml:space="preserve">, didinamas </w:t>
      </w:r>
      <w:r>
        <w:rPr>
          <w:rFonts w:ascii="Times New Roman" w:hAnsi="Times New Roman"/>
          <w:b/>
          <w:noProof/>
          <w:sz w:val="24"/>
          <w:szCs w:val="24"/>
        </w:rPr>
        <w:t>informuotumas apie romų istoriją ir kultūrą</w:t>
      </w:r>
      <w:r>
        <w:rPr>
          <w:rFonts w:ascii="Times New Roman" w:hAnsi="Times New Roman"/>
          <w:noProof/>
          <w:sz w:val="24"/>
          <w:szCs w:val="24"/>
        </w:rPr>
        <w:t xml:space="preserve">, propaguojama </w:t>
      </w:r>
      <w:r>
        <w:rPr>
          <w:rFonts w:ascii="Times New Roman" w:hAnsi="Times New Roman"/>
          <w:b/>
          <w:noProof/>
          <w:sz w:val="24"/>
          <w:szCs w:val="24"/>
        </w:rPr>
        <w:t xml:space="preserve">tiesa ir susitaikymas </w:t>
      </w:r>
      <w:r>
        <w:rPr>
          <w:rFonts w:ascii="Times New Roman" w:hAnsi="Times New Roman"/>
          <w:noProof/>
          <w:sz w:val="24"/>
          <w:szCs w:val="24"/>
        </w:rPr>
        <w:t xml:space="preserve">pagal </w:t>
      </w:r>
      <w:r>
        <w:rPr>
          <w:rFonts w:ascii="Times New Roman" w:hAnsi="Times New Roman"/>
          <w:b/>
          <w:noProof/>
          <w:sz w:val="24"/>
          <w:szCs w:val="24"/>
        </w:rPr>
        <w:t>piliečių, lygybės, teisių ir vertybių programą</w:t>
      </w:r>
      <w:r>
        <w:rPr>
          <w:rFonts w:ascii="Times New Roman" w:hAnsi="Times New Roman"/>
          <w:noProof/>
          <w:sz w:val="24"/>
          <w:szCs w:val="24"/>
        </w:rPr>
        <w:t xml:space="preserve">. </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Komisija kartu su UNESCO vykdys bendrą kampaniją, skirtą kovai su </w:t>
      </w:r>
      <w:r>
        <w:rPr>
          <w:rFonts w:ascii="Times New Roman" w:hAnsi="Times New Roman"/>
          <w:b/>
          <w:noProof/>
          <w:sz w:val="24"/>
          <w:szCs w:val="24"/>
        </w:rPr>
        <w:t>dezinformacija, neapykantos kurstymu ir sąmokslo teorijomis</w:t>
      </w:r>
      <w:r>
        <w:rPr>
          <w:rFonts w:ascii="Times New Roman" w:hAnsi="Times New Roman"/>
          <w:noProof/>
          <w:sz w:val="24"/>
          <w:szCs w:val="24"/>
        </w:rPr>
        <w:t>, be kita ko, susijusiomis su romais. Ji ir toliau rems privatųjį sektorių per ES įvairovės chartijų platformą ir ieškos būdų, kaip užmegzti ryšius su žiniasklaida, kad būtų kuriami teigiami naratyvai ir skatinama lygybė bei įvairovė</w:t>
      </w:r>
      <w:r>
        <w:rPr>
          <w:rFonts w:ascii="Times New Roman" w:hAnsi="Times New Roman"/>
          <w:b/>
          <w:noProof/>
          <w:sz w:val="24"/>
          <w:szCs w:val="24"/>
        </w:rPr>
        <w:t xml:space="preserve"> </w:t>
      </w:r>
      <w:r>
        <w:rPr>
          <w:rFonts w:ascii="Times New Roman" w:hAnsi="Times New Roman"/>
          <w:noProof/>
          <w:sz w:val="24"/>
          <w:szCs w:val="24"/>
        </w:rPr>
        <w:t xml:space="preserve">visose srityse. </w:t>
      </w:r>
      <w:r>
        <w:rPr>
          <w:rFonts w:ascii="Times New Roman" w:hAnsi="Times New Roman"/>
          <w:noProof/>
          <w:sz w:val="24"/>
        </w:rPr>
        <w:t>Remdamasi turima patirtimi</w:t>
      </w:r>
      <w:r>
        <w:rPr>
          <w:rFonts w:ascii="Times New Roman" w:eastAsia="Calibri" w:hAnsi="Times New Roman" w:cs="Times New Roman"/>
          <w:noProof/>
          <w:sz w:val="24"/>
          <w:vertAlign w:val="superscript"/>
        </w:rPr>
        <w:footnoteReference w:id="61"/>
      </w:r>
      <w:r>
        <w:rPr>
          <w:rFonts w:ascii="Times New Roman" w:hAnsi="Times New Roman"/>
          <w:noProof/>
          <w:sz w:val="24"/>
        </w:rPr>
        <w:t>, Komisija parengs rasinių ir etninių stereotipų (be kita ko, nukreiptų prieš romus) temai skirtų seminarų, kuriuose dalyvaus žurnalistai, pilietinės visuomenės organizacijų ir rasinėms ar etninėms mažumoms priklausančių asmenų atstovai.</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Vykdant Komisijos </w:t>
      </w:r>
      <w:r>
        <w:rPr>
          <w:rFonts w:ascii="Times New Roman" w:hAnsi="Times New Roman"/>
          <w:b/>
          <w:noProof/>
          <w:sz w:val="24"/>
          <w:szCs w:val="24"/>
        </w:rPr>
        <w:t>komunikacijos veiklą</w:t>
      </w:r>
      <w:r>
        <w:rPr>
          <w:rFonts w:ascii="Times New Roman" w:hAnsi="Times New Roman"/>
          <w:noProof/>
          <w:sz w:val="24"/>
          <w:szCs w:val="24"/>
        </w:rPr>
        <w:t xml:space="preserve"> bus informuojama apie lygybės ir</w:t>
      </w:r>
      <w:r>
        <w:rPr>
          <w:rFonts w:ascii="Times New Roman" w:hAnsi="Times New Roman"/>
          <w:b/>
          <w:noProof/>
          <w:sz w:val="24"/>
          <w:szCs w:val="24"/>
        </w:rPr>
        <w:t xml:space="preserve"> </w:t>
      </w:r>
      <w:r>
        <w:rPr>
          <w:rFonts w:ascii="Times New Roman" w:hAnsi="Times New Roman"/>
          <w:noProof/>
          <w:sz w:val="24"/>
          <w:szCs w:val="24"/>
        </w:rPr>
        <w:t>įvairovės naudą</w:t>
      </w:r>
      <w:r>
        <w:rPr>
          <w:rStyle w:val="FootnoteReference"/>
          <w:rFonts w:ascii="Times New Roman" w:hAnsi="Times New Roman"/>
          <w:noProof/>
          <w:sz w:val="24"/>
          <w:szCs w:val="24"/>
        </w:rPr>
        <w:footnoteReference w:id="62"/>
      </w:r>
      <w:r>
        <w:rPr>
          <w:rFonts w:ascii="Times New Roman" w:hAnsi="Times New Roman"/>
          <w:noProof/>
          <w:sz w:val="24"/>
          <w:szCs w:val="24"/>
        </w:rPr>
        <w:t xml:space="preserve">. Komisija surengs keletą informuotumo didinimo renginių, kuriuose daugiausia dėmesio bus skiriama valstybėms narėms, kuriose gyvena didelės romų bendruomenės, siekiant kovoti su stereotipais, skatinti kultūros įvairovę, įgalinti romų vaikus, jaunimą ir moteris ir į juos atkreipti dėmesį, kaip į sektinus pavyzdžius bendruomenėse, kurioms būdinga įvairovė, taip pat burti bendruomenes. </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Informuotumas apie romų tautybės moterų daugialypės diskriminacijos pasekmes bus derinamas su ES masto komunikacijos kampanija dėl </w:t>
      </w:r>
      <w:r>
        <w:rPr>
          <w:rFonts w:ascii="Times New Roman" w:hAnsi="Times New Roman"/>
          <w:b/>
          <w:noProof/>
          <w:sz w:val="24"/>
          <w:szCs w:val="24"/>
        </w:rPr>
        <w:t>kovos su lyčių stereotipais</w:t>
      </w:r>
      <w:r>
        <w:rPr>
          <w:rFonts w:ascii="Times New Roman" w:hAnsi="Times New Roman"/>
          <w:noProof/>
          <w:sz w:val="24"/>
          <w:szCs w:val="24"/>
        </w:rPr>
        <w:t>, kuri, kaip lyčių lygybės strategijos dalis, susijusi su visas gyvenimo sritis apimančiu tarpsektoriniu požiūriu.</w:t>
      </w:r>
    </w:p>
    <w:p>
      <w:pPr>
        <w:pBdr>
          <w:top w:val="single" w:sz="4" w:space="1" w:color="auto"/>
          <w:left w:val="single" w:sz="4" w:space="4" w:color="auto"/>
          <w:bottom w:val="single" w:sz="4" w:space="1" w:color="auto"/>
          <w:right w:val="single" w:sz="4" w:space="4" w:color="auto"/>
        </w:pBdr>
        <w:spacing w:after="120" w:line="240" w:lineRule="auto"/>
        <w:rPr>
          <w:rFonts w:ascii="Times New Roman" w:hAnsi="Times New Roman"/>
          <w:noProof/>
          <w:sz w:val="24"/>
          <w:szCs w:val="24"/>
        </w:rPr>
      </w:pPr>
      <w:r>
        <w:rPr>
          <w:rFonts w:ascii="Times New Roman" w:hAnsi="Times New Roman"/>
          <w:noProof/>
          <w:sz w:val="24"/>
          <w:szCs w:val="24"/>
        </w:rPr>
        <w:t>Komisija:</w:t>
      </w:r>
    </w:p>
    <w:p>
      <w:pPr>
        <w:pBdr>
          <w:top w:val="single" w:sz="4" w:space="1" w:color="auto"/>
          <w:left w:val="single" w:sz="4" w:space="4" w:color="auto"/>
          <w:bottom w:val="single" w:sz="4" w:space="1" w:color="auto"/>
          <w:right w:val="single" w:sz="4" w:space="4" w:color="auto"/>
        </w:pBdr>
        <w:spacing w:after="120"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noProof/>
        </w:rPr>
        <w:tab/>
      </w:r>
      <w:r>
        <w:rPr>
          <w:rFonts w:ascii="Times New Roman" w:hAnsi="Times New Roman"/>
          <w:noProof/>
          <w:sz w:val="24"/>
          <w:szCs w:val="24"/>
        </w:rPr>
        <w:t>užtikrins galiojančių ES teisės aktų, kuriais romai apsaugomi nuo diskriminacijos ir rasizmo, vykdymą ir prireikus panaikins trūkumus;</w:t>
      </w:r>
    </w:p>
    <w:p>
      <w:pPr>
        <w:pBdr>
          <w:top w:val="single" w:sz="4" w:space="1" w:color="auto"/>
          <w:left w:val="single" w:sz="4" w:space="4" w:color="auto"/>
          <w:bottom w:val="single" w:sz="4" w:space="1" w:color="auto"/>
          <w:right w:val="single" w:sz="4" w:space="4" w:color="auto"/>
        </w:pBdr>
        <w:spacing w:after="120"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noProof/>
        </w:rPr>
        <w:tab/>
      </w:r>
      <w:r>
        <w:rPr>
          <w:rFonts w:ascii="Times New Roman" w:hAnsi="Times New Roman"/>
          <w:noProof/>
          <w:sz w:val="24"/>
          <w:szCs w:val="24"/>
        </w:rPr>
        <w:t>integruos romų lygybės aspektą į ES politikos iniciatyvas ir sutelks ES lėšas romų lygybei, įtraukčiai ir dalyvavimui užtikrinti;</w:t>
      </w:r>
    </w:p>
    <w:p>
      <w:pPr>
        <w:pBdr>
          <w:top w:val="single" w:sz="4" w:space="1" w:color="auto"/>
          <w:left w:val="single" w:sz="4" w:space="4" w:color="auto"/>
          <w:bottom w:val="single" w:sz="4" w:space="1" w:color="auto"/>
          <w:right w:val="single" w:sz="4" w:space="4" w:color="auto"/>
        </w:pBdr>
        <w:spacing w:after="120"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noProof/>
        </w:rPr>
        <w:tab/>
      </w:r>
      <w:r>
        <w:rPr>
          <w:rFonts w:ascii="Times New Roman" w:hAnsi="Times New Roman"/>
          <w:noProof/>
          <w:sz w:val="24"/>
          <w:szCs w:val="24"/>
        </w:rPr>
        <w:t>imsis veiksmų Komisijos darbuotojų įvairovei didinti;</w:t>
      </w:r>
    </w:p>
    <w:p>
      <w:pPr>
        <w:pBdr>
          <w:top w:val="single" w:sz="4" w:space="1" w:color="auto"/>
          <w:left w:val="single" w:sz="4" w:space="4" w:color="auto"/>
          <w:bottom w:val="single" w:sz="4" w:space="1" w:color="auto"/>
          <w:right w:val="single" w:sz="4" w:space="4" w:color="auto"/>
        </w:pBdr>
        <w:spacing w:after="120"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noProof/>
        </w:rPr>
        <w:tab/>
      </w:r>
      <w:r>
        <w:rPr>
          <w:rFonts w:ascii="Times New Roman" w:hAnsi="Times New Roman"/>
          <w:noProof/>
          <w:sz w:val="24"/>
          <w:szCs w:val="24"/>
        </w:rPr>
        <w:t>pradės naują romų pilietinės visuomenės</w:t>
      </w:r>
      <w:r>
        <w:rPr>
          <w:rFonts w:ascii="Times New Roman" w:hAnsi="Times New Roman"/>
          <w:b/>
          <w:noProof/>
          <w:sz w:val="24"/>
          <w:szCs w:val="24"/>
        </w:rPr>
        <w:t xml:space="preserve"> </w:t>
      </w:r>
      <w:r>
        <w:rPr>
          <w:rFonts w:ascii="Times New Roman" w:hAnsi="Times New Roman"/>
          <w:noProof/>
          <w:sz w:val="24"/>
          <w:szCs w:val="24"/>
        </w:rPr>
        <w:t>pajėgumų stiprinimo ciklą ir stiprins Europos ir nacionalines romų platformas;</w:t>
      </w:r>
    </w:p>
    <w:p>
      <w:pPr>
        <w:pBdr>
          <w:top w:val="single" w:sz="4" w:space="1" w:color="auto"/>
          <w:left w:val="single" w:sz="4" w:space="4" w:color="auto"/>
          <w:bottom w:val="single" w:sz="4" w:space="1" w:color="auto"/>
          <w:right w:val="single" w:sz="4" w:space="4" w:color="auto"/>
        </w:pBdr>
        <w:spacing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noProof/>
        </w:rPr>
        <w:tab/>
      </w:r>
      <w:r>
        <w:rPr>
          <w:rFonts w:ascii="Times New Roman" w:hAnsi="Times New Roman"/>
          <w:noProof/>
          <w:sz w:val="24"/>
          <w:szCs w:val="24"/>
        </w:rPr>
        <w:t>skatins pozityvius naratyvus ir populiarins romų tautybės sektinus pavyzdžius, kovos su neigiamais stereotipais, didins informuotumą apie romų istoriją ir kultūrą, propaguos tiesą ir susitaikymą.</w:t>
      </w:r>
    </w:p>
    <w:p>
      <w:pPr>
        <w:spacing w:before="360" w:after="240" w:line="240" w:lineRule="auto"/>
        <w:ind w:left="851" w:hanging="851"/>
        <w:jc w:val="both"/>
        <w:rPr>
          <w:rFonts w:ascii="Times New Roman" w:hAnsi="Times New Roman"/>
          <w:b/>
          <w:i/>
          <w:smallCaps/>
          <w:noProof/>
          <w:sz w:val="24"/>
          <w:szCs w:val="24"/>
        </w:rPr>
      </w:pPr>
      <w:r>
        <w:rPr>
          <w:rFonts w:ascii="Times New Roman" w:hAnsi="Times New Roman"/>
          <w:b/>
          <w:i/>
          <w:smallCaps/>
          <w:noProof/>
          <w:sz w:val="24"/>
          <w:szCs w:val="24"/>
        </w:rPr>
        <w:t xml:space="preserve">V. </w:t>
      </w:r>
      <w:r>
        <w:rPr>
          <w:noProof/>
        </w:rPr>
        <w:tab/>
      </w:r>
      <w:r>
        <w:rPr>
          <w:rFonts w:ascii="Times New Roman" w:hAnsi="Times New Roman"/>
          <w:b/>
          <w:i/>
          <w:smallCaps/>
          <w:noProof/>
          <w:sz w:val="24"/>
          <w:szCs w:val="24"/>
        </w:rPr>
        <w:t>Romų lygybės, įtraukties ir dalyvavimo skatinimas už ES ribų</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ES ir valstybės narės turėtų skatinti romų lygybę, įtrauktį ir dalyvavimą savo </w:t>
      </w:r>
      <w:r>
        <w:rPr>
          <w:rFonts w:ascii="Times New Roman" w:hAnsi="Times New Roman"/>
          <w:b/>
          <w:noProof/>
          <w:sz w:val="24"/>
          <w:szCs w:val="24"/>
        </w:rPr>
        <w:t>išorės veiksmais</w:t>
      </w:r>
      <w:r>
        <w:rPr>
          <w:rFonts w:ascii="Times New Roman" w:hAnsi="Times New Roman"/>
          <w:noProof/>
          <w:sz w:val="24"/>
          <w:szCs w:val="24"/>
        </w:rPr>
        <w:t xml:space="preserve">, visų pirma įgyvendindamos plėtros, kaimynystės, vystymosi ir humanitarinę politiką. </w:t>
      </w:r>
    </w:p>
    <w:p>
      <w:pPr>
        <w:spacing w:after="120" w:line="240" w:lineRule="auto"/>
        <w:jc w:val="both"/>
        <w:rPr>
          <w:rFonts w:ascii="Times New Roman" w:hAnsi="Times New Roman" w:cs="Times New Roman"/>
          <w:noProof/>
          <w:sz w:val="24"/>
          <w:szCs w:val="24"/>
        </w:rPr>
      </w:pPr>
      <w:r>
        <w:rPr>
          <w:rFonts w:ascii="Times New Roman" w:hAnsi="Times New Roman"/>
          <w:b/>
          <w:noProof/>
          <w:sz w:val="24"/>
          <w:szCs w:val="24"/>
        </w:rPr>
        <w:t>Vakarų Balkanų</w:t>
      </w:r>
      <w:r>
        <w:rPr>
          <w:rFonts w:ascii="Times New Roman" w:hAnsi="Times New Roman"/>
          <w:noProof/>
          <w:sz w:val="24"/>
          <w:szCs w:val="24"/>
        </w:rPr>
        <w:t xml:space="preserve"> regionas yra vienas iš ES geostrateginių prioritetų. 2020 m. vasario mėn. Komisijos komunikate</w:t>
      </w:r>
      <w:r>
        <w:rPr>
          <w:rStyle w:val="FootnoteReference"/>
          <w:rFonts w:ascii="Times New Roman" w:hAnsi="Times New Roman" w:cs="Times New Roman"/>
          <w:noProof/>
          <w:sz w:val="24"/>
          <w:szCs w:val="24"/>
        </w:rPr>
        <w:footnoteReference w:id="63"/>
      </w:r>
      <w:r>
        <w:rPr>
          <w:rFonts w:ascii="Times New Roman" w:hAnsi="Times New Roman"/>
          <w:noProof/>
          <w:sz w:val="24"/>
          <w:szCs w:val="24"/>
        </w:rPr>
        <w:t xml:space="preserve"> raginama suderinti ES politiką, įskaitant paramą nepalankiausioje padėtyje esantiems asmenims. Vakarų Balkanų šalių partneriai savo noru jau suderino politiką su ES romų integracijos nacionalinių strategijų planu iki 2020 m. Ir jie padarė didelę pažangą. 2020 m. gegužės mėn. Zagrebe vykusiame ES ir Vakarų Balkanų šalių aukščiausiojo lygio susitikime ES vadovai dar kartą patvirtino savo paramą Vakarų Balkanų šalių europinei perspektyvai ir pasiryžimą labiau remti jų politinius, ekonominius ir socialinius pokyčius</w:t>
      </w:r>
      <w:r>
        <w:rPr>
          <w:rStyle w:val="FootnoteReference"/>
          <w:rFonts w:ascii="Times New Roman" w:hAnsi="Times New Roman" w:cs="Times New Roman"/>
          <w:noProof/>
          <w:sz w:val="24"/>
          <w:szCs w:val="24"/>
        </w:rPr>
        <w:footnoteReference w:id="64"/>
      </w:r>
      <w:r>
        <w:rPr>
          <w:rFonts w:ascii="Times New Roman" w:hAnsi="Times New Roman"/>
          <w:noProof/>
          <w:sz w:val="24"/>
          <w:szCs w:val="24"/>
        </w:rPr>
        <w:t>. Jie palankiai įvertino tvirtą Vakarų Balkanų šalių partnerių įsipareigojimą užtikrinti demokratijos ir teisinės valstybės viršenybę, įskaitant žmogaus teises, lyčių lygybę ir mažumų teises</w:t>
      </w:r>
      <w:r>
        <w:rPr>
          <w:rStyle w:val="FootnoteReference"/>
          <w:noProof/>
        </w:rPr>
        <w:footnoteReference w:id="65"/>
      </w:r>
      <w:r>
        <w:rPr>
          <w:rFonts w:ascii="Times New Roman" w:hAnsi="Times New Roman"/>
          <w:noProof/>
          <w:sz w:val="24"/>
          <w:szCs w:val="24"/>
        </w:rPr>
        <w:t>.</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Romų bendruomenės Vakarų Balkanų šalyse yra nemažos, todėl tai primena padėtį ES valstybėse narėse, kuriose romų gyvena daug. Būtina vienodai spręsti romų lygybės, įtraukties ir dalyvavimo ES ir </w:t>
      </w:r>
      <w:r>
        <w:rPr>
          <w:rFonts w:ascii="Times New Roman" w:hAnsi="Times New Roman"/>
          <w:b/>
          <w:noProof/>
          <w:sz w:val="24"/>
          <w:szCs w:val="24"/>
        </w:rPr>
        <w:t>Vakarų Balkanų šalyse</w:t>
      </w:r>
      <w:r>
        <w:rPr>
          <w:rFonts w:ascii="Times New Roman" w:hAnsi="Times New Roman"/>
          <w:noProof/>
          <w:sz w:val="24"/>
          <w:szCs w:val="24"/>
        </w:rPr>
        <w:t xml:space="preserve"> klausimus, įskaitant tų pačių tikslų taikymą laikotarpiui iki 2030 m. 2019 m. liepos mėn. Vakarų Balkanų šalių ministrai pirmininkai priėmė </w:t>
      </w:r>
      <w:r>
        <w:rPr>
          <w:rFonts w:ascii="Times New Roman" w:hAnsi="Times New Roman"/>
          <w:b/>
          <w:noProof/>
          <w:sz w:val="24"/>
          <w:szCs w:val="24"/>
        </w:rPr>
        <w:t>deklaraciją dėl romų integracijos ES plėtros procese</w:t>
      </w:r>
      <w:r>
        <w:rPr>
          <w:rFonts w:ascii="Times New Roman" w:hAnsi="Times New Roman"/>
          <w:noProof/>
          <w:sz w:val="24"/>
          <w:szCs w:val="24"/>
        </w:rPr>
        <w:t>, įsipareigodami iki stojimo iš esmės pagerinti romų padėtį švietimo, užimtumo, sveikatos priežiūros, būsto, piliečių registravimo ir nediskriminavimo srityse</w:t>
      </w:r>
      <w:r>
        <w:rPr>
          <w:rStyle w:val="FootnoteReference"/>
          <w:noProof/>
        </w:rPr>
        <w:footnoteReference w:id="66"/>
      </w:r>
      <w:r>
        <w:rPr>
          <w:rFonts w:ascii="Times New Roman" w:hAnsi="Times New Roman"/>
          <w:noProof/>
          <w:sz w:val="24"/>
          <w:szCs w:val="24"/>
        </w:rPr>
        <w:t xml:space="preserve">. ES toliau rems šios deklaracijos įgyvendinimą ir darbą duomenų rinkimo, biudžeto sudarymo atsižvelgiant į romų poreikius ir romų būsto žemėlapių sudarymo srityse. Laipsniškas suderinimas su ES tikslais ir metodika bus visų šalių, siekiančių įstoti į ES, europinės perspektyvos dalis. </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Vakarų Balkanų šalių partneriai, panašiai kaip ir per ES valstybių narių semestro procesą, pateikia metines ekonominių reformų programas (ERP), įskaitant reformas, kuriomis siekiama didinti konkurencingumą ir gerinti sąlygas integraciniam augimui ir darbo vietų kūrimui. Pagal ERP teikiamos ataskaitos dėl socialinės įtraukties, skurdo mažinimo ir lygių galimybių, įskaitant romus. Priėmus </w:t>
      </w:r>
      <w:r>
        <w:rPr>
          <w:rFonts w:ascii="Times New Roman" w:hAnsi="Times New Roman"/>
          <w:b/>
          <w:noProof/>
          <w:sz w:val="24"/>
          <w:szCs w:val="24"/>
        </w:rPr>
        <w:t>2021–2027 m. pasirengimo narystei paramos priemonę</w:t>
      </w:r>
      <w:r>
        <w:rPr>
          <w:rFonts w:ascii="Times New Roman" w:hAnsi="Times New Roman"/>
          <w:noProof/>
          <w:sz w:val="24"/>
          <w:szCs w:val="24"/>
        </w:rPr>
        <w:t>, bus toliau remiamos reformos ir užtikrinamas derinimas su ES reikalavimais regionų ir nacionaliniu lygmenimis. Vakarų Balkanams skirtame ekonomikos ir investicijų plane nustatytos prioritetinės investicijų sritys siekiant skatinti konvergenciją, ekonomikos augimą ir konkurencingumą regione, visų pirma remiant marginalizuotas grupes ir mažumas, įskaitant romų bendruomenes.</w:t>
      </w:r>
      <w:r>
        <w:rPr>
          <w:rStyle w:val="FootnoteReference"/>
          <w:rFonts w:ascii="Times New Roman" w:eastAsia="Times New Roman" w:hAnsi="Times New Roman" w:cs="Times New Roman"/>
          <w:noProof/>
          <w:sz w:val="24"/>
          <w:szCs w:val="24"/>
          <w:lang w:eastAsia="en-GB"/>
        </w:rPr>
        <w:footnoteReference w:id="67"/>
      </w:r>
      <w:r>
        <w:rPr>
          <w:noProof/>
        </w:rPr>
        <w:t>.</w:t>
      </w:r>
      <w:r>
        <w:rPr>
          <w:rFonts w:ascii="Times New Roman" w:hAnsi="Times New Roman"/>
          <w:noProof/>
          <w:sz w:val="24"/>
          <w:szCs w:val="24"/>
        </w:rPr>
        <w:t xml:space="preserve"> Romų įtraukčiai skatinti taip pat bus sutelktos papildomos atitinkamos ES lėšos, susijusios su atsigavimo po COVID-19 arba kitomis išorės santykių rėmimo priemonėmis, pavyzdžiui, Kaimynystės, vystomojo ir tarptautinio bendradarbiavimo priemone (KVTBP)</w:t>
      </w:r>
      <w:r>
        <w:rPr>
          <w:rStyle w:val="FootnoteReference"/>
          <w:rFonts w:ascii="Times New Roman" w:hAnsi="Times New Roman" w:cs="Times New Roman"/>
          <w:noProof/>
          <w:sz w:val="24"/>
          <w:szCs w:val="24"/>
        </w:rPr>
        <w:footnoteReference w:id="68"/>
      </w:r>
      <w:r>
        <w:rPr>
          <w:rFonts w:ascii="Times New Roman" w:hAnsi="Times New Roman"/>
          <w:noProof/>
          <w:sz w:val="24"/>
          <w:szCs w:val="24"/>
        </w:rPr>
        <w:t>.</w:t>
      </w:r>
    </w:p>
    <w:p>
      <w:pPr>
        <w:spacing w:after="0" w:line="240" w:lineRule="auto"/>
        <w:jc w:val="both"/>
        <w:rPr>
          <w:rFonts w:ascii="Times New Roman" w:hAnsi="Times New Roman" w:cs="Times New Roman"/>
          <w:noProof/>
          <w:sz w:val="24"/>
          <w:szCs w:val="24"/>
        </w:rPr>
      </w:pPr>
      <w:r>
        <w:rPr>
          <w:rFonts w:ascii="Times New Roman" w:hAnsi="Times New Roman"/>
          <w:noProof/>
          <w:sz w:val="24"/>
          <w:szCs w:val="24"/>
        </w:rPr>
        <w:t>ES toliau skatins nediskriminavimą ir lygybę visame pasaulyje, remdamasi ES strateginiu planu</w:t>
      </w:r>
      <w:r>
        <w:rPr>
          <w:rStyle w:val="FootnoteReference"/>
          <w:rFonts w:ascii="Times New Roman" w:hAnsi="Times New Roman"/>
          <w:noProof/>
          <w:sz w:val="24"/>
          <w:szCs w:val="24"/>
        </w:rPr>
        <w:footnoteReference w:id="69"/>
      </w:r>
      <w:r>
        <w:rPr>
          <w:rFonts w:ascii="Times New Roman" w:hAnsi="Times New Roman"/>
          <w:noProof/>
          <w:sz w:val="24"/>
          <w:szCs w:val="24"/>
        </w:rPr>
        <w:t xml:space="preserve">, </w:t>
      </w:r>
      <w:r>
        <w:rPr>
          <w:rFonts w:ascii="Times New Roman" w:hAnsi="Times New Roman"/>
          <w:b/>
          <w:noProof/>
          <w:sz w:val="24"/>
          <w:szCs w:val="24"/>
        </w:rPr>
        <w:t>ES veiksmų planais žmogaus teisių ir demokratijos srityje (2020–2024 m.)</w:t>
      </w:r>
      <w:r>
        <w:rPr>
          <w:rStyle w:val="FootnoteReference"/>
          <w:rFonts w:ascii="Times New Roman" w:hAnsi="Times New Roman"/>
          <w:noProof/>
          <w:sz w:val="24"/>
          <w:szCs w:val="24"/>
        </w:rPr>
        <w:footnoteReference w:id="70"/>
      </w:r>
      <w:r>
        <w:rPr>
          <w:rFonts w:ascii="Times New Roman" w:hAnsi="Times New Roman"/>
          <w:noProof/>
          <w:sz w:val="24"/>
          <w:szCs w:val="24"/>
        </w:rPr>
        <w:t xml:space="preserve"> ir ES lyčių lygybės veiksmų planais</w:t>
      </w:r>
      <w:r>
        <w:rPr>
          <w:rStyle w:val="FootnoteReference"/>
          <w:rFonts w:ascii="Times New Roman" w:hAnsi="Times New Roman"/>
          <w:noProof/>
          <w:sz w:val="24"/>
          <w:szCs w:val="24"/>
        </w:rPr>
        <w:footnoteReference w:id="71"/>
      </w:r>
      <w:r>
        <w:rPr>
          <w:rFonts w:ascii="Times New Roman" w:hAnsi="Times New Roman"/>
          <w:noProof/>
          <w:sz w:val="24"/>
          <w:szCs w:val="24"/>
        </w:rPr>
        <w:t xml:space="preserve"> ir įtrauks romų klausimus įgyvendinant 2019 m. ES </w:t>
      </w:r>
      <w:r>
        <w:rPr>
          <w:rFonts w:ascii="Times New Roman" w:hAnsi="Times New Roman"/>
          <w:b/>
          <w:noProof/>
          <w:sz w:val="24"/>
          <w:szCs w:val="24"/>
        </w:rPr>
        <w:t>gaires dėl nediskriminavimo išorės veiksmuose</w:t>
      </w:r>
      <w:r>
        <w:rPr>
          <w:rStyle w:val="FootnoteReference"/>
          <w:rFonts w:ascii="Times New Roman" w:eastAsia="Times New Roman" w:hAnsi="Times New Roman" w:cs="Times New Roman"/>
          <w:b/>
          <w:noProof/>
          <w:sz w:val="24"/>
          <w:szCs w:val="24"/>
          <w:lang w:eastAsia="en-GB"/>
        </w:rPr>
        <w:footnoteReference w:id="72"/>
      </w:r>
      <w:r>
        <w:rPr>
          <w:rFonts w:ascii="Times New Roman" w:hAnsi="Times New Roman"/>
          <w:noProof/>
          <w:sz w:val="24"/>
          <w:szCs w:val="24"/>
        </w:rPr>
        <w:t>. ES veiksmais bus papildytos nacionalinės iniciatyvos ir remiama pilietinė visuomenė. Romų lygybė ir įtrauktis bus nuolatinis darbotvarkės klausimas žmogaus teisių ir kitų sričių politiniame dialoge su ES nepriklausančiomis šalimis, kuriose gyvena daug romų. ES ir toliau aktyviai dalyvaus romų lygybės užtikrinimo veikloje regioniniuose ir daugiašaliuose forumuose, visų pirma Europos Taryboje, Europos saugumo ir bendradarbiavimo organizacijoje ir Jungtinėse Tautose.</w:t>
      </w:r>
    </w:p>
    <w:p>
      <w:pPr>
        <w:keepNext/>
        <w:keepLines/>
        <w:spacing w:before="360" w:after="240" w:line="240" w:lineRule="auto"/>
        <w:ind w:left="851" w:hanging="851"/>
        <w:jc w:val="both"/>
        <w:rPr>
          <w:rFonts w:ascii="Times New Roman" w:eastAsia="Times New Roman" w:hAnsi="Times New Roman" w:cs="Times New Roman"/>
          <w:b/>
          <w:i/>
          <w:smallCaps/>
          <w:noProof/>
          <w:sz w:val="24"/>
          <w:szCs w:val="24"/>
        </w:rPr>
      </w:pPr>
      <w:r>
        <w:rPr>
          <w:rFonts w:ascii="Times New Roman" w:hAnsi="Times New Roman"/>
          <w:b/>
          <w:i/>
          <w:smallCaps/>
          <w:noProof/>
          <w:sz w:val="24"/>
          <w:szCs w:val="24"/>
        </w:rPr>
        <w:t xml:space="preserve">VI. </w:t>
      </w:r>
      <w:r>
        <w:rPr>
          <w:noProof/>
        </w:rPr>
        <w:tab/>
      </w:r>
      <w:r>
        <w:rPr>
          <w:rFonts w:ascii="Times New Roman" w:hAnsi="Times New Roman"/>
          <w:b/>
          <w:i/>
          <w:smallCaps/>
          <w:noProof/>
          <w:sz w:val="24"/>
          <w:szCs w:val="24"/>
        </w:rPr>
        <w:t>Išvados</w:t>
      </w:r>
    </w:p>
    <w:p>
      <w:pPr>
        <w:keepNext/>
        <w:keepLines/>
        <w:spacing w:after="240" w:line="240" w:lineRule="auto"/>
        <w:jc w:val="both"/>
        <w:rPr>
          <w:rFonts w:ascii="Times New Roman" w:hAnsi="Times New Roman"/>
          <w:noProof/>
          <w:sz w:val="24"/>
          <w:szCs w:val="24"/>
        </w:rPr>
      </w:pPr>
      <w:r>
        <w:rPr>
          <w:rFonts w:ascii="Times New Roman" w:hAnsi="Times New Roman"/>
          <w:noProof/>
          <w:sz w:val="24"/>
          <w:szCs w:val="24"/>
        </w:rPr>
        <w:t xml:space="preserve">Ilgus šimtmečius romai prisidėjo prie Europos kultūros puoselėjimo, įvairovės, ekonomikos ir bendros istorijos. ES privalo apsaugoti savo romų mažumą nuo diskriminacijos, priešiškumo ir socialinės atskirties. Norint užtikrinti romų lygybę, įtrauktį ir dalyvavimą, reikia, kad visos ES institucijos, nacionalinės vyriausybės ir ES agentūros, lygybės įstaigos ir kitos žmogaus teisių institucijos, bendradarbiaudamos su pilietine visuomene ir tarptautinėmis organizacijomis, susiburtų ir imtųsi veiksmų; reikalingas ir visapusiškas pačių romų dalyvavimas. Komisija ragina Europos Parlamentą remti šį strateginį planą, o Tarybą – siekti skubiai priimti siūlomą </w:t>
      </w:r>
      <w:r>
        <w:rPr>
          <w:rFonts w:ascii="Times New Roman" w:hAnsi="Times New Roman"/>
          <w:b/>
          <w:noProof/>
          <w:sz w:val="24"/>
          <w:szCs w:val="24"/>
        </w:rPr>
        <w:t>rekomendaciją dėl romų lygybės, įtraukties ir dalyvavimo</w:t>
      </w:r>
      <w:r>
        <w:rPr>
          <w:rFonts w:ascii="Times New Roman" w:hAnsi="Times New Roman"/>
          <w:noProof/>
          <w:sz w:val="24"/>
          <w:szCs w:val="24"/>
        </w:rPr>
        <w:t>, užtikrinant, kad valstybės narės ir Komisija dirbtų išvien. Dirbdami kartu, iki 2030 m. galime padaryti tikrą pažangą, kad sukurtume Europą, kurioje įvairūs romų tautybės asmenys ir bendruomenės turėtų lygias galimybes visose gyvenimo srityse, galėtų naudotis socialine bei ekonomine įtrauktimi ir vienodomis sąlygomis dalyvauti visuomeniniame gyvenime.</w:t>
      </w:r>
    </w:p>
    <w:sectPr>
      <w:headerReference w:type="even" r:id="rId17"/>
      <w:headerReference w:type="default" r:id="rId18"/>
      <w:footerReference w:type="even" r:id="rId19"/>
      <w:footerReference w:type="default" r:id="rId20"/>
      <w:headerReference w:type="first" r:id="rId21"/>
      <w:footerReference w:type="first" r:id="rId22"/>
      <w:pgSz w:w="11906" w:h="16838"/>
      <w:pgMar w:top="1440" w:right="1133" w:bottom="1418"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LT</w:t>
    </w:r>
    <w:r>
      <w:rPr>
        <w:rFonts w:ascii="Arial" w:hAnsi="Arial" w:cs="Arial"/>
        <w:b/>
        <w:sz w:val="48"/>
      </w:rPr>
      <w:tab/>
    </w:r>
    <w:r>
      <w:rPr>
        <w:rFonts w:ascii="Arial" w:hAnsi="Arial" w:cs="Arial"/>
        <w:b/>
        <w:sz w:val="48"/>
      </w:rPr>
      <w:tab/>
    </w:r>
    <w:r>
      <w:tab/>
    </w:r>
    <w:r>
      <w:rPr>
        <w:rFonts w:ascii="Arial" w:hAnsi="Arial" w:cs="Arial"/>
        <w:b/>
        <w:sz w:val="48"/>
      </w:rPr>
      <w:t>LT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9214522"/>
      <w:docPartObj>
        <w:docPartGallery w:val="Page Numbers (Bottom of Page)"/>
        <w:docPartUnique/>
      </w:docPartObj>
    </w:sdtPr>
    <w:sdtEndPr>
      <w:rPr>
        <w:rFonts w:ascii="Times New Roman" w:hAnsi="Times New Roman" w:cs="Times New Roman"/>
        <w:sz w:val="20"/>
        <w:szCs w:val="20"/>
      </w:rPr>
    </w:sdtEndPr>
    <w:sdtContent>
      <w:p>
        <w:pPr>
          <w:pStyle w:val="Footer"/>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Pr>
            <w:rFonts w:ascii="Times New Roman" w:hAnsi="Times New Roman" w:cs="Times New Roman"/>
            <w:noProof/>
            <w:sz w:val="20"/>
            <w:szCs w:val="20"/>
          </w:rPr>
          <w:t>17</w:t>
        </w:r>
        <w:r>
          <w:rPr>
            <w:rFonts w:ascii="Times New Roman" w:hAnsi="Times New Roman" w:cs="Times New Roman"/>
            <w:sz w:val="20"/>
            <w:szCs w:val="20"/>
          </w:rPr>
          <w:fldChar w:fldCharType="end"/>
        </w:r>
      </w:p>
    </w:sdtContent>
  </w:sdt>
  <w:p>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jc w:val="center"/>
    </w:pPr>
    <w:r>
      <w:t>1</w:t>
    </w:r>
  </w:p>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footnotetext1"/>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Lygybės sąjunga. 2020–2025 m. ES kovos su rasizmu veiksmų planas, </w:t>
      </w:r>
      <w:hyperlink r:id="rId1" w:history="1">
        <w:r>
          <w:rPr>
            <w:rStyle w:val="Hyperlink"/>
            <w:rFonts w:ascii="Times New Roman" w:hAnsi="Times New Roman"/>
          </w:rPr>
          <w:t xml:space="preserve">COM(2020) 565 </w:t>
        </w:r>
        <w:r>
          <w:rPr>
            <w:rStyle w:val="Hyperlink"/>
            <w:rFonts w:ascii="Times New Roman" w:hAnsi="Times New Roman"/>
            <w:i/>
          </w:rPr>
          <w:t>final</w:t>
        </w:r>
      </w:hyperlink>
      <w:r>
        <w:rPr>
          <w:rFonts w:ascii="Times New Roman" w:hAnsi="Times New Roman"/>
        </w:rPr>
        <w:t>.</w:t>
      </w:r>
    </w:p>
  </w:footnote>
  <w:footnote w:id="2">
    <w:p>
      <w:pPr>
        <w:pStyle w:val="footnotetext1"/>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Terminas „romai“ vartojamas kaip bendras terminas, apimantis įvairias skirtingas romų kilmės tautines grupes, tokias kaip romai, sintai, kalai, romanišeliai, bojašai (rudariai). Be to, jis apima tokias grupes kaip aškaliai, egiptiečiai, jenišai, domai, lomai, romai ir abdalai, taip pat klajoklių populiacijas, įskaitant etninius klajoklius arba asmenis, įvardytus administraciniu terminu </w:t>
      </w:r>
      <w:r>
        <w:rPr>
          <w:rFonts w:ascii="Times New Roman" w:hAnsi="Times New Roman"/>
          <w:i/>
          <w:iCs/>
        </w:rPr>
        <w:t>gens du voyage</w:t>
      </w:r>
      <w:r>
        <w:rPr>
          <w:rFonts w:ascii="Times New Roman" w:hAnsi="Times New Roman"/>
        </w:rPr>
        <w:t>, ir žmones, kurie vadina save čigonais, nepaneigiant ypatingų šių grupių požymių.</w:t>
      </w:r>
    </w:p>
  </w:footnote>
  <w:footnote w:id="3">
    <w:p>
      <w:pPr>
        <w:pStyle w:val="footnotetext1"/>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2" w:history="1">
        <w:r>
          <w:rPr>
            <w:rStyle w:val="Hyperlink"/>
            <w:rFonts w:ascii="Times New Roman" w:hAnsi="Times New Roman"/>
            <w:i/>
            <w:iCs/>
          </w:rPr>
          <w:t>Council of Europe 2012 estimates</w:t>
        </w:r>
      </w:hyperlink>
      <w:r>
        <w:rPr>
          <w:rStyle w:val="Hyperlink"/>
          <w:rFonts w:ascii="Times New Roman" w:hAnsi="Times New Roman"/>
        </w:rPr>
        <w:t xml:space="preserve">. </w:t>
      </w:r>
    </w:p>
  </w:footnote>
  <w:footnote w:id="4">
    <w:p>
      <w:pPr>
        <w:pStyle w:val="footnotetext1"/>
        <w:ind w:left="284" w:hanging="284"/>
        <w:contextualSpacing/>
        <w:jc w:val="both"/>
      </w:pPr>
      <w:r>
        <w:rPr>
          <w:rStyle w:val="FootnoteReference"/>
        </w:rPr>
        <w:footnoteRef/>
      </w:r>
      <w:r>
        <w:t xml:space="preserve"> </w:t>
      </w:r>
      <w:r>
        <w:tab/>
      </w:r>
      <w:r>
        <w:rPr>
          <w:rFonts w:ascii="Times New Roman" w:hAnsi="Times New Roman"/>
          <w:sz w:val="19"/>
          <w:szCs w:val="19"/>
        </w:rPr>
        <w:t xml:space="preserve">Priešiškumas romams (rasizmo prieš romus forma) yra istoriškai įsitvirtinęs struktūrinis reiškinys, pasireiškiantis instituciniu, socialiniu ir tarpasmeniniu lygmenimis. Jį lėmė daugumos požiūris į čigonais laikomus asmenis ir elgesys su jais. Šis reiškinys glaudžiai susijęs su egzotizavimo procesu, kuris grindžiamas tiek neigiamais, tiek teigiamais egzotizavimo stereotipais. Nors pasisakantieji už tai, kad būtina aktyviau kovoti su priešiškumu romams, dėl reiškinio sampratos sutaria, dėl paties termino diskutuojama. Europos Parlamentas (savo </w:t>
      </w:r>
      <w:hyperlink r:id="rId3" w:history="1">
        <w:r>
          <w:rPr>
            <w:rFonts w:ascii="Times New Roman" w:hAnsi="Times New Roman"/>
            <w:color w:val="0000FF" w:themeColor="hyperlink"/>
            <w:sz w:val="19"/>
            <w:szCs w:val="19"/>
            <w:u w:val="single"/>
          </w:rPr>
          <w:t>2015</w:t>
        </w:r>
      </w:hyperlink>
      <w:r>
        <w:rPr>
          <w:rFonts w:ascii="Times New Roman" w:hAnsi="Times New Roman"/>
          <w:sz w:val="19"/>
          <w:szCs w:val="19"/>
        </w:rPr>
        <w:t xml:space="preserve">, </w:t>
      </w:r>
      <w:hyperlink r:id="rId4" w:anchor="title1" w:history="1">
        <w:r>
          <w:rPr>
            <w:rFonts w:ascii="Times New Roman" w:hAnsi="Times New Roman"/>
            <w:color w:val="0000FF" w:themeColor="hyperlink"/>
            <w:sz w:val="19"/>
            <w:szCs w:val="19"/>
            <w:u w:val="single"/>
          </w:rPr>
          <w:t>2017</w:t>
        </w:r>
      </w:hyperlink>
      <w:r>
        <w:rPr>
          <w:rFonts w:ascii="Times New Roman" w:hAnsi="Times New Roman"/>
          <w:sz w:val="19"/>
          <w:szCs w:val="19"/>
        </w:rPr>
        <w:t xml:space="preserve">, </w:t>
      </w:r>
      <w:hyperlink r:id="rId5" w:history="1">
        <w:r>
          <w:rPr>
            <w:rFonts w:ascii="Times New Roman" w:hAnsi="Times New Roman"/>
            <w:color w:val="0000FF" w:themeColor="hyperlink"/>
            <w:sz w:val="19"/>
            <w:szCs w:val="19"/>
            <w:u w:val="single"/>
          </w:rPr>
          <w:t>2019</w:t>
        </w:r>
      </w:hyperlink>
      <w:r>
        <w:rPr>
          <w:rFonts w:ascii="Times New Roman" w:hAnsi="Times New Roman"/>
          <w:sz w:val="19"/>
          <w:szCs w:val="19"/>
        </w:rPr>
        <w:t xml:space="preserve"> ir </w:t>
      </w:r>
      <w:hyperlink r:id="rId6" w:history="1">
        <w:r>
          <w:rPr>
            <w:rStyle w:val="Hyperlink"/>
            <w:rFonts w:ascii="Times New Roman" w:hAnsi="Times New Roman"/>
            <w:sz w:val="19"/>
            <w:szCs w:val="19"/>
          </w:rPr>
          <w:t>2020</w:t>
        </w:r>
      </w:hyperlink>
      <w:r>
        <w:rPr>
          <w:rFonts w:ascii="Times New Roman" w:hAnsi="Times New Roman"/>
          <w:sz w:val="19"/>
          <w:szCs w:val="19"/>
        </w:rPr>
        <w:t xml:space="preserve"> rezoliucijose), Komisija (savo 2015–2019 m. </w:t>
      </w:r>
      <w:hyperlink r:id="rId7" w:history="1">
        <w:r>
          <w:rPr>
            <w:rFonts w:ascii="Times New Roman" w:hAnsi="Times New Roman"/>
            <w:color w:val="0000FF" w:themeColor="hyperlink"/>
            <w:sz w:val="19"/>
            <w:szCs w:val="19"/>
            <w:u w:val="single"/>
          </w:rPr>
          <w:t>metiniuose komunikatuose</w:t>
        </w:r>
      </w:hyperlink>
      <w:r>
        <w:rPr>
          <w:rFonts w:ascii="Times New Roman" w:hAnsi="Times New Roman"/>
          <w:sz w:val="19"/>
          <w:szCs w:val="19"/>
        </w:rPr>
        <w:t xml:space="preserve"> ir 2018 m. </w:t>
      </w:r>
      <w:hyperlink r:id="rId8" w:history="1">
        <w:r>
          <w:rPr>
            <w:rFonts w:ascii="Times New Roman" w:hAnsi="Times New Roman"/>
            <w:color w:val="0000FF" w:themeColor="hyperlink"/>
            <w:sz w:val="19"/>
            <w:szCs w:val="19"/>
            <w:u w:val="single"/>
          </w:rPr>
          <w:t>išvadose</w:t>
        </w:r>
      </w:hyperlink>
      <w:r>
        <w:rPr>
          <w:rFonts w:ascii="Times New Roman" w:hAnsi="Times New Roman"/>
          <w:sz w:val="19"/>
          <w:szCs w:val="19"/>
        </w:rPr>
        <w:t>), Taryba (</w:t>
      </w:r>
      <w:hyperlink r:id="rId9" w:history="1">
        <w:r>
          <w:rPr>
            <w:rFonts w:ascii="Times New Roman" w:hAnsi="Times New Roman"/>
            <w:color w:val="0000FF" w:themeColor="hyperlink"/>
            <w:sz w:val="19"/>
            <w:szCs w:val="19"/>
            <w:u w:val="single"/>
          </w:rPr>
          <w:t>2013 m.</w:t>
        </w:r>
      </w:hyperlink>
      <w:r>
        <w:rPr>
          <w:rFonts w:ascii="Times New Roman" w:hAnsi="Times New Roman"/>
          <w:sz w:val="19"/>
          <w:szCs w:val="19"/>
        </w:rPr>
        <w:t xml:space="preserve"> rekomendacijoje ir </w:t>
      </w:r>
      <w:hyperlink r:id="rId10" w:history="1">
        <w:r>
          <w:rPr>
            <w:rFonts w:ascii="Times New Roman" w:hAnsi="Times New Roman"/>
            <w:color w:val="0000FF" w:themeColor="hyperlink"/>
            <w:sz w:val="19"/>
            <w:szCs w:val="19"/>
            <w:u w:val="single"/>
          </w:rPr>
          <w:t>2016 m.</w:t>
        </w:r>
      </w:hyperlink>
      <w:r>
        <w:rPr>
          <w:rFonts w:ascii="Times New Roman" w:hAnsi="Times New Roman"/>
          <w:sz w:val="19"/>
          <w:szCs w:val="19"/>
        </w:rPr>
        <w:t xml:space="preserve"> išvadose) ir </w:t>
      </w:r>
      <w:hyperlink r:id="rId11" w:history="1">
        <w:r>
          <w:rPr>
            <w:rFonts w:ascii="Times New Roman" w:hAnsi="Times New Roman"/>
            <w:color w:val="0000FF" w:themeColor="hyperlink"/>
            <w:sz w:val="19"/>
            <w:szCs w:val="19"/>
            <w:u w:val="single"/>
          </w:rPr>
          <w:t>Europos Taryba</w:t>
        </w:r>
      </w:hyperlink>
      <w:r>
        <w:rPr>
          <w:rFonts w:ascii="Times New Roman" w:hAnsi="Times New Roman"/>
          <w:sz w:val="19"/>
          <w:szCs w:val="19"/>
        </w:rPr>
        <w:t xml:space="preserve"> pripažino, kad priešiškumas romams yra kliūtis įtraukčiai ir kad todėl svarbu su juo kovoti. Komisija vartoja </w:t>
      </w:r>
      <w:hyperlink r:id="rId12" w:history="1">
        <w:r>
          <w:rPr>
            <w:rFonts w:ascii="Times New Roman" w:hAnsi="Times New Roman"/>
            <w:color w:val="0000FF" w:themeColor="hyperlink"/>
            <w:sz w:val="19"/>
            <w:szCs w:val="19"/>
            <w:u w:val="single"/>
          </w:rPr>
          <w:t>Kovos su priešiškumu romams aljanso</w:t>
        </w:r>
      </w:hyperlink>
      <w:r>
        <w:rPr>
          <w:rFonts w:ascii="Times New Roman" w:hAnsi="Times New Roman"/>
          <w:sz w:val="19"/>
          <w:szCs w:val="19"/>
        </w:rPr>
        <w:t xml:space="preserve"> pasiūlytą rašybos variantą, kartu pripažindama, kad, atsižvelgiant į skirtingas nacionalines aplinkybes, gali būti vartojami skirtingi terminai.</w:t>
      </w:r>
    </w:p>
  </w:footnote>
  <w:footnote w:id="5">
    <w:p>
      <w:pPr>
        <w:pStyle w:val="footnotetext1"/>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13" w:history="1">
        <w:r>
          <w:rPr>
            <w:rStyle w:val="Hyperlink"/>
            <w:rFonts w:ascii="Times New Roman" w:hAnsi="Times New Roman"/>
          </w:rPr>
          <w:t xml:space="preserve">COM(2011) 173 </w:t>
        </w:r>
        <w:r>
          <w:rPr>
            <w:rStyle w:val="Hyperlink"/>
            <w:rFonts w:ascii="Times New Roman" w:hAnsi="Times New Roman"/>
            <w:i/>
            <w:iCs/>
          </w:rPr>
          <w:t>final</w:t>
        </w:r>
      </w:hyperlink>
      <w:r>
        <w:rPr>
          <w:rFonts w:ascii="Times New Roman" w:hAnsi="Times New Roman"/>
        </w:rPr>
        <w:t>.</w:t>
      </w:r>
    </w:p>
  </w:footnote>
  <w:footnote w:id="6">
    <w:p>
      <w:pPr>
        <w:pStyle w:val="footnotetext1"/>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Nacionaliniai atstovai, paskirti sukurti romų integracijos nacionalinės strategijos kontaktinį centrą, įgaliotą derinti strategijos kūrimą ir įgyvendinimą nacionaliniu lygmeniu. Priėmus ES planą, jie buvo paskirti visose valstybėse narėse, išskyrus Maltą, kurioje nėra romų bendruomenės. </w:t>
      </w:r>
    </w:p>
  </w:footnote>
  <w:footnote w:id="7">
    <w:p>
      <w:pPr>
        <w:pStyle w:val="footnotetext1"/>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2013 m. gruodžio 9 d. Tarybos rekomendacija dėl romų veiksmingų integravimo priemonių valstybėse narėse (</w:t>
      </w:r>
      <w:hyperlink r:id="rId14" w:history="1">
        <w:r>
          <w:rPr>
            <w:rStyle w:val="Hyperlink"/>
            <w:rFonts w:ascii="Times New Roman" w:hAnsi="Times New Roman"/>
          </w:rPr>
          <w:t>OL C 378/1, 2013 12 24</w:t>
        </w:r>
      </w:hyperlink>
      <w:r>
        <w:rPr>
          <w:rFonts w:ascii="Times New Roman" w:hAnsi="Times New Roman"/>
        </w:rPr>
        <w:t>).</w:t>
      </w:r>
    </w:p>
  </w:footnote>
  <w:footnote w:id="8">
    <w:p>
      <w:pPr>
        <w:pStyle w:val="footnotetext1"/>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Kaip matyti iš plano vertinimo: </w:t>
      </w:r>
      <w:hyperlink r:id="rId15" w:history="1">
        <w:r>
          <w:rPr>
            <w:rStyle w:val="Hyperlink"/>
            <w:rFonts w:ascii="Times New Roman" w:hAnsi="Times New Roman"/>
          </w:rPr>
          <w:t xml:space="preserve">COM(2018) 785 </w:t>
        </w:r>
        <w:r>
          <w:rPr>
            <w:rStyle w:val="Hyperlink"/>
            <w:rFonts w:ascii="Times New Roman" w:hAnsi="Times New Roman"/>
            <w:i/>
          </w:rPr>
          <w:t>final</w:t>
        </w:r>
      </w:hyperlink>
      <w:r>
        <w:rPr>
          <w:rFonts w:ascii="Times New Roman" w:hAnsi="Times New Roman"/>
        </w:rPr>
        <w:t xml:space="preserve">, </w:t>
      </w:r>
      <w:hyperlink r:id="rId16" w:history="1">
        <w:r>
          <w:rPr>
            <w:rStyle w:val="Hyperlink"/>
            <w:rFonts w:ascii="Times New Roman" w:hAnsi="Times New Roman"/>
          </w:rPr>
          <w:t xml:space="preserve">SWD(2018) 480 </w:t>
        </w:r>
        <w:r>
          <w:rPr>
            <w:rStyle w:val="Hyperlink"/>
            <w:rFonts w:ascii="Times New Roman" w:hAnsi="Times New Roman"/>
            <w:i/>
          </w:rPr>
          <w:t>final</w:t>
        </w:r>
      </w:hyperlink>
      <w:r>
        <w:rPr>
          <w:rStyle w:val="Hyperlink"/>
          <w:rFonts w:ascii="Times New Roman" w:hAnsi="Times New Roman"/>
          <w:u w:val="none"/>
        </w:rPr>
        <w:t>.</w:t>
      </w:r>
    </w:p>
  </w:footnote>
  <w:footnote w:id="9">
    <w:p>
      <w:pPr>
        <w:pStyle w:val="footnotetext1"/>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Ataskaita dėl patirties, įgytos atlikus ES romų integracijos nacionalinių strategijų plano laikotarpio vidurio peržiūrą, </w:t>
      </w:r>
      <w:hyperlink r:id="rId17" w:history="1">
        <w:r>
          <w:rPr>
            <w:rStyle w:val="Hyperlink"/>
            <w:rFonts w:ascii="Times New Roman" w:hAnsi="Times New Roman"/>
          </w:rPr>
          <w:t xml:space="preserve">COM(2018) 785 </w:t>
        </w:r>
        <w:r>
          <w:rPr>
            <w:rStyle w:val="Hyperlink"/>
            <w:rFonts w:ascii="Times New Roman" w:hAnsi="Times New Roman"/>
            <w:i/>
            <w:iCs/>
          </w:rPr>
          <w:t>final</w:t>
        </w:r>
      </w:hyperlink>
      <w:r>
        <w:t>.</w:t>
      </w:r>
    </w:p>
  </w:footnote>
  <w:footnote w:id="10">
    <w:p>
      <w:pPr>
        <w:pStyle w:val="footnotetext1"/>
        <w:ind w:left="284" w:hanging="284"/>
        <w:jc w:val="both"/>
      </w:pPr>
      <w:r>
        <w:rPr>
          <w:rStyle w:val="FootnoteReference"/>
        </w:rPr>
        <w:footnoteRef/>
      </w:r>
      <w:r>
        <w:t xml:space="preserve"> </w:t>
      </w:r>
      <w:r>
        <w:tab/>
      </w:r>
      <w:r>
        <w:rPr>
          <w:rFonts w:ascii="Times New Roman" w:hAnsi="Times New Roman"/>
        </w:rPr>
        <w:t>Remdamasi 2000 m. birželio 29 d. Tarybos Direktyva</w:t>
      </w:r>
      <w:r>
        <w:t xml:space="preserve"> </w:t>
      </w:r>
      <w:hyperlink r:id="rId18" w:history="1">
        <w:r>
          <w:rPr>
            <w:rStyle w:val="Hyperlink"/>
            <w:rFonts w:ascii="Times New Roman" w:hAnsi="Times New Roman"/>
          </w:rPr>
          <w:t>2000/43/EB</w:t>
        </w:r>
      </w:hyperlink>
      <w:r>
        <w:rPr>
          <w:rFonts w:ascii="Times New Roman" w:hAnsi="Times New Roman"/>
        </w:rPr>
        <w:t>, įgyvendinančia vienodo požiūrio principą asmenims nepriklausomai nuo jų rasės arba etninės priklausomybės (Rasinės lygybės direktyva), Komisija prieš tris šalis (CZ, HU ir SK) pradėjo pažeidimų nagrinėjimo procedūras dėl romų vaikų segregacijos mokyklose.</w:t>
      </w:r>
    </w:p>
  </w:footnote>
  <w:footnote w:id="11">
    <w:p>
      <w:pPr>
        <w:pStyle w:val="footnotetext1"/>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Ataskaita dėl patirties, įgytos atlikus ES romų integracijos nacionalinių strategijų plano laikotarpio vidurio peržiūrą, COM(2018) 785 </w:t>
      </w:r>
      <w:r>
        <w:rPr>
          <w:rFonts w:ascii="Times New Roman" w:hAnsi="Times New Roman"/>
          <w:i/>
          <w:iCs/>
        </w:rPr>
        <w:t>final</w:t>
      </w:r>
      <w:r>
        <w:rPr>
          <w:rFonts w:ascii="Times New Roman" w:hAnsi="Times New Roman"/>
        </w:rPr>
        <w:t>.</w:t>
      </w:r>
    </w:p>
  </w:footnote>
  <w:footnote w:id="12">
    <w:p>
      <w:pPr>
        <w:pStyle w:val="footnotetext1"/>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Žr. pridedamo SWD(2020) 530 </w:t>
      </w:r>
      <w:r>
        <w:rPr>
          <w:rFonts w:ascii="Times New Roman" w:hAnsi="Times New Roman"/>
          <w:i/>
          <w:iCs/>
        </w:rPr>
        <w:t>final</w:t>
      </w:r>
      <w:r>
        <w:rPr>
          <w:rFonts w:ascii="Times New Roman" w:hAnsi="Times New Roman"/>
        </w:rPr>
        <w:t xml:space="preserve"> 1 priedą.</w:t>
      </w:r>
    </w:p>
  </w:footnote>
  <w:footnote w:id="13">
    <w:p>
      <w:pPr>
        <w:pStyle w:val="footnotetext1"/>
        <w:ind w:left="284" w:hanging="284"/>
        <w:contextualSpacing/>
        <w:jc w:val="both"/>
        <w:rPr>
          <w:rStyle w:val="FootnoteReference"/>
          <w:rFonts w:ascii="Times New Roman" w:hAnsi="Times New Roman" w:cs="Times New Roman"/>
          <w:sz w:val="19"/>
          <w:szCs w:val="19"/>
        </w:rPr>
      </w:pPr>
      <w:r>
        <w:rPr>
          <w:rStyle w:val="FootnoteReference"/>
          <w:rFonts w:ascii="Times New Roman" w:hAnsi="Times New Roman" w:cs="Times New Roman"/>
        </w:rPr>
        <w:footnoteRef/>
      </w:r>
      <w:r>
        <w:rPr>
          <w:rStyle w:val="FootnoteReference"/>
          <w:rFonts w:ascii="Times New Roman" w:hAnsi="Times New Roman"/>
          <w:sz w:val="19"/>
          <w:szCs w:val="19"/>
        </w:rPr>
        <w:t xml:space="preserve"> </w:t>
      </w:r>
      <w:r>
        <w:tab/>
      </w:r>
      <w:hyperlink r:id="rId19" w:history="1">
        <w:r>
          <w:rPr>
            <w:rStyle w:val="Hyperlink"/>
            <w:rFonts w:ascii="Times New Roman" w:hAnsi="Times New Roman"/>
            <w:sz w:val="19"/>
            <w:szCs w:val="19"/>
          </w:rPr>
          <w:t>COM(2019) 406</w:t>
        </w:r>
      </w:hyperlink>
      <w:r>
        <w:rPr>
          <w:rFonts w:ascii="Times New Roman" w:hAnsi="Times New Roman"/>
          <w:sz w:val="19"/>
          <w:szCs w:val="19"/>
        </w:rPr>
        <w:t xml:space="preserve">, </w:t>
      </w:r>
      <w:hyperlink r:id="rId20" w:history="1">
        <w:r>
          <w:rPr>
            <w:rStyle w:val="Hyperlink"/>
            <w:rFonts w:ascii="Times New Roman" w:hAnsi="Times New Roman"/>
            <w:sz w:val="19"/>
            <w:szCs w:val="19"/>
          </w:rPr>
          <w:t>SWD(2019) 320</w:t>
        </w:r>
      </w:hyperlink>
      <w:r>
        <w:rPr>
          <w:rFonts w:ascii="Times New Roman" w:hAnsi="Times New Roman"/>
          <w:sz w:val="19"/>
          <w:szCs w:val="19"/>
        </w:rPr>
        <w:t xml:space="preserve">, </w:t>
      </w:r>
      <w:hyperlink r:id="rId21" w:history="1">
        <w:r>
          <w:rPr>
            <w:rStyle w:val="Hyperlink"/>
            <w:rFonts w:ascii="Times New Roman" w:hAnsi="Times New Roman"/>
            <w:sz w:val="19"/>
            <w:szCs w:val="19"/>
          </w:rPr>
          <w:t>visos metinės ataskaitos</w:t>
        </w:r>
      </w:hyperlink>
      <w:r>
        <w:rPr>
          <w:rStyle w:val="Hyperlink"/>
          <w:rFonts w:ascii="Times New Roman" w:hAnsi="Times New Roman"/>
          <w:sz w:val="19"/>
          <w:szCs w:val="19"/>
          <w:u w:val="none"/>
        </w:rPr>
        <w:t>.</w:t>
      </w:r>
    </w:p>
  </w:footnote>
  <w:footnote w:id="14">
    <w:p>
      <w:pPr>
        <w:pStyle w:val="footnotetext1"/>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22" w:history="1">
        <w:r>
          <w:rPr>
            <w:rStyle w:val="Hyperlink"/>
            <w:rFonts w:ascii="Times New Roman" w:hAnsi="Times New Roman"/>
            <w:i/>
            <w:shd w:val="clear" w:color="auto" w:fill="F7F8F6"/>
          </w:rPr>
          <w:t>A meta-evaluation of interventions for Roma inclusion</w:t>
        </w:r>
      </w:hyperlink>
      <w:r>
        <w:rPr>
          <w:rFonts w:ascii="Times New Roman" w:hAnsi="Times New Roman"/>
        </w:rPr>
        <w:t>.</w:t>
      </w:r>
    </w:p>
  </w:footnote>
  <w:footnote w:id="15">
    <w:p>
      <w:pPr>
        <w:pStyle w:val="footnotetext1"/>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Žr. </w:t>
      </w:r>
      <w:hyperlink r:id="rId23" w:history="1">
        <w:r>
          <w:rPr>
            <w:rStyle w:val="Hyperlink"/>
            <w:rFonts w:ascii="Times New Roman" w:hAnsi="Times New Roman"/>
          </w:rPr>
          <w:t>Europos Parlamento 2020</w:t>
        </w:r>
      </w:hyperlink>
      <w:r>
        <w:rPr>
          <w:rFonts w:ascii="Times New Roman" w:hAnsi="Times New Roman"/>
        </w:rPr>
        <w:t xml:space="preserve">, </w:t>
      </w:r>
      <w:hyperlink r:id="rId24" w:history="1">
        <w:r>
          <w:rPr>
            <w:rStyle w:val="Hyperlink"/>
            <w:rFonts w:ascii="Times New Roman" w:hAnsi="Times New Roman"/>
          </w:rPr>
          <w:t>2019 m. rezoliucijas</w:t>
        </w:r>
      </w:hyperlink>
      <w:r>
        <w:rPr>
          <w:rFonts w:ascii="Times New Roman" w:hAnsi="Times New Roman"/>
        </w:rPr>
        <w:t xml:space="preserve">, </w:t>
      </w:r>
      <w:hyperlink r:id="rId25" w:history="1">
        <w:r>
          <w:rPr>
            <w:rStyle w:val="Hyperlink"/>
            <w:rFonts w:ascii="Times New Roman" w:hAnsi="Times New Roman"/>
          </w:rPr>
          <w:t>Tarybos išvadas</w:t>
        </w:r>
      </w:hyperlink>
      <w:r>
        <w:rPr>
          <w:rStyle w:val="Hyperlink"/>
          <w:rFonts w:ascii="Times New Roman" w:hAnsi="Times New Roman"/>
          <w:u w:val="none"/>
        </w:rPr>
        <w:t>,</w:t>
      </w:r>
      <w:r>
        <w:rPr>
          <w:rFonts w:ascii="Times New Roman" w:hAnsi="Times New Roman"/>
        </w:rPr>
        <w:t xml:space="preserve"> </w:t>
      </w:r>
      <w:hyperlink r:id="rId26" w:history="1">
        <w:r>
          <w:rPr>
            <w:rStyle w:val="Hyperlink"/>
            <w:rFonts w:ascii="Times New Roman" w:hAnsi="Times New Roman"/>
          </w:rPr>
          <w:t>pilietinei visuomenei skirtą praktinį seminarą</w:t>
        </w:r>
      </w:hyperlink>
      <w:r>
        <w:rPr>
          <w:rStyle w:val="Hyperlink"/>
          <w:rFonts w:ascii="Times New Roman" w:hAnsi="Times New Roman"/>
          <w:u w:val="none"/>
        </w:rPr>
        <w:t>.</w:t>
      </w:r>
    </w:p>
  </w:footnote>
  <w:footnote w:id="16">
    <w:p>
      <w:pPr>
        <w:pStyle w:val="footnotetext1"/>
        <w:ind w:left="284" w:hanging="284"/>
        <w:jc w:val="both"/>
        <w:rPr>
          <w:rFonts w:ascii="Times New Roman" w:hAnsi="Times New Roman" w:cs="Times New Roman"/>
        </w:rPr>
      </w:pPr>
      <w:r>
        <w:rPr>
          <w:rFonts w:ascii="Times New Roman" w:hAnsi="Times New Roman" w:cs="Times New Roman"/>
          <w:vertAlign w:val="superscript"/>
        </w:rPr>
        <w:footnoteRef/>
      </w:r>
      <w:r>
        <w:rPr>
          <w:rFonts w:ascii="Times New Roman" w:hAnsi="Times New Roman"/>
        </w:rPr>
        <w:t xml:space="preserve"> </w:t>
      </w:r>
      <w:r>
        <w:tab/>
      </w:r>
      <w:r>
        <w:rPr>
          <w:rFonts w:ascii="Times New Roman" w:hAnsi="Times New Roman"/>
        </w:rPr>
        <w:t>Sutarties dėl Europos Sąjungos veikimo (SESV) 10 straipsnyje teigiama, kad „nustatydama ir įgyvendindama savo politikos kryptis ir veiksmus Sąjunga siekia kovoti su bet kokia diskriminacija dėl lyties, rasinės arba etninės kilmės, religijos ar įsitikinimų, negalios, amžiaus arba seksualinės orientacijos“. Europos lyčių lygybės institutas sąryšingumą apibrėžia kaip „analitinę priemonę, pasitelkiamą tiriant ir aiškinant, kaip biologinė ir socialinė lytis sąveikauja su kitomis asmeninėmis savybėmis ir (arba) tapatybėmis ir kaip šie ryšiai paveikia asmeninę diskriminacijos patirtį“. Ši apibrėžtis taip pat taikoma bet kokiai diskriminacijos formai.</w:t>
      </w:r>
    </w:p>
  </w:footnote>
  <w:footnote w:id="17">
    <w:p>
      <w:pPr>
        <w:pStyle w:val="footnotetext1"/>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1 principas (kokybiškas ir įtraukus švietimas), 3 principas (lygios galimybės) ir 20 principas (galimybė naudotis esminėmis paslaugomis) yra itin svarbūs romams ir jais remiantis ES lėšos naudojamos tikslinėms ir bendrosioms priemonėms.</w:t>
      </w:r>
    </w:p>
  </w:footnote>
  <w:footnote w:id="18">
    <w:p>
      <w:pPr>
        <w:pStyle w:val="footnotetext1"/>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Darbotvarkėje nustatytas platus užmojis nieko nepalikti nuošalyje suteikia daug galimybių pagerinti romų padėtį Europoje. Spręsdama romų padėties klausimą, ES gali labiau priartėti prie darnaus vystymosi tikslų (DVT) įgyvendinimo. Ypač svarbūs atspirties taškai yra 1–2 DVT (skurdo ir bado mažinimas), 3–4 DVT (sveikatos bei gerovės ir kokybiško švietimo visiems rėmimas), 6–7 DVT (galimybė gauti švaraus vandens ir naudotis sanitarijos paslaugomis, taip pat įperkama ir švari energija), 10–11 DVT (nelygybės mažinimas šalyse ir tarp jų, įtraukūs ir tvarūs miestai ir bendruomenės) ir 16 DVT (įtrauki visuomenė, visiems užtikrinama teisė kreiptis į teismą ir veiksmingos, atskaitingos ir įtraukios institucijos).</w:t>
      </w:r>
    </w:p>
  </w:footnote>
  <w:footnote w:id="19">
    <w:p>
      <w:pPr>
        <w:pStyle w:val="footnotetext1"/>
        <w:ind w:left="284" w:hanging="284"/>
        <w:contextualSpacing/>
        <w:jc w:val="both"/>
        <w:rPr>
          <w:rFonts w:ascii="Times New Roman" w:hAnsi="Times New Roman" w:cs="Times New Roman"/>
          <w:i/>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2016 m. Tarybos išvadose Komisija paraginta pasiūlyti iniciatyvą po 2020 m. ir į ją įtraukti pasiūlymą peržiūrėti 2013 m. Tarybos rekomendaciją dėl </w:t>
      </w:r>
      <w:hyperlink r:id="rId27" w:history="1">
        <w:r>
          <w:rPr>
            <w:rStyle w:val="Hyperlink"/>
            <w:rFonts w:ascii="Times New Roman" w:hAnsi="Times New Roman"/>
            <w:i/>
          </w:rPr>
          <w:t>romų integracijos proceso paspartinimo</w:t>
        </w:r>
      </w:hyperlink>
      <w:r>
        <w:rPr>
          <w:rStyle w:val="Hyperlink"/>
          <w:rFonts w:ascii="Times New Roman" w:hAnsi="Times New Roman"/>
          <w:color w:val="auto"/>
          <w:u w:val="none"/>
        </w:rPr>
        <w:t>.</w:t>
      </w:r>
    </w:p>
  </w:footnote>
  <w:footnote w:id="20">
    <w:p>
      <w:pPr>
        <w:pStyle w:val="footnotetext1"/>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shd w:val="clear" w:color="auto" w:fill="FFFFFF"/>
        </w:rPr>
        <w:t xml:space="preserve"> </w:t>
      </w:r>
      <w:r>
        <w:tab/>
      </w:r>
      <w:r>
        <w:rPr>
          <w:rFonts w:ascii="Times New Roman" w:hAnsi="Times New Roman"/>
          <w:shd w:val="clear" w:color="auto" w:fill="FFFFFF"/>
        </w:rPr>
        <w:t>2020 m. rugsėjo 17 d. Europos Parlamento rezoliucija „Romų integracijos nacionalinių strategijų įgyvendinimas: kova su neigiamu požiūriu į romų kilmės asmenis Europoje“ (</w:t>
      </w:r>
      <w:hyperlink r:id="rId28" w:history="1">
        <w:r>
          <w:rPr>
            <w:rStyle w:val="Hyperlink"/>
            <w:rFonts w:ascii="Times New Roman" w:hAnsi="Times New Roman"/>
            <w:shd w:val="clear" w:color="auto" w:fill="FFFFFF"/>
          </w:rPr>
          <w:t>P9_TA(2020)0229</w:t>
        </w:r>
      </w:hyperlink>
      <w:r>
        <w:rPr>
          <w:rFonts w:ascii="Times New Roman" w:hAnsi="Times New Roman"/>
          <w:shd w:val="clear" w:color="auto" w:fill="FFFFFF"/>
        </w:rPr>
        <w:t>); 2019 m. vasario 12 d. Europos Parlamento rezoliucija dėl poreikio sustiprinti Europos strateginę programą dėl romų integracijos nacionalinių strategijų po 2020 m. ir aktyviau kovoti su priešiškumu romams</w:t>
      </w:r>
      <w:r>
        <w:rPr>
          <w:rFonts w:ascii="Times New Roman" w:hAnsi="Times New Roman"/>
        </w:rPr>
        <w:t xml:space="preserve"> (</w:t>
      </w:r>
      <w:hyperlink r:id="rId29" w:history="1">
        <w:r>
          <w:rPr>
            <w:rStyle w:val="Hyperlink"/>
            <w:rFonts w:ascii="Times New Roman" w:hAnsi="Times New Roman"/>
          </w:rPr>
          <w:t>P8_TA(2019)0075</w:t>
        </w:r>
      </w:hyperlink>
      <w:r>
        <w:rPr>
          <w:rFonts w:ascii="Times New Roman" w:hAnsi="Times New Roman"/>
        </w:rPr>
        <w:t>); 2019 m. spalio 24 d. EPSCO tarybos išvada dėl gerovės ekonomikos (</w:t>
      </w:r>
      <w:hyperlink r:id="rId30" w:history="1">
        <w:r>
          <w:rPr>
            <w:rStyle w:val="Hyperlink"/>
            <w:rFonts w:ascii="Times New Roman" w:hAnsi="Times New Roman"/>
          </w:rPr>
          <w:t>13432/19</w:t>
        </w:r>
      </w:hyperlink>
      <w:r>
        <w:rPr>
          <w:rFonts w:ascii="Times New Roman" w:hAnsi="Times New Roman"/>
        </w:rPr>
        <w:t xml:space="preserve">), kuria Komisija raginama </w:t>
      </w:r>
      <w:r>
        <w:rPr>
          <w:rFonts w:ascii="Times New Roman" w:hAnsi="Times New Roman"/>
          <w:i/>
        </w:rPr>
        <w:t>atnaujinti</w:t>
      </w:r>
      <w:r>
        <w:rPr>
          <w:rFonts w:ascii="Times New Roman" w:hAnsi="Times New Roman"/>
        </w:rPr>
        <w:t xml:space="preserve"> įsipareigojimą dėl romų įtraukties. Be to, 2019 m. kovo 4–5 d. Bukarešte vykusioje aukšto lygio konferencijoje dėl ES romų integracijos nacionalinių strategijų plano dalyviai paragino Komisiją pasiūlyti naują plataus užmojo ES planą po 2020 m., o valstybes nares ir plėtros šalis – sustiprinti savo įsipareigojimus dėl romų integracijos. Pirmininkaujančios valstybės narės informacija (</w:t>
      </w:r>
      <w:hyperlink r:id="rId31" w:history="1">
        <w:r>
          <w:rPr>
            <w:rStyle w:val="Hyperlink"/>
            <w:rFonts w:ascii="Times New Roman" w:hAnsi="Times New Roman"/>
          </w:rPr>
          <w:t>7003/19</w:t>
        </w:r>
      </w:hyperlink>
      <w:r>
        <w:rPr>
          <w:rFonts w:ascii="Times New Roman" w:hAnsi="Times New Roman"/>
        </w:rPr>
        <w:t>, 2019 3 14).</w:t>
      </w:r>
    </w:p>
  </w:footnote>
  <w:footnote w:id="21">
    <w:p>
      <w:pPr>
        <w:pStyle w:val="footnotetext1"/>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Dėl būtinybės ES plane po 2020 m. daugiau dėmesio skirti kovai su priešiškumu romams ir diskriminacija žr. </w:t>
      </w:r>
      <w:hyperlink r:id="rId32" w:history="1">
        <w:r>
          <w:rPr>
            <w:rStyle w:val="Hyperlink"/>
            <w:rFonts w:ascii="Times New Roman" w:hAnsi="Times New Roman"/>
          </w:rPr>
          <w:t>ekspertų rekomendacijas</w:t>
        </w:r>
      </w:hyperlink>
      <w:r>
        <w:rPr>
          <w:rFonts w:ascii="Times New Roman" w:hAnsi="Times New Roman"/>
        </w:rPr>
        <w:t>, parengtas po konferencijos „Kaip spręsti priešiškumo romams klausimą ES romų integracijos plane po 2020 m.?“ (Viena, 2018 11 27).</w:t>
      </w:r>
    </w:p>
  </w:footnote>
  <w:footnote w:id="22">
    <w:p>
      <w:pPr>
        <w:pStyle w:val="footnotetext1"/>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Žr. pridedamą SWD(2020) 530 </w:t>
      </w:r>
      <w:r>
        <w:rPr>
          <w:rFonts w:ascii="Times New Roman" w:hAnsi="Times New Roman"/>
          <w:i/>
          <w:iCs/>
        </w:rPr>
        <w:t>final</w:t>
      </w:r>
      <w:r>
        <w:rPr>
          <w:rFonts w:ascii="Times New Roman" w:hAnsi="Times New Roman"/>
        </w:rPr>
        <w:t xml:space="preserve">. </w:t>
      </w:r>
    </w:p>
  </w:footnote>
  <w:footnote w:id="23">
    <w:p>
      <w:pPr>
        <w:pStyle w:val="footnotetext1"/>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Style w:val="FootnoteReference"/>
          <w:rFonts w:ascii="Times New Roman" w:hAnsi="Times New Roman"/>
          <w:sz w:val="19"/>
          <w:szCs w:val="19"/>
        </w:rPr>
        <w:t xml:space="preserve"> </w:t>
      </w:r>
      <w:r>
        <w:tab/>
      </w:r>
      <w:r>
        <w:rPr>
          <w:rFonts w:ascii="Times New Roman" w:hAnsi="Times New Roman"/>
          <w:sz w:val="19"/>
          <w:szCs w:val="19"/>
        </w:rPr>
        <w:t xml:space="preserve">Dėl išsamesnės informacijos apie rodiklių žymas ir duomenų šaltinius žr. 2 priedą ir ataskaitą dėl </w:t>
      </w:r>
      <w:hyperlink r:id="rId33" w:history="1">
        <w:r>
          <w:rPr>
            <w:rStyle w:val="Hyperlink"/>
            <w:rFonts w:ascii="Times New Roman" w:hAnsi="Times New Roman"/>
            <w:i/>
            <w:sz w:val="19"/>
            <w:szCs w:val="19"/>
          </w:rPr>
          <w:t>ES iniciatyvos dėl romų lygybės, įtraukties ir dalyvavimo po 2020 m. stebėsenos plano</w:t>
        </w:r>
      </w:hyperlink>
      <w:r>
        <w:rPr>
          <w:rFonts w:ascii="Times New Roman" w:hAnsi="Times New Roman"/>
          <w:sz w:val="19"/>
          <w:szCs w:val="19"/>
        </w:rPr>
        <w:t xml:space="preserve">, kurią parengė darbo grupė su romais susijusių rodiklių ir ataskaitų teikimo klausimais (koordinuojama ES pagrindinių teisių agentūros, dalyvaujant nacionaliniams romų informacijos centrams, nacionalinėms statistikos tarnyboms ir Komisijai). </w:t>
      </w:r>
    </w:p>
  </w:footnote>
  <w:footnote w:id="24">
    <w:p>
      <w:pPr>
        <w:pStyle w:val="footnotetext1"/>
        <w:ind w:left="284" w:hanging="284"/>
        <w:jc w:val="both"/>
        <w:rPr>
          <w:rFonts w:ascii="Times New Roman" w:hAnsi="Times New Roman" w:cs="Times New Roman"/>
        </w:rPr>
      </w:pPr>
      <w:r>
        <w:rPr>
          <w:rStyle w:val="FootnoteReference"/>
          <w:rFonts w:ascii="Times New Roman" w:hAnsi="Times New Roman" w:cs="Times New Roman"/>
          <w:sz w:val="19"/>
          <w:szCs w:val="19"/>
        </w:rPr>
        <w:footnoteRef/>
      </w:r>
      <w:r>
        <w:rPr>
          <w:rFonts w:ascii="Times New Roman" w:hAnsi="Times New Roman"/>
        </w:rPr>
        <w:t xml:space="preserve"> </w:t>
      </w:r>
      <w:r>
        <w:tab/>
      </w:r>
      <w:r>
        <w:rPr>
          <w:rFonts w:ascii="Times New Roman" w:hAnsi="Times New Roman"/>
        </w:rPr>
        <w:t>Kitus rodiklius nagrinėja FRA koordinuojama darbo grupė su romais susijusių rodiklių ir ataskaitų teikimo klausimais. Šie rodikliai apima, pavyzdžiui, materialinį ir socialinį nepriteklių, galimybę naudotis sveikatos priežiūros ir socialinėmis paslaugomis, segregaciją būsto srityje.</w:t>
      </w:r>
    </w:p>
  </w:footnote>
  <w:footnote w:id="25">
    <w:p>
      <w:pPr>
        <w:pStyle w:val="footnotetext1"/>
        <w:ind w:left="284" w:hanging="284"/>
        <w:contextualSpacing/>
        <w:jc w:val="both"/>
        <w:rPr>
          <w:rFonts w:ascii="Times New Roman" w:hAnsi="Times New Roman" w:cs="Times New Roman"/>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rPr>
        <w:t xml:space="preserve">Žr. </w:t>
      </w:r>
      <w:hyperlink r:id="rId34" w:history="1">
        <w:r>
          <w:rPr>
            <w:rStyle w:val="Hyperlink"/>
            <w:rFonts w:ascii="Times New Roman" w:hAnsi="Times New Roman"/>
          </w:rPr>
          <w:t>bendruosius pagrindinius principus</w:t>
        </w:r>
      </w:hyperlink>
      <w:r>
        <w:rPr>
          <w:rFonts w:ascii="Times New Roman" w:hAnsi="Times New Roman"/>
        </w:rPr>
        <w:t xml:space="preserve">. 2 principas (aiškus, bet ne išskirtinis taikymas) </w:t>
      </w:r>
      <w:r>
        <w:rPr>
          <w:rFonts w:ascii="Times New Roman" w:hAnsi="Times New Roman"/>
          <w:i/>
        </w:rPr>
        <w:t>„reiškia dėmesį romams kaip tikslinei grupei, bet neignoruojant kitų žmonių, kurių socialinės ir ekonominės aplinkybės panašios“</w:t>
      </w:r>
      <w:r>
        <w:rPr>
          <w:rFonts w:ascii="Times New Roman" w:hAnsi="Times New Roman"/>
        </w:rPr>
        <w:t>. 4 principas (kuriuo siekiama integruoti) reiškia tikslą</w:t>
      </w:r>
      <w:r>
        <w:rPr>
          <w:rFonts w:ascii="Times New Roman" w:hAnsi="Times New Roman"/>
          <w:i/>
        </w:rPr>
        <w:t xml:space="preserve"> „integruoti romus į visuomenę (bendrųjų švietimo įstaigų, bendrųjų darbo vietų ir bendrojo būsto srityse). Jei vis dar esama iš dalies arba visiškai atskirto švietimo arba būsto, romų įtraukties politika turi būti siekiama šį palikimą panaikinti. Reikia užtikrinti, kad nebūtų kuriamos dirbtinės ir atskiros romų darbo rinkos“.</w:t>
      </w:r>
    </w:p>
  </w:footnote>
  <w:footnote w:id="26">
    <w:p>
      <w:pPr>
        <w:pStyle w:val="footnotetext1"/>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rPr>
        <w:t xml:space="preserve">Žmogaus teisėmis grindžiamo požiūrio į duomenų rinkimą atveju nacionalinės valdžios institucijos raginamos atkreipti dėmesį į </w:t>
      </w:r>
      <w:hyperlink r:id="rId35" w:history="1">
        <w:r>
          <w:rPr>
            <w:rStyle w:val="Hyperlink"/>
            <w:rFonts w:ascii="Times New Roman" w:hAnsi="Times New Roman"/>
            <w:i/>
          </w:rPr>
          <w:t>Europos vadovą dėl duomenų apie lygybę</w:t>
        </w:r>
        <w:r>
          <w:rPr>
            <w:rStyle w:val="Hyperlink"/>
            <w:rFonts w:ascii="Times New Roman" w:hAnsi="Times New Roman"/>
          </w:rPr>
          <w:t xml:space="preserve"> (2016 m. peržiūra)</w:t>
        </w:r>
        <w:r>
          <w:rPr>
            <w:rStyle w:val="Hyperlink"/>
            <w:rFonts w:ascii="Times New Roman" w:hAnsi="Times New Roman"/>
            <w:u w:val="none"/>
          </w:rPr>
          <w:t>,</w:t>
        </w:r>
      </w:hyperlink>
      <w:r>
        <w:rPr>
          <w:rFonts w:ascii="Times New Roman" w:hAnsi="Times New Roman"/>
        </w:rPr>
        <w:t xml:space="preserve"> </w:t>
      </w:r>
      <w:hyperlink r:id="rId36" w:history="1">
        <w:r>
          <w:rPr>
            <w:rStyle w:val="Hyperlink"/>
            <w:rFonts w:ascii="Times New Roman" w:hAnsi="Times New Roman"/>
            <w:i/>
          </w:rPr>
          <w:t>Duomenų apie lygybę rinkimo ir naudojimo gerinimo gaires</w:t>
        </w:r>
        <w:r>
          <w:rPr>
            <w:rStyle w:val="Hyperlink"/>
            <w:rFonts w:ascii="Times New Roman" w:hAnsi="Times New Roman"/>
          </w:rPr>
          <w:t xml:space="preserve"> (2018 m.)</w:t>
        </w:r>
      </w:hyperlink>
      <w:r>
        <w:rPr>
          <w:rFonts w:ascii="Times New Roman" w:hAnsi="Times New Roman"/>
        </w:rPr>
        <w:t xml:space="preserve"> ir ataskaitą </w:t>
      </w:r>
      <w:hyperlink r:id="rId37" w:history="1">
        <w:r>
          <w:rPr>
            <w:rStyle w:val="Hyperlink"/>
            <w:rFonts w:ascii="Times New Roman" w:hAnsi="Times New Roman"/>
            <w:i/>
          </w:rPr>
          <w:t>Duomenų apie etninę kilmę rinkimas</w:t>
        </w:r>
        <w:r>
          <w:rPr>
            <w:rStyle w:val="Hyperlink"/>
            <w:rFonts w:ascii="Times New Roman" w:hAnsi="Times New Roman"/>
          </w:rPr>
          <w:t xml:space="preserve"> (2017 m.)</w:t>
        </w:r>
      </w:hyperlink>
      <w:r>
        <w:rPr>
          <w:rStyle w:val="Hyperlink"/>
          <w:rFonts w:ascii="Times New Roman" w:hAnsi="Times New Roman"/>
          <w:u w:val="none"/>
        </w:rPr>
        <w:t>.</w:t>
      </w:r>
      <w:r>
        <w:rPr>
          <w:rFonts w:ascii="Times New Roman" w:hAnsi="Times New Roman"/>
        </w:rPr>
        <w:t xml:space="preserve"> Valstybės narės raginamos skirti šiam duomenų rinkimui reikalingus išteklius ir pasinaudoti FRA parama, kad atitinkamai sustiprintų savo pajėgumus.</w:t>
      </w:r>
    </w:p>
  </w:footnote>
  <w:footnote w:id="27">
    <w:p>
      <w:pPr>
        <w:pStyle w:val="footnotetext1"/>
        <w:ind w:left="284" w:hanging="284"/>
        <w:rPr>
          <w:rFonts w:ascii="Times New Roman" w:hAnsi="Times New Roman" w:cs="Times New Roman"/>
        </w:rPr>
      </w:pPr>
      <w:r>
        <w:rPr>
          <w:rStyle w:val="FootnoteReference"/>
        </w:rPr>
        <w:footnoteRef/>
      </w:r>
      <w:r>
        <w:t xml:space="preserve"> </w:t>
      </w:r>
      <w:r>
        <w:tab/>
      </w:r>
      <w:r>
        <w:rPr>
          <w:rFonts w:ascii="Times New Roman" w:hAnsi="Times New Roman"/>
        </w:rPr>
        <w:t xml:space="preserve">Žr. pridedamą SWD(2020) 530 </w:t>
      </w:r>
      <w:r>
        <w:rPr>
          <w:rFonts w:ascii="Times New Roman" w:hAnsi="Times New Roman"/>
          <w:i/>
        </w:rPr>
        <w:t>final</w:t>
      </w:r>
      <w:r>
        <w:rPr>
          <w:rFonts w:ascii="Times New Roman" w:hAnsi="Times New Roman"/>
        </w:rPr>
        <w:t>.</w:t>
      </w:r>
    </w:p>
  </w:footnote>
  <w:footnote w:id="28">
    <w:p>
      <w:pPr>
        <w:pStyle w:val="footnotetext1"/>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hyperlink r:id="rId38" w:history="1">
        <w:r>
          <w:rPr>
            <w:rStyle w:val="Hyperlink"/>
            <w:rFonts w:ascii="Times New Roman" w:hAnsi="Times New Roman"/>
            <w:sz w:val="19"/>
            <w:szCs w:val="19"/>
          </w:rPr>
          <w:t>Bendrieji pagrindiniai romų įtraukties principai</w:t>
        </w:r>
      </w:hyperlink>
      <w:r>
        <w:rPr>
          <w:rStyle w:val="Hyperlink"/>
          <w:rFonts w:ascii="Times New Roman" w:hAnsi="Times New Roman"/>
          <w:color w:val="auto"/>
          <w:sz w:val="19"/>
          <w:szCs w:val="19"/>
          <w:u w:val="none"/>
        </w:rPr>
        <w:t xml:space="preserve"> yra sėkmingo romų įtraukčiai remti skirtų veiksmų rengimo ir įgyvendinimo pagrindas. </w:t>
      </w:r>
      <w:r>
        <w:rPr>
          <w:rFonts w:ascii="Times New Roman" w:hAnsi="Times New Roman"/>
          <w:sz w:val="19"/>
          <w:szCs w:val="19"/>
        </w:rPr>
        <w:t xml:space="preserve">2 ir 4 </w:t>
      </w:r>
      <w:r>
        <w:rPr>
          <w:rStyle w:val="Hyperlink"/>
          <w:rFonts w:ascii="Times New Roman" w:hAnsi="Times New Roman"/>
          <w:color w:val="auto"/>
          <w:sz w:val="19"/>
          <w:szCs w:val="19"/>
          <w:u w:val="none"/>
        </w:rPr>
        <w:t xml:space="preserve">principai </w:t>
      </w:r>
      <w:r>
        <w:rPr>
          <w:rFonts w:ascii="Times New Roman" w:hAnsi="Times New Roman"/>
          <w:sz w:val="19"/>
          <w:szCs w:val="19"/>
        </w:rPr>
        <w:t>susiję su tikslinių ir bendrųjų priemonių derinimu.</w:t>
      </w:r>
    </w:p>
  </w:footnote>
  <w:footnote w:id="29">
    <w:p>
      <w:pPr>
        <w:pStyle w:val="footnotetext1"/>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 xml:space="preserve">Valstybės narės, į savo programas įtraukiančios ESF+ konkretų tikslą skatinti socialinę ir ekonominę marginalizuotų bendruomenių, pavyzdžiui, romų, integraciją, turi įvykdyti visus </w:t>
      </w:r>
      <w:hyperlink r:id="rId39" w:history="1">
        <w:r>
          <w:rPr>
            <w:rStyle w:val="Hyperlink"/>
            <w:rFonts w:ascii="Times New Roman" w:hAnsi="Times New Roman"/>
            <w:sz w:val="19"/>
            <w:szCs w:val="19"/>
          </w:rPr>
          <w:t>Komisijos pasiūlymo dėl 2021–2027 m. Bendrųjų nuostatų reglamento</w:t>
        </w:r>
      </w:hyperlink>
      <w:r>
        <w:rPr>
          <w:rFonts w:ascii="Times New Roman" w:hAnsi="Times New Roman"/>
          <w:sz w:val="19"/>
          <w:szCs w:val="19"/>
        </w:rPr>
        <w:t xml:space="preserve"> IV priedo reikalavimus dėl teminės reikiamos sąlygos, taikomos romų integracijos nacionaliniams strateginiams planams. Romų lygybei ir įtraukčiai gali būti naudojamos kelios kitos ES finansavimo priemonės, pavyzdžiui, sanglaudos politikos fondai.</w:t>
      </w:r>
    </w:p>
  </w:footnote>
  <w:footnote w:id="30">
    <w:p>
      <w:pPr>
        <w:pStyle w:val="footnotetext1"/>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Šios platformos suburia vyriausybės ir pilietinės visuomenės suinteresuotuosius subjektus. Taip siekiama skatinti bendradarbiavimą ir keitimąsi patirtimi, susijusia su sėkminga romų įtrauktimi.</w:t>
      </w:r>
    </w:p>
  </w:footnote>
  <w:footnote w:id="31">
    <w:p>
      <w:pPr>
        <w:pStyle w:val="footnotetext1"/>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Jau 2011–2020 m. laikotarpiu buvo sukurtas nacionalinių romų informacijos centrų tinklas, leidžiantis valstybėms narėms keistis informacija ir patirtimi Europos lygmeniu.</w:t>
      </w:r>
    </w:p>
  </w:footnote>
  <w:footnote w:id="32">
    <w:p>
      <w:pPr>
        <w:pStyle w:val="footnotetext1"/>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rPr>
        <w:t xml:space="preserve">Keturiose ES šalyse gyvena daug romų (Bulgarijoje – 9,94 proc., Rumunijoje – 9,02 proc., Slovakijoje – 8,63 proc., Vengrijoje – 7,49 proc.). Čekijoje gyvena mažiau romų (1,90 proc.), kaip ir Graikijoje (1,63 proc.) bei Ispanijoje (1,55 proc.). Žr. </w:t>
      </w:r>
      <w:hyperlink r:id="rId40" w:history="1">
        <w:r>
          <w:rPr>
            <w:rStyle w:val="Hyperlink"/>
            <w:rFonts w:ascii="Times New Roman" w:hAnsi="Times New Roman"/>
          </w:rPr>
          <w:t>Council of Europe 2012 estimates</w:t>
        </w:r>
      </w:hyperlink>
      <w:r>
        <w:rPr>
          <w:rStyle w:val="Hyperlink"/>
          <w:rFonts w:ascii="Times New Roman" w:hAnsi="Times New Roman"/>
        </w:rPr>
        <w:t>.</w:t>
      </w:r>
      <w:r>
        <w:rPr>
          <w:rFonts w:ascii="Times New Roman" w:hAnsi="Times New Roman"/>
        </w:rPr>
        <w:t xml:space="preserve"> </w:t>
      </w:r>
    </w:p>
  </w:footnote>
  <w:footnote w:id="33">
    <w:p>
      <w:pPr>
        <w:pStyle w:val="footnotetext1"/>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41" w:history="1">
        <w:r>
          <w:rPr>
            <w:rStyle w:val="Hyperlink"/>
            <w:rFonts w:ascii="Times New Roman" w:hAnsi="Times New Roman"/>
          </w:rPr>
          <w:t>Bendrieji pagrindiniai principai</w:t>
        </w:r>
      </w:hyperlink>
      <w:r>
        <w:rPr>
          <w:rFonts w:ascii="Times New Roman" w:hAnsi="Times New Roman"/>
        </w:rPr>
        <w:t>.</w:t>
      </w:r>
    </w:p>
  </w:footnote>
  <w:footnote w:id="34">
    <w:p>
      <w:pPr>
        <w:pStyle w:val="footnotetext1"/>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1 priedas grindžiamas ES programos vertinimo patirtimi, </w:t>
      </w:r>
      <w:hyperlink r:id="rId42" w:history="1">
        <w:r>
          <w:rPr>
            <w:rStyle w:val="Hyperlink"/>
            <w:rFonts w:ascii="Times New Roman" w:hAnsi="Times New Roman"/>
          </w:rPr>
          <w:t>trijų ekspertų ataskaitų ir pilietinių pozicijų, kuriomis grindžiami svarstymai apie romų politiką po 2020 m., indėliu</w:t>
        </w:r>
      </w:hyperlink>
      <w:r>
        <w:rPr>
          <w:rFonts w:ascii="Times New Roman" w:hAnsi="Times New Roman"/>
        </w:rPr>
        <w:t xml:space="preserve"> ir Komisijos tarnybų patirtimi.</w:t>
      </w:r>
    </w:p>
  </w:footnote>
  <w:footnote w:id="35">
    <w:p>
      <w:pPr>
        <w:pStyle w:val="footnotetext1"/>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Vykdomame Komisijos projekte, kuris turi būti užbaigtas iki 2020 m. pabaigos, nagrinėjamos pagrindinės skurdo ir atskirties plitimo iš kartos į kartą priežastys ir siūlomos kovos su skurdu priemonės. Kitu šiuo metu vykdomu Komisijos ir Pagrindinių teisių agentūros projektu siekiama analizuoti duomenis, susijusius su įžvalgomis apie diskriminacijos ir pažeidžiamumo Europoje sąsajas subnacionaliniu lygmeniu; diskriminacijos svarba santykinei socialinės ir ekonominės atskirties rizikai ir tai, ar konkrečiomis teritorinėmis aplinkybėmis romai buvo labiau paveikti ir pažeidžiami per COVID-19 pandemiją. Išvadomis gali būti remiamasi imantis visapusiškų veiksmų, kuriais siekiama mažinti socialinius ir ekonominius sunkumus ir šalinti diskriminaciją.</w:t>
      </w:r>
    </w:p>
  </w:footnote>
  <w:footnote w:id="36">
    <w:p>
      <w:pPr>
        <w:pStyle w:val="footnotetext1"/>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Visų pirma remiantis Komisijos Jungtinio tyrimų centro atrinktų tikslinių ar bendrųjų pavyzdinių intervencinių veiksmų atsitiktiniais poveikio vertinimais, taip pat Pagrindinių teisių agentūros duomenimis, kad būtų įvertintas numatytų priemonių tinkamumas.</w:t>
      </w:r>
    </w:p>
  </w:footnote>
  <w:footnote w:id="37">
    <w:p>
      <w:pPr>
        <w:pStyle w:val="footnotetext1"/>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Pavyzdžiui, šiuo metu Rumunija gauna techninę paramą pagal struktūrinių reformų rėmimo programą, kad sukurtų romų įtraukties strategijos įgyvendinimo stebėsenos ir vertinimo sistemą.</w:t>
      </w:r>
    </w:p>
  </w:footnote>
  <w:footnote w:id="38">
    <w:p>
      <w:pPr>
        <w:pStyle w:val="footnotetext1"/>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Kad būtų nustatytas tapatybės pasirinkimo principas asmens duomenų rinkiniuose, pavyzdžiui, surašymų, didelio masto tyrimų ir, kai tinkama, administraciniuose duomenyse.</w:t>
      </w:r>
    </w:p>
  </w:footnote>
  <w:footnote w:id="39">
    <w:p>
      <w:pPr>
        <w:pStyle w:val="footnotetext1"/>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2021 m. tyrimas bus išplėstas įtraukiant Serbiją ir Šiaurės Makedoniją.</w:t>
      </w:r>
    </w:p>
  </w:footnote>
  <w:footnote w:id="40">
    <w:p>
      <w:pPr>
        <w:pStyle w:val="footnotetext1"/>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Žr. visų pirma Europos Sąjungos sutarties (</w:t>
      </w:r>
      <w:hyperlink r:id="rId43" w:history="1">
        <w:r>
          <w:rPr>
            <w:rStyle w:val="Hyperlink"/>
            <w:rFonts w:ascii="Times New Roman" w:hAnsi="Times New Roman"/>
          </w:rPr>
          <w:t>ES sutarties</w:t>
        </w:r>
      </w:hyperlink>
      <w:r>
        <w:rPr>
          <w:rFonts w:ascii="Times New Roman" w:hAnsi="Times New Roman"/>
        </w:rPr>
        <w:t>) 2 straipsnį, 3 straipsnio 3 dalį, Sutarties dėl Europos Sąjungos veikimo (</w:t>
      </w:r>
      <w:hyperlink r:id="rId44" w:history="1">
        <w:r>
          <w:rPr>
            <w:rStyle w:val="Hyperlink"/>
            <w:rFonts w:ascii="Times New Roman" w:hAnsi="Times New Roman"/>
          </w:rPr>
          <w:t>SESV</w:t>
        </w:r>
      </w:hyperlink>
      <w:r>
        <w:rPr>
          <w:rFonts w:ascii="Times New Roman" w:hAnsi="Times New Roman"/>
        </w:rPr>
        <w:t xml:space="preserve">) 8, 10, 19 straipsnius ir 67 straipsnio 3 dalį ir </w:t>
      </w:r>
      <w:hyperlink r:id="rId45" w:history="1">
        <w:r>
          <w:rPr>
            <w:rStyle w:val="Hyperlink"/>
            <w:rFonts w:ascii="Times New Roman" w:hAnsi="Times New Roman"/>
          </w:rPr>
          <w:t>Chartijos</w:t>
        </w:r>
      </w:hyperlink>
      <w:r>
        <w:rPr>
          <w:rFonts w:ascii="Times New Roman" w:hAnsi="Times New Roman"/>
        </w:rPr>
        <w:t xml:space="preserve"> 20 ir 21 straipsnius.</w:t>
      </w:r>
    </w:p>
  </w:footnote>
  <w:footnote w:id="41">
    <w:p>
      <w:pPr>
        <w:pStyle w:val="footnotetext1"/>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46" w:history="1">
        <w:r>
          <w:rPr>
            <w:rStyle w:val="Hyperlink"/>
            <w:rFonts w:ascii="Times New Roman" w:hAnsi="Times New Roman"/>
          </w:rPr>
          <w:t>2000/43/EB</w:t>
        </w:r>
      </w:hyperlink>
      <w:r>
        <w:t>.</w:t>
      </w:r>
    </w:p>
  </w:footnote>
  <w:footnote w:id="42">
    <w:p>
      <w:pPr>
        <w:pStyle w:val="footnotetext1"/>
        <w:ind w:left="284" w:hanging="284"/>
        <w:jc w:val="both"/>
        <w:rPr>
          <w:rFonts w:ascii="Times New Roman" w:hAnsi="Times New Roman" w:cs="Times New Roman"/>
          <w:sz w:val="19"/>
          <w:szCs w:val="19"/>
        </w:rPr>
      </w:pPr>
      <w:r>
        <w:rPr>
          <w:rStyle w:val="FootnoteReference"/>
          <w:rFonts w:ascii="Times New Roman" w:hAnsi="Times New Roman" w:cs="Times New Roman"/>
        </w:rPr>
        <w:footnoteRef/>
      </w:r>
      <w:r>
        <w:rPr>
          <w:rFonts w:ascii="Times New Roman" w:hAnsi="Times New Roman"/>
        </w:rPr>
        <w:t xml:space="preserve"> </w:t>
      </w:r>
      <w:r>
        <w:tab/>
      </w:r>
      <w:hyperlink r:id="rId47" w:history="1">
        <w:r>
          <w:rPr>
            <w:rStyle w:val="Hyperlink"/>
            <w:rFonts w:ascii="Times New Roman" w:hAnsi="Times New Roman"/>
          </w:rPr>
          <w:t>2008/913/TVR</w:t>
        </w:r>
      </w:hyperlink>
      <w:r>
        <w:t>.</w:t>
      </w:r>
    </w:p>
  </w:footnote>
  <w:footnote w:id="43">
    <w:p>
      <w:pPr>
        <w:pStyle w:val="footnotetext1"/>
        <w:ind w:left="284" w:hanging="284"/>
        <w:contextualSpacing/>
        <w:jc w:val="both"/>
        <w:rPr>
          <w:rFonts w:ascii="Times New Roman" w:hAnsi="Times New Roman" w:cs="Times New Roman"/>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rPr>
        <w:t xml:space="preserve">Ataskaitoje dėmesys bus skirtas ir </w:t>
      </w:r>
      <w:hyperlink r:id="rId48" w:history="1">
        <w:r>
          <w:rPr>
            <w:rStyle w:val="Hyperlink"/>
            <w:rFonts w:ascii="Times New Roman" w:hAnsi="Times New Roman"/>
          </w:rPr>
          <w:t>2000 m. lapkričio 27 d. Tarybos Direktyvos 2000/78/EB, nustatančios vienodo požiūrio užimtumo ir profesinėje srityje bendruosius pagrindus (OL L 303, 2000 12 2, p. 16)</w:t>
        </w:r>
      </w:hyperlink>
      <w:r>
        <w:rPr>
          <w:rFonts w:ascii="Times New Roman" w:hAnsi="Times New Roman"/>
        </w:rPr>
        <w:t>, taikymui.</w:t>
      </w:r>
    </w:p>
  </w:footnote>
  <w:footnote w:id="44">
    <w:p>
      <w:pPr>
        <w:pStyle w:val="footnotetext1"/>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i/>
          <w:iCs/>
        </w:rPr>
        <w:t>Equinet</w:t>
      </w:r>
      <w:r>
        <w:rPr>
          <w:rFonts w:ascii="Times New Roman" w:hAnsi="Times New Roman"/>
        </w:rPr>
        <w:t xml:space="preserve">, 2020 m. liepos 28 d.: </w:t>
      </w:r>
      <w:hyperlink r:id="rId49" w:history="1">
        <w:r>
          <w:rPr>
            <w:rStyle w:val="Hyperlink"/>
            <w:rFonts w:ascii="Times New Roman" w:hAnsi="Times New Roman"/>
            <w:i/>
          </w:rPr>
          <w:t>Roma and Traveller inclusion:</w:t>
        </w:r>
      </w:hyperlink>
      <w:hyperlink r:id="rId50" w:history="1">
        <w:r>
          <w:rPr>
            <w:rStyle w:val="Hyperlink"/>
            <w:rFonts w:ascii="Times New Roman" w:hAnsi="Times New Roman"/>
            <w:i/>
          </w:rPr>
          <w:t xml:space="preserve"> towards a new EU framework learning from the work of equality bodies</w:t>
        </w:r>
      </w:hyperlink>
      <w:r>
        <w:rPr>
          <w:rFonts w:ascii="Times New Roman" w:hAnsi="Times New Roman"/>
        </w:rPr>
        <w:t>.</w:t>
      </w:r>
    </w:p>
  </w:footnote>
  <w:footnote w:id="45">
    <w:p>
      <w:pPr>
        <w:pStyle w:val="footnotetext1"/>
        <w:ind w:left="284" w:hanging="284"/>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hyperlink r:id="rId51" w:history="1">
        <w:r>
          <w:rPr>
            <w:rStyle w:val="Hyperlink"/>
            <w:rFonts w:ascii="Times New Roman" w:hAnsi="Times New Roman"/>
            <w:sz w:val="19"/>
            <w:szCs w:val="19"/>
          </w:rPr>
          <w:t xml:space="preserve">C(2018) 3850 </w:t>
        </w:r>
        <w:r>
          <w:rPr>
            <w:rStyle w:val="Hyperlink"/>
            <w:rFonts w:ascii="Times New Roman" w:hAnsi="Times New Roman"/>
            <w:i/>
            <w:iCs/>
            <w:sz w:val="19"/>
            <w:szCs w:val="19"/>
          </w:rPr>
          <w:t>final</w:t>
        </w:r>
      </w:hyperlink>
      <w:r>
        <w:rPr>
          <w:rStyle w:val="Hyperlink"/>
          <w:rFonts w:ascii="Times New Roman" w:hAnsi="Times New Roman"/>
          <w:sz w:val="19"/>
          <w:szCs w:val="19"/>
        </w:rPr>
        <w:t>.</w:t>
      </w:r>
    </w:p>
  </w:footnote>
  <w:footnote w:id="46">
    <w:p>
      <w:pPr>
        <w:pStyle w:val="footnotetext1"/>
        <w:ind w:left="284" w:hanging="284"/>
        <w:rPr>
          <w:rFonts w:ascii="Times New Roman" w:hAnsi="Times New Roman" w:cs="Times New Roman"/>
        </w:rPr>
      </w:pPr>
      <w:r>
        <w:rPr>
          <w:rStyle w:val="FootnoteReference"/>
        </w:rPr>
        <w:footnoteRef/>
      </w:r>
      <w:r>
        <w:t xml:space="preserve"> </w:t>
      </w:r>
      <w:r>
        <w:tab/>
      </w:r>
      <w:r>
        <w:rPr>
          <w:rFonts w:ascii="Times New Roman" w:hAnsi="Times New Roman"/>
        </w:rPr>
        <w:t xml:space="preserve">FRA, 2017 m., </w:t>
      </w:r>
      <w:r>
        <w:rPr>
          <w:rFonts w:ascii="Times New Roman" w:hAnsi="Times New Roman"/>
          <w:i/>
          <w:iCs/>
        </w:rPr>
        <w:t>Antrasis Europos mažumų ir diskriminacijos tyrimas</w:t>
      </w:r>
      <w:r>
        <w:t>.</w:t>
      </w:r>
    </w:p>
  </w:footnote>
  <w:footnote w:id="47">
    <w:p>
      <w:pPr>
        <w:pStyle w:val="footnotetext1"/>
        <w:ind w:left="284" w:hanging="284"/>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i/>
          <w:iCs/>
        </w:rPr>
        <w:t>EU anti-racism action plan 2020-2025</w:t>
      </w:r>
      <w:r>
        <w:rPr>
          <w:rFonts w:ascii="Times New Roman" w:hAnsi="Times New Roman"/>
        </w:rPr>
        <w:t xml:space="preserve">, </w:t>
      </w:r>
      <w:hyperlink r:id="rId52" w:history="1">
        <w:r>
          <w:rPr>
            <w:rStyle w:val="Hyperlink"/>
            <w:rFonts w:ascii="Times New Roman" w:hAnsi="Times New Roman"/>
          </w:rPr>
          <w:t xml:space="preserve">COM(2020) 565 </w:t>
        </w:r>
        <w:r>
          <w:rPr>
            <w:rStyle w:val="Hyperlink"/>
            <w:rFonts w:ascii="Times New Roman" w:hAnsi="Times New Roman"/>
            <w:i/>
            <w:iCs/>
          </w:rPr>
          <w:t>final</w:t>
        </w:r>
      </w:hyperlink>
      <w:r>
        <w:rPr>
          <w:rStyle w:val="Hyperlink"/>
          <w:rFonts w:ascii="Times New Roman" w:hAnsi="Times New Roman"/>
        </w:rPr>
        <w:t>.</w:t>
      </w:r>
    </w:p>
  </w:footnote>
  <w:footnote w:id="48">
    <w:p>
      <w:pPr>
        <w:pStyle w:val="footnotetext1"/>
        <w:ind w:left="284" w:hanging="284"/>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 xml:space="preserve">Žr. veiklą, susijusią su </w:t>
      </w:r>
      <w:hyperlink r:id="rId53" w:history="1">
        <w:r>
          <w:rPr>
            <w:rStyle w:val="Hyperlink"/>
            <w:rFonts w:ascii="Times New Roman" w:hAnsi="Times New Roman"/>
            <w:i/>
            <w:iCs/>
            <w:sz w:val="19"/>
            <w:szCs w:val="19"/>
          </w:rPr>
          <w:t>Kovos su neteisėtu neapykantos kurstymu internete elgesio kodeksu</w:t>
        </w:r>
      </w:hyperlink>
      <w:r>
        <w:rPr>
          <w:rFonts w:ascii="Times New Roman" w:hAnsi="Times New Roman"/>
          <w:sz w:val="19"/>
          <w:szCs w:val="19"/>
        </w:rPr>
        <w:t xml:space="preserve">, </w:t>
      </w:r>
      <w:hyperlink r:id="rId54" w:history="1">
        <w:r>
          <w:rPr>
            <w:rStyle w:val="Hyperlink"/>
            <w:rFonts w:ascii="Times New Roman" w:hAnsi="Times New Roman"/>
            <w:sz w:val="19"/>
            <w:szCs w:val="19"/>
          </w:rPr>
          <w:t xml:space="preserve">C(2018) 1177 </w:t>
        </w:r>
        <w:r>
          <w:rPr>
            <w:rStyle w:val="Hyperlink"/>
            <w:rFonts w:ascii="Times New Roman" w:hAnsi="Times New Roman"/>
            <w:i/>
            <w:iCs/>
            <w:sz w:val="19"/>
            <w:szCs w:val="19"/>
          </w:rPr>
          <w:t>final</w:t>
        </w:r>
      </w:hyperlink>
      <w:r>
        <w:rPr>
          <w:rStyle w:val="Hyperlink"/>
          <w:rFonts w:ascii="Times New Roman" w:hAnsi="Times New Roman"/>
          <w:sz w:val="19"/>
          <w:szCs w:val="19"/>
        </w:rPr>
        <w:t>.</w:t>
      </w:r>
    </w:p>
  </w:footnote>
  <w:footnote w:id="49">
    <w:p>
      <w:pPr>
        <w:pStyle w:val="footnotetext1"/>
        <w:ind w:left="284" w:hanging="284"/>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2012/29/ES.</w:t>
      </w:r>
    </w:p>
  </w:footnote>
  <w:footnote w:id="50">
    <w:p>
      <w:pPr>
        <w:pStyle w:val="footnotetext1"/>
        <w:ind w:left="284" w:hanging="284"/>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hyperlink r:id="rId55" w:history="1">
        <w:r>
          <w:rPr>
            <w:rStyle w:val="Hyperlink"/>
            <w:rFonts w:ascii="Times New Roman" w:hAnsi="Times New Roman"/>
            <w:sz w:val="19"/>
            <w:szCs w:val="19"/>
          </w:rPr>
          <w:t xml:space="preserve">COM(2020) 258 </w:t>
        </w:r>
        <w:r>
          <w:rPr>
            <w:rStyle w:val="Hyperlink"/>
            <w:rFonts w:ascii="Times New Roman" w:hAnsi="Times New Roman"/>
            <w:i/>
            <w:iCs/>
            <w:sz w:val="19"/>
            <w:szCs w:val="19"/>
          </w:rPr>
          <w:t>final</w:t>
        </w:r>
      </w:hyperlink>
      <w:r>
        <w:rPr>
          <w:rStyle w:val="Hyperlink"/>
        </w:rPr>
        <w:t>.</w:t>
      </w:r>
      <w:r>
        <w:rPr>
          <w:rFonts w:ascii="Times New Roman" w:hAnsi="Times New Roman"/>
          <w:sz w:val="19"/>
          <w:szCs w:val="19"/>
        </w:rPr>
        <w:t xml:space="preserve"> </w:t>
      </w:r>
    </w:p>
  </w:footnote>
  <w:footnote w:id="51">
    <w:p>
      <w:pPr>
        <w:pStyle w:val="footnotetext1"/>
        <w:shd w:val="clear" w:color="auto" w:fill="FFFFFF" w:themeFill="background1"/>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Daugiau informacijos apie susijusias bendrąsias ES politikos iniciatyvas ir ES lėšų panaudojimą žr. Komisijos tarnybų darbinio dokumento 3 priede.</w:t>
      </w:r>
    </w:p>
  </w:footnote>
  <w:footnote w:id="52">
    <w:p>
      <w:pPr>
        <w:pStyle w:val="footnotetext1"/>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Sukurta 2010 m. ir sudaryta iš JUST, EMPL, EAC, SANTE, NEAR, HOME, REGIO ir AGRI  generalinių direktoratų atstovų.</w:t>
      </w:r>
    </w:p>
  </w:footnote>
  <w:footnote w:id="53">
    <w:p>
      <w:pPr>
        <w:pStyle w:val="footnotetext1"/>
        <w:tabs>
          <w:tab w:val="left" w:pos="720"/>
          <w:tab w:val="left" w:pos="1440"/>
          <w:tab w:val="left" w:pos="2160"/>
          <w:tab w:val="left" w:pos="2880"/>
          <w:tab w:val="left" w:pos="3600"/>
          <w:tab w:val="left" w:pos="4320"/>
          <w:tab w:val="left" w:pos="5040"/>
          <w:tab w:val="left" w:pos="5760"/>
          <w:tab w:val="left" w:pos="6480"/>
          <w:tab w:val="left" w:pos="7480"/>
        </w:tabs>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Žr. BG, CZ, ES, HU, RO, SK </w:t>
      </w:r>
      <w:hyperlink r:id="rId56" w:history="1">
        <w:r>
          <w:rPr>
            <w:rStyle w:val="Hyperlink"/>
            <w:rFonts w:ascii="Times New Roman" w:hAnsi="Times New Roman"/>
          </w:rPr>
          <w:t>šalių ataskaitas</w:t>
        </w:r>
      </w:hyperlink>
      <w:r>
        <w:rPr>
          <w:rFonts w:ascii="Times New Roman" w:hAnsi="Times New Roman"/>
        </w:rPr>
        <w:t xml:space="preserve"> ir ypač jų D priedą.</w:t>
      </w:r>
    </w:p>
  </w:footnote>
  <w:footnote w:id="54">
    <w:p>
      <w:pPr>
        <w:pStyle w:val="footnotetext1"/>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hyperlink r:id="rId57" w:history="1">
        <w:r>
          <w:rPr>
            <w:rStyle w:val="Hyperlink"/>
            <w:rFonts w:ascii="Times New Roman" w:hAnsi="Times New Roman"/>
            <w:sz w:val="19"/>
            <w:szCs w:val="19"/>
          </w:rPr>
          <w:t xml:space="preserve">COM(2018) 375 </w:t>
        </w:r>
        <w:r>
          <w:rPr>
            <w:rStyle w:val="Hyperlink"/>
            <w:rFonts w:ascii="Times New Roman" w:hAnsi="Times New Roman"/>
            <w:i/>
            <w:sz w:val="19"/>
            <w:szCs w:val="19"/>
          </w:rPr>
          <w:t>final</w:t>
        </w:r>
      </w:hyperlink>
      <w:r>
        <w:rPr>
          <w:rStyle w:val="Hyperlink"/>
          <w:rFonts w:ascii="Times New Roman" w:hAnsi="Times New Roman"/>
          <w:sz w:val="19"/>
          <w:szCs w:val="19"/>
        </w:rPr>
        <w:t xml:space="preserve">, </w:t>
      </w:r>
      <w:hyperlink r:id="rId58" w:history="1">
        <w:r>
          <w:rPr>
            <w:rStyle w:val="Hyperlink"/>
            <w:rFonts w:ascii="Times New Roman" w:hAnsi="Times New Roman"/>
            <w:sz w:val="19"/>
            <w:szCs w:val="19"/>
          </w:rPr>
          <w:t xml:space="preserve">COM(2018) 382 </w:t>
        </w:r>
        <w:r>
          <w:rPr>
            <w:rStyle w:val="Hyperlink"/>
            <w:rFonts w:ascii="Times New Roman" w:hAnsi="Times New Roman"/>
            <w:i/>
            <w:sz w:val="19"/>
            <w:szCs w:val="19"/>
          </w:rPr>
          <w:t>final</w:t>
        </w:r>
      </w:hyperlink>
      <w:r>
        <w:rPr>
          <w:rStyle w:val="Hyperlink"/>
          <w:rFonts w:ascii="Times New Roman" w:hAnsi="Times New Roman"/>
          <w:sz w:val="19"/>
          <w:szCs w:val="19"/>
        </w:rPr>
        <w:t xml:space="preserve">, </w:t>
      </w:r>
      <w:hyperlink r:id="rId59" w:history="1">
        <w:r>
          <w:rPr>
            <w:rStyle w:val="Hyperlink"/>
            <w:rFonts w:ascii="Times New Roman" w:hAnsi="Times New Roman"/>
            <w:sz w:val="19"/>
            <w:szCs w:val="19"/>
          </w:rPr>
          <w:t xml:space="preserve">COM(2018) 392 </w:t>
        </w:r>
        <w:r>
          <w:rPr>
            <w:rStyle w:val="Hyperlink"/>
            <w:rFonts w:ascii="Times New Roman" w:hAnsi="Times New Roman"/>
            <w:i/>
            <w:sz w:val="19"/>
            <w:szCs w:val="19"/>
          </w:rPr>
          <w:t>final</w:t>
        </w:r>
      </w:hyperlink>
      <w:r>
        <w:rPr>
          <w:rStyle w:val="Hyperlink"/>
          <w:rFonts w:ascii="Times New Roman" w:hAnsi="Times New Roman"/>
          <w:color w:val="auto"/>
          <w:sz w:val="19"/>
          <w:szCs w:val="19"/>
          <w:u w:val="none"/>
        </w:rPr>
        <w:t>.</w:t>
      </w:r>
    </w:p>
  </w:footnote>
  <w:footnote w:id="55">
    <w:p>
      <w:pPr>
        <w:pStyle w:val="footnotetext1"/>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2007 m. Ispanijos ESF valdymo institucijos sukurtas </w:t>
      </w:r>
      <w:hyperlink r:id="rId60" w:history="1">
        <w:r>
          <w:rPr>
            <w:rStyle w:val="Hyperlink"/>
            <w:rFonts w:ascii="Times New Roman" w:hAnsi="Times New Roman"/>
          </w:rPr>
          <w:t>tinklas</w:t>
        </w:r>
      </w:hyperlink>
      <w:r>
        <w:rPr>
          <w:rFonts w:ascii="Times New Roman" w:hAnsi="Times New Roman"/>
        </w:rPr>
        <w:t>.</w:t>
      </w:r>
    </w:p>
  </w:footnote>
  <w:footnote w:id="56">
    <w:p>
      <w:pPr>
        <w:pStyle w:val="footnotetext1"/>
        <w:ind w:left="284" w:hanging="284"/>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Programa „InvestEU“ (2021–2027 m.) , taip pat žr. Komisijos tarnybų darbinio dokumento 3 priedą.</w:t>
      </w:r>
    </w:p>
  </w:footnote>
  <w:footnote w:id="57">
    <w:p>
      <w:pPr>
        <w:pStyle w:val="footnotetext1"/>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Atsižvelgiant į nacionalinių romų informacijos centrų tinklo aplinkybes. </w:t>
      </w:r>
    </w:p>
  </w:footnote>
  <w:footnote w:id="58">
    <w:p>
      <w:pPr>
        <w:pStyle w:val="footnotetext1"/>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61" w:history="1">
        <w:r>
          <w:rPr>
            <w:rStyle w:val="Hyperlink"/>
            <w:rFonts w:ascii="Times New Roman" w:hAnsi="Times New Roman"/>
            <w:i/>
          </w:rPr>
          <w:t>Preparatory action 2020 — Roma Civil Monitor — Strengthening capacity and involvement of Roma and pro-Roma civil society in policy monitoring and review</w:t>
        </w:r>
      </w:hyperlink>
      <w:r>
        <w:rPr>
          <w:rFonts w:ascii="Times New Roman" w:hAnsi="Times New Roman"/>
        </w:rPr>
        <w:t>.</w:t>
      </w:r>
    </w:p>
  </w:footnote>
  <w:footnote w:id="59">
    <w:p>
      <w:pPr>
        <w:pStyle w:val="footnotetext1"/>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62" w:history="1">
        <w:r>
          <w:rPr>
            <w:rStyle w:val="Hyperlink"/>
            <w:rFonts w:ascii="Times New Roman" w:hAnsi="Times New Roman"/>
          </w:rPr>
          <w:t>https://ec.europa.eu/info/policies/justice-and-fundamental-rights/combatting-discrimination/roma-and-eu/european-platform-roma-inclusion_en</w:t>
        </w:r>
      </w:hyperlink>
      <w:r>
        <w:rPr>
          <w:rFonts w:ascii="Times New Roman" w:hAnsi="Times New Roman"/>
        </w:rPr>
        <w:t xml:space="preserve">. </w:t>
      </w:r>
    </w:p>
  </w:footnote>
  <w:footnote w:id="60">
    <w:p>
      <w:pPr>
        <w:pStyle w:val="footnotetext1"/>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Nacionalinės romų platformos – tai nacionalinių romų informacijos centrų inicijuoti ir valdomi dalyvavimo ir konsultavimosi procesai, kuriais skatinamas dialogas, tarpusavio mokymasis, bendradarbiavimas ir dalyvavimas kuriant, įgyvendinant ir stebint nacionalinius strateginius planus, o Komisija reguliariai skelbia kvietimus teikti prašymus dėl finansavimo paramos. Nacionalinės romų platformos procesai turėtų padėti kurti, įgyvendinti, stebėti ir peržiūrėti politiką. Pagrindinė platformų misija yra trejopa: plėsti politikos diskusijas dėl romų integracijos nacionalinių strateginių planų įgyvendinimo, stiprinti vidaus atskaitomybės struktūras, taip pat stiprinti vietos ir nacionalinio lygmens ryšius.</w:t>
      </w:r>
    </w:p>
  </w:footnote>
  <w:footnote w:id="61">
    <w:p>
      <w:pPr>
        <w:pStyle w:val="footnotetext1"/>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 </w:t>
      </w:r>
      <w:r>
        <w:rPr>
          <w:rFonts w:ascii="Times New Roman" w:hAnsi="Times New Roman"/>
        </w:rPr>
        <w:tab/>
        <w:t xml:space="preserve">Žr. </w:t>
      </w:r>
      <w:hyperlink r:id="rId63" w:history="1">
        <w:r>
          <w:rPr>
            <w:rStyle w:val="Hyperlink"/>
            <w:rFonts w:ascii="Times New Roman" w:hAnsi="Times New Roman"/>
            <w:i/>
            <w:iCs/>
          </w:rPr>
          <w:t>Media seminars - Stopping discrimination against Roma</w:t>
        </w:r>
      </w:hyperlink>
      <w:r>
        <w:rPr>
          <w:rFonts w:ascii="Times New Roman" w:hAnsi="Times New Roman"/>
        </w:rPr>
        <w:t>.</w:t>
      </w:r>
    </w:p>
  </w:footnote>
  <w:footnote w:id="62">
    <w:p>
      <w:pPr>
        <w:pStyle w:val="footnotetext1"/>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 xml:space="preserve">Pavyzdžiui, romų tautybės moterų požiūriu: </w:t>
      </w:r>
      <w:hyperlink r:id="rId64" w:history="1">
        <w:r>
          <w:rPr>
            <w:rStyle w:val="Hyperlink"/>
            <w:rFonts w:ascii="Times New Roman" w:hAnsi="Times New Roman"/>
            <w:i/>
            <w:sz w:val="19"/>
            <w:szCs w:val="19"/>
          </w:rPr>
          <w:t>Equal opportunities – let’s make it a reality for all</w:t>
        </w:r>
      </w:hyperlink>
      <w:r>
        <w:rPr>
          <w:rStyle w:val="Hyperlink"/>
          <w:rFonts w:ascii="Times New Roman" w:hAnsi="Times New Roman"/>
          <w:color w:val="auto"/>
          <w:sz w:val="19"/>
          <w:szCs w:val="19"/>
          <w:u w:val="none"/>
        </w:rPr>
        <w:t>.</w:t>
      </w:r>
    </w:p>
  </w:footnote>
  <w:footnote w:id="63">
    <w:p>
      <w:pPr>
        <w:pStyle w:val="footnotetext1"/>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rPr>
        <w:t xml:space="preserve">„Stojimo proceso stiprinimas. Įtikima ES perspektyva Vakarų Balkanų šalimis“, </w:t>
      </w:r>
      <w:hyperlink r:id="rId65" w:history="1">
        <w:r>
          <w:rPr>
            <w:rStyle w:val="Hyperlink"/>
            <w:rFonts w:ascii="Times New Roman" w:hAnsi="Times New Roman"/>
            <w:sz w:val="19"/>
            <w:szCs w:val="19"/>
          </w:rPr>
          <w:t xml:space="preserve">COM(2020) 57 </w:t>
        </w:r>
        <w:r>
          <w:rPr>
            <w:rStyle w:val="Hyperlink"/>
            <w:rFonts w:ascii="Times New Roman" w:hAnsi="Times New Roman"/>
            <w:i/>
            <w:sz w:val="19"/>
            <w:szCs w:val="19"/>
          </w:rPr>
          <w:t>final</w:t>
        </w:r>
      </w:hyperlink>
      <w:r>
        <w:rPr>
          <w:rStyle w:val="Hyperlink"/>
          <w:rFonts w:ascii="Times New Roman" w:hAnsi="Times New Roman"/>
          <w:sz w:val="19"/>
          <w:szCs w:val="19"/>
        </w:rPr>
        <w:t>.</w:t>
      </w:r>
    </w:p>
  </w:footnote>
  <w:footnote w:id="64">
    <w:p>
      <w:pPr>
        <w:pStyle w:val="footnotetext1"/>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 xml:space="preserve">2020 m. gegužės 5–6 d. ES ir Vakarų Balkanų šalių aukščiausiojo lygio susitikimas, Tarybos išvados ir </w:t>
      </w:r>
      <w:hyperlink r:id="rId66" w:history="1">
        <w:r>
          <w:rPr>
            <w:rStyle w:val="Hyperlink"/>
            <w:rFonts w:ascii="Times New Roman" w:hAnsi="Times New Roman"/>
            <w:sz w:val="19"/>
            <w:szCs w:val="19"/>
          </w:rPr>
          <w:t xml:space="preserve">COM(2020) 315 </w:t>
        </w:r>
        <w:r>
          <w:rPr>
            <w:rStyle w:val="Hyperlink"/>
            <w:rFonts w:ascii="Times New Roman" w:hAnsi="Times New Roman"/>
            <w:i/>
            <w:iCs/>
            <w:sz w:val="19"/>
            <w:szCs w:val="19"/>
          </w:rPr>
          <w:t>final</w:t>
        </w:r>
      </w:hyperlink>
      <w:r>
        <w:rPr>
          <w:rFonts w:ascii="Times New Roman" w:hAnsi="Times New Roman"/>
          <w:sz w:val="19"/>
          <w:szCs w:val="19"/>
        </w:rPr>
        <w:t>.</w:t>
      </w:r>
      <w:r>
        <w:rPr>
          <w:rFonts w:ascii="Times New Roman" w:hAnsi="Times New Roman"/>
          <w:sz w:val="19"/>
          <w:szCs w:val="19"/>
          <w:highlight w:val="yellow"/>
        </w:rPr>
        <w:t xml:space="preserve"> </w:t>
      </w:r>
    </w:p>
  </w:footnote>
  <w:footnote w:id="65">
    <w:p>
      <w:pPr>
        <w:pStyle w:val="footnotetext1"/>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hyperlink r:id="rId67" w:history="1">
        <w:r>
          <w:rPr>
            <w:rStyle w:val="Hyperlink"/>
            <w:rFonts w:ascii="Times New Roman" w:hAnsi="Times New Roman"/>
            <w:sz w:val="19"/>
            <w:szCs w:val="19"/>
          </w:rPr>
          <w:t>Zagrebo deklaracija</w:t>
        </w:r>
      </w:hyperlink>
      <w:r>
        <w:rPr>
          <w:rStyle w:val="Hyperlink"/>
          <w:rFonts w:ascii="Times New Roman" w:hAnsi="Times New Roman"/>
          <w:color w:val="auto"/>
          <w:sz w:val="19"/>
          <w:szCs w:val="19"/>
          <w:u w:val="none"/>
        </w:rPr>
        <w:t>.</w:t>
      </w:r>
    </w:p>
  </w:footnote>
  <w:footnote w:id="66">
    <w:p>
      <w:pPr>
        <w:pStyle w:val="footnotetext1"/>
        <w:widowControl w:val="0"/>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 xml:space="preserve">Padidinti romų užimtumą (nuo 16,5 iki 25 proc.), padidinti privalomąjį išsilavinimą turinčių asmenų skaičių (nuo 51 iki 90 proc.), suteikti sveikatos draudimą (ne mažiau kaip 95 proc.), suteikti teisėtą būstą, užkirsti kelią diskriminacijai, užtikrinti visapusišką piliečių registravimą. </w:t>
      </w:r>
      <w:hyperlink r:id="rId68" w:history="1">
        <w:r>
          <w:rPr>
            <w:rStyle w:val="Hyperlink"/>
            <w:rFonts w:ascii="Times New Roman" w:hAnsi="Times New Roman"/>
            <w:sz w:val="19"/>
            <w:szCs w:val="19"/>
          </w:rPr>
          <w:t>Poznanės deklaracija</w:t>
        </w:r>
      </w:hyperlink>
      <w:r>
        <w:rPr>
          <w:rStyle w:val="Hyperlink"/>
          <w:rFonts w:ascii="Times New Roman" w:hAnsi="Times New Roman"/>
          <w:color w:val="auto"/>
          <w:sz w:val="19"/>
          <w:szCs w:val="19"/>
          <w:u w:val="none"/>
        </w:rPr>
        <w:t>.</w:t>
      </w:r>
    </w:p>
  </w:footnote>
  <w:footnote w:id="67">
    <w:p>
      <w:pPr>
        <w:pStyle w:val="footnotetext1"/>
        <w:rPr>
          <w:rFonts w:ascii="Times New Roman" w:hAnsi="Times New Roman" w:cs="Times New Roman"/>
        </w:rPr>
      </w:pPr>
      <w:r>
        <w:rPr>
          <w:rStyle w:val="FootnoteReference"/>
        </w:rPr>
        <w:footnoteRef/>
      </w:r>
      <w:r>
        <w:t xml:space="preserve"> </w:t>
      </w:r>
      <w:r>
        <w:rPr>
          <w:rFonts w:ascii="Times New Roman" w:hAnsi="Times New Roman"/>
        </w:rPr>
        <w:t xml:space="preserve">2020 m. spalio 6 d. priimtas COM(2020) 641 </w:t>
      </w:r>
      <w:r>
        <w:rPr>
          <w:rFonts w:ascii="Times New Roman" w:hAnsi="Times New Roman"/>
          <w:i/>
          <w:iCs/>
        </w:rPr>
        <w:t>final</w:t>
      </w:r>
      <w:r>
        <w:t xml:space="preserve"> </w:t>
      </w:r>
      <w:r>
        <w:rPr>
          <w:rFonts w:ascii="Times New Roman" w:hAnsi="Times New Roman"/>
        </w:rPr>
        <w:t>.</w:t>
      </w:r>
    </w:p>
  </w:footnote>
  <w:footnote w:id="68">
    <w:p>
      <w:pPr>
        <w:pStyle w:val="footnotetext1"/>
        <w:ind w:left="284" w:hanging="284"/>
        <w:jc w:val="both"/>
        <w:rPr>
          <w:sz w:val="19"/>
          <w:szCs w:val="19"/>
        </w:rPr>
      </w:pPr>
      <w:r>
        <w:rPr>
          <w:rStyle w:val="FootnoteReference"/>
          <w:sz w:val="19"/>
          <w:szCs w:val="19"/>
        </w:rPr>
        <w:footnoteRef/>
      </w:r>
      <w:r>
        <w:rPr>
          <w:sz w:val="19"/>
          <w:szCs w:val="19"/>
        </w:rPr>
        <w:t xml:space="preserve"> </w:t>
      </w:r>
      <w:r>
        <w:tab/>
      </w:r>
      <w:r>
        <w:rPr>
          <w:rFonts w:ascii="Times New Roman" w:hAnsi="Times New Roman"/>
          <w:sz w:val="19"/>
          <w:szCs w:val="19"/>
        </w:rPr>
        <w:t xml:space="preserve">Komisijos komunikatas </w:t>
      </w:r>
      <w:r>
        <w:rPr>
          <w:rFonts w:ascii="Times New Roman" w:hAnsi="Times New Roman"/>
          <w:i/>
          <w:iCs/>
          <w:sz w:val="19"/>
          <w:szCs w:val="19"/>
        </w:rPr>
        <w:t>Parama Vakarų Balkanų šalims kovoti su COVID-19 ir atsigauti po pandemijos</w:t>
      </w:r>
      <w:r>
        <w:rPr>
          <w:rFonts w:ascii="Times New Roman" w:hAnsi="Times New Roman"/>
          <w:sz w:val="19"/>
          <w:szCs w:val="19"/>
        </w:rPr>
        <w:t xml:space="preserve"> (</w:t>
      </w:r>
      <w:hyperlink r:id="rId69" w:history="1">
        <w:r>
          <w:rPr>
            <w:rStyle w:val="Hyperlink"/>
            <w:rFonts w:ascii="Times New Roman" w:hAnsi="Times New Roman"/>
            <w:sz w:val="19"/>
            <w:szCs w:val="19"/>
          </w:rPr>
          <w:t xml:space="preserve">COM(2020) 315 </w:t>
        </w:r>
        <w:r>
          <w:rPr>
            <w:rStyle w:val="Hyperlink"/>
            <w:rFonts w:ascii="Times New Roman" w:hAnsi="Times New Roman"/>
            <w:i/>
            <w:iCs/>
            <w:sz w:val="19"/>
            <w:szCs w:val="19"/>
          </w:rPr>
          <w:t>final</w:t>
        </w:r>
      </w:hyperlink>
      <w:r>
        <w:rPr>
          <w:rStyle w:val="Hyperlink"/>
          <w:rFonts w:ascii="Times New Roman" w:hAnsi="Times New Roman"/>
          <w:sz w:val="19"/>
          <w:szCs w:val="19"/>
          <w:u w:val="none"/>
        </w:rPr>
        <w:t>).</w:t>
      </w:r>
    </w:p>
  </w:footnote>
  <w:footnote w:id="69">
    <w:p>
      <w:pPr>
        <w:pStyle w:val="footnotetext1"/>
        <w:ind w:left="284" w:hanging="284"/>
        <w:rPr>
          <w:rFonts w:ascii="Times New Roman" w:hAnsi="Times New Roman" w:cs="Times New Roman"/>
        </w:rPr>
      </w:pPr>
      <w:r>
        <w:rPr>
          <w:rStyle w:val="FootnoteReference"/>
        </w:rPr>
        <w:footnoteRef/>
      </w:r>
      <w:r>
        <w:t xml:space="preserve"> </w:t>
      </w:r>
      <w:r>
        <w:tab/>
      </w:r>
      <w:r>
        <w:rPr>
          <w:rFonts w:ascii="Times New Roman" w:hAnsi="Times New Roman"/>
        </w:rPr>
        <w:t>11855/12, II priedas, ES Taryba, 2012 m. birželio 25 d.</w:t>
      </w:r>
    </w:p>
  </w:footnote>
  <w:footnote w:id="70">
    <w:p>
      <w:pPr>
        <w:pStyle w:val="footnotetext1"/>
        <w:ind w:left="284" w:hanging="284"/>
        <w:contextualSpacing/>
        <w:jc w:val="both"/>
        <w:rPr>
          <w:rFonts w:ascii="Times New Roman" w:hAnsi="Times New Roman" w:cs="Times New Roman"/>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rPr>
        <w:t xml:space="preserve">2012–2014 m. ir 2015–2019 m. ES veiksmų planai žmogaus teisių ir demokratijos srityje; 2020 m. kovo 25 d. Kolegijoje priimtas </w:t>
      </w:r>
      <w:hyperlink r:id="rId70" w:history="1">
        <w:r>
          <w:rPr>
            <w:rStyle w:val="Hyperlink"/>
            <w:rFonts w:ascii="Times New Roman" w:hAnsi="Times New Roman"/>
          </w:rPr>
          <w:t>Bendras komunikatas ir ES veiksmų planas žmogaus teisių ir demokratijos srityje (2020–2024 m.)</w:t>
        </w:r>
      </w:hyperlink>
      <w:r>
        <w:rPr>
          <w:rFonts w:ascii="Times New Roman" w:hAnsi="Times New Roman"/>
        </w:rPr>
        <w:t>, kurį Taryba numato priimti paskutinį 2020 m. ketvirtį</w:t>
      </w:r>
      <w:r>
        <w:rPr>
          <w:rStyle w:val="Hyperlink"/>
          <w:rFonts w:ascii="Times New Roman" w:hAnsi="Times New Roman"/>
          <w:color w:val="auto"/>
          <w:u w:val="none"/>
        </w:rPr>
        <w:t>.</w:t>
      </w:r>
    </w:p>
  </w:footnote>
  <w:footnote w:id="71">
    <w:p>
      <w:pPr>
        <w:pStyle w:val="footnotetext1"/>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i/>
          <w:iCs/>
        </w:rPr>
        <w:t>Gender Equality and Women’s Empowerment</w:t>
      </w:r>
      <w:r>
        <w:rPr>
          <w:rFonts w:ascii="Times New Roman" w:hAnsi="Times New Roman"/>
        </w:rPr>
        <w:t xml:space="preserve">: </w:t>
      </w:r>
      <w:r>
        <w:rPr>
          <w:rFonts w:ascii="Times New Roman" w:hAnsi="Times New Roman"/>
          <w:i/>
          <w:iCs/>
        </w:rPr>
        <w:t>Transforming the Lives of Girls and Women through EU External Relations 2016-2020</w:t>
      </w:r>
      <w:hyperlink r:id="rId71" w:history="1">
        <w:r>
          <w:rPr>
            <w:rStyle w:val="Hyperlink"/>
            <w:rFonts w:ascii="Times New Roman" w:hAnsi="Times New Roman"/>
          </w:rPr>
          <w:t xml:space="preserve"> SWD (2015) 182</w:t>
        </w:r>
      </w:hyperlink>
      <w:r>
        <w:rPr>
          <w:rFonts w:ascii="Times New Roman" w:hAnsi="Times New Roman"/>
        </w:rPr>
        <w:t xml:space="preserve"> ir numatomas jį pakeisiantis dokumentas.</w:t>
      </w:r>
    </w:p>
  </w:footnote>
  <w:footnote w:id="72">
    <w:p>
      <w:pPr>
        <w:pStyle w:val="footnotetext1"/>
        <w:ind w:left="284" w:hanging="284"/>
        <w:rPr>
          <w:rFonts w:ascii="Times New Roman" w:hAnsi="Times New Roman" w:cs="Times New Roman"/>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hyperlink r:id="rId72" w:history="1">
        <w:r>
          <w:rPr>
            <w:rStyle w:val="Hyperlink"/>
            <w:rFonts w:ascii="Times New Roman" w:hAnsi="Times New Roman"/>
            <w:i/>
            <w:iCs/>
          </w:rPr>
          <w:t>ES žmogaus teisių gairės dėl nediskriminavimo išorės veiksmuose</w:t>
        </w:r>
      </w:hyperlink>
      <w:r>
        <w:rPr>
          <w:rStyle w:val="Hyperlink"/>
          <w:rFonts w:ascii="Times New Roman" w:hAnsi="Times New Roma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noProof/>
        <w:lang w:val="en-GB" w:eastAsia="en-GB"/>
      </w:rPr>
      <mc:AlternateContent>
        <mc:Choice Requires="wps">
          <w:drawing>
            <wp:anchor distT="0" distB="0" distL="114300" distR="114300" simplePos="0" relativeHeight="251661312" behindDoc="1" locked="0" layoutInCell="0" allowOverlap="1">
              <wp:simplePos x="0" y="0"/>
              <wp:positionH relativeFrom="margin">
                <wp:align>center</wp:align>
              </wp:positionH>
              <wp:positionV relativeFrom="margin">
                <wp:align>center</wp:align>
              </wp:positionV>
              <wp:extent cx="6583680" cy="1645920"/>
              <wp:effectExtent l="0" t="1771650" r="0" b="169735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83680" cy="16459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pPr>
                            <w:pStyle w:val="NormalWeb"/>
                            <w:spacing w:before="0" w:beforeAutospacing="0" w:after="0" w:afterAutospacing="0"/>
                            <w:jc w:val="center"/>
                          </w:pPr>
                          <w:r>
                            <w:rPr>
                              <w:rFonts w:ascii="Calibri" w:hAnsi="Calibri"/>
                              <w:color w:val="7F7F7F" w:themeColor="text1" w:themeTint="80"/>
                              <w:sz w:val="2"/>
                              <w:szCs w:val="2"/>
                              <w14:textFill>
                                <w14:solidFill>
                                  <w14:schemeClr w14:val="tx1">
                                    <w14:alpha w14:val="50000"/>
                                    <w14:lumMod w14:val="50000"/>
                                    <w14:lumOff w14:val="50000"/>
                                  </w14:schemeClr>
                                </w14:solidFill>
                              </w14:textFill>
                            </w:rPr>
                            <w:t>Vidaus dokumento projektas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56" type="#_x0000_t202" style="position:absolute;margin-left:0;margin-top:0;width:518.4pt;height:129.6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" o:allowincell="f" filled="f" stroked="f">
              <v:stroke joinstyle="round"/>
              <o:lock v:ext="edit" shapetype="t"/>
              <v:textbox style="mso-fit-shape-to-text:t">
                <w:txbxContent>
                  <w:p>
                    <w:pPr>
                      <w:pStyle w:val="NormalWeb"/>
                      <w:spacing w:before="0" w:beforeAutospacing="0" w:after="0" w:afterAutospacing="0"/>
                      <w:jc w:val="center"/>
                    </w:pPr>
                    <w:r>
                      <w:rPr>
                        <w:rFonts w:ascii="Calibri" w:hAnsi="Calibri"/>
                        <w:color w:val="7F7F7F" w:themeColor="text1" w:themeTint="80"/>
                        <w:sz w:val="2"/>
                        <w:szCs w:val="2"/>
                        <w14:textFill>
                          <w14:solidFill>
                            <w14:schemeClr w14:val="tx1">
                              <w14:alpha w14:val="50000"/>
                              <w14:lumMod w14:val="50000"/>
                              <w14:lumOff w14:val="50000"/>
                            </w14:schemeClr>
                          </w14:solidFill>
                        </w14:textFill>
                      </w:rPr>
                      <w:t>Vidaus dokumento projektas</w:t>
                    </w:r>
                  </w:p>
                </w:txbxContent>
              </v:textbox>
              <w10:wrap anchorx="margin" anchory="margin"/>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01B04"/>
    <w:multiLevelType w:val="hybridMultilevel"/>
    <w:tmpl w:val="6060CE88"/>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
    <w:nsid w:val="012D58FC"/>
    <w:multiLevelType w:val="hybridMultilevel"/>
    <w:tmpl w:val="052E28E2"/>
    <w:lvl w:ilvl="0" w:tplc="E85CBFF2">
      <w:start w:val="1"/>
      <w:numFmt w:val="decimal"/>
      <w:lvlText w:val="%1."/>
      <w:lvlJc w:val="left"/>
      <w:pPr>
        <w:ind w:left="1004" w:hanging="360"/>
      </w:pPr>
      <w:rPr>
        <w:rFonts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2">
    <w:nsid w:val="013627E5"/>
    <w:multiLevelType w:val="hybridMultilevel"/>
    <w:tmpl w:val="92F0657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4AC601F"/>
    <w:multiLevelType w:val="hybridMultilevel"/>
    <w:tmpl w:val="E578E8C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nsid w:val="07A97EF6"/>
    <w:multiLevelType w:val="hybridMultilevel"/>
    <w:tmpl w:val="F310372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nsid w:val="084B4DA5"/>
    <w:multiLevelType w:val="hybridMultilevel"/>
    <w:tmpl w:val="D570D2D0"/>
    <w:lvl w:ilvl="0" w:tplc="6388F19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BE58B7"/>
    <w:multiLevelType w:val="hybridMultilevel"/>
    <w:tmpl w:val="7C508B4A"/>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7">
    <w:nsid w:val="0C026256"/>
    <w:multiLevelType w:val="hybridMultilevel"/>
    <w:tmpl w:val="E6807734"/>
    <w:lvl w:ilvl="0" w:tplc="81E49BB0">
      <w:start w:val="1"/>
      <w:numFmt w:val="decimal"/>
      <w:lvlText w:val="%1."/>
      <w:lvlJc w:val="left"/>
      <w:pPr>
        <w:ind w:left="1004" w:hanging="360"/>
      </w:pPr>
      <w:rPr>
        <w:rFonts w:ascii="Times New Roman" w:hAnsi="Times New Roman" w:cs="Times New Roman"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8">
    <w:nsid w:val="0C985623"/>
    <w:multiLevelType w:val="hybridMultilevel"/>
    <w:tmpl w:val="8C82D56C"/>
    <w:lvl w:ilvl="0" w:tplc="E85CBFF2">
      <w:start w:val="1"/>
      <w:numFmt w:val="decimal"/>
      <w:lvlText w:val="%1."/>
      <w:lvlJc w:val="left"/>
      <w:pPr>
        <w:ind w:left="1004" w:hanging="360"/>
      </w:pPr>
      <w:rPr>
        <w:rFonts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9">
    <w:nsid w:val="0CBD4F79"/>
    <w:multiLevelType w:val="hybridMultilevel"/>
    <w:tmpl w:val="2CA8AF5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nsid w:val="0D47211D"/>
    <w:multiLevelType w:val="hybridMultilevel"/>
    <w:tmpl w:val="0E38C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0E517113"/>
    <w:multiLevelType w:val="hybridMultilevel"/>
    <w:tmpl w:val="720A5F4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0A670ED"/>
    <w:multiLevelType w:val="hybridMultilevel"/>
    <w:tmpl w:val="1F90606A"/>
    <w:lvl w:ilvl="0" w:tplc="1809000F">
      <w:start w:val="1"/>
      <w:numFmt w:val="decimal"/>
      <w:lvlText w:val="%1."/>
      <w:lvlJc w:val="left"/>
      <w:pPr>
        <w:ind w:left="1004" w:hanging="360"/>
      </w:pPr>
      <w:rPr>
        <w:rFonts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13">
    <w:nsid w:val="156A434D"/>
    <w:multiLevelType w:val="hybridMultilevel"/>
    <w:tmpl w:val="E6807734"/>
    <w:lvl w:ilvl="0" w:tplc="81E49BB0">
      <w:start w:val="1"/>
      <w:numFmt w:val="decimal"/>
      <w:lvlText w:val="%1."/>
      <w:lvlJc w:val="left"/>
      <w:pPr>
        <w:ind w:left="1004" w:hanging="360"/>
      </w:pPr>
      <w:rPr>
        <w:rFonts w:ascii="Times New Roman" w:hAnsi="Times New Roman" w:cs="Times New Roman"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14">
    <w:nsid w:val="15CC5AB9"/>
    <w:multiLevelType w:val="hybridMultilevel"/>
    <w:tmpl w:val="65DE4C80"/>
    <w:lvl w:ilvl="0" w:tplc="08090001">
      <w:start w:val="1"/>
      <w:numFmt w:val="bullet"/>
      <w:lvlText w:val=""/>
      <w:lvlJc w:val="left"/>
      <w:pPr>
        <w:ind w:left="214" w:hanging="360"/>
      </w:pPr>
      <w:rPr>
        <w:rFonts w:ascii="Symbol" w:hAnsi="Symbol" w:hint="default"/>
      </w:rPr>
    </w:lvl>
    <w:lvl w:ilvl="1" w:tplc="08090003" w:tentative="1">
      <w:start w:val="1"/>
      <w:numFmt w:val="bullet"/>
      <w:lvlText w:val="o"/>
      <w:lvlJc w:val="left"/>
      <w:pPr>
        <w:ind w:left="934" w:hanging="360"/>
      </w:pPr>
      <w:rPr>
        <w:rFonts w:ascii="Courier New" w:hAnsi="Courier New" w:cs="Courier New" w:hint="default"/>
      </w:rPr>
    </w:lvl>
    <w:lvl w:ilvl="2" w:tplc="08090005" w:tentative="1">
      <w:start w:val="1"/>
      <w:numFmt w:val="bullet"/>
      <w:lvlText w:val=""/>
      <w:lvlJc w:val="left"/>
      <w:pPr>
        <w:ind w:left="1654" w:hanging="360"/>
      </w:pPr>
      <w:rPr>
        <w:rFonts w:ascii="Wingdings" w:hAnsi="Wingdings" w:hint="default"/>
      </w:rPr>
    </w:lvl>
    <w:lvl w:ilvl="3" w:tplc="08090001" w:tentative="1">
      <w:start w:val="1"/>
      <w:numFmt w:val="bullet"/>
      <w:lvlText w:val=""/>
      <w:lvlJc w:val="left"/>
      <w:pPr>
        <w:ind w:left="2374" w:hanging="360"/>
      </w:pPr>
      <w:rPr>
        <w:rFonts w:ascii="Symbol" w:hAnsi="Symbol" w:hint="default"/>
      </w:rPr>
    </w:lvl>
    <w:lvl w:ilvl="4" w:tplc="08090003" w:tentative="1">
      <w:start w:val="1"/>
      <w:numFmt w:val="bullet"/>
      <w:lvlText w:val="o"/>
      <w:lvlJc w:val="left"/>
      <w:pPr>
        <w:ind w:left="3094" w:hanging="360"/>
      </w:pPr>
      <w:rPr>
        <w:rFonts w:ascii="Courier New" w:hAnsi="Courier New" w:cs="Courier New" w:hint="default"/>
      </w:rPr>
    </w:lvl>
    <w:lvl w:ilvl="5" w:tplc="08090005" w:tentative="1">
      <w:start w:val="1"/>
      <w:numFmt w:val="bullet"/>
      <w:lvlText w:val=""/>
      <w:lvlJc w:val="left"/>
      <w:pPr>
        <w:ind w:left="3814" w:hanging="360"/>
      </w:pPr>
      <w:rPr>
        <w:rFonts w:ascii="Wingdings" w:hAnsi="Wingdings" w:hint="default"/>
      </w:rPr>
    </w:lvl>
    <w:lvl w:ilvl="6" w:tplc="08090001" w:tentative="1">
      <w:start w:val="1"/>
      <w:numFmt w:val="bullet"/>
      <w:lvlText w:val=""/>
      <w:lvlJc w:val="left"/>
      <w:pPr>
        <w:ind w:left="4534" w:hanging="360"/>
      </w:pPr>
      <w:rPr>
        <w:rFonts w:ascii="Symbol" w:hAnsi="Symbol" w:hint="default"/>
      </w:rPr>
    </w:lvl>
    <w:lvl w:ilvl="7" w:tplc="08090003" w:tentative="1">
      <w:start w:val="1"/>
      <w:numFmt w:val="bullet"/>
      <w:lvlText w:val="o"/>
      <w:lvlJc w:val="left"/>
      <w:pPr>
        <w:ind w:left="5254" w:hanging="360"/>
      </w:pPr>
      <w:rPr>
        <w:rFonts w:ascii="Courier New" w:hAnsi="Courier New" w:cs="Courier New" w:hint="default"/>
      </w:rPr>
    </w:lvl>
    <w:lvl w:ilvl="8" w:tplc="08090005" w:tentative="1">
      <w:start w:val="1"/>
      <w:numFmt w:val="bullet"/>
      <w:lvlText w:val=""/>
      <w:lvlJc w:val="left"/>
      <w:pPr>
        <w:ind w:left="5974" w:hanging="360"/>
      </w:pPr>
      <w:rPr>
        <w:rFonts w:ascii="Wingdings" w:hAnsi="Wingdings" w:hint="default"/>
      </w:rPr>
    </w:lvl>
  </w:abstractNum>
  <w:abstractNum w:abstractNumId="15">
    <w:nsid w:val="18466082"/>
    <w:multiLevelType w:val="hybridMultilevel"/>
    <w:tmpl w:val="72AC9D34"/>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6">
    <w:nsid w:val="199B75CD"/>
    <w:multiLevelType w:val="hybridMultilevel"/>
    <w:tmpl w:val="FA8436D8"/>
    <w:lvl w:ilvl="0" w:tplc="CC5EEF70">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7">
    <w:nsid w:val="1ACC4C98"/>
    <w:multiLevelType w:val="hybridMultilevel"/>
    <w:tmpl w:val="038675F2"/>
    <w:lvl w:ilvl="0" w:tplc="BD6A10FA">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8">
    <w:nsid w:val="201C7807"/>
    <w:multiLevelType w:val="hybridMultilevel"/>
    <w:tmpl w:val="11065AD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9">
    <w:nsid w:val="20C607F6"/>
    <w:multiLevelType w:val="hybridMultilevel"/>
    <w:tmpl w:val="2ED4C50A"/>
    <w:lvl w:ilvl="0" w:tplc="E85CBFF2">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nsid w:val="2150424D"/>
    <w:multiLevelType w:val="hybridMultilevel"/>
    <w:tmpl w:val="897841AC"/>
    <w:lvl w:ilvl="0" w:tplc="01EC09CE">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21">
    <w:nsid w:val="258E0189"/>
    <w:multiLevelType w:val="hybridMultilevel"/>
    <w:tmpl w:val="5A6C5B9A"/>
    <w:lvl w:ilvl="0" w:tplc="0809000D">
      <w:start w:val="1"/>
      <w:numFmt w:val="bullet"/>
      <w:lvlText w:val=""/>
      <w:lvlJc w:val="left"/>
      <w:pPr>
        <w:ind w:left="360" w:hanging="360"/>
      </w:pPr>
      <w:rPr>
        <w:rFonts w:ascii="Wingdings" w:hAnsi="Wingdings" w:hint="default"/>
        <w:b/>
        <w:i/>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2">
    <w:nsid w:val="274D6C00"/>
    <w:multiLevelType w:val="hybridMultilevel"/>
    <w:tmpl w:val="C3309866"/>
    <w:lvl w:ilvl="0" w:tplc="0809000D">
      <w:start w:val="1"/>
      <w:numFmt w:val="bullet"/>
      <w:lvlText w:val=""/>
      <w:lvlJc w:val="left"/>
      <w:pPr>
        <w:ind w:left="306" w:hanging="360"/>
      </w:pPr>
      <w:rPr>
        <w:rFonts w:ascii="Wingdings" w:hAnsi="Wingdings" w:hint="default"/>
      </w:rPr>
    </w:lvl>
    <w:lvl w:ilvl="1" w:tplc="08090003" w:tentative="1">
      <w:start w:val="1"/>
      <w:numFmt w:val="bullet"/>
      <w:lvlText w:val="o"/>
      <w:lvlJc w:val="left"/>
      <w:pPr>
        <w:ind w:left="1026" w:hanging="360"/>
      </w:pPr>
      <w:rPr>
        <w:rFonts w:ascii="Courier New" w:hAnsi="Courier New" w:cs="Courier New" w:hint="default"/>
      </w:rPr>
    </w:lvl>
    <w:lvl w:ilvl="2" w:tplc="08090005" w:tentative="1">
      <w:start w:val="1"/>
      <w:numFmt w:val="bullet"/>
      <w:lvlText w:val=""/>
      <w:lvlJc w:val="left"/>
      <w:pPr>
        <w:ind w:left="1746" w:hanging="360"/>
      </w:pPr>
      <w:rPr>
        <w:rFonts w:ascii="Wingdings" w:hAnsi="Wingdings" w:hint="default"/>
      </w:rPr>
    </w:lvl>
    <w:lvl w:ilvl="3" w:tplc="08090001" w:tentative="1">
      <w:start w:val="1"/>
      <w:numFmt w:val="bullet"/>
      <w:lvlText w:val=""/>
      <w:lvlJc w:val="left"/>
      <w:pPr>
        <w:ind w:left="2466" w:hanging="360"/>
      </w:pPr>
      <w:rPr>
        <w:rFonts w:ascii="Symbol" w:hAnsi="Symbol" w:hint="default"/>
      </w:rPr>
    </w:lvl>
    <w:lvl w:ilvl="4" w:tplc="08090003" w:tentative="1">
      <w:start w:val="1"/>
      <w:numFmt w:val="bullet"/>
      <w:lvlText w:val="o"/>
      <w:lvlJc w:val="left"/>
      <w:pPr>
        <w:ind w:left="3186" w:hanging="360"/>
      </w:pPr>
      <w:rPr>
        <w:rFonts w:ascii="Courier New" w:hAnsi="Courier New" w:cs="Courier New" w:hint="default"/>
      </w:rPr>
    </w:lvl>
    <w:lvl w:ilvl="5" w:tplc="08090005" w:tentative="1">
      <w:start w:val="1"/>
      <w:numFmt w:val="bullet"/>
      <w:lvlText w:val=""/>
      <w:lvlJc w:val="left"/>
      <w:pPr>
        <w:ind w:left="3906" w:hanging="360"/>
      </w:pPr>
      <w:rPr>
        <w:rFonts w:ascii="Wingdings" w:hAnsi="Wingdings" w:hint="default"/>
      </w:rPr>
    </w:lvl>
    <w:lvl w:ilvl="6" w:tplc="08090001" w:tentative="1">
      <w:start w:val="1"/>
      <w:numFmt w:val="bullet"/>
      <w:lvlText w:val=""/>
      <w:lvlJc w:val="left"/>
      <w:pPr>
        <w:ind w:left="4626" w:hanging="360"/>
      </w:pPr>
      <w:rPr>
        <w:rFonts w:ascii="Symbol" w:hAnsi="Symbol" w:hint="default"/>
      </w:rPr>
    </w:lvl>
    <w:lvl w:ilvl="7" w:tplc="08090003" w:tentative="1">
      <w:start w:val="1"/>
      <w:numFmt w:val="bullet"/>
      <w:lvlText w:val="o"/>
      <w:lvlJc w:val="left"/>
      <w:pPr>
        <w:ind w:left="5346" w:hanging="360"/>
      </w:pPr>
      <w:rPr>
        <w:rFonts w:ascii="Courier New" w:hAnsi="Courier New" w:cs="Courier New" w:hint="default"/>
      </w:rPr>
    </w:lvl>
    <w:lvl w:ilvl="8" w:tplc="08090005" w:tentative="1">
      <w:start w:val="1"/>
      <w:numFmt w:val="bullet"/>
      <w:lvlText w:val=""/>
      <w:lvlJc w:val="left"/>
      <w:pPr>
        <w:ind w:left="6066" w:hanging="360"/>
      </w:pPr>
      <w:rPr>
        <w:rFonts w:ascii="Wingdings" w:hAnsi="Wingdings" w:hint="default"/>
      </w:rPr>
    </w:lvl>
  </w:abstractNum>
  <w:abstractNum w:abstractNumId="23">
    <w:nsid w:val="284D3B7F"/>
    <w:multiLevelType w:val="hybridMultilevel"/>
    <w:tmpl w:val="83585FF0"/>
    <w:lvl w:ilvl="0" w:tplc="0809000D">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4">
    <w:nsid w:val="2C0B69DB"/>
    <w:multiLevelType w:val="hybridMultilevel"/>
    <w:tmpl w:val="68B8CCF0"/>
    <w:lvl w:ilvl="0" w:tplc="E56263D4">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5">
    <w:nsid w:val="2CAA1ED9"/>
    <w:multiLevelType w:val="hybridMultilevel"/>
    <w:tmpl w:val="BAF82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229120C"/>
    <w:multiLevelType w:val="hybridMultilevel"/>
    <w:tmpl w:val="159A1D1C"/>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34462654"/>
    <w:multiLevelType w:val="hybridMultilevel"/>
    <w:tmpl w:val="53184CF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36010744"/>
    <w:multiLevelType w:val="hybridMultilevel"/>
    <w:tmpl w:val="E64A430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
    <w:nsid w:val="3652232F"/>
    <w:multiLevelType w:val="hybridMultilevel"/>
    <w:tmpl w:val="E798765C"/>
    <w:lvl w:ilvl="0" w:tplc="080C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0">
    <w:nsid w:val="3A8F3A15"/>
    <w:multiLevelType w:val="hybridMultilevel"/>
    <w:tmpl w:val="D0F4C12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1">
    <w:nsid w:val="3B027632"/>
    <w:multiLevelType w:val="hybridMultilevel"/>
    <w:tmpl w:val="5D96C11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2">
    <w:nsid w:val="3B4B5B1F"/>
    <w:multiLevelType w:val="hybridMultilevel"/>
    <w:tmpl w:val="30EEA4C6"/>
    <w:lvl w:ilvl="0" w:tplc="080C0011">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3">
    <w:nsid w:val="3CC522FE"/>
    <w:multiLevelType w:val="multilevel"/>
    <w:tmpl w:val="A8040A6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3D1A498C"/>
    <w:multiLevelType w:val="hybridMultilevel"/>
    <w:tmpl w:val="9EDCFA4E"/>
    <w:lvl w:ilvl="0" w:tplc="08090001">
      <w:start w:val="1"/>
      <w:numFmt w:val="bullet"/>
      <w:lvlText w:val=""/>
      <w:lvlJc w:val="left"/>
      <w:pPr>
        <w:ind w:left="776" w:hanging="360"/>
      </w:pPr>
      <w:rPr>
        <w:rFonts w:ascii="Symbol" w:hAnsi="Symbol" w:hint="default"/>
      </w:rPr>
    </w:lvl>
    <w:lvl w:ilvl="1" w:tplc="08090003">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35">
    <w:nsid w:val="3D547B24"/>
    <w:multiLevelType w:val="hybridMultilevel"/>
    <w:tmpl w:val="B1989880"/>
    <w:lvl w:ilvl="0" w:tplc="7188E82E">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nsid w:val="3D5B1852"/>
    <w:multiLevelType w:val="hybridMultilevel"/>
    <w:tmpl w:val="E166B790"/>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7">
    <w:nsid w:val="40397F70"/>
    <w:multiLevelType w:val="hybridMultilevel"/>
    <w:tmpl w:val="7DD26570"/>
    <w:lvl w:ilvl="0" w:tplc="18090001">
      <w:start w:val="1"/>
      <w:numFmt w:val="bullet"/>
      <w:lvlText w:val=""/>
      <w:lvlJc w:val="left"/>
      <w:pPr>
        <w:ind w:left="1701" w:hanging="360"/>
      </w:pPr>
      <w:rPr>
        <w:rFonts w:ascii="Symbol" w:hAnsi="Symbol" w:hint="default"/>
      </w:rPr>
    </w:lvl>
    <w:lvl w:ilvl="1" w:tplc="18090003" w:tentative="1">
      <w:start w:val="1"/>
      <w:numFmt w:val="bullet"/>
      <w:lvlText w:val="o"/>
      <w:lvlJc w:val="left"/>
      <w:pPr>
        <w:ind w:left="2421" w:hanging="360"/>
      </w:pPr>
      <w:rPr>
        <w:rFonts w:ascii="Courier New" w:hAnsi="Courier New" w:cs="Courier New" w:hint="default"/>
      </w:rPr>
    </w:lvl>
    <w:lvl w:ilvl="2" w:tplc="18090005" w:tentative="1">
      <w:start w:val="1"/>
      <w:numFmt w:val="bullet"/>
      <w:lvlText w:val=""/>
      <w:lvlJc w:val="left"/>
      <w:pPr>
        <w:ind w:left="3141" w:hanging="360"/>
      </w:pPr>
      <w:rPr>
        <w:rFonts w:ascii="Wingdings" w:hAnsi="Wingdings" w:hint="default"/>
      </w:rPr>
    </w:lvl>
    <w:lvl w:ilvl="3" w:tplc="18090001" w:tentative="1">
      <w:start w:val="1"/>
      <w:numFmt w:val="bullet"/>
      <w:lvlText w:val=""/>
      <w:lvlJc w:val="left"/>
      <w:pPr>
        <w:ind w:left="3861" w:hanging="360"/>
      </w:pPr>
      <w:rPr>
        <w:rFonts w:ascii="Symbol" w:hAnsi="Symbol" w:hint="default"/>
      </w:rPr>
    </w:lvl>
    <w:lvl w:ilvl="4" w:tplc="18090003" w:tentative="1">
      <w:start w:val="1"/>
      <w:numFmt w:val="bullet"/>
      <w:lvlText w:val="o"/>
      <w:lvlJc w:val="left"/>
      <w:pPr>
        <w:ind w:left="4581" w:hanging="360"/>
      </w:pPr>
      <w:rPr>
        <w:rFonts w:ascii="Courier New" w:hAnsi="Courier New" w:cs="Courier New" w:hint="default"/>
      </w:rPr>
    </w:lvl>
    <w:lvl w:ilvl="5" w:tplc="18090005" w:tentative="1">
      <w:start w:val="1"/>
      <w:numFmt w:val="bullet"/>
      <w:lvlText w:val=""/>
      <w:lvlJc w:val="left"/>
      <w:pPr>
        <w:ind w:left="5301" w:hanging="360"/>
      </w:pPr>
      <w:rPr>
        <w:rFonts w:ascii="Wingdings" w:hAnsi="Wingdings" w:hint="default"/>
      </w:rPr>
    </w:lvl>
    <w:lvl w:ilvl="6" w:tplc="18090001" w:tentative="1">
      <w:start w:val="1"/>
      <w:numFmt w:val="bullet"/>
      <w:lvlText w:val=""/>
      <w:lvlJc w:val="left"/>
      <w:pPr>
        <w:ind w:left="6021" w:hanging="360"/>
      </w:pPr>
      <w:rPr>
        <w:rFonts w:ascii="Symbol" w:hAnsi="Symbol" w:hint="default"/>
      </w:rPr>
    </w:lvl>
    <w:lvl w:ilvl="7" w:tplc="18090003" w:tentative="1">
      <w:start w:val="1"/>
      <w:numFmt w:val="bullet"/>
      <w:lvlText w:val="o"/>
      <w:lvlJc w:val="left"/>
      <w:pPr>
        <w:ind w:left="6741" w:hanging="360"/>
      </w:pPr>
      <w:rPr>
        <w:rFonts w:ascii="Courier New" w:hAnsi="Courier New" w:cs="Courier New" w:hint="default"/>
      </w:rPr>
    </w:lvl>
    <w:lvl w:ilvl="8" w:tplc="18090005" w:tentative="1">
      <w:start w:val="1"/>
      <w:numFmt w:val="bullet"/>
      <w:lvlText w:val=""/>
      <w:lvlJc w:val="left"/>
      <w:pPr>
        <w:ind w:left="7461" w:hanging="360"/>
      </w:pPr>
      <w:rPr>
        <w:rFonts w:ascii="Wingdings" w:hAnsi="Wingdings" w:hint="default"/>
      </w:rPr>
    </w:lvl>
  </w:abstractNum>
  <w:abstractNum w:abstractNumId="38">
    <w:nsid w:val="404252F3"/>
    <w:multiLevelType w:val="hybridMultilevel"/>
    <w:tmpl w:val="1C3A5360"/>
    <w:lvl w:ilvl="0" w:tplc="080C0017">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9">
    <w:nsid w:val="404901F2"/>
    <w:multiLevelType w:val="hybridMultilevel"/>
    <w:tmpl w:val="6C9E4908"/>
    <w:lvl w:ilvl="0" w:tplc="1809000F">
      <w:start w:val="1"/>
      <w:numFmt w:val="decimal"/>
      <w:lvlText w:val="%1."/>
      <w:lvlJc w:val="left"/>
      <w:pPr>
        <w:ind w:left="360" w:hanging="360"/>
      </w:p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40">
    <w:nsid w:val="40A365C1"/>
    <w:multiLevelType w:val="hybridMultilevel"/>
    <w:tmpl w:val="F74CC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40B34F57"/>
    <w:multiLevelType w:val="hybridMultilevel"/>
    <w:tmpl w:val="05C83E7A"/>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42">
    <w:nsid w:val="41B04176"/>
    <w:multiLevelType w:val="hybridMultilevel"/>
    <w:tmpl w:val="038675F2"/>
    <w:lvl w:ilvl="0" w:tplc="BD6A10FA">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43">
    <w:nsid w:val="42BD7C28"/>
    <w:multiLevelType w:val="hybridMultilevel"/>
    <w:tmpl w:val="97343F2A"/>
    <w:lvl w:ilvl="0" w:tplc="0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4">
    <w:nsid w:val="43264764"/>
    <w:multiLevelType w:val="hybridMultilevel"/>
    <w:tmpl w:val="F98C2FBC"/>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45">
    <w:nsid w:val="449F42B8"/>
    <w:multiLevelType w:val="hybridMultilevel"/>
    <w:tmpl w:val="038675F2"/>
    <w:lvl w:ilvl="0" w:tplc="BD6A10FA">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46">
    <w:nsid w:val="45854605"/>
    <w:multiLevelType w:val="hybridMultilevel"/>
    <w:tmpl w:val="D0A4DC18"/>
    <w:lvl w:ilvl="0" w:tplc="01EC09CE">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7">
    <w:nsid w:val="47D60EE1"/>
    <w:multiLevelType w:val="hybridMultilevel"/>
    <w:tmpl w:val="8DB6F242"/>
    <w:lvl w:ilvl="0" w:tplc="6624D914">
      <w:start w:val="2"/>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48">
    <w:nsid w:val="48DB37CB"/>
    <w:multiLevelType w:val="hybridMultilevel"/>
    <w:tmpl w:val="4138628A"/>
    <w:lvl w:ilvl="0" w:tplc="E17AA06A">
      <w:start w:val="1"/>
      <w:numFmt w:val="decimal"/>
      <w:lvlText w:val="%1."/>
      <w:lvlJc w:val="left"/>
      <w:pPr>
        <w:ind w:left="1004"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9">
    <w:nsid w:val="48E01007"/>
    <w:multiLevelType w:val="hybridMultilevel"/>
    <w:tmpl w:val="032A9C56"/>
    <w:lvl w:ilvl="0" w:tplc="080C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0">
    <w:nsid w:val="4B02629F"/>
    <w:multiLevelType w:val="hybridMultilevel"/>
    <w:tmpl w:val="670EE5B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1">
    <w:nsid w:val="4BF820A5"/>
    <w:multiLevelType w:val="hybridMultilevel"/>
    <w:tmpl w:val="044AE9F6"/>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52">
    <w:nsid w:val="4D2258EE"/>
    <w:multiLevelType w:val="hybridMultilevel"/>
    <w:tmpl w:val="C78E2092"/>
    <w:lvl w:ilvl="0" w:tplc="1809000F">
      <w:start w:val="1"/>
      <w:numFmt w:val="decimal"/>
      <w:lvlText w:val="%1."/>
      <w:lvlJc w:val="left"/>
      <w:pPr>
        <w:ind w:left="1004" w:hanging="360"/>
      </w:p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53">
    <w:nsid w:val="52572799"/>
    <w:multiLevelType w:val="hybridMultilevel"/>
    <w:tmpl w:val="94227D74"/>
    <w:lvl w:ilvl="0" w:tplc="01EC09CE">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54">
    <w:nsid w:val="551140C3"/>
    <w:multiLevelType w:val="hybridMultilevel"/>
    <w:tmpl w:val="519081A6"/>
    <w:lvl w:ilvl="0" w:tplc="0809000D">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5">
    <w:nsid w:val="552E0638"/>
    <w:multiLevelType w:val="hybridMultilevel"/>
    <w:tmpl w:val="6F9ABF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5AE55089"/>
    <w:multiLevelType w:val="hybridMultilevel"/>
    <w:tmpl w:val="C66CCF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5BA05A64"/>
    <w:multiLevelType w:val="hybridMultilevel"/>
    <w:tmpl w:val="F6D4A79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8">
    <w:nsid w:val="5DB81C2E"/>
    <w:multiLevelType w:val="hybridMultilevel"/>
    <w:tmpl w:val="74681CFA"/>
    <w:lvl w:ilvl="0" w:tplc="58C6F6EE">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59">
    <w:nsid w:val="5DC46676"/>
    <w:multiLevelType w:val="hybridMultilevel"/>
    <w:tmpl w:val="073AABC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0">
    <w:nsid w:val="5E0645D0"/>
    <w:multiLevelType w:val="hybridMultilevel"/>
    <w:tmpl w:val="DCD0D572"/>
    <w:lvl w:ilvl="0" w:tplc="3788D696">
      <w:start w:val="1"/>
      <w:numFmt w:val="lowerLetter"/>
      <w:lvlText w:val="%1)"/>
      <w:lvlJc w:val="left"/>
      <w:pPr>
        <w:ind w:left="36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1">
    <w:nsid w:val="5F301099"/>
    <w:multiLevelType w:val="hybridMultilevel"/>
    <w:tmpl w:val="BE5A099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2">
    <w:nsid w:val="600456AE"/>
    <w:multiLevelType w:val="hybridMultilevel"/>
    <w:tmpl w:val="EC143BC4"/>
    <w:lvl w:ilvl="0" w:tplc="572220D2">
      <w:start w:val="1"/>
      <w:numFmt w:val="lowerLetter"/>
      <w:lvlText w:val="%1)"/>
      <w:lvlJc w:val="left"/>
      <w:pPr>
        <w:ind w:left="720" w:hanging="360"/>
      </w:pPr>
      <w:rPr>
        <w:rFonts w:ascii="Times New Roman" w:eastAsia="MS Mincho" w:hAnsi="Times New Roman" w:cstheme="minorBidi"/>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3">
    <w:nsid w:val="602375C5"/>
    <w:multiLevelType w:val="hybridMultilevel"/>
    <w:tmpl w:val="AC5CF6F2"/>
    <w:lvl w:ilvl="0" w:tplc="BBDA48CA">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4">
    <w:nsid w:val="62023E3A"/>
    <w:multiLevelType w:val="hybridMultilevel"/>
    <w:tmpl w:val="154A3DF0"/>
    <w:lvl w:ilvl="0" w:tplc="CB9CD5EE">
      <w:start w:val="1"/>
      <w:numFmt w:val="lowerLetter"/>
      <w:lvlText w:val="%1)"/>
      <w:lvlJc w:val="left"/>
      <w:pPr>
        <w:ind w:left="36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5">
    <w:nsid w:val="62884E69"/>
    <w:multiLevelType w:val="hybridMultilevel"/>
    <w:tmpl w:val="B2D8AF0A"/>
    <w:lvl w:ilvl="0" w:tplc="7A1E643C">
      <w:start w:val="1"/>
      <w:numFmt w:val="decimal"/>
      <w:lvlText w:val="%1."/>
      <w:lvlJc w:val="left"/>
      <w:pPr>
        <w:ind w:left="1004"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6">
    <w:nsid w:val="62FE0834"/>
    <w:multiLevelType w:val="hybridMultilevel"/>
    <w:tmpl w:val="A5785CB8"/>
    <w:lvl w:ilvl="0" w:tplc="708E89BE">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67">
    <w:nsid w:val="64247FB4"/>
    <w:multiLevelType w:val="hybridMultilevel"/>
    <w:tmpl w:val="C6CAB8B2"/>
    <w:lvl w:ilvl="0" w:tplc="01EC09C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nsid w:val="65900898"/>
    <w:multiLevelType w:val="hybridMultilevel"/>
    <w:tmpl w:val="E0FCDF4E"/>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69">
    <w:nsid w:val="65AE0F4C"/>
    <w:multiLevelType w:val="hybridMultilevel"/>
    <w:tmpl w:val="370AE3C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0">
    <w:nsid w:val="67E7564C"/>
    <w:multiLevelType w:val="hybridMultilevel"/>
    <w:tmpl w:val="F0768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nsid w:val="6ABE3832"/>
    <w:multiLevelType w:val="hybridMultilevel"/>
    <w:tmpl w:val="0FA6950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2">
    <w:nsid w:val="6C7D5596"/>
    <w:multiLevelType w:val="hybridMultilevel"/>
    <w:tmpl w:val="4ABC6AFA"/>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73">
    <w:nsid w:val="6E0A4F56"/>
    <w:multiLevelType w:val="hybridMultilevel"/>
    <w:tmpl w:val="A92CA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E661850"/>
    <w:multiLevelType w:val="hybridMultilevel"/>
    <w:tmpl w:val="0EA06534"/>
    <w:lvl w:ilvl="0" w:tplc="18090017">
      <w:start w:val="1"/>
      <w:numFmt w:val="lowerLetter"/>
      <w:lvlText w:val="%1)"/>
      <w:lvlJc w:val="left"/>
      <w:pPr>
        <w:ind w:left="360" w:hanging="360"/>
      </w:p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75">
    <w:nsid w:val="6FD47AD7"/>
    <w:multiLevelType w:val="hybridMultilevel"/>
    <w:tmpl w:val="1A48BB4A"/>
    <w:lvl w:ilvl="0" w:tplc="AD54248A">
      <w:start w:val="1"/>
      <w:numFmt w:val="lowerLetter"/>
      <w:lvlText w:val="%1)"/>
      <w:lvlJc w:val="left"/>
      <w:pPr>
        <w:ind w:left="360" w:hanging="360"/>
      </w:pPr>
      <w:rPr>
        <w:rFonts w:ascii="Times New Roman" w:hAnsi="Times New Roman" w:hint="default"/>
        <w:b w:val="0"/>
        <w:i w:val="0"/>
        <w:sz w:val="19"/>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76">
    <w:nsid w:val="74554005"/>
    <w:multiLevelType w:val="hybridMultilevel"/>
    <w:tmpl w:val="9BA23EC2"/>
    <w:lvl w:ilvl="0" w:tplc="AE6CE842">
      <w:start w:val="1"/>
      <w:numFmt w:val="decimal"/>
      <w:lvlText w:val="%1."/>
      <w:lvlJc w:val="left"/>
      <w:pPr>
        <w:ind w:left="1004"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7">
    <w:nsid w:val="74D973F1"/>
    <w:multiLevelType w:val="hybridMultilevel"/>
    <w:tmpl w:val="55D8D53C"/>
    <w:lvl w:ilvl="0" w:tplc="AACCF756">
      <w:start w:val="1"/>
      <w:numFmt w:val="upperRoman"/>
      <w:lvlText w:val="%1."/>
      <w:lvlJc w:val="left"/>
      <w:pPr>
        <w:ind w:left="1080" w:hanging="720"/>
      </w:pPr>
      <w:rPr>
        <w:rFonts w:cstheme="minorBidi"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8">
    <w:nsid w:val="74E00D76"/>
    <w:multiLevelType w:val="hybridMultilevel"/>
    <w:tmpl w:val="1352A5D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9">
    <w:nsid w:val="772359D3"/>
    <w:multiLevelType w:val="hybridMultilevel"/>
    <w:tmpl w:val="805850C6"/>
    <w:lvl w:ilvl="0" w:tplc="0809000B">
      <w:start w:val="1"/>
      <w:numFmt w:val="bullet"/>
      <w:lvlText w:val=""/>
      <w:lvlJc w:val="left"/>
      <w:pPr>
        <w:ind w:left="776" w:hanging="360"/>
      </w:pPr>
      <w:rPr>
        <w:rFonts w:ascii="Wingdings" w:hAnsi="Wingdings"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80">
    <w:nsid w:val="783309DB"/>
    <w:multiLevelType w:val="hybridMultilevel"/>
    <w:tmpl w:val="A8D6CD5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1">
    <w:nsid w:val="7C093513"/>
    <w:multiLevelType w:val="hybridMultilevel"/>
    <w:tmpl w:val="C34CD352"/>
    <w:lvl w:ilvl="0" w:tplc="080C0001">
      <w:start w:val="1"/>
      <w:numFmt w:val="bullet"/>
      <w:lvlText w:val=""/>
      <w:lvlJc w:val="left"/>
      <w:pPr>
        <w:ind w:left="720" w:hanging="360"/>
      </w:pPr>
      <w:rPr>
        <w:rFonts w:ascii="Symbol" w:hAnsi="Symbol"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2">
    <w:nsid w:val="7C7851C6"/>
    <w:multiLevelType w:val="hybridMultilevel"/>
    <w:tmpl w:val="AD16ABA2"/>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83">
    <w:nsid w:val="7D9F1F10"/>
    <w:multiLevelType w:val="hybridMultilevel"/>
    <w:tmpl w:val="D95631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nsid w:val="7F472B74"/>
    <w:multiLevelType w:val="hybridMultilevel"/>
    <w:tmpl w:val="87FC4158"/>
    <w:lvl w:ilvl="0" w:tplc="1E6A1EA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FA11929"/>
    <w:multiLevelType w:val="hybridMultilevel"/>
    <w:tmpl w:val="CEE0EBAC"/>
    <w:lvl w:ilvl="0" w:tplc="1438E9F6">
      <w:start w:val="1"/>
      <w:numFmt w:val="lowerLetter"/>
      <w:lvlText w:val="%1)"/>
      <w:lvlJc w:val="left"/>
      <w:pPr>
        <w:ind w:left="36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6">
    <w:nsid w:val="7FA77C53"/>
    <w:multiLevelType w:val="hybridMultilevel"/>
    <w:tmpl w:val="A2C4AEBE"/>
    <w:lvl w:ilvl="0" w:tplc="08090003">
      <w:start w:val="1"/>
      <w:numFmt w:val="bullet"/>
      <w:lvlText w:val="o"/>
      <w:lvlJc w:val="left"/>
      <w:pPr>
        <w:ind w:left="1004" w:hanging="360"/>
      </w:pPr>
      <w:rPr>
        <w:rFonts w:ascii="Courier New" w:hAnsi="Courier New" w:cs="Courier New"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num w:numId="1">
    <w:abstractNumId w:val="33"/>
  </w:num>
  <w:num w:numId="2">
    <w:abstractNumId w:val="56"/>
  </w:num>
  <w:num w:numId="3">
    <w:abstractNumId w:val="6"/>
  </w:num>
  <w:num w:numId="4">
    <w:abstractNumId w:val="72"/>
  </w:num>
  <w:num w:numId="5">
    <w:abstractNumId w:val="42"/>
  </w:num>
  <w:num w:numId="6">
    <w:abstractNumId w:val="66"/>
  </w:num>
  <w:num w:numId="7">
    <w:abstractNumId w:val="24"/>
  </w:num>
  <w:num w:numId="8">
    <w:abstractNumId w:val="74"/>
  </w:num>
  <w:num w:numId="9">
    <w:abstractNumId w:val="15"/>
  </w:num>
  <w:num w:numId="10">
    <w:abstractNumId w:val="58"/>
  </w:num>
  <w:num w:numId="11">
    <w:abstractNumId w:val="16"/>
  </w:num>
  <w:num w:numId="12">
    <w:abstractNumId w:val="37"/>
  </w:num>
  <w:num w:numId="13">
    <w:abstractNumId w:val="40"/>
  </w:num>
  <w:num w:numId="14">
    <w:abstractNumId w:val="25"/>
  </w:num>
  <w:num w:numId="15">
    <w:abstractNumId w:val="73"/>
  </w:num>
  <w:num w:numId="16">
    <w:abstractNumId w:val="77"/>
  </w:num>
  <w:num w:numId="17">
    <w:abstractNumId w:val="64"/>
  </w:num>
  <w:num w:numId="18">
    <w:abstractNumId w:val="75"/>
  </w:num>
  <w:num w:numId="19">
    <w:abstractNumId w:val="85"/>
  </w:num>
  <w:num w:numId="20">
    <w:abstractNumId w:val="60"/>
  </w:num>
  <w:num w:numId="21">
    <w:abstractNumId w:val="79"/>
  </w:num>
  <w:num w:numId="22">
    <w:abstractNumId w:val="44"/>
  </w:num>
  <w:num w:numId="23">
    <w:abstractNumId w:val="20"/>
  </w:num>
  <w:num w:numId="24">
    <w:abstractNumId w:val="51"/>
  </w:num>
  <w:num w:numId="25">
    <w:abstractNumId w:val="17"/>
  </w:num>
  <w:num w:numId="26">
    <w:abstractNumId w:val="45"/>
  </w:num>
  <w:num w:numId="27">
    <w:abstractNumId w:val="41"/>
  </w:num>
  <w:num w:numId="28">
    <w:abstractNumId w:val="55"/>
  </w:num>
  <w:num w:numId="29">
    <w:abstractNumId w:val="34"/>
  </w:num>
  <w:num w:numId="30">
    <w:abstractNumId w:val="53"/>
  </w:num>
  <w:num w:numId="31">
    <w:abstractNumId w:val="10"/>
  </w:num>
  <w:num w:numId="32">
    <w:abstractNumId w:val="83"/>
  </w:num>
  <w:num w:numId="33">
    <w:abstractNumId w:val="14"/>
  </w:num>
  <w:num w:numId="34">
    <w:abstractNumId w:val="86"/>
  </w:num>
  <w:num w:numId="35">
    <w:abstractNumId w:val="22"/>
  </w:num>
  <w:num w:numId="36">
    <w:abstractNumId w:val="11"/>
  </w:num>
  <w:num w:numId="37">
    <w:abstractNumId w:val="67"/>
  </w:num>
  <w:num w:numId="38">
    <w:abstractNumId w:val="27"/>
  </w:num>
  <w:num w:numId="39">
    <w:abstractNumId w:val="46"/>
  </w:num>
  <w:num w:numId="40">
    <w:abstractNumId w:val="54"/>
  </w:num>
  <w:num w:numId="41">
    <w:abstractNumId w:val="23"/>
  </w:num>
  <w:num w:numId="42">
    <w:abstractNumId w:val="43"/>
  </w:num>
  <w:num w:numId="43">
    <w:abstractNumId w:val="21"/>
  </w:num>
  <w:num w:numId="44">
    <w:abstractNumId w:val="62"/>
  </w:num>
  <w:num w:numId="45">
    <w:abstractNumId w:val="52"/>
  </w:num>
  <w:num w:numId="46">
    <w:abstractNumId w:val="48"/>
  </w:num>
  <w:num w:numId="47">
    <w:abstractNumId w:val="65"/>
  </w:num>
  <w:num w:numId="48">
    <w:abstractNumId w:val="76"/>
  </w:num>
  <w:num w:numId="49">
    <w:abstractNumId w:val="36"/>
  </w:num>
  <w:num w:numId="50">
    <w:abstractNumId w:val="19"/>
  </w:num>
  <w:num w:numId="51">
    <w:abstractNumId w:val="1"/>
  </w:num>
  <w:num w:numId="52">
    <w:abstractNumId w:val="7"/>
  </w:num>
  <w:num w:numId="53">
    <w:abstractNumId w:val="8"/>
  </w:num>
  <w:num w:numId="54">
    <w:abstractNumId w:val="12"/>
  </w:num>
  <w:num w:numId="55">
    <w:abstractNumId w:val="63"/>
  </w:num>
  <w:num w:numId="56">
    <w:abstractNumId w:val="26"/>
  </w:num>
  <w:num w:numId="57">
    <w:abstractNumId w:val="39"/>
  </w:num>
  <w:num w:numId="58">
    <w:abstractNumId w:val="13"/>
  </w:num>
  <w:num w:numId="59">
    <w:abstractNumId w:val="0"/>
  </w:num>
  <w:num w:numId="60">
    <w:abstractNumId w:val="18"/>
  </w:num>
  <w:num w:numId="61">
    <w:abstractNumId w:val="30"/>
  </w:num>
  <w:num w:numId="62">
    <w:abstractNumId w:val="68"/>
  </w:num>
  <w:num w:numId="63">
    <w:abstractNumId w:val="57"/>
  </w:num>
  <w:num w:numId="64">
    <w:abstractNumId w:val="59"/>
  </w:num>
  <w:num w:numId="65">
    <w:abstractNumId w:val="28"/>
  </w:num>
  <w:num w:numId="66">
    <w:abstractNumId w:val="80"/>
  </w:num>
  <w:num w:numId="67">
    <w:abstractNumId w:val="31"/>
  </w:num>
  <w:num w:numId="68">
    <w:abstractNumId w:val="4"/>
  </w:num>
  <w:num w:numId="69">
    <w:abstractNumId w:val="71"/>
  </w:num>
  <w:num w:numId="70">
    <w:abstractNumId w:val="82"/>
  </w:num>
  <w:num w:numId="71">
    <w:abstractNumId w:val="9"/>
  </w:num>
  <w:num w:numId="72">
    <w:abstractNumId w:val="50"/>
  </w:num>
  <w:num w:numId="73">
    <w:abstractNumId w:val="3"/>
  </w:num>
  <w:num w:numId="74">
    <w:abstractNumId w:val="61"/>
  </w:num>
  <w:num w:numId="75">
    <w:abstractNumId w:val="78"/>
  </w:num>
  <w:num w:numId="76">
    <w:abstractNumId w:val="69"/>
  </w:num>
  <w:num w:numId="77">
    <w:abstractNumId w:val="35"/>
  </w:num>
  <w:num w:numId="78">
    <w:abstractNumId w:val="5"/>
  </w:num>
  <w:num w:numId="79">
    <w:abstractNumId w:val="84"/>
  </w:num>
  <w:num w:numId="80">
    <w:abstractNumId w:val="70"/>
  </w:num>
  <w:num w:numId="81">
    <w:abstractNumId w:val="32"/>
  </w:num>
  <w:num w:numId="82">
    <w:abstractNumId w:val="81"/>
  </w:num>
  <w:num w:numId="83">
    <w:abstractNumId w:val="38"/>
  </w:num>
  <w:num w:numId="84">
    <w:abstractNumId w:val="29"/>
  </w:num>
  <w:num w:numId="85">
    <w:abstractNumId w:val="49"/>
  </w:num>
  <w:num w:numId="86">
    <w:abstractNumId w:val="47"/>
  </w:num>
  <w:num w:numId="87">
    <w:abstractNumId w:val="2"/>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pt-PT"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en-IE" w:vendorID="64" w:dllVersion="131078" w:nlCheck="1" w:checkStyle="1"/>
  <w:revisionView w:markup="0"/>
  <w:defaultTabStop w:val="720"/>
  <w:hyphenationZone w:val="425"/>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Status" w:val="Green"/>
    <w:docVar w:name="LW_CORRIGENDUM" w:val="&lt;UNUSED&gt;"/>
    <w:docVar w:name="LW_COVERPAGE_EXISTS" w:val="True"/>
    <w:docVar w:name="LW_COVERPAGE_GUID" w:val="EA4E1B16-53BC-4816-9944-E5C8E479E164"/>
    <w:docVar w:name="LW_COVERPAGE_TYPE" w:val="1"/>
    <w:docVar w:name="LW_CROSSREFERENCE" w:val="{SWD(2020) 530 final}"/>
    <w:docVar w:name="LW_DocType" w:val="NORMAL"/>
    <w:docVar w:name="LW_EMISSION" w:val="2020 10 07"/>
    <w:docVar w:name="LW_EMISSION_ISODATE" w:val="2020-10-07"/>
    <w:docVar w:name="LW_EMISSION_LOCATION" w:val="BRX"/>
    <w:docVar w:name="LW_EMISSION_PREFIX" w:val="Briuselis, "/>
    <w:docVar w:name="LW_EMISSION_SUFFIX" w:val=" "/>
    <w:docVar w:name="LW_ID_DOCTYPE_NONLW" w:val="CP-012"/>
    <w:docVar w:name="LW_LANGUE" w:val="LT"/>
    <w:docVar w:name="LW_LEVEL_OF_SENSITIVITY" w:val="Standard treatment"/>
    <w:docVar w:name="LW_NOM.INST" w:val="EUROPOS KOMISIJA"/>
    <w:docVar w:name="LW_NOM.INST_JOINTDOC" w:val="&lt;EMPTY&gt;"/>
    <w:docVar w:name="LW_PART_NBR" w:val="1"/>
    <w:docVar w:name="LW_PART_NBR_TOTAL" w:val="1"/>
    <w:docVar w:name="LW_REF.INST.NEW" w:val="COM"/>
    <w:docVar w:name="LW_REF.INST.NEW_ADOPTED" w:val="final"/>
    <w:docVar w:name="LW_REF.INST.NEW_TEXT" w:val="(2020) 620"/>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 xsi:nil=&quot;true&quot; /&gt;_x000d__x000a_  &lt;limited xsi:nil=&quot;true&quot; /&gt;_x000d__x000a_  &lt;detached xsi:nil=&quot;true&quot; /&gt;_x000d__x000a_  &lt;declassify xsi:nil=&quot;true&quot; /&gt;_x000d__x000a_  &lt;headerTexts xsi:nil=&quot;true&quot; /&gt;_x000d__x000a_  &lt;footerTexts xsi:nil=&quot;true&quot; /&gt;_x000d__x000a_  &lt;footnote xsi:nil=&quot;true&quot; /&gt;_x000d__x000a_  &lt;isRestricted&gt;false&lt;/isRestricted&gt;_x000d__x000a_&lt;/SensitivityLevel&gt;"/>
    <w:docVar w:name="LW_SUPERTITRE" w:val="&lt;UNUSED&gt;"/>
    <w:docVar w:name="LW_TITRE.OBJ.CP" w:val="&lt;FMT:Bold&gt;Lygyb\u279?s s\u261?junga. &lt;/FMT&gt;_x000d__x000d__x000d__x000d__x000d__x000d__x000d__x000d__x000b_&lt;FMT:Bold&gt;ES rom\u371? lygyb\u279?s, \u303?traukties ir dalyvavimo strateginis planas&lt;/FMT&gt;"/>
    <w:docVar w:name="LW_TYPE.DOC.CP" w:val="KOMISIJOS KOMUNIKATAS EUROPOS PARLAMENTUI IR TARYBAI"/>
    <w:docVar w:name="LW_TYPE.DOC.CP.USERTEXT" w:val="&lt;EMPTY&gt;"/>
    <w:docVar w:name="Stamp" w:val="\\dossiers.dgt.cec.eu.int\dossiers\JUST\JUST-2020-03278\JUST-2020-03278-00-00-EN-EDT-00.202007070939270366446.DOCX"/>
  </w:docVar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customStyle="1" w:styleId="FooterSensitivityChar">
    <w:name w:val="Footer Sensitivity Char"/>
    <w:basedOn w:val="DefaultParagraphFont"/>
    <w:link w:val="FooterSensitivity"/>
    <w:rPr>
      <w:rFonts w:ascii="Times New Roman" w:hAnsi="Times New Roman" w:cs="Times New Roman"/>
      <w:b/>
      <w:sz w:val="32"/>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character" w:customStyle="1" w:styleId="HeaderSensitivityChar">
    <w:name w:val="Header Sensitivity Char"/>
    <w:basedOn w:val="DefaultParagraphFont"/>
    <w:link w:val="HeaderSensitivity"/>
    <w:rPr>
      <w:rFonts w:ascii="Times New Roman" w:hAnsi="Times New Roman" w:cs="Times New Roman"/>
      <w:b/>
      <w:sz w:val="32"/>
    </w:rPr>
  </w:style>
  <w:style w:type="paragraph" w:customStyle="1" w:styleId="HeaderSensitivityRight">
    <w:name w:val="Header Sensitivity Right"/>
    <w:basedOn w:val="Normal"/>
    <w:link w:val="HeaderSensitivityRightChar"/>
    <w:pPr>
      <w:spacing w:after="120" w:line="240" w:lineRule="auto"/>
      <w:jc w:val="right"/>
    </w:pPr>
    <w:rPr>
      <w:rFonts w:ascii="Times New Roman" w:hAnsi="Times New Roman" w:cs="Times New Roman"/>
      <w:sz w:val="28"/>
    </w:rPr>
  </w:style>
  <w:style w:type="character" w:customStyle="1" w:styleId="HeaderSensitivityRightChar">
    <w:name w:val="Header Sensitivity Right Char"/>
    <w:basedOn w:val="DefaultParagraphFont"/>
    <w:link w:val="HeaderSensitivityRight"/>
    <w:rPr>
      <w:rFonts w:ascii="Times New Roman" w:hAnsi="Times New Roman" w:cs="Times New Roman"/>
      <w:sz w:val="28"/>
    </w:rPr>
  </w:style>
  <w:style w:type="paragraph" w:styleId="ListParagraph">
    <w:name w:val="List Paragraph"/>
    <w:aliases w:val="1st level - Bullet List Paragraph,List Paragraph1,Lettre d'introduction,Paragrafo elenco,Medium Grid 1 - Accent 21,Fiche List Paragraph,body,Odsek zoznamu2,Odsek zoznamu1,3,Bullet 1,Bullet Points,Colorful List - Accent 11,Dot pt,2"/>
    <w:basedOn w:val="Normal"/>
    <w:link w:val="ListParagraphChar"/>
    <w:uiPriority w:val="34"/>
    <w:qFormat/>
    <w:pPr>
      <w:spacing w:after="120" w:line="259" w:lineRule="auto"/>
      <w:ind w:left="720"/>
      <w:contextualSpacing/>
      <w:jc w:val="both"/>
    </w:pPr>
    <w:rPr>
      <w:rFonts w:ascii="Verdana" w:eastAsia="Times New Roman" w:hAnsi="Verdana" w:cs="Times New Roman"/>
      <w:sz w:val="20"/>
      <w:szCs w:val="20"/>
      <w:lang w:eastAsia="en-GB"/>
    </w:rPr>
  </w:style>
  <w:style w:type="character" w:styleId="FootnoteReference">
    <w:name w:val="footnote reference"/>
    <w:aliases w:val="Footnote Reference Superscript,Footnote Reference/,Footnote symbol,Odwołanie przypisu,Times 10 Point,Exposant 3 Point,footnote ref, Exposant 3 Point,EN Footnote Reference,number,SUPERS,ftref,Footnote reference number,Ref,B2,BVI fnr"/>
    <w:basedOn w:val="DefaultParagraphFont"/>
    <w:uiPriority w:val="99"/>
    <w:qFormat/>
    <w:rPr>
      <w:vertAlign w:val="superscript"/>
    </w:rPr>
  </w:style>
  <w:style w:type="paragraph" w:customStyle="1" w:styleId="footnotetext1">
    <w:name w:val="footnote text1"/>
    <w:aliases w:val="footnote text,Fußnote,fn,Footnotes,Footnote ak,ft,Footnote Text_EP-LC"/>
    <w:basedOn w:val="Normal"/>
    <w:uiPriority w:val="99"/>
    <w:unhideWhenUsed/>
    <w:qFormat/>
    <w:pPr>
      <w:spacing w:after="0" w:line="240" w:lineRule="auto"/>
    </w:pPr>
    <w:rPr>
      <w:sz w:val="20"/>
      <w:szCs w:val="20"/>
    </w:rPr>
  </w:style>
  <w:style w:type="character" w:styleId="Hyperlink">
    <w:name w:val="Hyperlink"/>
    <w:basedOn w:val="DefaultParagraphFont"/>
    <w:uiPriority w:val="99"/>
    <w:unhideWhenUsed/>
    <w:rPr>
      <w:color w:val="0000FF" w:themeColor="hyperlink"/>
      <w:u w:val="single"/>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after="160"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Revision">
    <w:name w:val="Revision"/>
    <w:hidden/>
    <w:uiPriority w:val="99"/>
    <w:semiHidden/>
    <w:pPr>
      <w:spacing w:after="0" w:line="240" w:lineRule="auto"/>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pPr>
      <w:spacing w:before="240" w:after="240" w:line="264" w:lineRule="auto"/>
      <w:ind w:left="340" w:hanging="340"/>
      <w:contextualSpacing/>
      <w:jc w:val="both"/>
    </w:pPr>
    <w:rPr>
      <w:rFonts w:ascii="Candara" w:eastAsia="Candara" w:hAnsi="Candara" w:cs="Times New Roman"/>
      <w:szCs w:val="20"/>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gmail-msolistparagraph">
    <w:name w:val="gmail-msolistparagraph"/>
    <w:basedOn w:val="Normal"/>
    <w:pPr>
      <w:spacing w:before="100" w:beforeAutospacing="1" w:after="100" w:afterAutospacing="1" w:line="240" w:lineRule="auto"/>
    </w:pPr>
    <w:rPr>
      <w:rFonts w:ascii="Times New Roman" w:hAnsi="Times New Roman" w:cs="Times New Roman"/>
      <w:sz w:val="24"/>
      <w:szCs w:val="24"/>
      <w:lang w:eastAsia="en-IE"/>
    </w:rPr>
  </w:style>
  <w:style w:type="character" w:styleId="FollowedHyperlink">
    <w:name w:val="FollowedHyperlink"/>
    <w:basedOn w:val="DefaultParagraphFont"/>
    <w:uiPriority w:val="99"/>
    <w:semiHidden/>
    <w:unhideWhenUsed/>
    <w:rPr>
      <w:color w:val="800080" w:themeColor="followedHyperlink"/>
      <w:u w:val="single"/>
    </w:rPr>
  </w:style>
  <w:style w:type="table" w:customStyle="1" w:styleId="TableGrid1">
    <w:name w:val="Table Grid1"/>
    <w:basedOn w:val="TableNormal"/>
    <w:next w:val="TableGrid"/>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1st level - Bullet List Paragraph Char,List Paragraph1 Char,Lettre d'introduction Char,Paragrafo elenco Char,Medium Grid 1 - Accent 21 Char,Fiche List Paragraph Char,body Char,Odsek zoznamu2 Char,Odsek zoznamu1 Char,3 Char,2 Char"/>
    <w:link w:val="ListParagraph"/>
    <w:uiPriority w:val="34"/>
    <w:qFormat/>
    <w:locked/>
    <w:rPr>
      <w:rFonts w:ascii="Verdana" w:eastAsia="Times New Roman" w:hAnsi="Verdana" w:cs="Times New Roman"/>
      <w:sz w:val="20"/>
      <w:szCs w:val="20"/>
      <w:lang w:eastAsia="en-GB"/>
    </w:rPr>
  </w:style>
  <w:style w:type="paragraph" w:styleId="PlainText">
    <w:name w:val="Plain Text"/>
    <w:basedOn w:val="Normal"/>
    <w:link w:val="PlainTextChar"/>
    <w:uiPriority w:val="99"/>
    <w:unhideWhenUsed/>
    <w:pPr>
      <w:spacing w:after="0" w:line="240" w:lineRule="auto"/>
    </w:pPr>
    <w:rPr>
      <w:rFonts w:ascii="Calibri" w:hAnsi="Calibri"/>
      <w:szCs w:val="21"/>
    </w:rPr>
  </w:style>
  <w:style w:type="character" w:customStyle="1" w:styleId="PlainTextChar">
    <w:name w:val="Plain Text Char"/>
    <w:basedOn w:val="DefaultParagraphFont"/>
    <w:link w:val="PlainText"/>
    <w:uiPriority w:val="99"/>
    <w:rPr>
      <w:rFonts w:ascii="Calibri" w:hAnsi="Calibri"/>
      <w:szCs w:val="21"/>
      <w:lang w:val="lt-LT"/>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customStyle="1" w:styleId="FooterSensitivityChar">
    <w:name w:val="Footer Sensitivity Char"/>
    <w:basedOn w:val="DefaultParagraphFont"/>
    <w:link w:val="FooterSensitivity"/>
    <w:rPr>
      <w:rFonts w:ascii="Times New Roman" w:hAnsi="Times New Roman" w:cs="Times New Roman"/>
      <w:b/>
      <w:sz w:val="32"/>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character" w:customStyle="1" w:styleId="HeaderSensitivityChar">
    <w:name w:val="Header Sensitivity Char"/>
    <w:basedOn w:val="DefaultParagraphFont"/>
    <w:link w:val="HeaderSensitivity"/>
    <w:rPr>
      <w:rFonts w:ascii="Times New Roman" w:hAnsi="Times New Roman" w:cs="Times New Roman"/>
      <w:b/>
      <w:sz w:val="32"/>
    </w:rPr>
  </w:style>
  <w:style w:type="paragraph" w:customStyle="1" w:styleId="HeaderSensitivityRight">
    <w:name w:val="Header Sensitivity Right"/>
    <w:basedOn w:val="Normal"/>
    <w:link w:val="HeaderSensitivityRightChar"/>
    <w:pPr>
      <w:spacing w:after="120" w:line="240" w:lineRule="auto"/>
      <w:jc w:val="right"/>
    </w:pPr>
    <w:rPr>
      <w:rFonts w:ascii="Times New Roman" w:hAnsi="Times New Roman" w:cs="Times New Roman"/>
      <w:sz w:val="28"/>
    </w:rPr>
  </w:style>
  <w:style w:type="character" w:customStyle="1" w:styleId="HeaderSensitivityRightChar">
    <w:name w:val="Header Sensitivity Right Char"/>
    <w:basedOn w:val="DefaultParagraphFont"/>
    <w:link w:val="HeaderSensitivityRight"/>
    <w:rPr>
      <w:rFonts w:ascii="Times New Roman" w:hAnsi="Times New Roman" w:cs="Times New Roman"/>
      <w:sz w:val="28"/>
    </w:rPr>
  </w:style>
  <w:style w:type="paragraph" w:styleId="ListParagraph">
    <w:name w:val="List Paragraph"/>
    <w:aliases w:val="1st level - Bullet List Paragraph,List Paragraph1,Lettre d'introduction,Paragrafo elenco,Medium Grid 1 - Accent 21,Fiche List Paragraph,body,Odsek zoznamu2,Odsek zoznamu1,3,Bullet 1,Bullet Points,Colorful List - Accent 11,Dot pt,2"/>
    <w:basedOn w:val="Normal"/>
    <w:link w:val="ListParagraphChar"/>
    <w:uiPriority w:val="34"/>
    <w:qFormat/>
    <w:pPr>
      <w:spacing w:after="120" w:line="259" w:lineRule="auto"/>
      <w:ind w:left="720"/>
      <w:contextualSpacing/>
      <w:jc w:val="both"/>
    </w:pPr>
    <w:rPr>
      <w:rFonts w:ascii="Verdana" w:eastAsia="Times New Roman" w:hAnsi="Verdana" w:cs="Times New Roman"/>
      <w:sz w:val="20"/>
      <w:szCs w:val="20"/>
      <w:lang w:eastAsia="en-GB"/>
    </w:rPr>
  </w:style>
  <w:style w:type="character" w:styleId="FootnoteReference">
    <w:name w:val="footnote reference"/>
    <w:aliases w:val="Footnote Reference Superscript,Footnote Reference/,Footnote symbol,Odwołanie przypisu,Times 10 Point,Exposant 3 Point,footnote ref, Exposant 3 Point,EN Footnote Reference,number,SUPERS,ftref,Footnote reference number,Ref,B2,BVI fnr"/>
    <w:basedOn w:val="DefaultParagraphFont"/>
    <w:uiPriority w:val="99"/>
    <w:qFormat/>
    <w:rPr>
      <w:vertAlign w:val="superscript"/>
    </w:rPr>
  </w:style>
  <w:style w:type="paragraph" w:customStyle="1" w:styleId="footnotetext1">
    <w:name w:val="footnote text1"/>
    <w:aliases w:val="footnote text,Fußnote,fn,Footnotes,Footnote ak,ft,Footnote Text_EP-LC"/>
    <w:basedOn w:val="Normal"/>
    <w:uiPriority w:val="99"/>
    <w:unhideWhenUsed/>
    <w:qFormat/>
    <w:pPr>
      <w:spacing w:after="0" w:line="240" w:lineRule="auto"/>
    </w:pPr>
    <w:rPr>
      <w:sz w:val="20"/>
      <w:szCs w:val="20"/>
    </w:rPr>
  </w:style>
  <w:style w:type="character" w:styleId="Hyperlink">
    <w:name w:val="Hyperlink"/>
    <w:basedOn w:val="DefaultParagraphFont"/>
    <w:uiPriority w:val="99"/>
    <w:unhideWhenUsed/>
    <w:rPr>
      <w:color w:val="0000FF" w:themeColor="hyperlink"/>
      <w:u w:val="single"/>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after="160"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Revision">
    <w:name w:val="Revision"/>
    <w:hidden/>
    <w:uiPriority w:val="99"/>
    <w:semiHidden/>
    <w:pPr>
      <w:spacing w:after="0" w:line="240" w:lineRule="auto"/>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pPr>
      <w:spacing w:before="240" w:after="240" w:line="264" w:lineRule="auto"/>
      <w:ind w:left="340" w:hanging="340"/>
      <w:contextualSpacing/>
      <w:jc w:val="both"/>
    </w:pPr>
    <w:rPr>
      <w:rFonts w:ascii="Candara" w:eastAsia="Candara" w:hAnsi="Candara" w:cs="Times New Roman"/>
      <w:szCs w:val="20"/>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gmail-msolistparagraph">
    <w:name w:val="gmail-msolistparagraph"/>
    <w:basedOn w:val="Normal"/>
    <w:pPr>
      <w:spacing w:before="100" w:beforeAutospacing="1" w:after="100" w:afterAutospacing="1" w:line="240" w:lineRule="auto"/>
    </w:pPr>
    <w:rPr>
      <w:rFonts w:ascii="Times New Roman" w:hAnsi="Times New Roman" w:cs="Times New Roman"/>
      <w:sz w:val="24"/>
      <w:szCs w:val="24"/>
      <w:lang w:eastAsia="en-IE"/>
    </w:rPr>
  </w:style>
  <w:style w:type="character" w:styleId="FollowedHyperlink">
    <w:name w:val="FollowedHyperlink"/>
    <w:basedOn w:val="DefaultParagraphFont"/>
    <w:uiPriority w:val="99"/>
    <w:semiHidden/>
    <w:unhideWhenUsed/>
    <w:rPr>
      <w:color w:val="800080" w:themeColor="followedHyperlink"/>
      <w:u w:val="single"/>
    </w:rPr>
  </w:style>
  <w:style w:type="table" w:customStyle="1" w:styleId="TableGrid1">
    <w:name w:val="Table Grid1"/>
    <w:basedOn w:val="TableNormal"/>
    <w:next w:val="TableGrid"/>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1st level - Bullet List Paragraph Char,List Paragraph1 Char,Lettre d'introduction Char,Paragrafo elenco Char,Medium Grid 1 - Accent 21 Char,Fiche List Paragraph Char,body Char,Odsek zoznamu2 Char,Odsek zoznamu1 Char,3 Char,2 Char"/>
    <w:link w:val="ListParagraph"/>
    <w:uiPriority w:val="34"/>
    <w:qFormat/>
    <w:locked/>
    <w:rPr>
      <w:rFonts w:ascii="Verdana" w:eastAsia="Times New Roman" w:hAnsi="Verdana" w:cs="Times New Roman"/>
      <w:sz w:val="20"/>
      <w:szCs w:val="20"/>
      <w:lang w:eastAsia="en-GB"/>
    </w:rPr>
  </w:style>
  <w:style w:type="paragraph" w:styleId="PlainText">
    <w:name w:val="Plain Text"/>
    <w:basedOn w:val="Normal"/>
    <w:link w:val="PlainTextChar"/>
    <w:uiPriority w:val="99"/>
    <w:unhideWhenUsed/>
    <w:pPr>
      <w:spacing w:after="0" w:line="240" w:lineRule="auto"/>
    </w:pPr>
    <w:rPr>
      <w:rFonts w:ascii="Calibri" w:hAnsi="Calibri"/>
      <w:szCs w:val="21"/>
    </w:rPr>
  </w:style>
  <w:style w:type="character" w:customStyle="1" w:styleId="PlainTextChar">
    <w:name w:val="Plain Text Char"/>
    <w:basedOn w:val="DefaultParagraphFont"/>
    <w:link w:val="PlainText"/>
    <w:uiPriority w:val="99"/>
    <w:rPr>
      <w:rFonts w:ascii="Calibri" w:hAnsi="Calibri"/>
      <w:szCs w:val="21"/>
      <w:lang w:val="lt-LT"/>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852194">
      <w:bodyDiv w:val="1"/>
      <w:marLeft w:val="0"/>
      <w:marRight w:val="0"/>
      <w:marTop w:val="0"/>
      <w:marBottom w:val="0"/>
      <w:divBdr>
        <w:top w:val="none" w:sz="0" w:space="0" w:color="auto"/>
        <w:left w:val="none" w:sz="0" w:space="0" w:color="auto"/>
        <w:bottom w:val="none" w:sz="0" w:space="0" w:color="auto"/>
        <w:right w:val="none" w:sz="0" w:space="0" w:color="auto"/>
      </w:divBdr>
    </w:div>
    <w:div w:id="1160386247">
      <w:bodyDiv w:val="1"/>
      <w:marLeft w:val="0"/>
      <w:marRight w:val="0"/>
      <w:marTop w:val="0"/>
      <w:marBottom w:val="0"/>
      <w:divBdr>
        <w:top w:val="none" w:sz="0" w:space="0" w:color="auto"/>
        <w:left w:val="none" w:sz="0" w:space="0" w:color="auto"/>
        <w:bottom w:val="none" w:sz="0" w:space="0" w:color="auto"/>
        <w:right w:val="none" w:sz="0" w:space="0" w:color="auto"/>
      </w:divBdr>
    </w:div>
    <w:div w:id="1866022208">
      <w:bodyDiv w:val="1"/>
      <w:marLeft w:val="0"/>
      <w:marRight w:val="0"/>
      <w:marTop w:val="0"/>
      <w:marBottom w:val="0"/>
      <w:divBdr>
        <w:top w:val="none" w:sz="0" w:space="0" w:color="auto"/>
        <w:left w:val="none" w:sz="0" w:space="0" w:color="auto"/>
        <w:bottom w:val="none" w:sz="0" w:space="0" w:color="auto"/>
        <w:right w:val="none" w:sz="0" w:space="0" w:color="auto"/>
      </w:divBdr>
    </w:div>
    <w:div w:id="1930191195">
      <w:bodyDiv w:val="1"/>
      <w:marLeft w:val="0"/>
      <w:marRight w:val="0"/>
      <w:marTop w:val="0"/>
      <w:marBottom w:val="0"/>
      <w:divBdr>
        <w:top w:val="none" w:sz="0" w:space="0" w:color="auto"/>
        <w:left w:val="none" w:sz="0" w:space="0" w:color="auto"/>
        <w:bottom w:val="none" w:sz="0" w:space="0" w:color="auto"/>
        <w:right w:val="none" w:sz="0" w:space="0" w:color="auto"/>
      </w:divBdr>
    </w:div>
    <w:div w:id="1951427629">
      <w:bodyDiv w:val="1"/>
      <w:marLeft w:val="0"/>
      <w:marRight w:val="0"/>
      <w:marTop w:val="0"/>
      <w:marBottom w:val="0"/>
      <w:divBdr>
        <w:top w:val="none" w:sz="0" w:space="0" w:color="auto"/>
        <w:left w:val="none" w:sz="0" w:space="0" w:color="auto"/>
        <w:bottom w:val="none" w:sz="0" w:space="0" w:color="auto"/>
        <w:right w:val="none" w:sz="0" w:space="0" w:color="auto"/>
      </w:divBdr>
    </w:div>
    <w:div w:id="1993755799">
      <w:bodyDiv w:val="1"/>
      <w:marLeft w:val="0"/>
      <w:marRight w:val="0"/>
      <w:marTop w:val="0"/>
      <w:marBottom w:val="0"/>
      <w:divBdr>
        <w:top w:val="none" w:sz="0" w:space="0" w:color="auto"/>
        <w:left w:val="none" w:sz="0" w:space="0" w:color="auto"/>
        <w:bottom w:val="none" w:sz="0" w:space="0" w:color="auto"/>
        <w:right w:val="none" w:sz="0" w:space="0" w:color="auto"/>
      </w:divBdr>
      <w:divsChild>
        <w:div w:id="965043187">
          <w:marLeft w:val="0"/>
          <w:marRight w:val="0"/>
          <w:marTop w:val="0"/>
          <w:marBottom w:val="0"/>
          <w:divBdr>
            <w:top w:val="none" w:sz="0" w:space="0" w:color="auto"/>
            <w:left w:val="none" w:sz="0" w:space="0" w:color="auto"/>
            <w:bottom w:val="none" w:sz="0" w:space="0" w:color="auto"/>
            <w:right w:val="none" w:sz="0" w:space="0" w:color="auto"/>
          </w:divBdr>
          <w:divsChild>
            <w:div w:id="675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31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s://cps.ceu.edu/roma-civil-monitor"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footer" Target="footer6.xml"/></Relationships>
</file>

<file path=word/_rels/footnotes.xml.rels><?xml version='1.0' encoding='UTF-8' standalone='yes'?>
<Relationships xmlns="http://schemas.openxmlformats.org/package/2006/relationships"><Relationship Id="rId13" Type="http://schemas.openxmlformats.org/officeDocument/2006/relationships/hyperlink" Target="https://eur-lex.europa.eu/legal-content/LT/TXT/?uri=CELEX:52011DC0173" TargetMode="External"/><Relationship Id="rId18" Type="http://schemas.openxmlformats.org/officeDocument/2006/relationships/hyperlink" Target="https://eur-lex.europa.eu/legal-content/LT/TXT/?uri=CELEX:32000L0043" TargetMode="External"/><Relationship Id="rId26" Type="http://schemas.openxmlformats.org/officeDocument/2006/relationships/hyperlink" Target="https://ec.europa.eu/info/policies/justice-and-fundamental-rights/combatting-discrimination/roma-and-eu/roma-integration-eu/workshop-future-policies-roma_en" TargetMode="External"/><Relationship Id="rId39" Type="http://schemas.openxmlformats.org/officeDocument/2006/relationships/hyperlink" Target="https://eur-lex.europa.eu/legal-content/LT/TXT/?uri=COM:2018:375:FIN" TargetMode="External"/><Relationship Id="rId21" Type="http://schemas.openxmlformats.org/officeDocument/2006/relationships/hyperlink" Target="https://ec.europa.eu/info/policies/justice-and-fundamental-rights/combatting-discrimination/roma-and-eu/roma-integration-eu_en" TargetMode="External"/><Relationship Id="rId34" Type="http://schemas.openxmlformats.org/officeDocument/2006/relationships/hyperlink" Target="https://op.europa.eu/en/publication-detail/-/publication/7573706d-e7c4-4ece-ae59-2b361246a7b0" TargetMode="External"/><Relationship Id="rId42" Type="http://schemas.openxmlformats.org/officeDocument/2006/relationships/hyperlink" Target="https://ec.europa.eu/info/policies/justice-and-fundamental-rights/combatting-discrimination/roma-and-eu/preparing-post-2020-initiative-roma-equality-and-inclusion_en" TargetMode="External"/><Relationship Id="rId47" Type="http://schemas.openxmlformats.org/officeDocument/2006/relationships/hyperlink" Target="https://eur-lex.europa.eu/legal-content/LT/TXT/?uri=CELEX:32008F0913" TargetMode="External"/><Relationship Id="rId50" Type="http://schemas.openxmlformats.org/officeDocument/2006/relationships/hyperlink" Target="https://equineteurope.org/2020/equality-for-roma-and-travellers-time-to-deliver/" TargetMode="External"/><Relationship Id="rId55" Type="http://schemas.openxmlformats.org/officeDocument/2006/relationships/hyperlink" Target="https://ec.europa.eu/info/sites/info/files/law/2_en_act_part1_v10.pdf" TargetMode="External"/><Relationship Id="rId63" Type="http://schemas.openxmlformats.org/officeDocument/2006/relationships/hyperlink" Target="https://ec.europa.eu/newsroom/just/item-detail.cfm?item_id=30548" TargetMode="External"/><Relationship Id="rId68" Type="http://schemas.openxmlformats.org/officeDocument/2006/relationships/hyperlink" Target="file:///C:\Users\huszddo\AppData\Local\Packages\Microsoft.MicrosoftEdge_8wekyb3d8bbwe\TempState\Downloads\2019-06-roma-deklaracija-b%20(1).pdf" TargetMode="External"/><Relationship Id="rId7" Type="http://schemas.openxmlformats.org/officeDocument/2006/relationships/hyperlink" Target="https://ec.europa.eu/info/policies/justice-and-fundamental-rights/combatting-discrimination/roma-and-eu/roma-integration-eu_en" TargetMode="External"/><Relationship Id="rId71" Type="http://schemas.openxmlformats.org/officeDocument/2006/relationships/hyperlink" Target="https://ec.europa.eu/anti-trafficking/eu-policy/joint-staff-working-document-gender-equality-and-womens-empowerment-transforming-lives_en" TargetMode="External"/><Relationship Id="rId2" Type="http://schemas.openxmlformats.org/officeDocument/2006/relationships/hyperlink" Target="http://rm.coe.int/CoERMPublicCommonSearchServices/DisplayDCTMContent?documentId=0900001680088ea9" TargetMode="External"/><Relationship Id="rId16" Type="http://schemas.openxmlformats.org/officeDocument/2006/relationships/hyperlink" Target="https://eur-lex.europa.eu/search.html?qid=1591611786521&amp;text=SWD(2018)%20480%20final&amp;scope=EURLEX&amp;type=quick&amp;lang=en" TargetMode="External"/><Relationship Id="rId29" Type="http://schemas.openxmlformats.org/officeDocument/2006/relationships/hyperlink" Target="https://www.europarl.europa.eu/doceo/document/TA-8-2019-0075_LT.html" TargetMode="External"/><Relationship Id="rId1" Type="http://schemas.openxmlformats.org/officeDocument/2006/relationships/hyperlink" Target="https://ec.europa.eu/info/sites/info/files/a_union_of_equality_eu_action_plan_against_racism_2020_-2025_lt.pdf" TargetMode="External"/><Relationship Id="rId6" Type="http://schemas.openxmlformats.org/officeDocument/2006/relationships/hyperlink" Target="https://www.europarl.europa.eu/doceo/document/TA-9-2020-0229_LT.html" TargetMode="External"/><Relationship Id="rId11" Type="http://schemas.openxmlformats.org/officeDocument/2006/relationships/hyperlink" Target="https://www.coe.int/en/web/european-commission-against-racism-and-intolerance/recommendation-no.13" TargetMode="External"/><Relationship Id="rId24" Type="http://schemas.openxmlformats.org/officeDocument/2006/relationships/hyperlink" Target="https://www.europarl.europa.eu/doceo/document/B-8-2019-0098_LT.html" TargetMode="External"/><Relationship Id="rId32" Type="http://schemas.openxmlformats.org/officeDocument/2006/relationships/hyperlink" Target="https://coherentsite.files.wordpress.com/2019/05/conference-on-anti-gypsyism-how-to-address-anti-gypsyism-in-a-post-2020-eu-roma-framework-expert-recommendations.pdf" TargetMode="External"/><Relationship Id="rId37" Type="http://schemas.openxmlformats.org/officeDocument/2006/relationships/hyperlink" Target="https://ec.europa.eu/newsroom/just/document.cfm?action=display&amp;doc_id=45791" TargetMode="External"/><Relationship Id="rId40" Type="http://schemas.openxmlformats.org/officeDocument/2006/relationships/hyperlink" Target="http://rm.coe.int/CoERMPublicCommonSearchServices/DisplayDCTMContent?documentId=0900001680088ea9" TargetMode="External"/><Relationship Id="rId45" Type="http://schemas.openxmlformats.org/officeDocument/2006/relationships/hyperlink" Target="https://eur-lex.europa.eu/legal-content/LT/TXT/PDF/?uri=CELEX:12012P/TXT" TargetMode="External"/><Relationship Id="rId53" Type="http://schemas.openxmlformats.org/officeDocument/2006/relationships/hyperlink" Target="https://ec.europa.eu/info/policies/justice-and-fundamental-rights/combatting-discrimination/racism-and-xenophobia/eu-code-conduct-countering-illegal-hate-speech-online_en" TargetMode="External"/><Relationship Id="rId58" Type="http://schemas.openxmlformats.org/officeDocument/2006/relationships/hyperlink" Target="https://ec.europa.eu/commission/sites/beta-political/files/budget-may2018-european-social-fund-plus-regulation_en.pdf" TargetMode="External"/><Relationship Id="rId66" Type="http://schemas.openxmlformats.org/officeDocument/2006/relationships/hyperlink" Target="https://eur-lex.europa.eu/legal-content/LT/ALL/?uri=COM:2020:315:FIN" TargetMode="External"/><Relationship Id="rId5" Type="http://schemas.openxmlformats.org/officeDocument/2006/relationships/hyperlink" Target="https://www.europarl.europa.eu/doceo/document/B-8-2019-0098_LT.html" TargetMode="External"/><Relationship Id="rId15" Type="http://schemas.openxmlformats.org/officeDocument/2006/relationships/hyperlink" Target="https://eur-lex.europa.eu/search.html?qid=1591611750119&amp;text=COM(2018)%20785%20final&amp;scope=EURLEX&amp;type=quick&amp;lang=lt" TargetMode="External"/><Relationship Id="rId23" Type="http://schemas.openxmlformats.org/officeDocument/2006/relationships/hyperlink" Target="https://www.europarl.europa.eu/doceo/document/TA-9-2020-0229_LT.html" TargetMode="External"/><Relationship Id="rId28" Type="http://schemas.openxmlformats.org/officeDocument/2006/relationships/hyperlink" Target="https://www.europarl.europa.eu/doceo/document/TA-9-2020-0229_LT.html" TargetMode="External"/><Relationship Id="rId36" Type="http://schemas.openxmlformats.org/officeDocument/2006/relationships/hyperlink" Target="https://ec.europa.eu/info/sites/info/files/final_guidelines_4-10-18_without_date_july.pdf" TargetMode="External"/><Relationship Id="rId49" Type="http://schemas.openxmlformats.org/officeDocument/2006/relationships/hyperlink" Target="https://equineteurope.org/2020/equality-for-roma-and-travellers-time-to-deliver/" TargetMode="External"/><Relationship Id="rId57" Type="http://schemas.openxmlformats.org/officeDocument/2006/relationships/hyperlink" Target="https://eur-lex.europa.eu/legal-content/LT/TXT/?uri=COM:2018:375:FIN" TargetMode="External"/><Relationship Id="rId61" Type="http://schemas.openxmlformats.org/officeDocument/2006/relationships/hyperlink" Target="https://www.europarl.europa.eu/doceo/document/BUDG-DT-648406_EN.pdf" TargetMode="External"/><Relationship Id="rId10" Type="http://schemas.openxmlformats.org/officeDocument/2006/relationships/hyperlink" Target="http://data.consilium.europa.eu/doc/document/ST-15406-2016-INIT/lt/pdf" TargetMode="External"/><Relationship Id="rId19" Type="http://schemas.openxmlformats.org/officeDocument/2006/relationships/hyperlink" Target="https://eur-lex.europa.eu/search.html?qid=1591613211496&amp;text=COM(2019)%20406&amp;scope=EURLEX&amp;type=quick&amp;lang=lt" TargetMode="External"/><Relationship Id="rId31" Type="http://schemas.openxmlformats.org/officeDocument/2006/relationships/hyperlink" Target="https://data.consilium.europa.eu/doc/document/ST-7003-2019-INIT/en/pdf" TargetMode="External"/><Relationship Id="rId44" Type="http://schemas.openxmlformats.org/officeDocument/2006/relationships/hyperlink" Target="https://eur-lex.europa.eu/legal-content/LT/TXT/?uri=CELEX:12012E/TXT" TargetMode="External"/><Relationship Id="rId52" Type="http://schemas.openxmlformats.org/officeDocument/2006/relationships/hyperlink" Target="https://ec.europa.eu/info/sites/info/files/a_union_of_equality_eu_action_plan_against_racism_2020_-2025_lt.pdf" TargetMode="External"/><Relationship Id="rId60" Type="http://schemas.openxmlformats.org/officeDocument/2006/relationships/hyperlink" Target="https://www.euromanet.eu/" TargetMode="External"/><Relationship Id="rId65" Type="http://schemas.openxmlformats.org/officeDocument/2006/relationships/hyperlink" Target="https://ec.europa.eu/neighbourhood-enlargement/sites/near/files/enlargement-methodology_en.pdf" TargetMode="External"/><Relationship Id="rId4" Type="http://schemas.openxmlformats.org/officeDocument/2006/relationships/hyperlink" Target="https://www.europarl.europa.eu/doceo/document/A-8-2017-0294_LT.html" TargetMode="External"/><Relationship Id="rId9" Type="http://schemas.openxmlformats.org/officeDocument/2006/relationships/hyperlink" Target="https://www.consilium.europa.eu/uedocs/cms_data/docs/pressdata/en/lsa/139979.pdf" TargetMode="External"/><Relationship Id="rId14" Type="http://schemas.openxmlformats.org/officeDocument/2006/relationships/hyperlink" Target="https://eur-lex.europa.eu/legal-content/LT/TXT/PDF/?uri=CELEX:32013H1224(01)&amp;from=en" TargetMode="External"/><Relationship Id="rId22" Type="http://schemas.openxmlformats.org/officeDocument/2006/relationships/hyperlink" Target="https://ec.europa.eu/jrc/en/publication/meta-evaluation-interventions-roma-inclusion" TargetMode="External"/><Relationship Id="rId27" Type="http://schemas.openxmlformats.org/officeDocument/2006/relationships/hyperlink" Target="http://data.consilium.europa.eu/doc/document/ST-15406-2016-INIT/lt/pdf" TargetMode="External"/><Relationship Id="rId30" Type="http://schemas.openxmlformats.org/officeDocument/2006/relationships/hyperlink" Target="https://data.consilium.europa.eu/doc/document/ST-13432-2019-INIT/lt/pdf" TargetMode="External"/><Relationship Id="rId35" Type="http://schemas.openxmlformats.org/officeDocument/2006/relationships/hyperlink" Target="https://ec.europa.eu/newsroom/just/document.cfm?action=display&amp;doc_id=43205" TargetMode="External"/><Relationship Id="rId43" Type="http://schemas.openxmlformats.org/officeDocument/2006/relationships/hyperlink" Target="https://eur-lex.europa.eu/LexUriServ/LexUriServ.do?uri=OJ:C:2008:115:0013:0045:LT:PDF" TargetMode="External"/><Relationship Id="rId48" Type="http://schemas.openxmlformats.org/officeDocument/2006/relationships/hyperlink" Target="https://eur-lex.europa.eu/legal-content/LT/TXT/?uri=celex:32000L0078" TargetMode="External"/><Relationship Id="rId56" Type="http://schemas.openxmlformats.org/officeDocument/2006/relationships/hyperlink" Target="https://ec.europa.eu/info/publications/2019-european-semester-country-reports_en" TargetMode="External"/><Relationship Id="rId64" Type="http://schemas.openxmlformats.org/officeDocument/2006/relationships/hyperlink" Target="https://audiovisual.ec.europa.eu/en/video/I-182046" TargetMode="External"/><Relationship Id="rId69" Type="http://schemas.openxmlformats.org/officeDocument/2006/relationships/hyperlink" Target="https://ec.europa.eu/neighbourhood-enlargement/sites/near/files/com_2020_315_en.pdf" TargetMode="External"/><Relationship Id="rId8" Type="http://schemas.openxmlformats.org/officeDocument/2006/relationships/hyperlink" Target="file:///C:\Users\huszddo\AppData\Local\Packages\Microsoft.MicrosoftEdge_8wekyb3d8bbwe\TempState\Downloads\HLG_Conclusionspaperantigypsyism_finalpdf%20(1).pdf" TargetMode="External"/><Relationship Id="rId51" Type="http://schemas.openxmlformats.org/officeDocument/2006/relationships/hyperlink" Target="https://ec.europa.eu/info/sites/info/files/2_en_act_part1_v4.pdf" TargetMode="External"/><Relationship Id="rId72" Type="http://schemas.openxmlformats.org/officeDocument/2006/relationships/hyperlink" Target="https://data.consilium.europa.eu/doc/document/ST-6337-2019-INIT/lt/pdf" TargetMode="External"/><Relationship Id="rId3" Type="http://schemas.openxmlformats.org/officeDocument/2006/relationships/hyperlink" Target="https://www.europarl.europa.eu/doceo/document/TA-8-2015-0095_LT.html?redirect" TargetMode="External"/><Relationship Id="rId12" Type="http://schemas.openxmlformats.org/officeDocument/2006/relationships/hyperlink" Target="https://www.antigypsyism.eu/?page_id=17" TargetMode="External"/><Relationship Id="rId17" Type="http://schemas.openxmlformats.org/officeDocument/2006/relationships/hyperlink" Target="https://eur-lex.europa.eu/legal-content/LT/TXT/PDF/?uri=CELEX:52018DC0785&amp;qid=1601484422896&amp;from=LT" TargetMode="External"/><Relationship Id="rId25" Type="http://schemas.openxmlformats.org/officeDocument/2006/relationships/hyperlink" Target="https://www.consilium.europa.eu/lt/press/press-releases/2019/10/24/economy-of-wellbeing-the-council-adopts-conclusions/" TargetMode="External"/><Relationship Id="rId33" Type="http://schemas.openxmlformats.org/officeDocument/2006/relationships/hyperlink" Target="https://fra.europa.eu/en/news/2020/roma-working-party-consultations-roma-inclusion-monitoring-framework" TargetMode="External"/><Relationship Id="rId38" Type="http://schemas.openxmlformats.org/officeDocument/2006/relationships/hyperlink" Target="https://op.europa.eu/en/publication-detail/-/publication/7573706d-e7c4-4ece-ae59-2b361246a7b0" TargetMode="External"/><Relationship Id="rId46" Type="http://schemas.openxmlformats.org/officeDocument/2006/relationships/hyperlink" Target="https://eur-lex.europa.eu/legal-content/LT/TXT/?uri=CELEX:32000L0043" TargetMode="External"/><Relationship Id="rId59" Type="http://schemas.openxmlformats.org/officeDocument/2006/relationships/hyperlink" Target="https://eur-lex.europa.eu/legal-content/LT/ALL/?uri=CELEX:52018PC0392" TargetMode="External"/><Relationship Id="rId67" Type="http://schemas.openxmlformats.org/officeDocument/2006/relationships/hyperlink" Target="https://www.consilium.europa.eu/media/43776/zagreb-declaration-en-06052020.pdf" TargetMode="External"/><Relationship Id="rId20" Type="http://schemas.openxmlformats.org/officeDocument/2006/relationships/hyperlink" Target="https://eur-lex.europa.eu/legal-content/FR/TXT/?qid=1575907500935&amp;uri=CELEX:52019SC0320" TargetMode="External"/><Relationship Id="rId41" Type="http://schemas.openxmlformats.org/officeDocument/2006/relationships/hyperlink" Target="https://op.europa.eu/en/publication-detail/-/publication/7573706d-e7c4-4ece-ae59-2b361246a7b0" TargetMode="External"/><Relationship Id="rId54" Type="http://schemas.openxmlformats.org/officeDocument/2006/relationships/hyperlink" Target="https://ec.europa.eu/digital-single-market/en/news/commission-recommendation-measures-effectively-tackle-illegal-content-online" TargetMode="External"/><Relationship Id="rId62" Type="http://schemas.openxmlformats.org/officeDocument/2006/relationships/hyperlink" Target="https://ec.europa.eu/info/policies/justice-and-fundamental-rights/combatting-discrimination/roma-and-eu/european-platform-roma-inclusion_en" TargetMode="External"/><Relationship Id="rId70" Type="http://schemas.openxmlformats.org/officeDocument/2006/relationships/hyperlink" Target="https://ec.europa.eu/transparency/regdoc/rep/10101/2020/EN/JOIN-2020-5-F1-EN-MAIN-PART-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943518-C0B6-4E08-98D7-5DC52D9C1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18</Pages>
  <Words>5712</Words>
  <Characters>40043</Characters>
  <Application>Microsoft Office Word</Application>
  <DocSecurity>0</DocSecurity>
  <Lines>563</Lines>
  <Paragraphs>137</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Manager/>
  <Company/>
  <LinksUpToDate>false</LinksUpToDate>
  <CharactersWithSpaces>45618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19</cp:revision>
  <cp:lastPrinted>2020-10-02T14:30:00Z</cp:lastPrinted>
  <dcterms:created xsi:type="dcterms:W3CDTF">2020-10-06T07:49:00Z</dcterms:created>
  <dcterms:modified xsi:type="dcterms:W3CDTF">2020-10-16T15:53:00Z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vel of sensitivity">
    <vt:lpwstr>Standard treatment</vt:lpwstr>
  </property>
  <property fmtid="{D5CDD505-2E9C-101B-9397-08002B2CF9AE}" pid="3" name="Part">
    <vt:lpwstr>1</vt:lpwstr>
  </property>
  <property fmtid="{D5CDD505-2E9C-101B-9397-08002B2CF9AE}" pid="4" name="Total parts">
    <vt:lpwstr>1</vt:lpwstr>
  </property>
  <property fmtid="{D5CDD505-2E9C-101B-9397-08002B2CF9AE}" pid="5" name="DocStatus">
    <vt:lpwstr>Green</vt:lpwstr>
  </property>
  <property fmtid="{D5CDD505-2E9C-101B-9397-08002B2CF9AE}" pid="6" name="CPTemplateID">
    <vt:lpwstr>CP-012</vt:lpwstr>
  </property>
  <property fmtid="{D5CDD505-2E9C-101B-9397-08002B2CF9AE}" pid="7" name="Last edited using">
    <vt:lpwstr>LW 6.0.1, Build 20180503</vt:lpwstr>
  </property>
  <property fmtid="{D5CDD505-2E9C-101B-9397-08002B2CF9AE}" pid="8" name="Created using">
    <vt:lpwstr>LW 6.0.1, Build 20180503</vt:lpwstr>
  </property>
  <property name="OP_sanitized" fmtid="{D5CDD505-2E9C-101B-9397-08002B2CF9AE}" pid="9">
    <vt:lpwstr>True</vt:lpwstr>
  </property>
</Properties>
</file>