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78B3" w14:textId="09644225" w:rsidR="00EA0CC2" w:rsidRDefault="00EA0CC2" w:rsidP="0034452E">
      <w:pPr>
        <w:tabs>
          <w:tab w:val="left" w:pos="240"/>
          <w:tab w:val="left" w:pos="3092"/>
          <w:tab w:val="center" w:pos="3408"/>
        </w:tabs>
        <w:rPr>
          <w:rFonts w:ascii="Arial" w:hAnsi="Arial"/>
          <w:b/>
          <w:sz w:val="22"/>
          <w:lang w:val="fr-FR"/>
        </w:rPr>
      </w:pPr>
    </w:p>
    <w:p w14:paraId="2485E36E" w14:textId="795A3306" w:rsidR="00EC6F8D" w:rsidRPr="00D5195B" w:rsidRDefault="00EC6F8D" w:rsidP="0034452E">
      <w:pPr>
        <w:tabs>
          <w:tab w:val="left" w:pos="240"/>
          <w:tab w:val="center" w:pos="3408"/>
        </w:tabs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КОНВЕНЦИЯ ОБ ОХРАНЕ </w:t>
      </w:r>
      <w:r w:rsidR="00C54341" w:rsidRPr="0034452E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НЕМАТЕРИАЛЬНОГО КУЛЬТУРНОГО НАСЛЕДИЯ</w:t>
      </w:r>
    </w:p>
    <w:p w14:paraId="3F72B1D3" w14:textId="4BD2B486" w:rsidR="00EC6F8D" w:rsidRPr="00D5195B" w:rsidRDefault="005C792B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ГЕНЕРАЛЬНАЯ АССАМБЛЕЯ ГОСУДАРСТВ</w:t>
      </w:r>
      <w:r w:rsidR="00C54341" w:rsidRPr="0034452E">
        <w:rPr>
          <w:rFonts w:ascii="Arial" w:hAnsi="Arial"/>
          <w:b/>
          <w:sz w:val="22"/>
        </w:rPr>
        <w:t xml:space="preserve"> </w:t>
      </w:r>
      <w:r w:rsidR="00C54341" w:rsidRPr="00C54341">
        <w:rPr>
          <w:rFonts w:ascii="Arial" w:hAnsi="Arial"/>
          <w:b/>
          <w:sz w:val="22"/>
        </w:rPr>
        <w:t>–</w:t>
      </w:r>
      <w:r w:rsidR="00C54341" w:rsidRPr="0034452E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УЧАСТНИКОВ КОНВЕНЦИИ</w:t>
      </w:r>
    </w:p>
    <w:p w14:paraId="2E1CD4B4" w14:textId="1F59B9D4" w:rsidR="00EC6F8D" w:rsidRPr="00D5195B" w:rsidRDefault="005C792B" w:rsidP="001D14F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Десятая сессия</w:t>
      </w:r>
    </w:p>
    <w:p w14:paraId="1FD89575" w14:textId="05D2C62D" w:rsidR="00B2172B" w:rsidRPr="00D5195B" w:rsidRDefault="005C792B" w:rsidP="00B217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Штаб-квартира ЮНЕСКО, зал I</w:t>
      </w:r>
    </w:p>
    <w:p w14:paraId="52EA6D50" w14:textId="415B8D14" w:rsidR="00B2172B" w:rsidRPr="00E2643B" w:rsidRDefault="0054535F" w:rsidP="00B217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11</w:t>
      </w:r>
      <w:r w:rsidR="00C54341" w:rsidRPr="0034452E">
        <w:rPr>
          <w:rFonts w:ascii="Arial" w:hAnsi="Arial"/>
          <w:b/>
          <w:sz w:val="22"/>
        </w:rPr>
        <w:t xml:space="preserve"> – </w:t>
      </w:r>
      <w:r>
        <w:rPr>
          <w:rFonts w:ascii="Arial" w:hAnsi="Arial"/>
          <w:b/>
          <w:sz w:val="22"/>
        </w:rPr>
        <w:t>1</w:t>
      </w:r>
      <w:r w:rsidR="00EA0CC2" w:rsidRPr="0034452E"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</w:rPr>
        <w:t xml:space="preserve"> июня 2024 г</w:t>
      </w:r>
      <w:r w:rsidR="00C54341" w:rsidRPr="0034452E">
        <w:rPr>
          <w:rFonts w:ascii="Arial" w:hAnsi="Arial"/>
          <w:b/>
          <w:sz w:val="22"/>
        </w:rPr>
        <w:t>.</w:t>
      </w:r>
    </w:p>
    <w:p w14:paraId="0365203A" w14:textId="2456AF7D" w:rsidR="00EC6F8D" w:rsidRPr="00D5195B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Пункт 4 предварительной повестки дня</w:t>
      </w:r>
      <w:r>
        <w:rPr>
          <w:rFonts w:ascii="Arial" w:hAnsi="Arial"/>
          <w:b/>
          <w:sz w:val="22"/>
        </w:rPr>
        <w:t>:</w:t>
      </w:r>
    </w:p>
    <w:p w14:paraId="59920478" w14:textId="17B945AE" w:rsidR="004A2875" w:rsidRPr="00D5195B" w:rsidRDefault="000F51D0" w:rsidP="004A2875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</w:rPr>
        <w:t>Распределение мест в Комитете по электоральным группам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D5195B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70401506" w:rsidR="00EC6F8D" w:rsidRPr="00D5195B" w:rsidRDefault="00C54341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4341">
              <w:rPr>
                <w:rFonts w:ascii="Arial" w:hAnsi="Arial"/>
                <w:b/>
                <w:sz w:val="22"/>
              </w:rPr>
              <w:t>Содержание</w:t>
            </w:r>
          </w:p>
          <w:p w14:paraId="1718000D" w14:textId="099D1BFF" w:rsidR="007D6A3D" w:rsidRPr="00E2643B" w:rsidRDefault="00885120" w:rsidP="007D6A3D">
            <w:pPr>
              <w:pStyle w:val="Sansinterligne1"/>
              <w:jc w:val="both"/>
              <w:rPr>
                <w:rFonts w:ascii="Arial" w:hAnsi="Arial"/>
                <w:sz w:val="22"/>
              </w:rPr>
            </w:pPr>
            <w:bookmarkStart w:id="0" w:name="_Hlk157680459"/>
            <w:r>
              <w:rPr>
                <w:rFonts w:ascii="Arial" w:hAnsi="Arial"/>
                <w:sz w:val="22"/>
              </w:rPr>
              <w:t xml:space="preserve">В соответствии со статьей 35.2 Правил процедуры Генеральной ассамблеи государств-участников Конвенции двадцать четыре места в Комитете распределяются между </w:t>
            </w:r>
            <w:r w:rsidR="007D6A3D" w:rsidRPr="0034452E">
              <w:rPr>
                <w:rFonts w:ascii="Arial" w:hAnsi="Arial" w:cs="Arial"/>
                <w:bCs/>
                <w:sz w:val="22"/>
                <w:szCs w:val="22"/>
              </w:rPr>
              <w:t>избирательными</w:t>
            </w:r>
            <w:r>
              <w:rPr>
                <w:rFonts w:ascii="Arial" w:hAnsi="Arial"/>
                <w:sz w:val="22"/>
              </w:rPr>
              <w:t xml:space="preserve"> группами пропорционально числу государств</w:t>
            </w:r>
            <w:r w:rsidR="001C443F" w:rsidRPr="0034452E">
              <w:rPr>
                <w:rFonts w:ascii="Arial" w:hAnsi="Arial"/>
                <w:sz w:val="22"/>
              </w:rPr>
              <w:t xml:space="preserve"> </w:t>
            </w:r>
            <w:r w:rsidR="001C443F" w:rsidRPr="001C443F">
              <w:rPr>
                <w:rFonts w:ascii="Arial" w:hAnsi="Arial"/>
                <w:sz w:val="22"/>
              </w:rPr>
              <w:t>–</w:t>
            </w:r>
            <w:r w:rsidR="001C443F" w:rsidRPr="0034452E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участников </w:t>
            </w:r>
            <w:r w:rsidR="007D6A3D" w:rsidRPr="0034452E">
              <w:rPr>
                <w:rFonts w:ascii="Arial" w:hAnsi="Arial" w:cs="Arial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sz w:val="22"/>
              </w:rPr>
              <w:t xml:space="preserve"> каждой </w:t>
            </w:r>
            <w:r w:rsidR="007D6A3D" w:rsidRPr="007D6A3D">
              <w:rPr>
                <w:rFonts w:ascii="Arial" w:hAnsi="Arial"/>
                <w:sz w:val="22"/>
              </w:rPr>
              <w:t>избирательной</w:t>
            </w:r>
            <w:r w:rsidR="007D6A3D" w:rsidRPr="0034452E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группы</w:t>
            </w:r>
            <w:r w:rsidR="001C443F" w:rsidRPr="0034452E">
              <w:rPr>
                <w:rFonts w:ascii="Arial" w:hAnsi="Arial"/>
                <w:sz w:val="22"/>
              </w:rPr>
              <w:t xml:space="preserve">, </w:t>
            </w:r>
            <w:r>
              <w:rPr>
                <w:rFonts w:ascii="Arial" w:hAnsi="Arial"/>
                <w:sz w:val="22"/>
              </w:rPr>
              <w:t xml:space="preserve">при </w:t>
            </w:r>
            <w:r w:rsidR="001C443F" w:rsidRPr="001C443F">
              <w:rPr>
                <w:rFonts w:ascii="Arial" w:hAnsi="Arial"/>
                <w:sz w:val="22"/>
              </w:rPr>
              <w:t>том понимании</w:t>
            </w:r>
            <w:r>
              <w:rPr>
                <w:rFonts w:ascii="Arial" w:hAnsi="Arial"/>
                <w:sz w:val="22"/>
              </w:rPr>
              <w:t xml:space="preserve">, что </w:t>
            </w:r>
            <w:r w:rsidR="001C443F" w:rsidRPr="001C443F">
              <w:rPr>
                <w:rFonts w:ascii="Arial" w:hAnsi="Arial"/>
                <w:sz w:val="22"/>
              </w:rPr>
              <w:t xml:space="preserve">в результате </w:t>
            </w:r>
            <w:r>
              <w:rPr>
                <w:rFonts w:ascii="Arial" w:hAnsi="Arial"/>
                <w:sz w:val="22"/>
              </w:rPr>
              <w:t>такого распределения каждой групп</w:t>
            </w:r>
            <w:r w:rsidR="001C443F" w:rsidRPr="001C443F">
              <w:rPr>
                <w:rFonts w:ascii="Arial" w:hAnsi="Arial"/>
                <w:sz w:val="22"/>
              </w:rPr>
              <w:t>е</w:t>
            </w:r>
            <w:r>
              <w:rPr>
                <w:rFonts w:ascii="Arial" w:hAnsi="Arial"/>
                <w:sz w:val="22"/>
              </w:rPr>
              <w:t xml:space="preserve"> </w:t>
            </w:r>
            <w:r w:rsidR="001C443F" w:rsidRPr="001C443F">
              <w:rPr>
                <w:rFonts w:ascii="Arial" w:hAnsi="Arial"/>
                <w:sz w:val="22"/>
              </w:rPr>
              <w:t xml:space="preserve">предоставляется </w:t>
            </w:r>
            <w:r>
              <w:rPr>
                <w:rFonts w:ascii="Arial" w:hAnsi="Arial"/>
                <w:sz w:val="22"/>
              </w:rPr>
              <w:t>не менее трех мест</w:t>
            </w:r>
            <w:bookmarkEnd w:id="0"/>
            <w:r>
              <w:rPr>
                <w:rFonts w:ascii="Arial" w:hAnsi="Arial"/>
                <w:sz w:val="22"/>
              </w:rPr>
              <w:t>.</w:t>
            </w:r>
          </w:p>
          <w:p w14:paraId="290310E8" w14:textId="406F2EF5" w:rsidR="00EC6F8D" w:rsidRPr="00D5195B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Требуемое решение:</w:t>
            </w:r>
            <w:r>
              <w:rPr>
                <w:rFonts w:ascii="Arial" w:hAnsi="Arial"/>
                <w:sz w:val="22"/>
              </w:rPr>
              <w:t xml:space="preserve"> параграф 5</w:t>
            </w:r>
          </w:p>
        </w:tc>
      </w:tr>
    </w:tbl>
    <w:p w14:paraId="6085F1CA" w14:textId="77777777" w:rsidR="00A32FB2" w:rsidRPr="00D5195B" w:rsidRDefault="00A32FB2">
      <w:pPr>
        <w:rPr>
          <w:rFonts w:ascii="Arial" w:hAnsi="Arial" w:cs="Arial"/>
          <w:snapToGrid w:val="0"/>
          <w:sz w:val="22"/>
          <w:szCs w:val="22"/>
        </w:rPr>
      </w:pPr>
      <w:r>
        <w:br w:type="page"/>
      </w:r>
    </w:p>
    <w:p w14:paraId="36F42F63" w14:textId="5796F18B" w:rsidR="00AA42EC" w:rsidRPr="00D5195B" w:rsidRDefault="008E4DBF" w:rsidP="00B4411E">
      <w:pPr>
        <w:pStyle w:val="COMPara"/>
        <w:ind w:left="567" w:hanging="567"/>
        <w:jc w:val="both"/>
      </w:pPr>
      <w:r>
        <w:lastRenderedPageBreak/>
        <w:t>Статья 6 Конвенции 2003 г. содержит общие положения, описывающие выборы и сроки полномочий государств-членов Комитета. В соответствии с Правилами процедуры Генеральной ассамблеи выборы членов Комитета проводятся на основе электоральных групп ЮНЕСКО (статья 35.1), а двадцать четыре места в Комитете распределяются между электоральными группами пропорционально числу государств-участников от каждой электоральной группы при условии, что после такого распределения за каждой группой будет закреплено не менее трех мест (статья 35.2).</w:t>
      </w:r>
    </w:p>
    <w:p w14:paraId="7B01C639" w14:textId="47AD2A18" w:rsidR="00AA42EC" w:rsidRPr="00D5195B" w:rsidRDefault="00AA42EC" w:rsidP="00B4411E">
      <w:pPr>
        <w:pStyle w:val="COMPara"/>
        <w:ind w:left="567" w:hanging="567"/>
        <w:jc w:val="both"/>
      </w:pPr>
      <w:r>
        <w:t xml:space="preserve">По состоянию на </w:t>
      </w:r>
      <w:r w:rsidR="00840A87">
        <w:t>1</w:t>
      </w:r>
      <w:r w:rsidR="00840A87" w:rsidRPr="0034452E">
        <w:t>1</w:t>
      </w:r>
      <w:r w:rsidR="00840A87">
        <w:t xml:space="preserve"> </w:t>
      </w:r>
      <w:r>
        <w:t>марта 2024 г</w:t>
      </w:r>
      <w:r w:rsidR="00E2643B" w:rsidRPr="0034452E">
        <w:t>.</w:t>
      </w:r>
      <w:r>
        <w:t xml:space="preserve"> следующие 183 государства подали свои соответствующие документы о ратификации, принятии, утверждении или присоединении и, следовательно, в соответствии со статьей 34 Конвенции, будут являться государствами-участникам</w:t>
      </w:r>
      <w:r w:rsidRPr="0034452E">
        <w:t>и Конвенции на дату выборов членов Комитета 1</w:t>
      </w:r>
      <w:r w:rsidR="00840A87" w:rsidRPr="0034452E">
        <w:t>1</w:t>
      </w:r>
      <w:r w:rsidR="00105369">
        <w:rPr>
          <w:lang w:val="fr-FR"/>
        </w:rPr>
        <w:t> </w:t>
      </w:r>
      <w:r w:rsidRPr="0034452E">
        <w:t>июня 2024 года.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526"/>
      </w:tblGrid>
      <w:tr w:rsidR="009B4E8E" w:rsidRPr="00A24530" w14:paraId="28EADCA0" w14:textId="77777777" w:rsidTr="00884A8C">
        <w:tc>
          <w:tcPr>
            <w:tcW w:w="852" w:type="pct"/>
            <w:tcBorders>
              <w:bottom w:val="single" w:sz="4" w:space="0" w:color="auto"/>
            </w:tcBorders>
            <w:shd w:val="clear" w:color="auto" w:fill="F3F3F3"/>
          </w:tcPr>
          <w:p w14:paraId="09BC351F" w14:textId="35E7B76E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Группа I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(24 государства)</w:t>
            </w:r>
          </w:p>
        </w:tc>
        <w:tc>
          <w:tcPr>
            <w:tcW w:w="4148" w:type="pct"/>
          </w:tcPr>
          <w:p w14:paraId="144EAA60" w14:textId="759AC873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Австрия, Андорра, Бельгия, Германия, Греция, Дания, Ирландия, Исландия, Испания, Италия, Кипр, Люксембург, Мальта, Монако, Нидерланды, Норвегия, Португалия, Сан-Марино, Соединенное Королевство Великобритании и Северной Ирландии, Турция, Финляндия, Франция, Швейцария, Швеция</w:t>
            </w:r>
          </w:p>
        </w:tc>
      </w:tr>
      <w:tr w:rsidR="009B4E8E" w:rsidRPr="00A24530" w14:paraId="61F5A0EA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51E9EFF" w14:textId="77777777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Группа II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(24 государства)</w:t>
            </w:r>
          </w:p>
        </w:tc>
        <w:tc>
          <w:tcPr>
            <w:tcW w:w="4148" w:type="pct"/>
          </w:tcPr>
          <w:p w14:paraId="12C6714F" w14:textId="77777777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Азербайджан, Албания, Армения, Беларусь, Болгария, Босния и Герцеговина, Венгрия, Грузия, Латвия, Литва, Польша, Республика Молдова, Румыния, Северная Македония, Сербия, Словакия, Словения, Таджикистан, Узбекистан, Украина, Хорватия, Черногория, Чехия, Эстония</w:t>
            </w:r>
          </w:p>
        </w:tc>
      </w:tr>
      <w:tr w:rsidR="009B4E8E" w:rsidRPr="00A24530" w14:paraId="00EC11D8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72B1A35" w14:textId="77777777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Группа III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(32 государства)</w:t>
            </w:r>
          </w:p>
        </w:tc>
        <w:tc>
          <w:tcPr>
            <w:tcW w:w="4148" w:type="pct"/>
          </w:tcPr>
          <w:p w14:paraId="3B993DFE" w14:textId="77777777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>Антигуа и Барбуда, Аргентина, Багамские острова, Барбадос, Белиз, Боливия (Многонациональное Государство), Бразилия, Венесуэла (Боливарианская Республика), Гаити, Гватемала, Гондурас, Гренада, Колумбия, Коста-Рика, Куба, Доминика, Доминиканская Республика, Сальвадор, Мексика, Никарагуа, Панама, Парагвай, Перу, Сент-Китс и Невис, Сент-Люсия, Сент-Винсент и Гренадины, Суринам, Тринидад и Тобаго, Уругвай, Чили, Эквадор, Ямайка</w:t>
            </w:r>
          </w:p>
        </w:tc>
      </w:tr>
      <w:tr w:rsidR="009B4E8E" w:rsidRPr="00A24530" w14:paraId="2E8DFB43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B753367" w14:textId="77777777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Группа IV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(40 государств)</w:t>
            </w:r>
          </w:p>
        </w:tc>
        <w:tc>
          <w:tcPr>
            <w:tcW w:w="4148" w:type="pct"/>
          </w:tcPr>
          <w:p w14:paraId="5A41EF81" w14:textId="697AC609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Афганистан,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Бангладеш</w:t>
            </w:r>
            <w:r>
              <w:rPr>
                <w:rFonts w:ascii="Arial" w:hAnsi="Arial"/>
                <w:snapToGrid w:val="0"/>
                <w:sz w:val="22"/>
              </w:rPr>
              <w:t xml:space="preserve">, Бруней-Даруссалам, Бутан, Вануату, Вьетнам, Индия, Индонезия, Иран (Исламская Республика), Казахстан, Камбоджа, Кирибати, Китай,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Корейская Народно-Демократическая Республика</w:t>
            </w:r>
            <w:r>
              <w:rPr>
                <w:rFonts w:ascii="Arial" w:hAnsi="Arial"/>
                <w:snapToGrid w:val="0"/>
                <w:sz w:val="22"/>
              </w:rPr>
              <w:t xml:space="preserve">, Кыргызстан,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Лаосская Народно-Демократическая Республика, Малайзия, Маршалловы острова, Микронезия (Федеративные Штаты)</w:t>
            </w:r>
            <w:r>
              <w:rPr>
                <w:rFonts w:ascii="Arial" w:hAnsi="Arial"/>
                <w:snapToGrid w:val="0"/>
                <w:sz w:val="22"/>
              </w:rPr>
              <w:t xml:space="preserve">, Монголия, Мьянма, Науру, Непал, Острова Кука, Пакистан, Палау,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Папуа</w:t>
            </w:r>
            <w:r w:rsidR="00105369" w:rsidRPr="00105369">
              <w:rPr>
                <w:rFonts w:ascii="Arial" w:hAnsi="Arial"/>
                <w:snapToGrid w:val="0"/>
                <w:color w:val="000000"/>
                <w:sz w:val="22"/>
              </w:rPr>
              <w:t>-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Новая Гвинея</w:t>
            </w:r>
            <w:r>
              <w:rPr>
                <w:rFonts w:ascii="Arial" w:hAnsi="Arial"/>
                <w:snapToGrid w:val="0"/>
                <w:sz w:val="22"/>
              </w:rPr>
              <w:t xml:space="preserve">, Республика Корея, Самоа, Сингапур, Соломоновы острова,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Таиланд, Тимор-Лешти, Тонга</w:t>
            </w:r>
            <w:r>
              <w:rPr>
                <w:rFonts w:ascii="Arial" w:hAnsi="Arial"/>
                <w:snapToGrid w:val="0"/>
                <w:sz w:val="22"/>
              </w:rPr>
              <w:t>, Тувалу, Туркменистан, Фиджи, Филиппины, Шри-Ланка, Япония</w:t>
            </w:r>
          </w:p>
        </w:tc>
      </w:tr>
      <w:tr w:rsidR="009B4E8E" w:rsidRPr="00A24530" w14:paraId="6C00F2AD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7ECF330" w14:textId="77777777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Группа V(a)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(44 государства)</w:t>
            </w:r>
          </w:p>
        </w:tc>
        <w:tc>
          <w:tcPr>
            <w:tcW w:w="4148" w:type="pct"/>
          </w:tcPr>
          <w:p w14:paraId="783A349A" w14:textId="77777777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Ангола, Бенин, Ботсвана, Буркина-Фасо, Бурунди, Габон, Гамбия, Гана, Гвинея, Гвинея-Бисау, Демократическая Республика Конго, Джибути, Замбия, Зимбабве, Кабо-Верде, Камерун, Кения,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Коморские острова, Конго</w:t>
            </w:r>
            <w:r>
              <w:rPr>
                <w:rFonts w:ascii="Arial" w:hAnsi="Arial"/>
                <w:snapToGrid w:val="0"/>
                <w:sz w:val="22"/>
              </w:rPr>
              <w:t xml:space="preserve">, Кот-д'Ивуар,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Лесото</w:t>
            </w:r>
            <w:r>
              <w:rPr>
                <w:rFonts w:ascii="Arial" w:hAnsi="Arial"/>
                <w:snapToGrid w:val="0"/>
                <w:sz w:val="22"/>
              </w:rPr>
              <w:t xml:space="preserve">, Мадагаскар, Малави, Мали, Маврикий, Мозамбик, Намибия, Нигер, Нигерия, Объединенная Республика Танзания, Руанда, Сан-Томе и Принсипи, Сейшельские острова, Сенегал, Сомали,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Того, Уганда</w:t>
            </w:r>
            <w:r>
              <w:rPr>
                <w:rFonts w:ascii="Arial" w:hAnsi="Arial"/>
                <w:snapToGrid w:val="0"/>
                <w:sz w:val="22"/>
              </w:rPr>
              <w:t>, Центральноафриканская Республика, Чад, Экваториальная Гвинея, Эритрея, Эсватини, Эфиопия, Южный Судан</w:t>
            </w:r>
          </w:p>
        </w:tc>
      </w:tr>
      <w:tr w:rsidR="009B4E8E" w:rsidRPr="00A24530" w14:paraId="6F2E9944" w14:textId="77777777" w:rsidTr="00884A8C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B6AC510" w14:textId="00CCF225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Группа V(b)</w:t>
            </w:r>
            <w:r>
              <w:rPr>
                <w:rFonts w:ascii="Arial" w:hAnsi="Arial"/>
                <w:b/>
                <w:snapToGrid w:val="0"/>
                <w:sz w:val="22"/>
              </w:rPr>
              <w:br/>
            </w:r>
            <w:r>
              <w:rPr>
                <w:rFonts w:ascii="Arial" w:hAnsi="Arial"/>
                <w:snapToGrid w:val="0"/>
                <w:sz w:val="22"/>
              </w:rPr>
              <w:t>(19 государств)</w:t>
            </w:r>
          </w:p>
        </w:tc>
        <w:tc>
          <w:tcPr>
            <w:tcW w:w="4148" w:type="pct"/>
          </w:tcPr>
          <w:p w14:paraId="4A16FE82" w14:textId="4F6E8B3A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Алжир, Бахрейн, Египет, Иордания, Ирак, Йемен,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Катар</w:t>
            </w:r>
            <w:r>
              <w:rPr>
                <w:rFonts w:ascii="Arial" w:hAnsi="Arial"/>
                <w:snapToGrid w:val="0"/>
                <w:sz w:val="22"/>
              </w:rPr>
              <w:t xml:space="preserve">, Кувейт, Ливан, Ливия, Мавритания, Марокко, Объединенные Арабские Эмираты, Оман, Палестина, Саудовская Аравия, Сирийская Арабская Республика,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Судан</w:t>
            </w:r>
            <w:r>
              <w:rPr>
                <w:rFonts w:ascii="Arial" w:hAnsi="Arial"/>
                <w:snapToGrid w:val="0"/>
                <w:sz w:val="22"/>
              </w:rPr>
              <w:t>, Тунис</w:t>
            </w:r>
          </w:p>
        </w:tc>
      </w:tr>
    </w:tbl>
    <w:p w14:paraId="5FA2B7DB" w14:textId="3CCBE4E9" w:rsidR="0057439C" w:rsidRPr="00D5195B" w:rsidRDefault="00DA3552" w:rsidP="00D5195B">
      <w:pPr>
        <w:pStyle w:val="COMPara"/>
        <w:keepLines/>
        <w:spacing w:before="120"/>
        <w:ind w:left="567" w:hanging="567"/>
        <w:jc w:val="both"/>
      </w:pPr>
      <w:r>
        <w:lastRenderedPageBreak/>
        <w:t xml:space="preserve">В своей </w:t>
      </w:r>
      <w:r w:rsidR="00EA0CC2" w:rsidRPr="0034452E">
        <w:t xml:space="preserve">резолюции </w:t>
      </w:r>
      <w:hyperlink r:id="rId8" w:history="1">
        <w:r w:rsidR="00EA0CC2" w:rsidRPr="00EA0CC2">
          <w:rPr>
            <w:rStyle w:val="Lienhypertexte"/>
          </w:rPr>
          <w:t>3.GA</w:t>
        </w:r>
        <w:r w:rsidR="00105369">
          <w:rPr>
            <w:rStyle w:val="Lienhypertexte"/>
            <w:lang w:val="fr-FR"/>
          </w:rPr>
          <w:t> </w:t>
        </w:r>
        <w:r w:rsidR="00EA0CC2" w:rsidRPr="00EA0CC2">
          <w:rPr>
            <w:rStyle w:val="Lienhypertexte"/>
          </w:rPr>
          <w:t>12</w:t>
        </w:r>
      </w:hyperlink>
      <w:r>
        <w:t xml:space="preserve"> Генеральная ассамблея постановила, что «принцип пропорциональности в статье 13.2 ее Правил процедуры, в полном соответствии с принципом справедливого географического представительства в статье 6.1 Конвенции, должен неукоснительно применяться к будущим выборам, строго на основе математических расчетов».</w:t>
      </w:r>
      <w:r>
        <w:rPr>
          <w:rStyle w:val="Appelnotedebasdep"/>
        </w:rPr>
        <w:t xml:space="preserve"> </w:t>
      </w:r>
      <w:r w:rsidR="00810975" w:rsidRPr="00D5195B">
        <w:rPr>
          <w:rStyle w:val="Appelnotedebasdep"/>
        </w:rPr>
        <w:footnoteReference w:id="1"/>
      </w:r>
    </w:p>
    <w:p w14:paraId="6721943F" w14:textId="5EC43249" w:rsidR="00DA3552" w:rsidRPr="00D5195B" w:rsidRDefault="00DA3552" w:rsidP="00DA3552">
      <w:pPr>
        <w:pStyle w:val="COMPara"/>
        <w:spacing w:before="120"/>
        <w:ind w:left="567" w:hanging="567"/>
        <w:jc w:val="both"/>
      </w:pPr>
      <w:r>
        <w:t>Таким образом, распределение мест по электоральным группам пропорционально числу государств-участников может быть установлено на основе математических расчетов, как показано в таблице ниже. В этих расчетах минимальное число в три места сначала приписывается электоральной группе V(b). Затем двадцать одно оставшееся место распределяется между пятью оставшимися группами, начиная с группы с наибольшей дробной частью (группа V(a)), затем группы со второй по величине дробной частью (группа IV). На этой основе нынешняя сессия Ассамблеи должна избрать членов Комитета по пункту 1</w:t>
      </w:r>
      <w:r w:rsidR="00EA0CC2" w:rsidRPr="0034452E">
        <w:t>1</w:t>
      </w:r>
      <w:r>
        <w:t>.</w:t>
      </w:r>
    </w:p>
    <w:tbl>
      <w:tblPr>
        <w:tblW w:w="7736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547"/>
        <w:gridCol w:w="1548"/>
      </w:tblGrid>
      <w:tr w:rsidR="00DA3552" w:rsidRPr="00D5195B" w14:paraId="46FC9D27" w14:textId="77777777" w:rsidTr="00884A8C">
        <w:trPr>
          <w:cantSplit/>
          <w:trHeight w:val="300"/>
        </w:trPr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B082" w14:textId="27C9FE1A" w:rsidR="00DA3552" w:rsidRPr="00D5195B" w:rsidRDefault="00C97205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57688878"/>
            <w:r w:rsidRPr="00C97205">
              <w:rPr>
                <w:rFonts w:ascii="Arial" w:hAnsi="Arial"/>
                <w:b/>
                <w:sz w:val="20"/>
              </w:rPr>
              <w:t>Избиратель-ная</w:t>
            </w:r>
            <w:r w:rsidR="00DA3552">
              <w:rPr>
                <w:rFonts w:ascii="Arial" w:hAnsi="Arial"/>
                <w:b/>
                <w:sz w:val="20"/>
              </w:rPr>
              <w:t xml:space="preserve"> </w:t>
            </w:r>
            <w:r w:rsidR="00DA3552">
              <w:rPr>
                <w:rFonts w:ascii="Arial" w:hAnsi="Arial"/>
                <w:b/>
                <w:sz w:val="20"/>
              </w:rPr>
              <w:br/>
              <w:t>группа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3A0D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Государства-участники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E1DB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Процент</w:t>
            </w:r>
            <w:r>
              <w:rPr>
                <w:rFonts w:ascii="Arial" w:hAnsi="Arial"/>
                <w:b/>
                <w:sz w:val="20"/>
              </w:rPr>
              <w:br/>
              <w:t>от общего количества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864B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Места (с дробной частью)</w:t>
            </w:r>
          </w:p>
        </w:tc>
        <w:tc>
          <w:tcPr>
            <w:tcW w:w="1548" w:type="dxa"/>
            <w:shd w:val="clear" w:color="auto" w:fill="D9D9D9"/>
            <w:vAlign w:val="center"/>
          </w:tcPr>
          <w:p w14:paraId="3260CF47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Места</w:t>
            </w:r>
            <w:r>
              <w:rPr>
                <w:rFonts w:ascii="Arial" w:hAnsi="Arial"/>
                <w:b/>
                <w:sz w:val="20"/>
              </w:rPr>
              <w:br/>
              <w:t>(целые числа)</w:t>
            </w:r>
          </w:p>
        </w:tc>
      </w:tr>
      <w:tr w:rsidR="00DA3552" w:rsidRPr="00D5195B" w14:paraId="451D9FC7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AA25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4A80" w14:textId="2E7149FF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A0B" w14:textId="0B25EE49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13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11%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F505" w14:textId="49331AE5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4F427F62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 w:rsidR="00DA3552" w:rsidRPr="00D5195B" w14:paraId="69D6D540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7295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7714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EF8B" w14:textId="489B9BC2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13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11%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6097" w14:textId="14B32FC8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15</w:t>
            </w:r>
          </w:p>
        </w:tc>
        <w:tc>
          <w:tcPr>
            <w:tcW w:w="1548" w:type="dxa"/>
            <w:vAlign w:val="center"/>
          </w:tcPr>
          <w:p w14:paraId="3EC36A6E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 w:rsidR="00DA3552" w:rsidRPr="00D5195B" w14:paraId="35307638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E98A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III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458C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F3C9" w14:textId="393CB804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17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49%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3D63" w14:textId="696C394F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20</w:t>
            </w:r>
          </w:p>
        </w:tc>
        <w:tc>
          <w:tcPr>
            <w:tcW w:w="1548" w:type="dxa"/>
            <w:vAlign w:val="center"/>
          </w:tcPr>
          <w:p w14:paraId="2AC3D0DD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</w:tr>
      <w:tr w:rsidR="00DA3552" w:rsidRPr="00D5195B" w14:paraId="1C6AEE88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0435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IV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3222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03C3" w14:textId="77DF6CF4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21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86%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3FA1" w14:textId="5163C400" w:rsidR="00DA3552" w:rsidRPr="00D5195B" w:rsidRDefault="00720953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25</w:t>
            </w:r>
          </w:p>
        </w:tc>
        <w:tc>
          <w:tcPr>
            <w:tcW w:w="1548" w:type="dxa"/>
            <w:vAlign w:val="center"/>
          </w:tcPr>
          <w:p w14:paraId="4D8903FD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 w:rsidR="00DA3552" w:rsidRPr="00D5195B" w14:paraId="57248DC5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A748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V(a)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40C3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44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36E2" w14:textId="7B631B79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24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05%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3EDC" w14:textId="2421EB3E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77</w:t>
            </w:r>
          </w:p>
        </w:tc>
        <w:tc>
          <w:tcPr>
            <w:tcW w:w="1548" w:type="dxa"/>
            <w:vAlign w:val="center"/>
          </w:tcPr>
          <w:p w14:paraId="3CE2780E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</w:tr>
      <w:tr w:rsidR="00DA3552" w:rsidRPr="00D5195B" w14:paraId="2D7AAF43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B2DB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V(b)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51CD" w14:textId="36E74A5A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19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01EF" w14:textId="444A6DC8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10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38%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0D36" w14:textId="76627DB3" w:rsidR="00DA3552" w:rsidRPr="00D5195B" w:rsidRDefault="00DA3552" w:rsidP="00884A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  <w:r w:rsidR="00C97205">
              <w:rPr>
                <w:rFonts w:ascii="Arial" w:hAnsi="Arial"/>
                <w:color w:val="000000"/>
                <w:sz w:val="20"/>
                <w:lang w:val="fr-FR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49</w:t>
            </w:r>
          </w:p>
        </w:tc>
        <w:tc>
          <w:tcPr>
            <w:tcW w:w="1548" w:type="dxa"/>
            <w:vAlign w:val="center"/>
          </w:tcPr>
          <w:p w14:paraId="397A8CDC" w14:textId="77777777" w:rsidR="00DA3552" w:rsidRPr="00D5195B" w:rsidRDefault="00DA3552" w:rsidP="00884A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 w:rsidR="00DA3552" w:rsidRPr="00D5195B" w14:paraId="57087023" w14:textId="77777777" w:rsidTr="00884A8C">
        <w:trPr>
          <w:cantSplit/>
          <w:trHeight w:val="354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6C63" w14:textId="77777777" w:rsidR="00DA3552" w:rsidRPr="00D5195B" w:rsidRDefault="00DA3552" w:rsidP="00884A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Всего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0402" w14:textId="243886E1" w:rsidR="00DA3552" w:rsidRPr="00D5195B" w:rsidRDefault="00DA3552" w:rsidP="00884A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183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85BD" w14:textId="3B7D3962" w:rsidR="00DA3552" w:rsidRPr="00D5195B" w:rsidRDefault="00DA3552" w:rsidP="00884A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100</w:t>
            </w:r>
            <w:r w:rsidR="00C97205">
              <w:rPr>
                <w:rFonts w:ascii="Arial" w:hAnsi="Arial"/>
                <w:b/>
                <w:sz w:val="20"/>
                <w:lang w:val="fr-FR"/>
              </w:rPr>
              <w:t>.</w:t>
            </w:r>
            <w:r>
              <w:rPr>
                <w:rFonts w:ascii="Arial" w:hAnsi="Arial"/>
                <w:b/>
                <w:sz w:val="20"/>
              </w:rPr>
              <w:t>00%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624C" w14:textId="77777777" w:rsidR="00DA3552" w:rsidRPr="00D5195B" w:rsidRDefault="00DA3552" w:rsidP="00884A8C">
            <w:pPr>
              <w:tabs>
                <w:tab w:val="left" w:pos="105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24</w:t>
            </w:r>
          </w:p>
        </w:tc>
        <w:tc>
          <w:tcPr>
            <w:tcW w:w="1548" w:type="dxa"/>
            <w:vAlign w:val="center"/>
          </w:tcPr>
          <w:p w14:paraId="4B31F81E" w14:textId="77777777" w:rsidR="00DA3552" w:rsidRPr="00D5195B" w:rsidRDefault="00DA3552" w:rsidP="00884A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24</w:t>
            </w:r>
          </w:p>
        </w:tc>
      </w:tr>
      <w:bookmarkEnd w:id="1"/>
    </w:tbl>
    <w:p w14:paraId="728F85FD" w14:textId="77777777" w:rsidR="00DA3552" w:rsidRPr="00D5195B" w:rsidRDefault="00DA3552" w:rsidP="00DA3552">
      <w:pPr>
        <w:pStyle w:val="COMPara"/>
        <w:numPr>
          <w:ilvl w:val="0"/>
          <w:numId w:val="0"/>
        </w:numPr>
      </w:pPr>
    </w:p>
    <w:p w14:paraId="50D3EAFF" w14:textId="3A349EC1" w:rsidR="00D95C4C" w:rsidRPr="00D5195B" w:rsidRDefault="005C792B" w:rsidP="005C792B">
      <w:pPr>
        <w:pStyle w:val="COMPara"/>
        <w:ind w:left="567" w:hanging="567"/>
      </w:pPr>
      <w:r>
        <w:t>Генеральная ассамблея, возможно, пожелает принять следующую резолюцию:</w:t>
      </w:r>
    </w:p>
    <w:p w14:paraId="6CEB1E9D" w14:textId="36570E3D" w:rsidR="00D95C4C" w:rsidRPr="00D5195B" w:rsidRDefault="004A34A0" w:rsidP="001D14FE">
      <w:pPr>
        <w:pStyle w:val="COMTitleDecision"/>
        <w:rPr>
          <w:rFonts w:eastAsia="SimSun"/>
        </w:rPr>
      </w:pPr>
      <w:r>
        <w:t>ПРОЕКТ РЕЗОЛЮЦИИ 10.GA 4</w:t>
      </w:r>
    </w:p>
    <w:p w14:paraId="13024F0B" w14:textId="5181E164" w:rsidR="00D95C4C" w:rsidRPr="00D5195B" w:rsidRDefault="005C792B" w:rsidP="00285BB4">
      <w:pPr>
        <w:pStyle w:val="COMPreambulaDecisions"/>
        <w:rPr>
          <w:rFonts w:eastAsia="SimSun"/>
        </w:rPr>
      </w:pPr>
      <w:r>
        <w:t>Генеральная ассамблея,</w:t>
      </w:r>
    </w:p>
    <w:p w14:paraId="5A9F22F3" w14:textId="70BF6CF1" w:rsidR="0057439C" w:rsidRPr="00D5195B" w:rsidRDefault="00105369" w:rsidP="004A2875">
      <w:pPr>
        <w:pStyle w:val="COMParaDecision"/>
      </w:pPr>
      <w:r>
        <w:rPr>
          <w:lang w:val="fr-FR"/>
        </w:rPr>
        <w:t>P</w:t>
      </w:r>
      <w:r w:rsidR="00D95C4C">
        <w:t>ассмотрев</w:t>
      </w:r>
      <w:r w:rsidR="00D95C4C">
        <w:rPr>
          <w:u w:val="none"/>
        </w:rPr>
        <w:t xml:space="preserve"> документ LHE/24/10.GA/4,</w:t>
      </w:r>
    </w:p>
    <w:p w14:paraId="260CA8D5" w14:textId="32379FCB" w:rsidR="0057439C" w:rsidRPr="00D5195B" w:rsidRDefault="00105369" w:rsidP="004A2875">
      <w:pPr>
        <w:pStyle w:val="COMParaDecision"/>
      </w:pPr>
      <w:r>
        <w:rPr>
          <w:lang w:val="fr-FR"/>
        </w:rPr>
        <w:t>C</w:t>
      </w:r>
      <w:r w:rsidR="0057439C">
        <w:t>сылаясь</w:t>
      </w:r>
      <w:r w:rsidR="0057439C">
        <w:rPr>
          <w:u w:val="none"/>
        </w:rPr>
        <w:t xml:space="preserve"> на статью 6 Конвенции,</w:t>
      </w:r>
    </w:p>
    <w:p w14:paraId="26AA27DD" w14:textId="0A04A6ED" w:rsidR="005C792B" w:rsidRPr="00D5195B" w:rsidRDefault="00105369" w:rsidP="005C792B">
      <w:pPr>
        <w:pStyle w:val="COMParaDecision"/>
        <w:jc w:val="left"/>
      </w:pPr>
      <w:r>
        <w:rPr>
          <w:snapToGrid w:val="0"/>
        </w:rPr>
        <w:t>Д</w:t>
      </w:r>
      <w:r w:rsidR="005C792B">
        <w:t>алее ссылаясь</w:t>
      </w:r>
      <w:r w:rsidR="005C792B">
        <w:rPr>
          <w:u w:val="none"/>
        </w:rPr>
        <w:t xml:space="preserve"> на статью 35 своих Правил процедуры, а также на резолюцию</w:t>
      </w:r>
      <w:r w:rsidR="005C792B">
        <w:t xml:space="preserve"> </w:t>
      </w:r>
      <w:hyperlink r:id="rId9" w:history="1">
        <w:r w:rsidR="005C792B">
          <w:rPr>
            <w:rStyle w:val="Lienhypertexte"/>
          </w:rPr>
          <w:t>3.GA 12</w:t>
        </w:r>
      </w:hyperlink>
      <w:r w:rsidR="005C792B">
        <w:rPr>
          <w:u w:val="none"/>
        </w:rPr>
        <w:t>,</w:t>
      </w:r>
    </w:p>
    <w:p w14:paraId="1B08DF9D" w14:textId="49BCF9C6" w:rsidR="00190205" w:rsidRPr="00D5195B" w:rsidRDefault="0057439C" w:rsidP="00D86BB3">
      <w:pPr>
        <w:pStyle w:val="COMParaDecision"/>
      </w:pPr>
      <w:r>
        <w:t>Постановляет,</w:t>
      </w:r>
      <w:r>
        <w:rPr>
          <w:u w:val="none"/>
        </w:rPr>
        <w:t xml:space="preserve"> что для целей проведения выборов на десятой сессии двадцать четыре места в Комитете распределяются между </w:t>
      </w:r>
      <w:r w:rsidR="00C97205" w:rsidRPr="00C97205">
        <w:rPr>
          <w:u w:val="none"/>
        </w:rPr>
        <w:t xml:space="preserve">избирательными </w:t>
      </w:r>
      <w:r>
        <w:rPr>
          <w:u w:val="none"/>
        </w:rPr>
        <w:t>группами следующим образом: Группа I — три места; Группа II — три места; Группа III — четыре места; Группа IV — пять мест; Группа V(a) — шесть мест; Группа V(b) — три места.</w:t>
      </w:r>
    </w:p>
    <w:sectPr w:rsidR="00190205" w:rsidRPr="00D5195B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14F3" w14:textId="77777777" w:rsidR="00936B4F" w:rsidRDefault="00936B4F" w:rsidP="00655736">
      <w:r>
        <w:separator/>
      </w:r>
    </w:p>
  </w:endnote>
  <w:endnote w:type="continuationSeparator" w:id="0">
    <w:p w14:paraId="6C0E7746" w14:textId="77777777" w:rsidR="00936B4F" w:rsidRDefault="00936B4F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8314" w14:textId="77777777" w:rsidR="00936B4F" w:rsidRDefault="00936B4F" w:rsidP="00655736">
      <w:r>
        <w:separator/>
      </w:r>
    </w:p>
  </w:footnote>
  <w:footnote w:type="continuationSeparator" w:id="0">
    <w:p w14:paraId="1D9874BA" w14:textId="77777777" w:rsidR="00936B4F" w:rsidRDefault="00936B4F" w:rsidP="00655736">
      <w:r>
        <w:continuationSeparator/>
      </w:r>
    </w:p>
  </w:footnote>
  <w:footnote w:id="1">
    <w:p w14:paraId="3ABC3DD4" w14:textId="20FED00E" w:rsidR="00810975" w:rsidRPr="00BB1EF6" w:rsidRDefault="00810975" w:rsidP="00810975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После пересмотра Правил процедуры Генеральной ассамблеи на девятой сессии Генеральной ассамблеи в 2022 году статья 13.2 была перенумерована в статью 35.2 (Резолюция </w:t>
      </w:r>
      <w:hyperlink r:id="rId1" w:history="1">
        <w:r>
          <w:rPr>
            <w:rStyle w:val="Lienhypertexte"/>
            <w:rFonts w:ascii="Arial" w:hAnsi="Arial"/>
            <w:sz w:val="18"/>
          </w:rPr>
          <w:t>9.GA 12</w:t>
        </w:r>
      </w:hyperlink>
      <w:r>
        <w:rPr>
          <w:rFonts w:ascii="Arial" w:hAnsi="Arial"/>
          <w:sz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71C70482" w:rsidR="00D95C4C" w:rsidRPr="00C23A97" w:rsidRDefault="00C5776D" w:rsidP="00C5776D">
    <w:pPr>
      <w:pStyle w:val="En-tte"/>
      <w:rPr>
        <w:rFonts w:ascii="Arial" w:hAnsi="Arial" w:cs="Arial"/>
      </w:rPr>
    </w:pPr>
    <w:r>
      <w:rPr>
        <w:rFonts w:ascii="Arial" w:hAnsi="Arial"/>
        <w:sz w:val="20"/>
      </w:rPr>
      <w:t>LHE/24/10.GA/4</w:t>
    </w:r>
    <w:r w:rsidR="00C97205">
      <w:rPr>
        <w:rFonts w:ascii="Arial" w:hAnsi="Arial"/>
        <w:sz w:val="20"/>
        <w:lang w:val="fr-FR"/>
      </w:rPr>
      <w:t xml:space="preserve"> </w:t>
    </w:r>
    <w:r w:rsidR="00C97205" w:rsidRPr="00C97205">
      <w:rPr>
        <w:rFonts w:ascii="Arial" w:hAnsi="Arial"/>
        <w:sz w:val="20"/>
        <w:lang w:val="fr-FR"/>
      </w:rPr>
      <w:t>– страница</w:t>
    </w:r>
    <w:r>
      <w:rPr>
        <w:rFonts w:ascii="Arial" w:hAnsi="Arial"/>
        <w:sz w:val="20"/>
      </w:rPr>
      <w:t xml:space="preserve"> </w:t>
    </w:r>
    <w:r w:rsidR="00D95C4C" w:rsidRPr="00C23A97">
      <w:rPr>
        <w:rStyle w:val="Numrodepage"/>
        <w:rFonts w:ascii="Arial" w:hAnsi="Arial" w:cs="Arial"/>
        <w:sz w:val="20"/>
      </w:rPr>
      <w:fldChar w:fldCharType="begin"/>
    </w:r>
    <w:r w:rsidR="00D95C4C" w:rsidRPr="00C23A97">
      <w:rPr>
        <w:rStyle w:val="Numrodepage"/>
        <w:rFonts w:ascii="Arial" w:hAnsi="Arial" w:cs="Arial"/>
        <w:sz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</w:rPr>
      <w:fldChar w:fldCharType="separate"/>
    </w:r>
    <w:r w:rsidR="006E75EB">
      <w:rPr>
        <w:rStyle w:val="Numrodepage"/>
        <w:rFonts w:ascii="Arial" w:hAnsi="Arial" w:cs="Arial"/>
        <w:sz w:val="20"/>
      </w:rPr>
      <w:t>2</w:t>
    </w:r>
    <w:r w:rsidR="00D95C4C" w:rsidRPr="00C23A97">
      <w:rPr>
        <w:rStyle w:val="Numrodepage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7B04D86C" w:rsidR="00D95C4C" w:rsidRPr="0063300C" w:rsidRDefault="00C5776D" w:rsidP="00C5776D">
    <w:pPr>
      <w:pStyle w:val="En-tte"/>
      <w:jc w:val="right"/>
      <w:rPr>
        <w:rFonts w:ascii="Arial" w:hAnsi="Arial" w:cs="Arial"/>
      </w:rPr>
    </w:pPr>
    <w:r>
      <w:rPr>
        <w:rFonts w:ascii="Arial" w:hAnsi="Arial"/>
        <w:sz w:val="20"/>
      </w:rPr>
      <w:t>LHE/24/10.GA/4</w:t>
    </w:r>
    <w:r w:rsidR="00C97205">
      <w:rPr>
        <w:rFonts w:ascii="Arial" w:hAnsi="Arial"/>
        <w:sz w:val="20"/>
        <w:lang w:val="fr-FR"/>
      </w:rPr>
      <w:t xml:space="preserve"> </w:t>
    </w:r>
    <w:r w:rsidR="00C97205" w:rsidRPr="00C97205">
      <w:rPr>
        <w:rFonts w:ascii="Arial" w:hAnsi="Arial"/>
        <w:sz w:val="20"/>
        <w:lang w:val="fr-FR"/>
      </w:rPr>
      <w:t>– страница</w:t>
    </w:r>
    <w:r>
      <w:rPr>
        <w:rFonts w:ascii="Arial" w:hAnsi="Arial"/>
        <w:sz w:val="20"/>
      </w:rPr>
      <w:t xml:space="preserve"> </w:t>
    </w:r>
    <w:r w:rsidR="004A34A0" w:rsidRPr="0063300C">
      <w:rPr>
        <w:rStyle w:val="Numrodepage"/>
        <w:rFonts w:ascii="Arial" w:hAnsi="Arial" w:cs="Arial"/>
        <w:sz w:val="20"/>
      </w:rPr>
      <w:fldChar w:fldCharType="begin"/>
    </w:r>
    <w:r w:rsidR="004A34A0" w:rsidRPr="0063300C">
      <w:rPr>
        <w:rStyle w:val="Numrodepage"/>
        <w:rFonts w:ascii="Arial" w:hAnsi="Arial" w:cs="Arial"/>
        <w:sz w:val="20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</w:rPr>
      <w:fldChar w:fldCharType="separate"/>
    </w:r>
    <w:r w:rsidR="00190205">
      <w:rPr>
        <w:rStyle w:val="Numrodepage"/>
        <w:rFonts w:ascii="Arial" w:hAnsi="Arial" w:cs="Arial"/>
        <w:sz w:val="20"/>
      </w:rPr>
      <w:t>3</w:t>
    </w:r>
    <w:r w:rsidR="004A34A0" w:rsidRPr="0063300C">
      <w:rPr>
        <w:rStyle w:val="Numrodepage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3BFAE37F" w:rsidR="00D95C4C" w:rsidRPr="00E95AE2" w:rsidRDefault="00C54341">
    <w:pPr>
      <w:pStyle w:val="En-tte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802FC8" wp14:editId="01B5EFB1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482825F8" w:rsidR="00D95C4C" w:rsidRPr="00D7105A" w:rsidRDefault="005C792B" w:rsidP="00C5776D">
    <w:pPr>
      <w:pStyle w:val="En-tte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10 GA</w:t>
    </w:r>
  </w:p>
  <w:p w14:paraId="306484B8" w14:textId="1899FB46" w:rsidR="00D95C4C" w:rsidRPr="00D7105A" w:rsidRDefault="00C5776D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LHE/24/10.GA/4</w:t>
    </w:r>
  </w:p>
  <w:p w14:paraId="1B4446C3" w14:textId="1C19C3E3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>Париж</w:t>
    </w:r>
    <w:r w:rsidRPr="0034452E">
      <w:rPr>
        <w:rFonts w:ascii="Arial" w:hAnsi="Arial"/>
        <w:b/>
        <w:sz w:val="22"/>
      </w:rPr>
      <w:t xml:space="preserve">, </w:t>
    </w:r>
    <w:r w:rsidR="00493623" w:rsidRPr="0034452E">
      <w:rPr>
        <w:rFonts w:ascii="Arial" w:hAnsi="Arial"/>
        <w:b/>
        <w:sz w:val="22"/>
      </w:rPr>
      <w:t>13</w:t>
    </w:r>
    <w:r w:rsidRPr="0034452E">
      <w:rPr>
        <w:rFonts w:ascii="Arial" w:hAnsi="Arial"/>
        <w:b/>
        <w:sz w:val="22"/>
      </w:rPr>
      <w:t xml:space="preserve"> мая 2024</w:t>
    </w:r>
    <w:r>
      <w:rPr>
        <w:rFonts w:ascii="Arial" w:hAnsi="Arial"/>
        <w:b/>
        <w:sz w:val="22"/>
      </w:rPr>
      <w:t xml:space="preserve"> г</w:t>
    </w:r>
    <w:r w:rsidR="00EA0CC2" w:rsidRPr="0034452E">
      <w:rPr>
        <w:rFonts w:ascii="Arial" w:hAnsi="Arial"/>
        <w:b/>
        <w:sz w:val="22"/>
      </w:rPr>
      <w:t>.</w:t>
    </w:r>
  </w:p>
  <w:p w14:paraId="255B57FF" w14:textId="7FCC1569" w:rsidR="00D95C4C" w:rsidRPr="00F32C23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Оригинал: английский</w:t>
    </w:r>
  </w:p>
  <w:p w14:paraId="36E73CFE" w14:textId="77777777" w:rsidR="00EA0CC2" w:rsidRPr="00E95AE2" w:rsidRDefault="00EA0CC2">
    <w:pPr>
      <w:pStyle w:val="En-tte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628298">
    <w:abstractNumId w:val="11"/>
  </w:num>
  <w:num w:numId="2" w16cid:durableId="699629408">
    <w:abstractNumId w:val="6"/>
  </w:num>
  <w:num w:numId="3" w16cid:durableId="164177712">
    <w:abstractNumId w:val="2"/>
  </w:num>
  <w:num w:numId="4" w16cid:durableId="1416590798">
    <w:abstractNumId w:val="13"/>
  </w:num>
  <w:num w:numId="5" w16cid:durableId="1762608160">
    <w:abstractNumId w:val="12"/>
  </w:num>
  <w:num w:numId="6" w16cid:durableId="2146270374">
    <w:abstractNumId w:val="0"/>
  </w:num>
  <w:num w:numId="7" w16cid:durableId="1113592211">
    <w:abstractNumId w:val="3"/>
  </w:num>
  <w:num w:numId="8" w16cid:durableId="1920598164">
    <w:abstractNumId w:val="10"/>
  </w:num>
  <w:num w:numId="9" w16cid:durableId="1533764642">
    <w:abstractNumId w:val="5"/>
  </w:num>
  <w:num w:numId="10" w16cid:durableId="1246129">
    <w:abstractNumId w:val="7"/>
  </w:num>
  <w:num w:numId="11" w16cid:durableId="111829808">
    <w:abstractNumId w:val="9"/>
  </w:num>
  <w:num w:numId="12" w16cid:durableId="1088770206">
    <w:abstractNumId w:val="8"/>
  </w:num>
  <w:num w:numId="13" w16cid:durableId="1263951029">
    <w:abstractNumId w:val="14"/>
  </w:num>
  <w:num w:numId="14" w16cid:durableId="395903570">
    <w:abstractNumId w:val="4"/>
  </w:num>
  <w:num w:numId="15" w16cid:durableId="1857570918">
    <w:abstractNumId w:val="5"/>
  </w:num>
  <w:num w:numId="16" w16cid:durableId="248199808">
    <w:abstractNumId w:val="5"/>
  </w:num>
  <w:num w:numId="17" w16cid:durableId="350380342">
    <w:abstractNumId w:val="5"/>
  </w:num>
  <w:num w:numId="18" w16cid:durableId="944581980">
    <w:abstractNumId w:val="5"/>
  </w:num>
  <w:num w:numId="19" w16cid:durableId="772675100">
    <w:abstractNumId w:val="5"/>
  </w:num>
  <w:num w:numId="20" w16cid:durableId="1253010311">
    <w:abstractNumId w:val="5"/>
  </w:num>
  <w:num w:numId="21" w16cid:durableId="540821319">
    <w:abstractNumId w:val="1"/>
  </w:num>
  <w:num w:numId="22" w16cid:durableId="2046514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40BE"/>
    <w:rsid w:val="000765F7"/>
    <w:rsid w:val="0007725F"/>
    <w:rsid w:val="00077AB7"/>
    <w:rsid w:val="00081CD8"/>
    <w:rsid w:val="000A7F0E"/>
    <w:rsid w:val="000B1C8F"/>
    <w:rsid w:val="000C0D61"/>
    <w:rsid w:val="000F3A3F"/>
    <w:rsid w:val="000F51D0"/>
    <w:rsid w:val="00102557"/>
    <w:rsid w:val="00105369"/>
    <w:rsid w:val="00107A96"/>
    <w:rsid w:val="00147A38"/>
    <w:rsid w:val="00164D56"/>
    <w:rsid w:val="00167B10"/>
    <w:rsid w:val="0017402F"/>
    <w:rsid w:val="00190205"/>
    <w:rsid w:val="00196C1B"/>
    <w:rsid w:val="001B0F73"/>
    <w:rsid w:val="001C2DB7"/>
    <w:rsid w:val="001C443F"/>
    <w:rsid w:val="001D14FE"/>
    <w:rsid w:val="001D5C04"/>
    <w:rsid w:val="001E2FCB"/>
    <w:rsid w:val="001F26CF"/>
    <w:rsid w:val="00222A2D"/>
    <w:rsid w:val="00223029"/>
    <w:rsid w:val="00226C33"/>
    <w:rsid w:val="00234745"/>
    <w:rsid w:val="002351A6"/>
    <w:rsid w:val="002407AF"/>
    <w:rsid w:val="00245501"/>
    <w:rsid w:val="00254B26"/>
    <w:rsid w:val="0026221A"/>
    <w:rsid w:val="0027466B"/>
    <w:rsid w:val="002814F6"/>
    <w:rsid w:val="002838A5"/>
    <w:rsid w:val="00285BB4"/>
    <w:rsid w:val="002C09E3"/>
    <w:rsid w:val="002C6A2C"/>
    <w:rsid w:val="002D1244"/>
    <w:rsid w:val="00313163"/>
    <w:rsid w:val="00337CEB"/>
    <w:rsid w:val="0034452E"/>
    <w:rsid w:val="00344B58"/>
    <w:rsid w:val="0034539A"/>
    <w:rsid w:val="00345CB4"/>
    <w:rsid w:val="00372562"/>
    <w:rsid w:val="00375D42"/>
    <w:rsid w:val="003D069C"/>
    <w:rsid w:val="003D7646"/>
    <w:rsid w:val="003F113A"/>
    <w:rsid w:val="003F3E63"/>
    <w:rsid w:val="00407480"/>
    <w:rsid w:val="00414643"/>
    <w:rsid w:val="004313C4"/>
    <w:rsid w:val="004421E5"/>
    <w:rsid w:val="00452284"/>
    <w:rsid w:val="004551E6"/>
    <w:rsid w:val="00457C8E"/>
    <w:rsid w:val="00480175"/>
    <w:rsid w:val="004856CA"/>
    <w:rsid w:val="00487E67"/>
    <w:rsid w:val="004906B7"/>
    <w:rsid w:val="00493623"/>
    <w:rsid w:val="0049705E"/>
    <w:rsid w:val="004A2875"/>
    <w:rsid w:val="004A34A0"/>
    <w:rsid w:val="004C7C82"/>
    <w:rsid w:val="005008A8"/>
    <w:rsid w:val="00517FD8"/>
    <w:rsid w:val="00526B7B"/>
    <w:rsid w:val="005274D2"/>
    <w:rsid w:val="005308CE"/>
    <w:rsid w:val="0053318C"/>
    <w:rsid w:val="0054535F"/>
    <w:rsid w:val="00552CE5"/>
    <w:rsid w:val="0057439C"/>
    <w:rsid w:val="005951F2"/>
    <w:rsid w:val="005960FA"/>
    <w:rsid w:val="005B0127"/>
    <w:rsid w:val="005B7A35"/>
    <w:rsid w:val="005C4B73"/>
    <w:rsid w:val="005C792B"/>
    <w:rsid w:val="005E1D2B"/>
    <w:rsid w:val="005E7074"/>
    <w:rsid w:val="005F2BAF"/>
    <w:rsid w:val="00600D93"/>
    <w:rsid w:val="006179DF"/>
    <w:rsid w:val="00626BEA"/>
    <w:rsid w:val="0063300C"/>
    <w:rsid w:val="00651A5B"/>
    <w:rsid w:val="00655736"/>
    <w:rsid w:val="00663B8D"/>
    <w:rsid w:val="00696C8D"/>
    <w:rsid w:val="006A2AC2"/>
    <w:rsid w:val="006A3617"/>
    <w:rsid w:val="006B4452"/>
    <w:rsid w:val="006E46E4"/>
    <w:rsid w:val="006E4D6D"/>
    <w:rsid w:val="006E75EB"/>
    <w:rsid w:val="00717DA5"/>
    <w:rsid w:val="00720953"/>
    <w:rsid w:val="007333D0"/>
    <w:rsid w:val="00744484"/>
    <w:rsid w:val="00747566"/>
    <w:rsid w:val="00773188"/>
    <w:rsid w:val="00783782"/>
    <w:rsid w:val="00784B8C"/>
    <w:rsid w:val="007879E1"/>
    <w:rsid w:val="007D6A3D"/>
    <w:rsid w:val="007E57AA"/>
    <w:rsid w:val="00810975"/>
    <w:rsid w:val="00823A11"/>
    <w:rsid w:val="00840A87"/>
    <w:rsid w:val="0085405E"/>
    <w:rsid w:val="0085414A"/>
    <w:rsid w:val="00857EB9"/>
    <w:rsid w:val="0086269D"/>
    <w:rsid w:val="0086543A"/>
    <w:rsid w:val="008724E5"/>
    <w:rsid w:val="008765C9"/>
    <w:rsid w:val="00884A9D"/>
    <w:rsid w:val="00885120"/>
    <w:rsid w:val="0088512B"/>
    <w:rsid w:val="008A2B2D"/>
    <w:rsid w:val="008A4E1E"/>
    <w:rsid w:val="008A6458"/>
    <w:rsid w:val="008C296C"/>
    <w:rsid w:val="008D4305"/>
    <w:rsid w:val="008E1A85"/>
    <w:rsid w:val="008E344F"/>
    <w:rsid w:val="008E4DBF"/>
    <w:rsid w:val="009163A7"/>
    <w:rsid w:val="00936B4F"/>
    <w:rsid w:val="00937D53"/>
    <w:rsid w:val="00946D0B"/>
    <w:rsid w:val="00955877"/>
    <w:rsid w:val="00962034"/>
    <w:rsid w:val="0098701E"/>
    <w:rsid w:val="009A18CD"/>
    <w:rsid w:val="009B4E8E"/>
    <w:rsid w:val="009D5428"/>
    <w:rsid w:val="009E4E68"/>
    <w:rsid w:val="00A12558"/>
    <w:rsid w:val="00A13903"/>
    <w:rsid w:val="00A24530"/>
    <w:rsid w:val="00A32FB2"/>
    <w:rsid w:val="00A34ED5"/>
    <w:rsid w:val="00A45BDC"/>
    <w:rsid w:val="00A45DBF"/>
    <w:rsid w:val="00A655E1"/>
    <w:rsid w:val="00A725CF"/>
    <w:rsid w:val="00A755A2"/>
    <w:rsid w:val="00A8229D"/>
    <w:rsid w:val="00A91430"/>
    <w:rsid w:val="00AA42EC"/>
    <w:rsid w:val="00AA590D"/>
    <w:rsid w:val="00AA6660"/>
    <w:rsid w:val="00AB2C36"/>
    <w:rsid w:val="00AB6DDE"/>
    <w:rsid w:val="00AB70B6"/>
    <w:rsid w:val="00AC18C1"/>
    <w:rsid w:val="00AD1A86"/>
    <w:rsid w:val="00AD5C46"/>
    <w:rsid w:val="00AE103E"/>
    <w:rsid w:val="00AF0A07"/>
    <w:rsid w:val="00AF4AEC"/>
    <w:rsid w:val="00AF625E"/>
    <w:rsid w:val="00B139BE"/>
    <w:rsid w:val="00B2172B"/>
    <w:rsid w:val="00B34428"/>
    <w:rsid w:val="00B4411E"/>
    <w:rsid w:val="00B754C5"/>
    <w:rsid w:val="00B917D2"/>
    <w:rsid w:val="00B97EB3"/>
    <w:rsid w:val="00BA241A"/>
    <w:rsid w:val="00BB04AF"/>
    <w:rsid w:val="00BB1EF6"/>
    <w:rsid w:val="00BB6EEC"/>
    <w:rsid w:val="00BD52C9"/>
    <w:rsid w:val="00BE6354"/>
    <w:rsid w:val="00C138D1"/>
    <w:rsid w:val="00C23A97"/>
    <w:rsid w:val="00C52EBE"/>
    <w:rsid w:val="00C54341"/>
    <w:rsid w:val="00C5776D"/>
    <w:rsid w:val="00C64855"/>
    <w:rsid w:val="00C70EA7"/>
    <w:rsid w:val="00C7433F"/>
    <w:rsid w:val="00C7516E"/>
    <w:rsid w:val="00C75770"/>
    <w:rsid w:val="00C85292"/>
    <w:rsid w:val="00C97205"/>
    <w:rsid w:val="00CA56BB"/>
    <w:rsid w:val="00CB0542"/>
    <w:rsid w:val="00CE10AC"/>
    <w:rsid w:val="00D00B2B"/>
    <w:rsid w:val="00D24877"/>
    <w:rsid w:val="00D41774"/>
    <w:rsid w:val="00D5195B"/>
    <w:rsid w:val="00D63318"/>
    <w:rsid w:val="00D7105A"/>
    <w:rsid w:val="00D8250F"/>
    <w:rsid w:val="00D86BB3"/>
    <w:rsid w:val="00D95C4C"/>
    <w:rsid w:val="00DA3552"/>
    <w:rsid w:val="00DA36ED"/>
    <w:rsid w:val="00DB6E6F"/>
    <w:rsid w:val="00DC49CB"/>
    <w:rsid w:val="00DE34F1"/>
    <w:rsid w:val="00DE6160"/>
    <w:rsid w:val="00DF4942"/>
    <w:rsid w:val="00E2125F"/>
    <w:rsid w:val="00E244E1"/>
    <w:rsid w:val="00E2643B"/>
    <w:rsid w:val="00E4150C"/>
    <w:rsid w:val="00E627B1"/>
    <w:rsid w:val="00E70169"/>
    <w:rsid w:val="00E9376C"/>
    <w:rsid w:val="00E95AE2"/>
    <w:rsid w:val="00EA0CC2"/>
    <w:rsid w:val="00EA335E"/>
    <w:rsid w:val="00EA528C"/>
    <w:rsid w:val="00EA580C"/>
    <w:rsid w:val="00EC6F8D"/>
    <w:rsid w:val="00ED39B2"/>
    <w:rsid w:val="00EE49F4"/>
    <w:rsid w:val="00EF34E2"/>
    <w:rsid w:val="00F30DC6"/>
    <w:rsid w:val="00F31F96"/>
    <w:rsid w:val="00F32C23"/>
    <w:rsid w:val="00F53DE9"/>
    <w:rsid w:val="00F576CB"/>
    <w:rsid w:val="00F7035D"/>
    <w:rsid w:val="00F70CC5"/>
    <w:rsid w:val="00F71A02"/>
    <w:rsid w:val="00F937B2"/>
    <w:rsid w:val="00FA0C04"/>
    <w:rsid w:val="00FA0D63"/>
    <w:rsid w:val="00FC730C"/>
    <w:rsid w:val="00FD1226"/>
    <w:rsid w:val="00FD4BC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ru-RU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13C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13C4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F51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51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51D0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51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51D0"/>
    <w:rPr>
      <w:rFonts w:ascii="Times New Roman" w:eastAsia="Times New Roman" w:hAnsi="Times New Roman"/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E4D6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E4D6D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6E4D6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937B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37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E10AC"/>
    <w:rPr>
      <w:rFonts w:ascii="Times New Roman" w:eastAsia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55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07003-RU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07003-RU.doc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h.unesco.org/doc/src/LHE-22-9.GA-Resolutions-RU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462</TotalTime>
  <Pages>3</Pages>
  <Words>893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 Glenat, Keiichi Julien</cp:lastModifiedBy>
  <cp:revision>70</cp:revision>
  <cp:lastPrinted>2011-08-06T10:22:00Z</cp:lastPrinted>
  <dcterms:created xsi:type="dcterms:W3CDTF">2020-04-15T10:53:00Z</dcterms:created>
  <dcterms:modified xsi:type="dcterms:W3CDTF">2024-05-13T11:13:00Z</dcterms:modified>
</cp:coreProperties>
</file>