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E36E" w14:textId="19CA79FD" w:rsidR="00EC6F8D" w:rsidRPr="00BB6EEC" w:rsidRDefault="00EC6F8D" w:rsidP="00D217E3">
      <w:pPr>
        <w:widowControl w:val="0"/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КОНВЕНЦИЯ ОБ ОХРАНЕ </w:t>
      </w:r>
      <w:r w:rsidR="000A373F">
        <w:rPr>
          <w:rFonts w:ascii="Arial" w:hAnsi="Arial"/>
          <w:b/>
          <w:sz w:val="22"/>
        </w:rPr>
        <w:br/>
      </w:r>
      <w:r>
        <w:rPr>
          <w:rFonts w:ascii="Arial" w:hAnsi="Arial"/>
          <w:b/>
          <w:sz w:val="22"/>
        </w:rPr>
        <w:t>НЕМАТЕРИАЛЬНОГО КУЛЬТУРНОГО НАСЛЕДИЯ</w:t>
      </w:r>
    </w:p>
    <w:p w14:paraId="3F72B1D3" w14:textId="75E209D9" w:rsidR="00EC6F8D" w:rsidRPr="00BB6EEC" w:rsidRDefault="005C792B" w:rsidP="00D217E3">
      <w:pPr>
        <w:widowControl w:val="0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ГЕНЕРАЛЬНАЯ АССАМБЛЕЯ ГОСУДАРСТВ</w:t>
      </w:r>
      <w:r w:rsidR="000A373F" w:rsidRPr="002402C9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/>
          <w:b/>
          <w:sz w:val="22"/>
        </w:rPr>
        <w:t>УЧАСТНИКОВ КОНВЕНЦИИ</w:t>
      </w:r>
    </w:p>
    <w:p w14:paraId="2E1CD4B4" w14:textId="1F59B9D4" w:rsidR="00EC6F8D" w:rsidRPr="00BB6EEC" w:rsidRDefault="005C792B" w:rsidP="00D217E3">
      <w:pPr>
        <w:widowControl w:val="0"/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Десятая сессия</w:t>
      </w:r>
    </w:p>
    <w:p w14:paraId="1FD89575" w14:textId="05D2C62D" w:rsidR="00B2172B" w:rsidRPr="00BB6EEC" w:rsidRDefault="005C792B" w:rsidP="00D217E3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Штаб-квартира ЮНЕСКО, зал I</w:t>
      </w:r>
    </w:p>
    <w:p w14:paraId="52EA6D50" w14:textId="0C68D394" w:rsidR="00B2172B" w:rsidRPr="000A373F" w:rsidRDefault="0054535F" w:rsidP="00D217E3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/>
          <w:b/>
          <w:sz w:val="22"/>
        </w:rPr>
        <w:t>11</w:t>
      </w:r>
      <w:r w:rsidR="000A373F" w:rsidRPr="00B17B1A">
        <w:rPr>
          <w:rFonts w:ascii="Arial" w:hAnsi="Arial"/>
          <w:b/>
          <w:sz w:val="22"/>
        </w:rPr>
        <w:t xml:space="preserve"> </w:t>
      </w:r>
      <w:r w:rsidR="00B17B1A" w:rsidRPr="00EA0225">
        <w:rPr>
          <w:rFonts w:ascii="Arial" w:hAnsi="Arial" w:cs="Arial"/>
          <w:b/>
          <w:sz w:val="22"/>
          <w:szCs w:val="22"/>
        </w:rPr>
        <w:t>–</w:t>
      </w:r>
      <w:r w:rsidR="000A373F" w:rsidRPr="00B17B1A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1</w:t>
      </w:r>
      <w:r w:rsidR="00415EF4" w:rsidRPr="00D53F57">
        <w:rPr>
          <w:rFonts w:ascii="Arial" w:hAnsi="Arial"/>
          <w:b/>
          <w:sz w:val="22"/>
        </w:rPr>
        <w:t>2</w:t>
      </w:r>
      <w:proofErr w:type="gramEnd"/>
      <w:r>
        <w:rPr>
          <w:rFonts w:ascii="Arial" w:hAnsi="Arial"/>
          <w:b/>
          <w:sz w:val="22"/>
        </w:rPr>
        <w:t xml:space="preserve"> июня 2024 г</w:t>
      </w:r>
      <w:r w:rsidR="000A373F" w:rsidRPr="000A373F">
        <w:rPr>
          <w:rFonts w:ascii="Arial" w:hAnsi="Arial"/>
          <w:b/>
          <w:sz w:val="22"/>
        </w:rPr>
        <w:t>.</w:t>
      </w:r>
    </w:p>
    <w:p w14:paraId="0365203A" w14:textId="7B7158B1" w:rsidR="00EC6F8D" w:rsidRPr="00BB6EEC" w:rsidRDefault="00EC6F8D" w:rsidP="00D217E3">
      <w:pPr>
        <w:pStyle w:val="Sansinterligne2"/>
        <w:widowControl w:val="0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u w:val="single"/>
        </w:rPr>
        <w:t>Пункт 8 предварительной повестки дня</w:t>
      </w:r>
      <w:r>
        <w:rPr>
          <w:rFonts w:ascii="Arial" w:hAnsi="Arial"/>
          <w:b/>
          <w:sz w:val="22"/>
        </w:rPr>
        <w:t>:</w:t>
      </w:r>
    </w:p>
    <w:p w14:paraId="59920478" w14:textId="13C29112" w:rsidR="004A2875" w:rsidRPr="00BB6EEC" w:rsidRDefault="000F2A9F" w:rsidP="00D217E3">
      <w:pPr>
        <w:pStyle w:val="Sansinterligne2"/>
        <w:widowControl w:val="0"/>
        <w:spacing w:after="96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  <w:sz w:val="22"/>
        </w:rPr>
        <w:t>Использование средств Фонда нематериального культурного наследия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91798E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51C260A9" w14:textId="3A272D70" w:rsidR="00EC6F8D" w:rsidRPr="00BB6EEC" w:rsidRDefault="000A373F" w:rsidP="00D217E3">
            <w:pPr>
              <w:pStyle w:val="Sansinterligne1"/>
              <w:widowControl w:val="0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631">
              <w:rPr>
                <w:rFonts w:ascii="Arial" w:hAnsi="Arial"/>
                <w:b/>
                <w:sz w:val="22"/>
              </w:rPr>
              <w:t>Содержание</w:t>
            </w:r>
          </w:p>
          <w:p w14:paraId="612E5DE6" w14:textId="6D7040A7" w:rsidR="00BB6EEC" w:rsidRPr="00BB6EEC" w:rsidRDefault="00EB0759" w:rsidP="00D217E3">
            <w:pPr>
              <w:pStyle w:val="Sansinterligne1"/>
              <w:widowControl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Статья 7(c) Конвенции предусматривает, что Комитет готовит и представляет на утверждение Генеральной Ассамблеи проект плана использования средств Фонда. В данном документе представлен проект плана, рекомендованный Комитетом на период </w:t>
            </w:r>
            <w:proofErr w:type="gramStart"/>
            <w:r>
              <w:rPr>
                <w:rFonts w:ascii="Arial" w:hAnsi="Arial"/>
                <w:sz w:val="22"/>
              </w:rPr>
              <w:t>2024-2025</w:t>
            </w:r>
            <w:proofErr w:type="gramEnd"/>
            <w:r>
              <w:rPr>
                <w:rFonts w:ascii="Arial" w:hAnsi="Arial"/>
                <w:sz w:val="22"/>
              </w:rPr>
              <w:t xml:space="preserve"> годов и на первое полугодие 2026 года. </w:t>
            </w:r>
          </w:p>
          <w:p w14:paraId="290310E8" w14:textId="3B3F48CF" w:rsidR="00EC6F8D" w:rsidRPr="00BB6EEC" w:rsidRDefault="00EC6F8D" w:rsidP="00D217E3">
            <w:pPr>
              <w:pStyle w:val="Sansinterligne2"/>
              <w:widowControl w:val="0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Требуемое решение: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53F57">
              <w:rPr>
                <w:rFonts w:ascii="Arial" w:hAnsi="Arial"/>
                <w:sz w:val="22"/>
              </w:rPr>
              <w:t>параграф 33</w:t>
            </w:r>
          </w:p>
        </w:tc>
      </w:tr>
    </w:tbl>
    <w:p w14:paraId="6F51C9F2" w14:textId="77777777" w:rsidR="005C10E6" w:rsidRDefault="005C10E6" w:rsidP="00D217E3">
      <w:pPr>
        <w:widowControl w:val="0"/>
        <w:rPr>
          <w:rFonts w:asciiTheme="minorBidi" w:hAnsiTheme="minorBidi" w:cstheme="minorBidi"/>
          <w:b/>
          <w:bCs/>
          <w:sz w:val="22"/>
          <w:szCs w:val="22"/>
        </w:rPr>
      </w:pPr>
      <w:bookmarkStart w:id="0" w:name="_Hlk124351255"/>
      <w:r>
        <w:br w:type="page"/>
      </w:r>
    </w:p>
    <w:p w14:paraId="6C62585F" w14:textId="6A62E756" w:rsidR="00F70CC5" w:rsidRPr="00CA4765" w:rsidRDefault="00FD4BC8" w:rsidP="00D217E3">
      <w:pPr>
        <w:pStyle w:val="Paragraphedeliste"/>
        <w:widowControl w:val="0"/>
        <w:spacing w:after="240"/>
        <w:ind w:left="0"/>
        <w:contextualSpacing w:val="0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/>
          <w:b/>
          <w:sz w:val="22"/>
        </w:rPr>
        <w:lastRenderedPageBreak/>
        <w:t>История вопроса</w:t>
      </w:r>
    </w:p>
    <w:bookmarkEnd w:id="0"/>
    <w:p w14:paraId="5C1BBF4E" w14:textId="2C8982E3" w:rsidR="00A60F7E" w:rsidRPr="00D53F57" w:rsidRDefault="00A60F7E" w:rsidP="00D217E3">
      <w:pPr>
        <w:pStyle w:val="GAPara"/>
        <w:widowControl w:val="0"/>
        <w:numPr>
          <w:ilvl w:val="0"/>
          <w:numId w:val="23"/>
        </w:numPr>
        <w:ind w:left="567" w:hanging="567"/>
        <w:jc w:val="both"/>
      </w:pPr>
      <w:r w:rsidRPr="00415EF4">
        <w:t>Статья 7 (c) Конвенции</w:t>
      </w:r>
      <w:r>
        <w:t xml:space="preserve"> требует, чтобы Комитет "подготовил и представил на утверждение Генеральной ассамблеи проект плана использования средств Фонда [Нематериального культурного наследия] [Специальный счет (далее "Фонд")] в соответствии со статьей 25 Конвенции". Проект плана (далее "План"), представленный Комитетом в соответствии с его решением </w:t>
      </w:r>
      <w:hyperlink r:id="rId8" w:history="1">
        <w:r>
          <w:rPr>
            <w:rStyle w:val="Lienhypertexte"/>
          </w:rPr>
          <w:t>18.COM 14</w:t>
        </w:r>
      </w:hyperlink>
      <w:r>
        <w:t xml:space="preserve"> и прилагаемый к настоящему документу, был подготовлен в соответствии с руководящими принципами, изложенными в главе II.1 </w:t>
      </w:r>
      <w:hyperlink r:id="rId9" w:history="1">
        <w:r>
          <w:rPr>
            <w:rStyle w:val="Lienhypertexte"/>
          </w:rPr>
          <w:t>Оперативного руководства</w:t>
        </w:r>
      </w:hyperlink>
      <w:r>
        <w:t xml:space="preserve"> и на основе опыта осуществления Плана в предыдущие двухлетние периоды. Описательный и финансовый отчет за период с 1 января 2022 года по 31 декабря 2023 года, как того требует статья 10 Финансовых положений Фонда, представлен в документе </w:t>
      </w:r>
      <w:hyperlink r:id="rId10" w:history="1">
        <w:r w:rsidRPr="00D53F57">
          <w:rPr>
            <w:rStyle w:val="Lienhypertexte"/>
          </w:rPr>
          <w:t>LHE/24/10.GA/INF.8</w:t>
        </w:r>
      </w:hyperlink>
      <w:r w:rsidR="00415EF4" w:rsidRPr="00D53F57">
        <w:t>.</w:t>
      </w:r>
    </w:p>
    <w:p w14:paraId="787ACD7D" w14:textId="31CACB31" w:rsidR="00AA2D7A" w:rsidRPr="00557EBD" w:rsidRDefault="00AA2D7A" w:rsidP="00D217E3">
      <w:pPr>
        <w:pStyle w:val="GAPara"/>
        <w:widowControl w:val="0"/>
        <w:numPr>
          <w:ilvl w:val="0"/>
          <w:numId w:val="23"/>
        </w:numPr>
        <w:ind w:left="567" w:hanging="567"/>
        <w:jc w:val="both"/>
      </w:pPr>
      <w:r>
        <w:t xml:space="preserve">В соответствии со статьей 2 Положения о финансах Фонда, "финансовым периодом для бюджетной сметы являются два последовательных календарных года, начиная с четного года". Однако Генеральная ассамблея государств-участников Конвенции собирается на очередную сессию по четным годам, примерно через шесть месяцев после начала календарного года. Поэтому нынешней сессии Ассамблеи предлагается утвердить План на период с 1 января 2024 года по 31 декабря 2025 года и, на предварительной основе, на первые шесть месяцев следующего финансового периода, т.е. с 1 января 2026 года по 30 июня 2026 года. Предварительный бюджет на первое полугодие 2024 года, принятый девятой сессией Генеральной Ассамблеи (резолюция </w:t>
      </w:r>
      <w:hyperlink r:id="rId11" w:history="1">
        <w:r>
          <w:rPr>
            <w:rStyle w:val="Lienhypertexte"/>
          </w:rPr>
          <w:t>9.GA 10</w:t>
        </w:r>
      </w:hyperlink>
      <w:r>
        <w:t>), в свою очередь, будет заменен настоящим Планом после его принятия на текущей сессии Генеральной Ассамблеи.</w:t>
      </w:r>
    </w:p>
    <w:p w14:paraId="47055CF1" w14:textId="321BE9E0" w:rsidR="00AA2D7A" w:rsidRPr="00557EBD" w:rsidRDefault="00AA2D7A" w:rsidP="00D217E3">
      <w:pPr>
        <w:pStyle w:val="COMPara"/>
        <w:widowControl w:val="0"/>
        <w:numPr>
          <w:ilvl w:val="0"/>
          <w:numId w:val="23"/>
        </w:numPr>
        <w:tabs>
          <w:tab w:val="left" w:pos="567"/>
        </w:tabs>
        <w:ind w:left="567" w:hanging="567"/>
        <w:jc w:val="both"/>
        <w:rPr>
          <w:bCs/>
        </w:rPr>
      </w:pPr>
      <w:r>
        <w:t>Предлагается, чтобы Генеральная Ассамблея распределяла средства по каждой статье не в абсолютных цифрах, а в процентах от общего объема имеющихся ресурсов. Это позволит в случае необходимости распределять начисленные взносы, полученные в течение двухлетнего периода, по каждой статье бюджета в соответствии с утвержденными процентными соотношениями. Таким образом, Комитет сможет использовать любые значительные неограниченные добровольные дополнительные взносы (как описано в статье 27), которые могут быть зачислены в Фонд в течение двухлетнего периода. В то же время предлагается, чтобы Генеральная Ассамблея, как она делала это на своих предыдущих сессиях, уполномочила Комитет немедленно использовать любые такие взносы после их получения в соответствии с процентными долями, установленными в Плане.</w:t>
      </w:r>
    </w:p>
    <w:p w14:paraId="478F425E" w14:textId="363ED262" w:rsidR="00AA2D7A" w:rsidRPr="00912A06" w:rsidRDefault="00AA2D7A" w:rsidP="00D217E3">
      <w:pPr>
        <w:pStyle w:val="COMPara"/>
        <w:widowControl w:val="0"/>
        <w:numPr>
          <w:ilvl w:val="0"/>
          <w:numId w:val="23"/>
        </w:numPr>
        <w:tabs>
          <w:tab w:val="left" w:pos="567"/>
        </w:tabs>
        <w:ind w:left="567" w:hanging="567"/>
        <w:jc w:val="both"/>
      </w:pPr>
      <w:r>
        <w:t>Кроме того, Генеральной Ассамблее предлагается уполномочить Комитет незамедлительно использовать взносы, связанные с конкретными проектами, при условии, что они относятся к двум приоритетам финансирования, утвержденным Комитетом на период 2022-2025 годов (решение </w:t>
      </w:r>
      <w:hyperlink r:id="rId12" w:history="1">
        <w:r>
          <w:rPr>
            <w:rStyle w:val="Lienhypertexte"/>
          </w:rPr>
          <w:t>16.COM 12</w:t>
        </w:r>
      </w:hyperlink>
      <w:r>
        <w:t xml:space="preserve">): "Укрепление потенциала в области охраны нематериального культурного наследия с использованием мультимодальных подходов и содействие устойчивому развитию" и "Охрана нематериального культурного наследия в формальном и неформальном образовании". Список таких взносов, а также других добровольных дополнительных взносов и доноров можно найти в информационном документе </w:t>
      </w:r>
      <w:hyperlink r:id="rId13" w:history="1">
        <w:r w:rsidRPr="00D53F57">
          <w:rPr>
            <w:rStyle w:val="Lienhypertexte"/>
          </w:rPr>
          <w:t>LHE/24/10.GA/INF.8</w:t>
        </w:r>
        <w:r w:rsidRPr="003F4227">
          <w:rPr>
            <w:rStyle w:val="Lienhypertexte"/>
            <w:color w:val="auto"/>
            <w:u w:val="none"/>
          </w:rPr>
          <w:t>.</w:t>
        </w:r>
      </w:hyperlink>
    </w:p>
    <w:p w14:paraId="2099EB25" w14:textId="25E020E4" w:rsidR="00994671" w:rsidRPr="005F6407" w:rsidRDefault="00994671" w:rsidP="00D217E3">
      <w:pPr>
        <w:pStyle w:val="GAPara"/>
        <w:widowControl w:val="0"/>
        <w:numPr>
          <w:ilvl w:val="0"/>
          <w:numId w:val="23"/>
        </w:numPr>
        <w:ind w:left="567" w:hanging="567"/>
        <w:jc w:val="both"/>
      </w:pPr>
      <w:r>
        <w:t xml:space="preserve">Сначала в настоящем документе приводится обзор состояния Фонда и текущих тенденций, включая обновленную информацию о субфонде для укрепления людских ресурсов Секретариата (Часть I). Затем представлен предлагаемый план использования средств Фонда на период </w:t>
      </w:r>
      <w:proofErr w:type="gramStart"/>
      <w:r>
        <w:t>2024-2025</w:t>
      </w:r>
      <w:proofErr w:type="gramEnd"/>
      <w:r>
        <w:t xml:space="preserve"> гг. с обоснованием каждой бюджетной статьи (Часть II).</w:t>
      </w:r>
    </w:p>
    <w:p w14:paraId="123B6521" w14:textId="05CD314D" w:rsidR="00F70CC5" w:rsidRPr="00BB6EEC" w:rsidRDefault="00994671" w:rsidP="00850007">
      <w:pPr>
        <w:pStyle w:val="Titre4"/>
        <w:keepNext w:val="0"/>
        <w:keepLines w:val="0"/>
        <w:widowControl w:val="0"/>
        <w:spacing w:before="240" w:after="120"/>
        <w:ind w:hanging="425"/>
      </w:pPr>
      <w:bookmarkStart w:id="1" w:name="PartI"/>
      <w:r>
        <w:t>СОСТОЯНИЕ И ТЕНДЕНЦИИ</w:t>
      </w:r>
    </w:p>
    <w:bookmarkEnd w:id="1"/>
    <w:p w14:paraId="6F8776EE" w14:textId="5DBD803D" w:rsidR="00994671" w:rsidRPr="00994671" w:rsidRDefault="00994671" w:rsidP="00D217E3">
      <w:pPr>
        <w:pStyle w:val="GAPara"/>
        <w:widowControl w:val="0"/>
        <w:numPr>
          <w:ilvl w:val="0"/>
          <w:numId w:val="23"/>
        </w:numPr>
        <w:ind w:left="567" w:hanging="567"/>
        <w:jc w:val="both"/>
      </w:pPr>
      <w:r>
        <w:t xml:space="preserve">На основе вышеупомянутого отчета за период с 1 января 2022 года по 31 декабря 2023 года (документ </w:t>
      </w:r>
      <w:hyperlink r:id="rId14" w:history="1">
        <w:r w:rsidRPr="00D53F57">
          <w:rPr>
            <w:rStyle w:val="Lienhypertexte"/>
          </w:rPr>
          <w:t>LHE/24/10.GA/INF.8</w:t>
        </w:r>
      </w:hyperlink>
      <w:r>
        <w:t xml:space="preserve">) и анализа тенденций, изложенных в документе </w:t>
      </w:r>
      <w:hyperlink r:id="rId15" w:history="1">
        <w:r>
          <w:rPr>
            <w:rStyle w:val="Lienhypertexte"/>
          </w:rPr>
          <w:t>LHE/23/18.COM/14</w:t>
        </w:r>
      </w:hyperlink>
      <w:r>
        <w:t>, в данном разделе описывается динамика расходов Фонда и начисленных взносов до 31 декабря 2023 года.</w:t>
      </w:r>
    </w:p>
    <w:p w14:paraId="1B04DA4D" w14:textId="09B65FA1" w:rsidR="00994671" w:rsidRPr="00994671" w:rsidRDefault="00994671" w:rsidP="00D217E3">
      <w:pPr>
        <w:pStyle w:val="COMPara"/>
        <w:widowControl w:val="0"/>
        <w:numPr>
          <w:ilvl w:val="0"/>
          <w:numId w:val="0"/>
        </w:numPr>
        <w:ind w:firstLine="567"/>
        <w:jc w:val="both"/>
        <w:rPr>
          <w:b/>
          <w:bCs/>
        </w:rPr>
      </w:pPr>
      <w:r>
        <w:rPr>
          <w:b/>
        </w:rPr>
        <w:lastRenderedPageBreak/>
        <w:t>Расходы</w:t>
      </w:r>
    </w:p>
    <w:p w14:paraId="7E88E733" w14:textId="081BE070" w:rsidR="00994671" w:rsidRDefault="00353518" w:rsidP="00D217E3">
      <w:pPr>
        <w:pStyle w:val="GAPara"/>
        <w:widowControl w:val="0"/>
        <w:numPr>
          <w:ilvl w:val="0"/>
          <w:numId w:val="23"/>
        </w:numPr>
        <w:ind w:left="567" w:hanging="567"/>
        <w:jc w:val="both"/>
      </w:pPr>
      <w:r>
        <w:t xml:space="preserve">Уровень расходов по последнему плану, утвержденному девятой сессией Генеральной Ассамблеи, представляет собой самый высокий показатель Фонда, который достигнет 73,2% по состоянию на 31 декабря 2023 года (52% в среднем за период с 2012 по 2023 год). Расходы составили 6,39 млн долларов США в двухлетнем периоде </w:t>
      </w:r>
      <w:proofErr w:type="gramStart"/>
      <w:r>
        <w:t>2022-2023</w:t>
      </w:r>
      <w:proofErr w:type="gramEnd"/>
      <w:r>
        <w:t xml:space="preserve"> годов по сравнению с 3,61 млн долларов США в двухлетнем периоде 2020-2021 годов (см. Рисунок 1).</w:t>
      </w:r>
    </w:p>
    <w:p w14:paraId="63087D81" w14:textId="77777777" w:rsidR="0008396B" w:rsidRPr="00D53F57" w:rsidRDefault="00502AAE" w:rsidP="00D217E3">
      <w:pPr>
        <w:pStyle w:val="COMPara"/>
        <w:widowControl w:val="0"/>
        <w:numPr>
          <w:ilvl w:val="0"/>
          <w:numId w:val="23"/>
        </w:numPr>
        <w:tabs>
          <w:tab w:val="left" w:pos="567"/>
        </w:tabs>
        <w:ind w:left="567" w:hanging="567"/>
        <w:jc w:val="both"/>
      </w:pPr>
      <w:r>
        <w:t xml:space="preserve">На графике ниже показано, что расходы (6,39 млн долларов США) значительно превысили обязательные взносы, начисленные на </w:t>
      </w:r>
      <w:proofErr w:type="gramStart"/>
      <w:r>
        <w:t>2022-2023</w:t>
      </w:r>
      <w:proofErr w:type="gramEnd"/>
      <w:r>
        <w:t xml:space="preserve"> годы в период с 1 января 2022 года по 31 декабря 2023 года (3,96 млн долларов США), которые являются крупнейшим источником дохода Фонда</w:t>
      </w:r>
      <w:r w:rsidR="0008396B">
        <w:rPr>
          <w:rStyle w:val="Appelnotedebasdep"/>
        </w:rPr>
        <w:footnoteReference w:id="1"/>
      </w:r>
      <w:r>
        <w:t>. Такое значительное увеличение расходов объясняется главным образом рядом позитивных событий, таких как: a) расширение возможностей государств-участников запрашивать международную помощь в сочетании с возросшей способностью Секретариата реагировать на потребности государств-участников и b) полное возобновление деятельности после двухлетнего периода 2020-2021 годов, отмеченного пандемией COVID-19, включая организацию очных предусмотренных регламентом совещаний, что привело к увеличению расходов, связанных с финансовой помощью участникам из развивающихся государств (</w:t>
      </w:r>
      <w:bookmarkStart w:id="2" w:name="_Hlk162009935"/>
      <w:r>
        <w:t xml:space="preserve">см. документы </w:t>
      </w:r>
      <w:hyperlink r:id="rId16" w:history="1">
        <w:r w:rsidRPr="00D53F57">
          <w:rPr>
            <w:rStyle w:val="Lienhypertexte"/>
          </w:rPr>
          <w:t>LHE/24/10.GA/INF.8</w:t>
        </w:r>
      </w:hyperlink>
      <w:r w:rsidRPr="00D53F57">
        <w:t xml:space="preserve"> </w:t>
      </w:r>
      <w:bookmarkEnd w:id="2"/>
      <w:r w:rsidRPr="00D53F57">
        <w:t xml:space="preserve">и </w:t>
      </w:r>
      <w:hyperlink r:id="rId17" w:history="1">
        <w:r w:rsidRPr="00D53F57">
          <w:rPr>
            <w:rStyle w:val="Lienhypertexte"/>
          </w:rPr>
          <w:t>LHE/24/10.GA/6</w:t>
        </w:r>
      </w:hyperlink>
      <w:r w:rsidRPr="00D53F57">
        <w:t>)</w:t>
      </w:r>
      <w:r w:rsidRPr="00415EF4">
        <w:t>.</w:t>
      </w:r>
    </w:p>
    <w:p w14:paraId="7FC2DA6C" w14:textId="284DE42E" w:rsidR="006C4FC1" w:rsidRDefault="00502AAE" w:rsidP="00D53F57">
      <w:pPr>
        <w:pStyle w:val="COMPara"/>
        <w:widowControl w:val="0"/>
        <w:numPr>
          <w:ilvl w:val="0"/>
          <w:numId w:val="0"/>
        </w:numPr>
        <w:tabs>
          <w:tab w:val="left" w:pos="567"/>
        </w:tabs>
        <w:ind w:left="720" w:hanging="360"/>
        <w:jc w:val="both"/>
      </w:pPr>
      <w:r>
        <w:t xml:space="preserve"> </w:t>
      </w:r>
      <w:r w:rsidR="0008396B">
        <w:rPr>
          <w:noProof/>
        </w:rPr>
        <w:drawing>
          <wp:inline distT="0" distB="0" distL="0" distR="0" wp14:anchorId="1E285ACD" wp14:editId="099311FA">
            <wp:extent cx="5670911" cy="3456000"/>
            <wp:effectExtent l="0" t="0" r="6350" b="0"/>
            <wp:docPr id="511136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911" cy="34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AC01B" w14:textId="3AB44031" w:rsidR="00994671" w:rsidRDefault="00B713BE" w:rsidP="00D217E3">
      <w:pPr>
        <w:pStyle w:val="GAPara"/>
        <w:widowControl w:val="0"/>
        <w:jc w:val="both"/>
      </w:pPr>
      <w:r>
        <w:rPr>
          <w:noProof/>
          <w:sz w:val="24"/>
        </w:rPr>
        <mc:AlternateContent>
          <mc:Choice Requires="wps">
            <w:drawing>
              <wp:inline distT="0" distB="0" distL="0" distR="0" wp14:anchorId="300F6235" wp14:editId="59374CE4">
                <wp:extent cx="5756275" cy="241300"/>
                <wp:effectExtent l="0" t="0" r="0" b="0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1C055" w14:textId="77777777" w:rsidR="00B713BE" w:rsidRPr="00557EBD" w:rsidRDefault="00B713BE" w:rsidP="00B713BE">
                            <w:pPr>
                              <w:spacing w:after="120"/>
                              <w:ind w:right="20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Рисунок 1: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Динамика расходов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0F6235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width:453.2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oH9AEAAMoDAAAOAAAAZHJzL2Uyb0RvYy54bWysU9uO0zAQfUfiHyy/06Sl3ULUdLV0VYS0&#10;XKSFD3AcJ7FwPGbsNilfz9jpdqvlDZEHy+Oxz8w5c7K5HXvDjgq9Blvy+SznTFkJtbZtyX983795&#10;x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" stroked="f">
                <v:textbox>
                  <w:txbxContent>
                    <w:p w14:paraId="7CE1C055" w14:textId="77777777" w:rsidR="00B713BE" w:rsidRPr="00557EBD" w:rsidRDefault="00B713BE" w:rsidP="00B713BE">
                      <w:pPr>
                        <w:spacing w:after="120"/>
                        <w:ind w:right="201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Рисунок 1: </w:t>
                      </w:r>
                      <w:r>
                        <w:rPr>
                          <w:rFonts w:ascii="Arial" w:hAnsi="Arial"/>
                          <w:sz w:val="16"/>
                        </w:rPr>
                        <w:t>Динамика расходов Фонда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671CC8" w14:textId="5857BB91" w:rsidR="00994671" w:rsidRPr="00994671" w:rsidRDefault="00994671" w:rsidP="00D217E3">
      <w:pPr>
        <w:pStyle w:val="GAPara"/>
        <w:widowControl w:val="0"/>
        <w:ind w:left="0" w:firstLine="567"/>
        <w:jc w:val="both"/>
        <w:rPr>
          <w:b/>
          <w:bCs/>
        </w:rPr>
      </w:pPr>
      <w:r>
        <w:rPr>
          <w:b/>
        </w:rPr>
        <w:t xml:space="preserve">Международная помощь </w:t>
      </w:r>
    </w:p>
    <w:p w14:paraId="5FB9724C" w14:textId="42A65ED3" w:rsidR="00912587" w:rsidRPr="00912587" w:rsidRDefault="0008396B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 w:rsidRPr="0008396B">
        <w:t xml:space="preserve">В течение предыдущего двухлетнего периода </w:t>
      </w:r>
      <w:proofErr w:type="gramStart"/>
      <w:r w:rsidRPr="0008396B">
        <w:t>2022-2023</w:t>
      </w:r>
      <w:proofErr w:type="gramEnd"/>
      <w:r w:rsidRPr="0008396B">
        <w:t xml:space="preserve"> годов государства-участники значительно чаще использовали механизмы международной помощи. На рисунке 2 (ниже) показано увеличение использования средств, предназначенных для механизмов международной помощи, соответствующих бюджетным статьям 1, 1.1 и 2. Уровень расходов по этим трем объединенным статьям бюджета достиг 71 % по сравнению с 44 % в двухлетнем периоде </w:t>
      </w:r>
      <w:proofErr w:type="gramStart"/>
      <w:r w:rsidRPr="0008396B">
        <w:t>2020-2021</w:t>
      </w:r>
      <w:proofErr w:type="gramEnd"/>
      <w:r w:rsidRPr="0008396B">
        <w:t xml:space="preserve"> гг. В основном это связано с:</w:t>
      </w:r>
    </w:p>
    <w:p w14:paraId="322AED2E" w14:textId="44A22E72" w:rsidR="00912587" w:rsidRPr="007B08F9" w:rsidRDefault="00AB257B" w:rsidP="00D217E3">
      <w:pPr>
        <w:pStyle w:val="COMPara"/>
        <w:widowControl w:val="0"/>
        <w:numPr>
          <w:ilvl w:val="2"/>
          <w:numId w:val="26"/>
        </w:numPr>
        <w:ind w:left="1134" w:hanging="283"/>
        <w:jc w:val="both"/>
        <w:rPr>
          <w:bCs/>
        </w:rPr>
      </w:pPr>
      <w:r>
        <w:t xml:space="preserve">увеличением числа заявок на международную помощь, утвержденных Комитетом </w:t>
      </w:r>
      <w:r>
        <w:lastRenderedPageBreak/>
        <w:t>и его Бюро: двадцать девять заявок утверждены на период с 1 января 2022 года по 31 декабря 2023 года. Он включает тринадцать проектов в Африканском регионе (51% от общего объема средств, предоставленных в течение двухлетнего периода) и пять проектов с участием шести малых островных развивающихся государств (21% от общего объема предоставленных средств),</w:t>
      </w:r>
    </w:p>
    <w:p w14:paraId="0E4574FD" w14:textId="39816925" w:rsidR="00912587" w:rsidRDefault="00AB257B" w:rsidP="00D217E3">
      <w:pPr>
        <w:pStyle w:val="COMPara"/>
        <w:widowControl w:val="0"/>
        <w:numPr>
          <w:ilvl w:val="2"/>
          <w:numId w:val="26"/>
        </w:numPr>
        <w:ind w:left="1134" w:hanging="283"/>
        <w:jc w:val="both"/>
        <w:rPr>
          <w:bCs/>
        </w:rPr>
      </w:pPr>
      <w:r>
        <w:t xml:space="preserve">предварительной работой Секретариата, в частности, путем предоставления технической поддержки государствам-участникам в процессе разработки (все запросы, рассмотренные Комитетом и его Президиумом, были одобрены) и, </w:t>
      </w:r>
    </w:p>
    <w:p w14:paraId="2FC03D07" w14:textId="6F94CEE5" w:rsidR="00AD336E" w:rsidRDefault="00AB257B" w:rsidP="00D217E3">
      <w:pPr>
        <w:pStyle w:val="COMPara"/>
        <w:widowControl w:val="0"/>
        <w:numPr>
          <w:ilvl w:val="2"/>
          <w:numId w:val="26"/>
        </w:numPr>
        <w:ind w:left="1134" w:hanging="283"/>
        <w:jc w:val="both"/>
        <w:rPr>
          <w:bCs/>
        </w:rPr>
      </w:pPr>
      <w:r>
        <w:t xml:space="preserve">более активным использованием государствами-участниками технической помощи для разработки и пересмотра своих запросов (в течение двухлетнего периода девять государств-участников получили поддержку экспертов). </w:t>
      </w:r>
    </w:p>
    <w:p w14:paraId="5D21A807" w14:textId="78C4CC88" w:rsidR="00AB257B" w:rsidRPr="003118BE" w:rsidRDefault="000210C0" w:rsidP="00D217E3">
      <w:pPr>
        <w:pStyle w:val="COMPara"/>
        <w:widowControl w:val="0"/>
        <w:numPr>
          <w:ilvl w:val="0"/>
          <w:numId w:val="0"/>
        </w:numPr>
        <w:ind w:left="567"/>
        <w:jc w:val="both"/>
      </w:pPr>
      <w:r>
        <w:t xml:space="preserve">Подробный отчет о реализации механизмов международной помощи можно найти в документе </w:t>
      </w:r>
      <w:hyperlink r:id="rId19" w:history="1">
        <w:r>
          <w:rPr>
            <w:rStyle w:val="Lienhypertexte"/>
          </w:rPr>
          <w:t>LHE/23/18.COM/10</w:t>
        </w:r>
      </w:hyperlink>
      <w:r>
        <w:t>.</w:t>
      </w:r>
    </w:p>
    <w:p w14:paraId="03AC7CCA" w14:textId="512C5E6A" w:rsidR="00994671" w:rsidRDefault="00A84B1A" w:rsidP="00D217E3">
      <w:pPr>
        <w:pStyle w:val="GAPara"/>
        <w:widowControl w:val="0"/>
        <w:ind w:left="142" w:firstLine="0"/>
        <w:jc w:val="center"/>
      </w:pPr>
      <w:r>
        <w:rPr>
          <w:noProof/>
        </w:rPr>
        <w:drawing>
          <wp:inline distT="0" distB="0" distL="0" distR="0" wp14:anchorId="39981753" wp14:editId="2282A8D1">
            <wp:extent cx="5652000" cy="2954261"/>
            <wp:effectExtent l="0" t="0" r="6350" b="0"/>
            <wp:docPr id="4995283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0" cy="2954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5B73B" w14:textId="68A886AA" w:rsidR="00AB257B" w:rsidRDefault="00AB257B" w:rsidP="00D217E3">
      <w:pPr>
        <w:pStyle w:val="GAPara"/>
        <w:widowControl w:val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4432364" wp14:editId="3EB181EE">
                <wp:extent cx="5127432" cy="1404620"/>
                <wp:effectExtent l="0" t="0" r="0" b="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43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4265C" w14:textId="521E6389" w:rsidR="00AB257B" w:rsidRPr="000B21E2" w:rsidRDefault="00AB257B" w:rsidP="00AB257B">
                            <w:pPr>
                              <w:spacing w:after="120"/>
                              <w:ind w:right="19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Рисунок 2: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Уровень расходов на международную и подготовительную помощь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432364" id="Text Box 7" o:spid="_x0000_s1027" type="#_x0000_t202" style="width:403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" stroked="f">
                <v:textbox style="mso-fit-shape-to-text:t">
                  <w:txbxContent>
                    <w:p w14:paraId="70A4265C" w14:textId="521E6389" w:rsidR="00AB257B" w:rsidRPr="000B21E2" w:rsidRDefault="00AB257B" w:rsidP="00AB257B">
                      <w:pPr>
                        <w:spacing w:after="120"/>
                        <w:ind w:right="19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Рисунок 2: </w:t>
                      </w:r>
                      <w:r>
                        <w:rPr>
                          <w:rFonts w:ascii="Arial" w:hAnsi="Arial"/>
                          <w:sz w:val="16"/>
                        </w:rPr>
                        <w:t>Уровень расходов на международную и подготовительную помощь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EDA775" w14:textId="3450D708" w:rsidR="00994671" w:rsidRPr="00994671" w:rsidRDefault="00994671" w:rsidP="00D217E3">
      <w:pPr>
        <w:pStyle w:val="COMPara"/>
        <w:widowControl w:val="0"/>
        <w:numPr>
          <w:ilvl w:val="0"/>
          <w:numId w:val="0"/>
        </w:numPr>
        <w:ind w:firstLine="567"/>
        <w:jc w:val="both"/>
        <w:rPr>
          <w:b/>
          <w:bCs/>
        </w:rPr>
      </w:pPr>
      <w:r>
        <w:rPr>
          <w:b/>
        </w:rPr>
        <w:t>Начисленные взносы</w:t>
      </w:r>
    </w:p>
    <w:p w14:paraId="09E543A1" w14:textId="77777777" w:rsidR="006155B5" w:rsidRPr="00557EBD" w:rsidRDefault="006155B5" w:rsidP="00D217E3">
      <w:pPr>
        <w:pStyle w:val="COMPara"/>
        <w:widowControl w:val="0"/>
        <w:numPr>
          <w:ilvl w:val="0"/>
          <w:numId w:val="23"/>
        </w:numPr>
        <w:tabs>
          <w:tab w:val="left" w:pos="567"/>
        </w:tabs>
        <w:spacing w:before="120"/>
        <w:ind w:left="567" w:hanging="567"/>
        <w:jc w:val="both"/>
      </w:pPr>
      <w:r>
        <w:t xml:space="preserve">Следует напомнить, что </w:t>
      </w:r>
      <w:r>
        <w:rPr>
          <w:b/>
          <w:bCs/>
        </w:rPr>
        <w:t>выплата взносов</w:t>
      </w:r>
      <w:r>
        <w:t xml:space="preserve"> является обязанностью всех государств-участников, ратифицировавших Конвенцию, в соответствии с ее статьей 26. Поскольку государства-участники осуществляют права и пользуются преимуществами, предоставленными им в соответствии с Конвенцией, от них также ожидается выполнение соответствующих обязательств в ответ. Отсутствие денежных средств, вызванное несвоевременной выплатой начисленных взносов, может привести к задержке и тем самым поставить под угрозу осуществление мероприятий, предусмотренных в бюджете.</w:t>
      </w:r>
    </w:p>
    <w:p w14:paraId="2D10C4ED" w14:textId="0B2A9469" w:rsidR="0008396B" w:rsidRPr="004C77F0" w:rsidRDefault="0008396B" w:rsidP="00250B98">
      <w:pPr>
        <w:pStyle w:val="COMPara"/>
        <w:widowControl w:val="0"/>
        <w:numPr>
          <w:ilvl w:val="0"/>
          <w:numId w:val="23"/>
        </w:numPr>
        <w:tabs>
          <w:tab w:val="left" w:pos="567"/>
        </w:tabs>
        <w:spacing w:before="120"/>
        <w:ind w:left="567" w:hanging="567"/>
        <w:jc w:val="both"/>
      </w:pPr>
      <w:r w:rsidRPr="00084483">
        <w:t xml:space="preserve">Как показано в </w:t>
      </w:r>
      <w:hyperlink r:id="rId21" w:history="1">
        <w:r w:rsidRPr="00084483">
          <w:rPr>
            <w:rStyle w:val="Lienhypertexte"/>
          </w:rPr>
          <w:t>Отчете о начисленных взносах за период с 1 января 2022 года по 31 декабря 2023 года</w:t>
        </w:r>
      </w:hyperlink>
      <w:r w:rsidRPr="00084483">
        <w:t xml:space="preserve">, сумма невыплаченных </w:t>
      </w:r>
      <w:r w:rsidRPr="00250B98">
        <w:rPr>
          <w:b/>
          <w:bCs/>
        </w:rPr>
        <w:t>обязательных начисленных взносов</w:t>
      </w:r>
      <w:r w:rsidRPr="00084483">
        <w:t xml:space="preserve"> составляет 410 153 долларов США (против 409 948 долларов США по состоянию на 31 декабря 2021 года), из которых 253 300 долларов США приходятся на невыплаченные взносы за 2021 и предшествующие годы. По состоянию на 31 декабря 2023 года 73 государства-участника</w:t>
      </w:r>
      <w:r>
        <w:rPr>
          <w:rStyle w:val="Appelnotedebasdep"/>
        </w:rPr>
        <w:footnoteReference w:id="2"/>
      </w:r>
      <w:r w:rsidR="00250B98" w:rsidRPr="00D53F57">
        <w:t xml:space="preserve"> </w:t>
      </w:r>
      <w:r w:rsidRPr="00084483">
        <w:t xml:space="preserve">(42% государств-участников, связанных статьей 26.1 </w:t>
      </w:r>
      <w:r w:rsidRPr="00084483">
        <w:lastRenderedPageBreak/>
        <w:t xml:space="preserve">Конвенции) не выплатили свои взносы за </w:t>
      </w:r>
      <w:proofErr w:type="gramStart"/>
      <w:r w:rsidRPr="00084483">
        <w:t>2022-2023</w:t>
      </w:r>
      <w:proofErr w:type="gramEnd"/>
      <w:r w:rsidRPr="00084483">
        <w:t xml:space="preserve"> годы. Среди них 28 государств-участников (16%) также не выплатили свой взнос за 2021 и предыдущие годы. Добровольные выплаты </w:t>
      </w:r>
      <w:r w:rsidRPr="00250B98">
        <w:rPr>
          <w:b/>
          <w:bCs/>
        </w:rPr>
        <w:t>начисленных взносов</w:t>
      </w:r>
      <w:r w:rsidRPr="00084483">
        <w:t xml:space="preserve"> государствами-участниками в соответствии со статьей 26.2 Конвенции составляют 92 % от начисленной суммы на двухлетний период </w:t>
      </w:r>
      <w:proofErr w:type="gramStart"/>
      <w:r w:rsidRPr="00084483">
        <w:t>2022-2023</w:t>
      </w:r>
      <w:proofErr w:type="gramEnd"/>
      <w:r w:rsidRPr="00084483">
        <w:t xml:space="preserve"> годов, что выше, чем в предыдущий двухлетний период 2020-2021 годов (76 %).</w:t>
      </w:r>
    </w:p>
    <w:p w14:paraId="542BA7ED" w14:textId="77777777" w:rsidR="005F6747" w:rsidRPr="00E61198" w:rsidRDefault="005F6747" w:rsidP="00D217E3">
      <w:pPr>
        <w:pStyle w:val="COMPara"/>
        <w:widowControl w:val="0"/>
        <w:numPr>
          <w:ilvl w:val="0"/>
          <w:numId w:val="0"/>
        </w:numPr>
        <w:ind w:firstLine="567"/>
        <w:rPr>
          <w:b/>
          <w:bCs/>
        </w:rPr>
      </w:pPr>
      <w:r>
        <w:rPr>
          <w:b/>
        </w:rPr>
        <w:t>Перспективы на будущие бюджетные циклы</w:t>
      </w:r>
    </w:p>
    <w:p w14:paraId="036A7BE9" w14:textId="3C67B1E0" w:rsidR="00E77069" w:rsidRPr="00D53F57" w:rsidRDefault="00E77069" w:rsidP="00D53F57">
      <w:pPr>
        <w:pStyle w:val="COMPara"/>
        <w:widowControl w:val="0"/>
        <w:numPr>
          <w:ilvl w:val="0"/>
          <w:numId w:val="23"/>
        </w:numPr>
        <w:tabs>
          <w:tab w:val="left" w:pos="567"/>
        </w:tabs>
        <w:spacing w:before="120"/>
        <w:ind w:left="567" w:hanging="567"/>
        <w:jc w:val="both"/>
      </w:pPr>
      <w:r w:rsidRPr="00E77069">
        <w:t>Хотя Фонд по-прежнему находится в нормальном состоянии, следует отметить, что если уровень расходов будет оставаться на таком высоком уровне (</w:t>
      </w:r>
      <w:proofErr w:type="gramStart"/>
      <w:r w:rsidRPr="00E77069">
        <w:t>т.е.</w:t>
      </w:r>
      <w:proofErr w:type="gramEnd"/>
      <w:r w:rsidRPr="00E77069">
        <w:t xml:space="preserve"> превышать уровень обязательных начисленных взносов, получаемых в течение каждого двухгодичного периода), то в последующие двухгодичные периоды ожидается сокращение утвержденного бюджета. Не следует считать само собой разумеющимся то, что Фонд способен реагировать на потребности государств-участников в обеспечении гарантий, как это описано в части II ниже. Для обеспечения устойчивости реализации Конвенции 2003 года, включая потребности в кадровых ресурсах, необходим тщательный мониторинг не только в краткосрочной перспективе. </w:t>
      </w:r>
    </w:p>
    <w:p w14:paraId="2206950C" w14:textId="2E6D38A8" w:rsidR="00E61198" w:rsidRPr="00E61198" w:rsidRDefault="00E61198" w:rsidP="00D53F57">
      <w:pPr>
        <w:pStyle w:val="COMPara"/>
        <w:widowControl w:val="0"/>
        <w:numPr>
          <w:ilvl w:val="0"/>
          <w:numId w:val="0"/>
        </w:numPr>
        <w:ind w:left="567"/>
        <w:jc w:val="both"/>
        <w:rPr>
          <w:b/>
          <w:bCs/>
        </w:rPr>
      </w:pPr>
      <w:r>
        <w:rPr>
          <w:b/>
        </w:rPr>
        <w:t xml:space="preserve">Обновленная информация о </w:t>
      </w:r>
      <w:proofErr w:type="spellStart"/>
      <w:r>
        <w:rPr>
          <w:b/>
        </w:rPr>
        <w:t>субфонде</w:t>
      </w:r>
      <w:proofErr w:type="spellEnd"/>
      <w:r>
        <w:rPr>
          <w:b/>
        </w:rPr>
        <w:t xml:space="preserve"> для укрепления кадровых ресурсов Секретариата</w:t>
      </w:r>
    </w:p>
    <w:p w14:paraId="7E93D587" w14:textId="7CA3DDD8" w:rsidR="00125C5B" w:rsidRDefault="005912DF" w:rsidP="00D217E3">
      <w:pPr>
        <w:pStyle w:val="COMPara"/>
        <w:widowControl w:val="0"/>
        <w:numPr>
          <w:ilvl w:val="0"/>
          <w:numId w:val="23"/>
        </w:numPr>
        <w:tabs>
          <w:tab w:val="left" w:pos="567"/>
        </w:tabs>
        <w:spacing w:before="120"/>
        <w:ind w:left="567" w:hanging="567"/>
        <w:jc w:val="both"/>
      </w:pPr>
      <w:r>
        <w:t xml:space="preserve">Субфонд, предназначенный для укрепления кадрового потенциала Секретариата, был создан Генеральной Ассамблеей в июне 2010 года (Резолюция </w:t>
      </w:r>
      <w:hyperlink r:id="rId22" w:history="1">
        <w:r>
          <w:rPr>
            <w:rStyle w:val="Lienhypertexte"/>
          </w:rPr>
          <w:t>3.GA 9</w:t>
        </w:r>
      </w:hyperlink>
      <w:r>
        <w:t xml:space="preserve">), чтобы поддерживать Секретариат на устойчивой основе и позволить ему реагировать на потребности, выраженные государствами-участниками. Годовой целевой показатель для Субфонда был установлен Генеральной Ассамблеей в 2020 году на уровне 950 000 долларов США в год (Резолюция </w:t>
      </w:r>
      <w:hyperlink r:id="rId23" w:history="1">
        <w:r>
          <w:rPr>
            <w:rStyle w:val="Lienhypertexte"/>
          </w:rPr>
          <w:t>8.GA 7</w:t>
        </w:r>
      </w:hyperlink>
      <w:r>
        <w:t xml:space="preserve">). В течение двухлетнего периода </w:t>
      </w:r>
      <w:proofErr w:type="gramStart"/>
      <w:r>
        <w:t>2022-2023</w:t>
      </w:r>
      <w:proofErr w:type="gramEnd"/>
      <w:r>
        <w:t xml:space="preserve"> годов было получено восемь добровольных взносов от Франции (дважды), Литвы (дважды), Монако (дважды), Словакии и Словении на общую сумму 224 645 долларов США. Эта сумма соответствует 12% от двухгодичного целевого показателя, утвержденного Генеральной Ассамблеей в 2020 году. </w:t>
      </w:r>
    </w:p>
    <w:p w14:paraId="426A68D0" w14:textId="5330FAE3" w:rsidR="00994671" w:rsidRPr="00D53F57" w:rsidRDefault="00CD2851" w:rsidP="00D217E3">
      <w:pPr>
        <w:pStyle w:val="COMParabodytext"/>
        <w:widowControl w:val="0"/>
        <w:numPr>
          <w:ilvl w:val="0"/>
          <w:numId w:val="23"/>
        </w:numPr>
        <w:ind w:left="567" w:hanging="567"/>
      </w:pPr>
      <w:r>
        <w:t xml:space="preserve">Конвенция продолжает испытывать (i) географическое расширение (181 государство-участник по состоянию на 31 декабря 2023 г.), (ii) текущее осуществление таких инициатив, как "Охрана нематериального культурного наследия в формальном и неформальном образовании", (iii) запуск новых тематических инициатив по "экономическим аспектам охраны нематериального культурного наследия", "Охрана нематериального культурного наследия и изменение климата" и "Охрана нематериального культурного наследия в городских условиях", и, среди прочего, (iv) реализация результатов анализа более широкого применения статьи 18 и результатов глобального анализа механизмов включения в списки Конвенции. Эти многочисленные события свидетельствуют об актуальности Конвенции как для государств, так и для сообществ; они положительно влияют на настоящее и будущее ее реализации. Однако следует иметь в виду, что эти инициативы требуют постоянной поддержки со стороны Секретариата. С этой целью Генеральная Ассамблея, возможно, пожелает принять во внимание последствия с точки зрения кадровых ресурсов, чтобы обеспечить Секретариат всем необходимым для оказания адекватной поддержки этим новым действиям. В противном случае некоторые из этих инициатив придется отложить, исходя из приоритетов, которые будут определены руководящими органами. В этой связи важно напомнить, что целевой показатель, установленный Генеральной Ассамблеей с момента создания Субфонда в 2010 году, так и не был достигнут. Фактически, за последние четырнадцать лет взносы в Субфонд сократились с 511 885 долларов США в </w:t>
      </w:r>
      <w:proofErr w:type="gramStart"/>
      <w:r>
        <w:t>2010-2011</w:t>
      </w:r>
      <w:proofErr w:type="gramEnd"/>
      <w:r>
        <w:t xml:space="preserve"> годах (23% от целевого показателя, самый высокий показатель за всю историю) до 224 645 долларов США в течение последнего двухлетнего периода. </w:t>
      </w:r>
    </w:p>
    <w:p w14:paraId="6D4B0720" w14:textId="77777777" w:rsidR="00D53F57" w:rsidRPr="00305796" w:rsidRDefault="00D53F57" w:rsidP="00D53F57">
      <w:pPr>
        <w:pStyle w:val="COMParabodytext"/>
        <w:widowControl w:val="0"/>
        <w:ind w:left="567"/>
      </w:pPr>
    </w:p>
    <w:p w14:paraId="77321678" w14:textId="707FF403" w:rsidR="00D63318" w:rsidRPr="00BB6EEC" w:rsidRDefault="00994671" w:rsidP="00850007">
      <w:pPr>
        <w:pStyle w:val="Titre4"/>
        <w:keepNext w:val="0"/>
        <w:keepLines w:val="0"/>
        <w:widowControl w:val="0"/>
        <w:spacing w:before="240" w:after="120"/>
        <w:ind w:hanging="283"/>
      </w:pPr>
      <w:bookmarkStart w:id="4" w:name="PartII"/>
      <w:r>
        <w:lastRenderedPageBreak/>
        <w:t>БЮДЖЕТНЫЕ СТАТЬИ И АССИГНОВАНИЯ ДЛЯ 42 С/5 (</w:t>
      </w:r>
      <w:proofErr w:type="gramStart"/>
      <w:r>
        <w:t>2024-2025</w:t>
      </w:r>
      <w:proofErr w:type="gramEnd"/>
      <w:r>
        <w:t xml:space="preserve"> гг.) </w:t>
      </w:r>
    </w:p>
    <w:bookmarkEnd w:id="4"/>
    <w:p w14:paraId="1FF7FFFE" w14:textId="0200489A" w:rsidR="0001467E" w:rsidRPr="0001467E" w:rsidRDefault="0001467E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 xml:space="preserve">Проект плана, предлагаемый ниже, основан на остатке средств, доступных для программных мероприятий по состоянию на 31 декабря 2023 года, исключая Резервный фонд, </w:t>
      </w:r>
      <w:proofErr w:type="gramStart"/>
      <w:r>
        <w:t>т.е.</w:t>
      </w:r>
      <w:proofErr w:type="gramEnd"/>
      <w:r>
        <w:t xml:space="preserve"> 8,19 млн. долларов США. Это меньше по сравнению с бюджетом, утвержденным девятой сессией Генеральной Ассамблеи, который составлял 8,73 млн долларов США (</w:t>
      </w:r>
      <w:bookmarkStart w:id="5" w:name="_Hlk147502296"/>
      <w:r>
        <w:t xml:space="preserve">Резолюция </w:t>
      </w:r>
      <w:hyperlink r:id="rId24" w:history="1">
        <w:r>
          <w:rPr>
            <w:rStyle w:val="Lienhypertexte"/>
          </w:rPr>
          <w:t>9.GA 10</w:t>
        </w:r>
      </w:hyperlink>
      <w:bookmarkEnd w:id="5"/>
      <w:r>
        <w:t>).</w:t>
      </w:r>
    </w:p>
    <w:p w14:paraId="319D0CCD" w14:textId="05B567C8" w:rsidR="0001467E" w:rsidRDefault="0001467E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 xml:space="preserve">Предложение о выделении средств на </w:t>
      </w:r>
      <w:bookmarkStart w:id="6" w:name="_Hlk100226655"/>
      <w:r>
        <w:t>42</w:t>
      </w:r>
      <w:r>
        <w:rPr>
          <w:b/>
        </w:rPr>
        <w:t> </w:t>
      </w:r>
      <w:r>
        <w:t xml:space="preserve">C/5 (2024–2025) </w:t>
      </w:r>
      <w:bookmarkEnd w:id="6"/>
      <w:r>
        <w:t xml:space="preserve">соответствует структуре, основанной на бюджетных статьях, которая использовалась в ходе предыдущих аналогичных мероприятий. Эти статьи бюджета можно разделить на три категории, а именно расходы, связанные с: a) международной помощью; b) "другими функциями Комитета" в смысле статьи 7 Конвенции; и c) участием в заседаниях руководящих органов и консультативными услугами для Комитета. Однако предлагается несколько корректировок между различными статьями бюджета, как описано в нижеследующих пунктах. </w:t>
      </w:r>
    </w:p>
    <w:p w14:paraId="12ACCCD8" w14:textId="7AA89F47" w:rsidR="0001467E" w:rsidRPr="0001467E" w:rsidRDefault="0001467E" w:rsidP="00D217E3">
      <w:pPr>
        <w:pStyle w:val="COMPara"/>
        <w:widowControl w:val="0"/>
        <w:numPr>
          <w:ilvl w:val="0"/>
          <w:numId w:val="0"/>
        </w:numPr>
        <w:ind w:firstLine="567"/>
        <w:jc w:val="both"/>
        <w:rPr>
          <w:b/>
          <w:bCs/>
        </w:rPr>
      </w:pPr>
      <w:r>
        <w:rPr>
          <w:b/>
        </w:rPr>
        <w:t>Международная помощь</w:t>
      </w:r>
    </w:p>
    <w:p w14:paraId="11DA1986" w14:textId="41A43ACF" w:rsidR="00E63241" w:rsidRPr="00E63241" w:rsidRDefault="00E63241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>В соответствии с приоритетами, установленными в Руководстве по использованию средств Фонда в Главе II.1 Оперативного руководства, предлагается направить большую часть средств (65,1%) на оказание международной помощи государствам-участникам в дополнение к их собственным мероприятиям по охране нематериального культурного наследия (</w:t>
      </w:r>
      <w:r>
        <w:rPr>
          <w:b/>
          <w:bCs/>
        </w:rPr>
        <w:t>бюджетные статьи 1, 1.1 и 2</w:t>
      </w:r>
      <w:r>
        <w:t>).</w:t>
      </w:r>
    </w:p>
    <w:p w14:paraId="115BFAF8" w14:textId="31F3650C" w:rsidR="00E63241" w:rsidRPr="00E63241" w:rsidRDefault="00E63241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 xml:space="preserve">В рамках этой совокупной процентной доли средства, выделенные по </w:t>
      </w:r>
      <w:r>
        <w:rPr>
          <w:b/>
          <w:bCs/>
        </w:rPr>
        <w:t xml:space="preserve">бюджетной статье 1 </w:t>
      </w:r>
      <w:r>
        <w:t>(50%), предусмотрены для оказания поддержки государствам через механизмы международной помощи в охране наследия, включенного в Список нематериального культурного наследия, нуждающегося в срочной охране, подготовке перечней и других программ и проектов по охране. Предлагается сохранить ассигнования по статье 1 бюджета на прежнем уровне, чтобы позволить государствам-участникам укрепить свои усилия по обеспечению охраны, уделяя особое внимание Африканскому региону и Синдрому внезапной смерти младенцев. Эти значительные ресурсы будут использованы для предоставления средств как можно большему числу проектов по охране, одобренных Комитетом и Бюро, при условии, что они соответствуют критериям Международной помощи.</w:t>
      </w:r>
    </w:p>
    <w:p w14:paraId="32988526" w14:textId="189093EC" w:rsidR="00250B98" w:rsidRPr="00084483" w:rsidRDefault="00250B98" w:rsidP="00D53F57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 w:rsidRPr="00084483">
        <w:t xml:space="preserve">В соответствии с выводами проведенной Службой внутреннего надзора (IOS) в 2021 г. по оценке деятельности ЮНЕСКО в рамках Конвенции об охране нематериального культурного наследия 2003 г. (см. рекомендации 5 и 6 в документе </w:t>
      </w:r>
      <w:hyperlink r:id="rId25" w:history="1">
        <w:r w:rsidRPr="00084483">
          <w:rPr>
            <w:rStyle w:val="Lienhypertexte"/>
          </w:rPr>
          <w:t>LHE/21/16.COM/INF.10 Rev.</w:t>
        </w:r>
      </w:hyperlink>
      <w:r w:rsidRPr="00084483">
        <w:t xml:space="preserve">), Комитет разрешил на экспериментальной основе использовать средства по бюджетной статье 1 в размере, не превышающем 10 % утвержденного бюджета каждого утвержденного проекта международной помощи, для финансирования предоставления экспертных услуг, как это предусмотрено в статье 21 Конвенции, в целях мониторинга и оценки текущих и недавно завершенных проектов международной помощи (резолюция </w:t>
      </w:r>
      <w:hyperlink r:id="rId26" w:history="1">
        <w:r w:rsidRPr="00084483">
          <w:rPr>
            <w:rStyle w:val="Lienhypertexte"/>
          </w:rPr>
          <w:t>9.GA 10</w:t>
        </w:r>
      </w:hyperlink>
      <w:r w:rsidRPr="00084483">
        <w:t xml:space="preserve">, решение </w:t>
      </w:r>
      <w:hyperlink r:id="rId27" w:history="1">
        <w:r w:rsidRPr="00084483">
          <w:rPr>
            <w:rStyle w:val="Lienhypertexte"/>
          </w:rPr>
          <w:t>16.COM 13</w:t>
        </w:r>
      </w:hyperlink>
      <w:r w:rsidRPr="00084483">
        <w:t xml:space="preserve"> и решение </w:t>
      </w:r>
      <w:hyperlink r:id="rId28" w:history="1">
        <w:r w:rsidRPr="00084483">
          <w:rPr>
            <w:rStyle w:val="Lienhypertexte"/>
          </w:rPr>
          <w:t>18.COM.14).</w:t>
        </w:r>
      </w:hyperlink>
      <w:r w:rsidRPr="00084483">
        <w:t xml:space="preserve"> После подготовительных действий, предпринятых после семнадцатой сессии Комитета, когда был составлен реестр консультантов, имеющих опыт оценки проектов в области культуры (см. документ </w:t>
      </w:r>
      <w:hyperlink r:id="rId29" w:history="1">
        <w:r w:rsidRPr="00084483">
          <w:rPr>
            <w:rStyle w:val="Lienhypertexte"/>
          </w:rPr>
          <w:t>LHE/23/18.COM/10</w:t>
        </w:r>
      </w:hyperlink>
      <w:r w:rsidRPr="00084483">
        <w:t>), в течение текущего двухлетнего периода предполагается осуществить пробные мероприятия по мониторингу и оценке. Эти дополнительные средства по бюджетной статье 1, выделенные из грантов, предназначенных для бенефициаров, будут использоваться на экспериментальной основе в размере, не превышающем 10 % от бюджета каждого утвержденного проекта Международной помощи, отобранного для финансирования предоставления экспертных услуг.</w:t>
      </w:r>
    </w:p>
    <w:p w14:paraId="1D72249F" w14:textId="4C4CBE96" w:rsidR="00475E86" w:rsidRPr="00681BEE" w:rsidRDefault="002D140B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>На своей седьмой сессии в июне 2018 года Генеральная Ассамблея утвердила создание трех внебюджетных должностей по срочным контрактам (одна С3, одна С2 и одна G5) для формирования специальной группы, которая будет заниматься вопросами оперативного внедрения механизмов международной помощи (резолюция </w:t>
      </w:r>
      <w:hyperlink r:id="rId30" w:history="1">
        <w:r>
          <w:rPr>
            <w:rStyle w:val="Lienhypertexte"/>
          </w:rPr>
          <w:t>7.GA 8</w:t>
        </w:r>
      </w:hyperlink>
      <w:r>
        <w:t xml:space="preserve">). В </w:t>
      </w:r>
      <w:r>
        <w:lastRenderedPageBreak/>
        <w:t>феврале 2020 года была создана "Группа по внедрению и мониторингу защиты (SIM)". На покрытие расходов на эти три должности (</w:t>
      </w:r>
      <w:r>
        <w:rPr>
          <w:b/>
          <w:bCs/>
        </w:rPr>
        <w:t>бюджетная статья 1.1</w:t>
      </w:r>
      <w:r>
        <w:t xml:space="preserve">) предлагается выделить около 12,3% средств Фонда против 10% в двухлетнем периоде </w:t>
      </w:r>
      <w:proofErr w:type="gramStart"/>
      <w:r>
        <w:t>2022-2023</w:t>
      </w:r>
      <w:proofErr w:type="gramEnd"/>
      <w:r>
        <w:t xml:space="preserve"> гг.</w:t>
      </w:r>
    </w:p>
    <w:p w14:paraId="792CF67D" w14:textId="16D78AA5" w:rsidR="00CA352E" w:rsidRDefault="00CA352E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>Кроме того, предлагается выделить 2,8% средств на оказание подготовительной помощи (</w:t>
      </w:r>
      <w:r>
        <w:rPr>
          <w:b/>
          <w:bCs/>
        </w:rPr>
        <w:t>бюджетная статья 2</w:t>
      </w:r>
      <w:r>
        <w:t xml:space="preserve">). Небольшое увеличение по сравнению с текущим двухлетним периодом (2,6%) предлагается в свете потенциальных дополнительных расходов, которые могут возникнуть в результате предоставления механизма подготовительной помощи государствам-участникам, не имеющим национальных элементов, включенных в Репрезентативный список, и желающим воспользоваться международной помощью в подготовке номинационного досье (см. решение </w:t>
      </w:r>
      <w:hyperlink r:id="rId31" w:history="1">
        <w:r>
          <w:rPr>
            <w:rStyle w:val="Lienhypertexte"/>
          </w:rPr>
          <w:t>18.COM</w:t>
        </w:r>
        <w:r w:rsidR="00415EF4">
          <w:rPr>
            <w:rStyle w:val="Lienhypertexte"/>
            <w:lang w:val="fr-FR"/>
          </w:rPr>
          <w:t> </w:t>
        </w:r>
        <w:r>
          <w:rPr>
            <w:rStyle w:val="Lienhypertexte"/>
          </w:rPr>
          <w:t>10</w:t>
        </w:r>
      </w:hyperlink>
      <w:r>
        <w:t xml:space="preserve">). Если Генеральная Ассамблея одобрит "предлагаемые изменения в Оперативных директивах по осуществлению Конвенции" по пункту 7, предлагаемое увеличение ассигнований позволит оказать такую помощь по первоначальному числу запросов, которые Секретариат может получить в течение двухлетнего периода </w:t>
      </w:r>
      <w:proofErr w:type="gramStart"/>
      <w:r>
        <w:t>2024-2025</w:t>
      </w:r>
      <w:proofErr w:type="gramEnd"/>
      <w:r>
        <w:t xml:space="preserve"> гг. В дополнение к текущей подготовительной помощи по номинационным досье</w:t>
      </w:r>
      <w:r w:rsidRPr="00CA352E">
        <w:rPr>
          <w:vertAlign w:val="superscript"/>
        </w:rPr>
        <w:footnoteReference w:id="3"/>
      </w:r>
      <w:r>
        <w:t xml:space="preserve"> и вышеупомянутой предлагаемой возможности, эта бюджетная статья также покрывает расходы на оказание технической помощи государствам-участникам в подготовке запросов на международную помощь.</w:t>
      </w:r>
    </w:p>
    <w:p w14:paraId="7E71A812" w14:textId="31950985" w:rsidR="00CA352E" w:rsidRPr="00CA352E" w:rsidRDefault="00CA352E" w:rsidP="00D217E3">
      <w:pPr>
        <w:pStyle w:val="COMPara"/>
        <w:widowControl w:val="0"/>
        <w:numPr>
          <w:ilvl w:val="0"/>
          <w:numId w:val="0"/>
        </w:numPr>
        <w:ind w:left="567"/>
        <w:jc w:val="both"/>
        <w:rPr>
          <w:b/>
          <w:bCs/>
        </w:rPr>
      </w:pPr>
      <w:r>
        <w:rPr>
          <w:b/>
        </w:rPr>
        <w:t>Прочие функции Комитета</w:t>
      </w:r>
    </w:p>
    <w:p w14:paraId="4A7BF624" w14:textId="41B06159" w:rsidR="005045C4" w:rsidRPr="007B13D8" w:rsidRDefault="005045C4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rPr>
          <w:b/>
          <w:bCs/>
        </w:rPr>
        <w:t xml:space="preserve">Бюджетная статья 3 </w:t>
      </w:r>
      <w:r>
        <w:t xml:space="preserve">(" Прочие функции Комитета") будет сохранена на уровне 20% для укрепления работы, начатой в текущем двухлетнем периоде. Такие функции перечислены в статье 7 Конвенции, и Секретариат использует эти средства для оказания помощи Комитету в выполнении этих функций, как того требует статья 10 Конвенции. Иными словами, эти средства будут использоваться в первую очередь для осуществления предварительных и комплексных мероприятий, направленных на содействие достижению целей Конвенции, поощрение и мониторинг ее осуществления (статья 7[a]), а также на предоставление руководства по мерам охраны нематериального культурного наследия (статья 7[b]). Важно отметить, что при неизменном процентном распределении номинальный объем бюджетной статьи 3 уменьшился из-за общего сокращения суммы, выделенной на </w:t>
      </w:r>
      <w:proofErr w:type="gramStart"/>
      <w:r>
        <w:t>2024-2025</w:t>
      </w:r>
      <w:proofErr w:type="gramEnd"/>
      <w:r>
        <w:t xml:space="preserve"> годы. </w:t>
      </w:r>
    </w:p>
    <w:p w14:paraId="71E98F16" w14:textId="78B9E791" w:rsidR="005045C4" w:rsidRDefault="005045C4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 xml:space="preserve">В соответствии с настоящим решением </w:t>
      </w:r>
      <w:hyperlink r:id="rId32" w:history="1">
        <w:r w:rsidRPr="00AE0C07">
          <w:rPr>
            <w:rStyle w:val="Lienhypertexte"/>
          </w:rPr>
          <w:t>14.COM</w:t>
        </w:r>
        <w:r w:rsidR="00850007">
          <w:rPr>
            <w:rStyle w:val="Lienhypertexte"/>
            <w:lang w:val="fr-FR"/>
          </w:rPr>
          <w:t> </w:t>
        </w:r>
        <w:r w:rsidRPr="00AE0C07">
          <w:rPr>
            <w:rStyle w:val="Lienhypertexte"/>
          </w:rPr>
          <w:t>7</w:t>
        </w:r>
      </w:hyperlink>
      <w:r w:rsidR="00AE0C07">
        <w:t> </w:t>
      </w:r>
      <w:r w:rsidR="00AE0C07" w:rsidRPr="00D53F57">
        <w:t xml:space="preserve">, </w:t>
      </w:r>
      <w:r>
        <w:t xml:space="preserve">предлагаемый план, представленный Комитету, включает процентную разбивку по бюджетной статье 3 с точки зрения ожидаемых результатов ("ОР") в соответствии с мероприятиями, утвержденными в документе C/5, с целью представления его на утверждение следующей сессии Генеральной Ассамблеи. В Плане предлагается разделить бюджетную статью 3 на два ОР - вместо четырех ОР в предыдущем двухлетнем периоде - с тем, чтобы лучше согласовать мероприятия, которые будет осуществлять Секретариат, с двумя показателями эффективности, определенными в утвержденном документе </w:t>
      </w:r>
      <w:hyperlink r:id="rId33" w:anchor="%5Б%7Б%22num%22%3A96%2C%22gen%22%3A0%7D%2C%7Б%22name%22%3А%22XYZ%22%7D%2C54%2C771%2C0%5D" w:history="1">
        <w:r>
          <w:rPr>
            <w:rStyle w:val="Lienhypertexte"/>
          </w:rPr>
          <w:t>42</w:t>
        </w:r>
        <w:r w:rsidR="00850007">
          <w:rPr>
            <w:rStyle w:val="Lienhypertexte"/>
            <w:lang w:val="fr-FR"/>
          </w:rPr>
          <w:t> </w:t>
        </w:r>
        <w:r>
          <w:rPr>
            <w:rStyle w:val="Lienhypertexte"/>
          </w:rPr>
          <w:t>C/5</w:t>
        </w:r>
      </w:hyperlink>
      <w:r>
        <w:t xml:space="preserve"> (Крупная программа IV Культура, Результат 5, Итог 5.CLT4 "Укрепление потенциала государств-членов и общин в области выявления, охраны и популяризации живого наследия"). Распределение бюджетных ассигнований между двумя предлагаемыми ОР основано на распределении, утвержденном на предыдущий двухлетний период, причем ассигнования нового ОР 1 (52%) представляют собой сочетание бывших ОР 2 и 3 (соответственно 33% и 19%), а ассигнования нового ОР 2 (48%) эквивалентны сочетанию бывших ОР 1 и 4 (соответственно 25% и 23%) в предыдущем двухлетнем периоде:</w:t>
      </w:r>
    </w:p>
    <w:p w14:paraId="0E270006" w14:textId="0938ACC4" w:rsidR="00D217E3" w:rsidRPr="00D217E3" w:rsidRDefault="00D217E3" w:rsidP="00D217E3">
      <w:pPr>
        <w:rPr>
          <w:rFonts w:ascii="Arial" w:hAnsi="Arial" w:cs="Arial"/>
          <w:snapToGrid w:val="0"/>
          <w:sz w:val="22"/>
          <w:szCs w:val="22"/>
          <w:lang w:eastAsia="en-US"/>
        </w:rPr>
      </w:pPr>
      <w:r>
        <w:br w:type="page"/>
      </w:r>
    </w:p>
    <w:tbl>
      <w:tblPr>
        <w:tblpPr w:leftFromText="141" w:rightFromText="141" w:vertAnchor="text" w:horzAnchor="margin" w:tblpY="74"/>
        <w:tblW w:w="9638" w:type="dxa"/>
        <w:tblLayout w:type="fixed"/>
        <w:tblLook w:val="04A0" w:firstRow="1" w:lastRow="0" w:firstColumn="1" w:lastColumn="0" w:noHBand="0" w:noVBand="1"/>
      </w:tblPr>
      <w:tblGrid>
        <w:gridCol w:w="3969"/>
        <w:gridCol w:w="850"/>
        <w:gridCol w:w="3969"/>
        <w:gridCol w:w="850"/>
      </w:tblGrid>
      <w:tr w:rsidR="00573329" w:rsidRPr="003118BE" w14:paraId="404E8784" w14:textId="77777777" w:rsidTr="00C41F17">
        <w:trPr>
          <w:cantSplit/>
          <w:trHeight w:val="562"/>
        </w:trPr>
        <w:tc>
          <w:tcPr>
            <w:tcW w:w="3969" w:type="dxa"/>
            <w:shd w:val="clear" w:color="auto" w:fill="BFBFBF"/>
          </w:tcPr>
          <w:p w14:paraId="614B66CF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Ожидаемый результат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4B3FA74" w14:textId="043B821F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2022–</w:t>
            </w:r>
          </w:p>
          <w:p w14:paraId="279BF328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2023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BFBFBF"/>
          </w:tcPr>
          <w:p w14:paraId="24CC1628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Ожидаемый результат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47AC117" w14:textId="40A40C14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2024–</w:t>
            </w:r>
          </w:p>
          <w:p w14:paraId="344E70EA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2025</w:t>
            </w:r>
          </w:p>
        </w:tc>
      </w:tr>
      <w:tr w:rsidR="00573329" w:rsidRPr="003118BE" w14:paraId="014CFDDC" w14:textId="77777777" w:rsidTr="00C41F17">
        <w:trPr>
          <w:cantSplit/>
          <w:trHeight w:val="691"/>
        </w:trPr>
        <w:tc>
          <w:tcPr>
            <w:tcW w:w="3969" w:type="dxa"/>
            <w:shd w:val="clear" w:color="auto" w:fill="FDE9D9" w:themeFill="accent6" w:themeFillTint="33"/>
          </w:tcPr>
          <w:p w14:paraId="1FB1A9DF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ОР 1: Рациональное управление Конвенцией 2003 года благодаря расширению услуг по мониторингу и управлению знаниями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DCE9E75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25%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AA1F585" w14:textId="1143B07E" w:rsidR="00573329" w:rsidRPr="003118BE" w:rsidRDefault="00573329" w:rsidP="00D217E3">
            <w:pPr>
              <w:widowControl w:val="0"/>
              <w:spacing w:before="60" w:after="6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ОР 1: Поощрение осуществления Конвенции путем усиления программы создания потенциала и включения нематериального культурного наследия в планы, политику и программы развития</w:t>
            </w:r>
            <w:r w:rsidRPr="003118BE">
              <w:rPr>
                <w:rStyle w:val="Appelnotedebasdep"/>
                <w:rFonts w:ascii="Arial" w:hAnsi="Arial" w:cs="Arial"/>
                <w:sz w:val="20"/>
                <w:szCs w:val="20"/>
                <w:lang w:val="en-GB"/>
              </w:rPr>
              <w:footnoteReference w:id="4"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</w:tcPr>
          <w:p w14:paraId="3254FBCF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52%</w:t>
            </w:r>
          </w:p>
        </w:tc>
      </w:tr>
      <w:tr w:rsidR="00573329" w:rsidRPr="003118BE" w14:paraId="424C4E54" w14:textId="77777777" w:rsidTr="00C41F17">
        <w:trPr>
          <w:cantSplit/>
          <w:trHeight w:val="767"/>
        </w:trPr>
        <w:tc>
          <w:tcPr>
            <w:tcW w:w="3969" w:type="dxa"/>
            <w:shd w:val="clear" w:color="auto" w:fill="DBE5F1" w:themeFill="accent1" w:themeFillTint="33"/>
          </w:tcPr>
          <w:p w14:paraId="01B3833E" w14:textId="0D5E81FA" w:rsidR="00573329" w:rsidRPr="003118BE" w:rsidRDefault="00573329" w:rsidP="00D217E3">
            <w:pPr>
              <w:widowControl w:val="0"/>
              <w:spacing w:before="60" w:after="6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ОР 2: Содействие осуществлению Конвенции в государствах-членах посредством усиления программы создания потенциала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EBE9C57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33%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180B17F" w14:textId="77777777" w:rsidR="00573329" w:rsidRPr="003118BE" w:rsidRDefault="00573329" w:rsidP="00D217E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</w:tcPr>
          <w:p w14:paraId="51263857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73329" w:rsidRPr="003118BE" w14:paraId="57BC91F7" w14:textId="77777777" w:rsidTr="00C41F17">
        <w:trPr>
          <w:cantSplit/>
          <w:trHeight w:val="767"/>
        </w:trPr>
        <w:tc>
          <w:tcPr>
            <w:tcW w:w="3969" w:type="dxa"/>
            <w:shd w:val="clear" w:color="auto" w:fill="DBE5F1" w:themeFill="accent1" w:themeFillTint="33"/>
          </w:tcPr>
          <w:p w14:paraId="0465B580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ОР 3: Поддержка включения нематериального культурного наследия в планы, политику и программы развития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CF09FD4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19%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63067EC" w14:textId="001593A5" w:rsidR="00573329" w:rsidRPr="003118BE" w:rsidRDefault="00573329" w:rsidP="00D217E3">
            <w:pPr>
              <w:widowControl w:val="0"/>
              <w:spacing w:before="60" w:after="60"/>
              <w:ind w:left="567" w:hanging="56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ОР 2: Рациональное управление Конвенцией, чему способствует усиленный мониторинг, услуги по управлению знаниями и повышение осведомленности, связанные с механизмами международного сотрудничества</w:t>
            </w:r>
            <w:r w:rsidRPr="003118BE">
              <w:rPr>
                <w:rStyle w:val="Appelnotedebasdep"/>
                <w:rFonts w:ascii="Arial" w:hAnsi="Arial" w:cs="Arial"/>
                <w:sz w:val="20"/>
                <w:szCs w:val="20"/>
                <w:lang w:val="en-GB"/>
              </w:rPr>
              <w:footnoteReference w:id="5"/>
            </w:r>
          </w:p>
        </w:tc>
        <w:tc>
          <w:tcPr>
            <w:tcW w:w="850" w:type="dxa"/>
            <w:vMerge w:val="restart"/>
            <w:shd w:val="clear" w:color="auto" w:fill="FDE9D9" w:themeFill="accent6" w:themeFillTint="33"/>
          </w:tcPr>
          <w:p w14:paraId="4A0FB5C1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48%</w:t>
            </w:r>
          </w:p>
        </w:tc>
      </w:tr>
      <w:tr w:rsidR="00573329" w:rsidRPr="003118BE" w14:paraId="4A908024" w14:textId="77777777" w:rsidTr="00C41F17">
        <w:trPr>
          <w:cantSplit/>
          <w:trHeight w:val="536"/>
        </w:trPr>
        <w:tc>
          <w:tcPr>
            <w:tcW w:w="3969" w:type="dxa"/>
            <w:shd w:val="clear" w:color="auto" w:fill="FDE9D9" w:themeFill="accent6" w:themeFillTint="33"/>
          </w:tcPr>
          <w:p w14:paraId="78389D4C" w14:textId="71234A1B" w:rsidR="00573329" w:rsidRPr="003118BE" w:rsidRDefault="00573329" w:rsidP="00D217E3">
            <w:pPr>
              <w:widowControl w:val="0"/>
              <w:spacing w:before="60" w:after="6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ОР 4: Продвижение целей Конвенции посредством повышения осведомленности и информационно-разъяснительной работы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EF77461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23%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6388C2C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vMerge/>
            <w:shd w:val="clear" w:color="auto" w:fill="FDE9D9" w:themeFill="accent6" w:themeFillTint="33"/>
          </w:tcPr>
          <w:p w14:paraId="22665325" w14:textId="77777777" w:rsidR="00573329" w:rsidRPr="003118BE" w:rsidRDefault="00573329" w:rsidP="00D217E3">
            <w:pPr>
              <w:widowControl w:val="0"/>
              <w:spacing w:before="60" w:after="60"/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DEE9E9F" w14:textId="1BB18B76" w:rsidR="001F25C2" w:rsidRDefault="001F25C2" w:rsidP="00D217E3">
      <w:pPr>
        <w:pStyle w:val="COMPara"/>
        <w:widowControl w:val="0"/>
        <w:numPr>
          <w:ilvl w:val="0"/>
          <w:numId w:val="23"/>
        </w:numPr>
        <w:spacing w:before="240"/>
        <w:ind w:left="567" w:hanging="567"/>
        <w:jc w:val="both"/>
      </w:pPr>
      <w:r>
        <w:t xml:space="preserve">IВ соответствии с </w:t>
      </w:r>
      <w:hyperlink r:id="rId34" w:history="1">
        <w:r>
          <w:rPr>
            <w:rStyle w:val="Lienhypertexte"/>
          </w:rPr>
          <w:t>резолюцией 42C/80</w:t>
        </w:r>
      </w:hyperlink>
      <w:r>
        <w:t xml:space="preserve"> (пункт 3), принятой Генеральной конференцией на ее 42-й сессии в ноябре 2023 г. и уполномочивающей Генерального директора производить перечисления между статьями ассигнований обычной программы ЮНЕСКО в пределах суммы, составляющей 5% от первоначальных ассигнований по документу 42 C/5, Комитет уполномочил Секретариат производить перечисления между мероприятиями, включенными в конкретные ассигнования по бюджетной статье 3, в пределах совокупной суммы, составляющей 5% от первоначальных общих ассигнований (решение</w:t>
      </w:r>
      <w:r w:rsidR="00701745" w:rsidRPr="00701745">
        <w:t xml:space="preserve"> </w:t>
      </w:r>
      <w:hyperlink r:id="rId35" w:history="1">
        <w:r>
          <w:rPr>
            <w:rStyle w:val="Lienhypertexte"/>
          </w:rPr>
          <w:t>18.COM 14</w:t>
        </w:r>
      </w:hyperlink>
      <w:r>
        <w:t>). Исходя из ориентировочной суммы бюджета, указанной в Приложении, это будет эквивалентно 81 896 долларам США. Секретариат будет письменно информировать Генеральную Ассамблею и Комитет на сессии, следующей за таким мероприятием, о деталях и причинах этих переводов, если они произойдут.</w:t>
      </w:r>
    </w:p>
    <w:p w14:paraId="7434C1A9" w14:textId="76637D1D" w:rsidR="003E51DD" w:rsidRPr="003E51DD" w:rsidRDefault="003E51DD" w:rsidP="00D217E3">
      <w:pPr>
        <w:pStyle w:val="COMPara"/>
        <w:widowControl w:val="0"/>
        <w:numPr>
          <w:ilvl w:val="0"/>
          <w:numId w:val="0"/>
        </w:numPr>
        <w:spacing w:before="240"/>
        <w:ind w:left="567"/>
        <w:jc w:val="both"/>
        <w:rPr>
          <w:b/>
          <w:bCs/>
        </w:rPr>
      </w:pPr>
      <w:r>
        <w:rPr>
          <w:b/>
        </w:rPr>
        <w:t>Ожидаемый результат 1: Поощрение осуществления Конвенции путем усиления программы создания потенциала и включения нематериального культурного наследия в планы, политику и программы развития</w:t>
      </w:r>
    </w:p>
    <w:p w14:paraId="3FFD80E6" w14:textId="77777777" w:rsidR="00E77069" w:rsidRDefault="00E77069" w:rsidP="00D53F57">
      <w:pPr>
        <w:pStyle w:val="COMPara"/>
        <w:widowControl w:val="0"/>
        <w:numPr>
          <w:ilvl w:val="0"/>
          <w:numId w:val="23"/>
        </w:numPr>
        <w:spacing w:before="240"/>
        <w:ind w:left="567" w:hanging="567"/>
        <w:jc w:val="both"/>
      </w:pPr>
      <w:r>
        <w:t xml:space="preserve">Секретариат будет и далее предоставлять руководящие указания и поддержку, опираясь на результаты анализа, проведенного по случаю двадцатой годовщины Конвенции, в частности на </w:t>
      </w:r>
      <w:hyperlink r:id="rId36" w:history="1">
        <w:r>
          <w:rPr>
            <w:rStyle w:val="Lienhypertexte"/>
          </w:rPr>
          <w:t>Сеульскую концепцию будущего сохранения живого наследия в интересах устойчивого развития и мира</w:t>
        </w:r>
      </w:hyperlink>
      <w:r>
        <w:t xml:space="preserve"> (2023), также в соответствии с </w:t>
      </w:r>
      <w:hyperlink r:id="rId37" w:history="1">
        <w:r>
          <w:rPr>
            <w:rStyle w:val="Lienhypertexte"/>
          </w:rPr>
          <w:t xml:space="preserve">Декларацией </w:t>
        </w:r>
        <w:r>
          <w:rPr>
            <w:rStyle w:val="Lienhypertexte"/>
          </w:rPr>
          <w:lastRenderedPageBreak/>
          <w:t>МОНДИАКУЛЬТ 2022 г. о политике в области культуры и устойчивого развития</w:t>
        </w:r>
      </w:hyperlink>
      <w:r>
        <w:t xml:space="preserve">. Он будет также (a) укреплять глобальную программу по созданию потенциала для удовлетворения меняющихся потребностей стран в сохранении живого наследия и (b) продолжать тематические инициативы </w:t>
      </w:r>
      <w:r>
        <w:rPr>
          <w:color w:val="212121"/>
          <w:shd w:val="clear" w:color="auto" w:fill="FFFFFF"/>
        </w:rPr>
        <w:t xml:space="preserve">по живому наследию и устойчивому развитию, в частности </w:t>
      </w:r>
      <w:r>
        <w:t>в приоритетных областях, определенных Комитетом. Для обеспечения максимального охвата программы создания потенциала будут предприняты усилия по дальнейшей разработке учебных материалов и инструментов, адаптированных к смешанным формам обучения, расширению охвата программы для новых аудиторий, укреплению сетевого взаимодействия и обмена знаниями за счет использования платформы управления обучением. В частности, это позволит укрепить тематический опыт сети координаторов, чтобы они могли реагировать на спрос на наращивание потенциала в тематических областях. Кроме того, Секретариат будет работать над сохранением живого наследия в цифровой среде</w:t>
      </w:r>
      <w:r w:rsidRPr="00D53F57">
        <w:t xml:space="preserve">, в том числе о последствиях применения искусственного интеллекта для сохранения живого наследия, чтобы накопить больше знаний и опыта в </w:t>
      </w:r>
      <w:proofErr w:type="spellStart"/>
      <w:r w:rsidRPr="00D53F57">
        <w:t>этй</w:t>
      </w:r>
      <w:proofErr w:type="spellEnd"/>
      <w:r w:rsidRPr="00D53F57">
        <w:t xml:space="preserve"> области и продолжать оказывать поддержку</w:t>
      </w:r>
      <w:r>
        <w:t xml:space="preserve"> государствам и сообществам (рекомендации 8 и 9 </w:t>
      </w:r>
      <w:hyperlink r:id="rId38" w:history="1">
        <w:r>
          <w:rPr>
            <w:rStyle w:val="Lienhypertexte"/>
          </w:rPr>
          <w:t>оценки IOS 2021 г.</w:t>
        </w:r>
      </w:hyperlink>
      <w:r>
        <w:t>).</w:t>
      </w:r>
    </w:p>
    <w:p w14:paraId="01F8EBB0" w14:textId="2E090B7E" w:rsidR="003E51DD" w:rsidRDefault="003E51DD" w:rsidP="00D217E3">
      <w:pPr>
        <w:pStyle w:val="COMPara"/>
        <w:widowControl w:val="0"/>
        <w:numPr>
          <w:ilvl w:val="0"/>
          <w:numId w:val="23"/>
        </w:numPr>
        <w:tabs>
          <w:tab w:val="left" w:pos="567"/>
        </w:tabs>
        <w:ind w:left="567" w:hanging="567"/>
        <w:jc w:val="both"/>
      </w:pPr>
      <w:r>
        <w:t xml:space="preserve">В соответствии с рекомендацией 3 </w:t>
      </w:r>
      <w:hyperlink r:id="rId39" w:history="1">
        <w:r>
          <w:rPr>
            <w:rStyle w:val="Lienhypertexte"/>
          </w:rPr>
          <w:t>оценки IOS 2021 г.</w:t>
        </w:r>
      </w:hyperlink>
      <w:r>
        <w:t xml:space="preserve">, направленной на реализацию приоритетных тематических инициатив Конвенции и решение текущих задач в области устойчивого развития и мира, Секретариат намерен продолжить работу над темами </w:t>
      </w:r>
      <w:hyperlink r:id="rId40" w:history="1">
        <w:r>
          <w:rPr>
            <w:rStyle w:val="Lienhypertexte"/>
          </w:rPr>
          <w:t>"Экономические аспекты охраны нематериального культурного наследия»</w:t>
        </w:r>
      </w:hyperlink>
      <w:r>
        <w:t xml:space="preserve"> на основе совещания экспертов категории VI, состоявшегося в сентябре и октябре 2023 г., "Охрана нематериального культурного наследия и изменение климата" и "Охрана нематериального культурного наследия в городских условиях" (см. документ </w:t>
      </w:r>
      <w:hyperlink r:id="rId41" w:history="1">
        <w:r w:rsidRPr="00403C9F">
          <w:rPr>
            <w:rStyle w:val="Lienhypertexte"/>
          </w:rPr>
          <w:t>LHE/23/18.COM/12</w:t>
        </w:r>
        <w:r w:rsidR="00403C9F" w:rsidRPr="00D53F57">
          <w:rPr>
            <w:rStyle w:val="Lienhypertexte"/>
          </w:rPr>
          <w:t xml:space="preserve"> </w:t>
        </w:r>
        <w:r w:rsidR="00403C9F" w:rsidRPr="00403C9F">
          <w:rPr>
            <w:rStyle w:val="Lienhypertexte"/>
            <w:lang w:val="fr-FR"/>
          </w:rPr>
          <w:t>Rev</w:t>
        </w:r>
        <w:r w:rsidR="00403C9F" w:rsidRPr="00D53F57">
          <w:rPr>
            <w:rStyle w:val="Lienhypertexte"/>
          </w:rPr>
          <w:t>.</w:t>
        </w:r>
      </w:hyperlink>
      <w:r>
        <w:t xml:space="preserve">). Кроме того, будут продолжены работы по темам </w:t>
      </w:r>
      <w:hyperlink r:id="rId42" w:history="1">
        <w:r>
          <w:rPr>
            <w:rStyle w:val="Lienhypertexte"/>
          </w:rPr>
          <w:t>"Живое наследие в чрезвычайных ситуациях»</w:t>
        </w:r>
      </w:hyperlink>
      <w:r>
        <w:t xml:space="preserve"> и </w:t>
      </w:r>
      <w:hyperlink r:id="rId43" w:history="1">
        <w:r>
          <w:rPr>
            <w:rStyle w:val="Lienhypertexte"/>
          </w:rPr>
          <w:t>"Сохранение нематериального культурного наследия в формальном и неформальном образовании"</w:t>
        </w:r>
      </w:hyperlink>
      <w:r>
        <w:t xml:space="preserve">. Деятельность в течение двухлетнего периода будет включать проведение совещаний экспертов, разработку руководящих материалов и организацию обучения, а также укрепление взаимодействия с другими культурными конвенциями, программными секторами, а также соответствующими международными организациями, рамками и механизмами. </w:t>
      </w:r>
    </w:p>
    <w:p w14:paraId="07462C0B" w14:textId="4A448CDF" w:rsidR="003E51DD" w:rsidRPr="003E51DD" w:rsidRDefault="003E51DD" w:rsidP="00D217E3">
      <w:pPr>
        <w:pStyle w:val="COMPara"/>
        <w:widowControl w:val="0"/>
        <w:numPr>
          <w:ilvl w:val="0"/>
          <w:numId w:val="0"/>
        </w:numPr>
        <w:tabs>
          <w:tab w:val="left" w:pos="567"/>
        </w:tabs>
        <w:ind w:left="567"/>
        <w:jc w:val="both"/>
        <w:rPr>
          <w:b/>
          <w:bCs/>
        </w:rPr>
      </w:pPr>
      <w:r>
        <w:rPr>
          <w:b/>
        </w:rPr>
        <w:t>Ожидаемый результат 2: Рациональное управление Конвенцией, чему способствует усиленный мониторинг, услуги по управлению знаниями и повышение осведомленности, связанные с механизмами международного сотрудничества</w:t>
      </w:r>
    </w:p>
    <w:p w14:paraId="4A8C7968" w14:textId="5256BF10" w:rsidR="003E51DD" w:rsidRPr="003118BE" w:rsidRDefault="003E51DD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 xml:space="preserve">Обеспечение надлежащего управления остается приоритетной задачей для эффективного осуществления Конвенции. Для продолжения оказания адекватной поддержки руководящим органам Конвенции и государствам будут приняты меры по укреплению механизмов международного сотрудничества Конвенции, в частности периодической отчетности, международной помощи и механизмов составления списков, в соответствии с рекомендациями 2, 5 и 6 </w:t>
      </w:r>
      <w:hyperlink r:id="rId44" w:history="1">
        <w:r>
          <w:rPr>
            <w:rStyle w:val="Lienhypertexte"/>
          </w:rPr>
          <w:t>оценки IOS 2021 года.</w:t>
        </w:r>
      </w:hyperlink>
      <w:r>
        <w:t xml:space="preserve">. В рамках инициативы Сектора культуры ЮНЕСКО по подготовке четырехгодичного Всемирного доклада о политике в области культуры и предполагаемого перехода к единой глобальной системе представления материалов будет проведен анализ информации, собранной в рамках механизмов периодической отчетности, и представлен на соответствующих сессиях руководящих органов, признавая ключевую роль данных для направления усилий властей и сообществ по сохранению живого наследия. Кроме того, Секретариат будет проводить мероприятия по повышению осведомленности о Списках и Реестре Конвенции, в частности, для лучшего понимания влияния надписей на элементы и связанные с ними сообщества, а также для подготовки межнациональных предложений по номинациям. Также Секретариат продолжит свои усилия по развитию международной помощи, включая потенциальное расширение подготовительной помощи (см. документ </w:t>
      </w:r>
      <w:hyperlink r:id="rId45" w:history="1">
        <w:r w:rsidRPr="00D53F57">
          <w:rPr>
            <w:rStyle w:val="Lienhypertexte"/>
          </w:rPr>
          <w:t>LHE/24/10.GA/7</w:t>
        </w:r>
      </w:hyperlink>
      <w:r>
        <w:t xml:space="preserve">), с тем чтобы стимулировать представление заявок и способствовать увеличению географической представительности в списках Конвенции. В целях усиления реализации статьи 18 Конвенции после анализа ее более широкого применения можно было бы оказать поддержку в выполнении возможных </w:t>
      </w:r>
      <w:r>
        <w:lastRenderedPageBreak/>
        <w:t>предстоящих решений руководящих органов, в том числе для запуска первоначальной работы онлайн-платформы для обмена положительным опытом в области обеспечения гарантий после ее создания (см. пункт 31).</w:t>
      </w:r>
    </w:p>
    <w:p w14:paraId="51583F6B" w14:textId="1999466C" w:rsidR="00475E86" w:rsidRDefault="003E51DD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 xml:space="preserve">В соответствии с мероприятиями, начатыми в </w:t>
      </w:r>
      <w:bookmarkStart w:id="7" w:name="_Hlk162009818"/>
      <w:r>
        <w:t>предыдущий двухлетний период</w:t>
      </w:r>
      <w:bookmarkEnd w:id="7"/>
      <w:r>
        <w:t xml:space="preserve">, Секретариат продолжит укреплять свои услуги по управлению знаниями, что крайне важно в свете расширения географического (181 государство-участник по состоянию на 31 декабря 2023 года) и тематического охвата Конвенции, в частности, благодаря тематическим инициативам, действующим механизмам периодической отчетности и начатым Комитетом размышлениям о механизмах включения в перечень и статье 18 Конвенции. В предстоящий двухлетний период будут предприняты конкретные усилия по рационализации процессов подготовки и управления данными, а также по облегчению доступа к информации с помощью удобных и открытых форматов, как это предусмотрено в </w:t>
      </w:r>
      <w:hyperlink r:id="rId46" w:history="1">
        <w:r>
          <w:rPr>
            <w:rStyle w:val="Lienhypertexte"/>
          </w:rPr>
          <w:t>Оценке IOS 2021 года</w:t>
        </w:r>
      </w:hyperlink>
      <w:r>
        <w:t xml:space="preserve"> (рекомендации 10 и 11). Управление знаниями в рамках Конвенции будет усовершенствовано, чтобы реализовать результаты недавних аналитических исследований и реформ, что приведет к быстрому увеличению объема информации, поступающей от более широкого круга государств и сообществ и вызывающей интерес у более широкого круга заинтересованных сторон. Кроме того, опираясь на успешный опыт </w:t>
      </w:r>
      <w:hyperlink r:id="rId47" w:history="1">
        <w:r>
          <w:rPr>
            <w:rStyle w:val="Lienhypertexte"/>
          </w:rPr>
          <w:t>платформы</w:t>
        </w:r>
      </w:hyperlink>
      <w:r>
        <w:t>, запущенной к двадцатой годовщине Конвенции, веб-сайт Конвенции останется ключевым хранилищем информации для представителей государств и экспертов и продолжит свою модернизацию, чтобы обеспечить тематические подходы, предложить сквозную навигацию - в том числе посредством регулярного обновления "</w:t>
      </w:r>
      <w:hyperlink r:id="rId48" w:history="1">
        <w:r w:rsidRPr="00415EF4">
          <w:rPr>
            <w:rStyle w:val="Lienhypertexte"/>
          </w:rPr>
          <w:t>Погрузитесь в нематериальное культурное наследие!</w:t>
        </w:r>
      </w:hyperlink>
      <w:r>
        <w:t xml:space="preserve"> - и выделять такие материалы, как визуализация данных, высококачественные фотографии и аудиовизуальные материалы, демонстрирующие живое наследие в действии.</w:t>
      </w:r>
    </w:p>
    <w:p w14:paraId="2341FEDD" w14:textId="1DD4D945" w:rsidR="003E51DD" w:rsidRPr="00B87E19" w:rsidRDefault="00B87E19" w:rsidP="00D217E3">
      <w:pPr>
        <w:pStyle w:val="COMPara"/>
        <w:widowControl w:val="0"/>
        <w:numPr>
          <w:ilvl w:val="0"/>
          <w:numId w:val="0"/>
        </w:numPr>
        <w:ind w:left="567"/>
        <w:jc w:val="both"/>
        <w:rPr>
          <w:b/>
          <w:bCs/>
        </w:rPr>
      </w:pPr>
      <w:r>
        <w:rPr>
          <w:b/>
        </w:rPr>
        <w:t>Участие экспертов в заседаниях руководящих органов</w:t>
      </w:r>
    </w:p>
    <w:p w14:paraId="6F8BCEE6" w14:textId="3E5023C6" w:rsidR="00B87E19" w:rsidRDefault="00B87E19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 xml:space="preserve">Участие экспертов по нематериальному культурному наследию, представляющих развивающиеся государства-участники, в предусмотренных регламентирующими документами совещаниях покрывается либо за счет </w:t>
      </w:r>
      <w:r>
        <w:rPr>
          <w:b/>
          <w:bCs/>
        </w:rPr>
        <w:t>статьи 4</w:t>
      </w:r>
      <w:r>
        <w:t xml:space="preserve"> бюджета, когда они являются членами Комитета, либо за счет </w:t>
      </w:r>
      <w:r>
        <w:rPr>
          <w:b/>
          <w:bCs/>
        </w:rPr>
        <w:t>статьи 5</w:t>
      </w:r>
      <w:r>
        <w:t xml:space="preserve"> бюджета, когда они ими не являются. Участие экспертов, представляющих аккредитованные НПО из развивающихся стран, в сессиях Комитета финансируется за счет </w:t>
      </w:r>
      <w:r>
        <w:rPr>
          <w:b/>
          <w:bCs/>
        </w:rPr>
        <w:t>статьи 6 бюджет</w:t>
      </w:r>
      <w:r>
        <w:t xml:space="preserve">а. На вышеупомянутые направления предлагается выделить 2,5%, 2,7% и 2,7%, соответственно. Это представляет собой небольшое сокращение каждой статьи, что, тем не менее, позволит Фонду отвечать на все запросы членов Комитета и большинство, если не все, запросы, представленные государствами-участниками, не являющимися членами Комитета, и аккредитованными неправительственными организациями. </w:t>
      </w:r>
    </w:p>
    <w:p w14:paraId="713C01B9" w14:textId="4831843D" w:rsidR="00803EF3" w:rsidRPr="00803EF3" w:rsidRDefault="00803EF3" w:rsidP="00D217E3">
      <w:pPr>
        <w:pStyle w:val="COMPara"/>
        <w:widowControl w:val="0"/>
        <w:numPr>
          <w:ilvl w:val="0"/>
          <w:numId w:val="0"/>
        </w:numPr>
        <w:ind w:left="567"/>
        <w:jc w:val="both"/>
        <w:rPr>
          <w:b/>
          <w:bCs/>
        </w:rPr>
      </w:pPr>
      <w:r>
        <w:rPr>
          <w:b/>
        </w:rPr>
        <w:t>Консультационные услуги Комитету</w:t>
      </w:r>
    </w:p>
    <w:p w14:paraId="12210674" w14:textId="0BD2EFBA" w:rsidR="00803EF3" w:rsidRPr="003118BE" w:rsidRDefault="00803EF3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 xml:space="preserve">Бюджетную </w:t>
      </w:r>
      <w:r w:rsidRPr="00EF42BC">
        <w:rPr>
          <w:b/>
          <w:bCs/>
        </w:rPr>
        <w:t>статью 7</w:t>
      </w:r>
      <w:r>
        <w:t xml:space="preserve"> предлагается несколько сократить с 7,7% до 7%, чтобы покрыть расходы на консультационные услуги, предоставляемые по просьбе Комитета с января 2024 года по декабрь 2025 года, в частности, связанные с работой Органа по оценке. В соответствии с этим предложением ожидается, что эта статья по-прежнему сможет покрывать расходы на консультативные услуги, предоставляемые Органом по оценке в 2024 и 2025 годах, даже с учетом увеличения количества досье за два соответствующих цикла после решения Комитета рассматривать просьбы о переводе элементов из одного списка в другой, включение в Реестр передовой практики обеспечения сохранности в результате перевода из Списка наследия, нуждающегося в срочной охране, в Репрезентативный список, просьбы о включении на расширенной или сокращенной основе, а также последующие действия в отношении включенных элементов за пределами годового потолка (решение </w:t>
      </w:r>
      <w:hyperlink r:id="rId49" w:history="1">
        <w:r>
          <w:rPr>
            <w:rStyle w:val="Lienhypertexte"/>
          </w:rPr>
          <w:t>17.COM 15</w:t>
        </w:r>
      </w:hyperlink>
      <w:r>
        <w:t>).</w:t>
      </w:r>
    </w:p>
    <w:p w14:paraId="231468DD" w14:textId="6CB9A11E" w:rsidR="00803EF3" w:rsidRPr="007B13D8" w:rsidRDefault="00803EF3" w:rsidP="00D217E3">
      <w:pPr>
        <w:pStyle w:val="COMPara"/>
        <w:widowControl w:val="0"/>
        <w:numPr>
          <w:ilvl w:val="0"/>
          <w:numId w:val="23"/>
        </w:numPr>
        <w:ind w:left="567" w:hanging="567"/>
        <w:jc w:val="both"/>
      </w:pPr>
      <w:r>
        <w:t xml:space="preserve">Кроме того, эта бюджетная статья предусмотрена для покрытия расходов, связанных с первоначальным созданием онлайновой платформы </w:t>
      </w:r>
      <w:bookmarkStart w:id="8" w:name="_Hlk149417398"/>
      <w:r>
        <w:t>для обмена положительным опытом в области охраны</w:t>
      </w:r>
      <w:bookmarkEnd w:id="8"/>
      <w:r>
        <w:t xml:space="preserve">, включая развитие информационных технологий, подготовку </w:t>
      </w:r>
      <w:r>
        <w:lastRenderedPageBreak/>
        <w:t xml:space="preserve">контента и первоначальное тестирование системы для полного осуществления статьи 18 Конвенции (решение </w:t>
      </w:r>
      <w:hyperlink r:id="rId50" w:history="1">
        <w:r>
          <w:rPr>
            <w:rStyle w:val="Lienhypertexte"/>
          </w:rPr>
          <w:t>18.COM</w:t>
        </w:r>
        <w:r w:rsidR="00EF42BC">
          <w:rPr>
            <w:rStyle w:val="Lienhypertexte"/>
            <w:lang w:val="fr-FR"/>
          </w:rPr>
          <w:t> </w:t>
        </w:r>
        <w:r>
          <w:rPr>
            <w:rStyle w:val="Lienhypertexte"/>
          </w:rPr>
          <w:t>11</w:t>
        </w:r>
      </w:hyperlink>
      <w:r>
        <w:t xml:space="preserve">). Если Генеральная Ассамблея одобрит "предлагаемые изменения в Оперативных директивах по осуществлению Конвенции" по пункту 7, предлагаемые ассигнования позволят Секретариату приступить к созданию онлайн-платформы для обмена положительным опытом в области охраны. </w:t>
      </w:r>
    </w:p>
    <w:p w14:paraId="6588B349" w14:textId="56F66E0D" w:rsidR="00BF1B48" w:rsidRPr="00BF1B48" w:rsidRDefault="007B13D8" w:rsidP="00D217E3">
      <w:pPr>
        <w:pStyle w:val="COMPara"/>
        <w:widowControl w:val="0"/>
        <w:numPr>
          <w:ilvl w:val="0"/>
          <w:numId w:val="23"/>
        </w:numPr>
        <w:tabs>
          <w:tab w:val="left" w:pos="567"/>
        </w:tabs>
        <w:ind w:left="567" w:hanging="567"/>
        <w:jc w:val="both"/>
        <w:rPr>
          <w:bCs/>
        </w:rPr>
      </w:pPr>
      <w:r>
        <w:t xml:space="preserve">На своей девятой сессии Генеральная Ассамблея рекомендовала уполномочить Секретариат производить перечисления между статьями 4, 5, 6 и 7 бюджета в размере до 30% от их первоначальных общих ассигнований (резолюция </w:t>
      </w:r>
      <w:hyperlink r:id="rId51" w:history="1">
        <w:r>
          <w:rPr>
            <w:rStyle w:val="Lienhypertexte"/>
          </w:rPr>
          <w:t>9.GA 10</w:t>
        </w:r>
      </w:hyperlink>
      <w:r>
        <w:t xml:space="preserve">). В течение двухгодичного периода 2022-2023 годов Секретариат произвел два перечисления по этим статьям бюджета для покрытия расходов участников, присутствовавших на восемнадцатой сессии Комитета (см. документ </w:t>
      </w:r>
      <w:hyperlink r:id="rId52" w:history="1">
        <w:r w:rsidRPr="00D53F57">
          <w:rPr>
            <w:rStyle w:val="Lienhypertexte"/>
          </w:rPr>
          <w:t>LHE/24/10.GA/INF.8</w:t>
        </w:r>
      </w:hyperlink>
      <w:r>
        <w:t xml:space="preserve">). Для того чтобы иметь возможность продолжать отвечать на как можно большее число запросов о финансовой помощи, касающихся различных категорий участников, Комитет рекомендовал Генеральной Ассамблее и далее разрешать Секретариату производить перечисления между бюджетными статьями 4, 5, 6 и 7 в размере, эквивалентном 30% от их первоначального общего объема (решение </w:t>
      </w:r>
      <w:hyperlink r:id="rId53" w:history="1">
        <w:r>
          <w:rPr>
            <w:rStyle w:val="Lienhypertexte"/>
          </w:rPr>
          <w:t>18.COM 14</w:t>
        </w:r>
      </w:hyperlink>
      <w:r>
        <w:t>). В случае необходимости такого перевода Секретариат будет письменно информировать Генеральную Ассамблею и Комитет на сессии, следующей за таким действием, о деталях и причинах такого перевода.</w:t>
      </w:r>
    </w:p>
    <w:p w14:paraId="50D3EAFF" w14:textId="3A349EC1" w:rsidR="00D95C4C" w:rsidRPr="00BB6EEC" w:rsidRDefault="005C792B" w:rsidP="00D217E3">
      <w:pPr>
        <w:pStyle w:val="COMPara"/>
        <w:widowControl w:val="0"/>
        <w:numPr>
          <w:ilvl w:val="0"/>
          <w:numId w:val="23"/>
        </w:numPr>
        <w:ind w:left="567" w:hanging="567"/>
      </w:pPr>
      <w:r>
        <w:t>Генеральная ассамблея, возможно, пожелает принять следующую резолюцию:</w:t>
      </w:r>
    </w:p>
    <w:p w14:paraId="6CEB1E9D" w14:textId="7E76E83C" w:rsidR="00D95C4C" w:rsidRPr="00BB6EEC" w:rsidRDefault="004A34A0" w:rsidP="00D217E3">
      <w:pPr>
        <w:pStyle w:val="COMTitleDecision"/>
        <w:keepNext w:val="0"/>
        <w:widowControl w:val="0"/>
        <w:rPr>
          <w:rFonts w:eastAsia="SimSun"/>
        </w:rPr>
      </w:pPr>
      <w:r>
        <w:t>ПРОЕКТ РЕЗОЛЮЦИИ 10.GA 8</w:t>
      </w:r>
    </w:p>
    <w:p w14:paraId="13024F0B" w14:textId="5181E164" w:rsidR="00D95C4C" w:rsidRPr="00BB6EEC" w:rsidRDefault="005C792B" w:rsidP="00D217E3">
      <w:pPr>
        <w:pStyle w:val="COMPreambulaDecisions"/>
        <w:keepNext w:val="0"/>
        <w:widowControl w:val="0"/>
        <w:rPr>
          <w:rFonts w:eastAsia="SimSun"/>
        </w:rPr>
      </w:pPr>
      <w:r>
        <w:t>Генеральная ассамблея,</w:t>
      </w:r>
    </w:p>
    <w:p w14:paraId="5A9F22F3" w14:textId="0DB4F34E" w:rsidR="0057439C" w:rsidRPr="00BB6EEC" w:rsidRDefault="00EF42BC" w:rsidP="00D217E3">
      <w:pPr>
        <w:pStyle w:val="COMParaDecision"/>
        <w:widowControl w:val="0"/>
        <w:ind w:left="1134" w:hanging="567"/>
      </w:pPr>
      <w:r>
        <w:rPr>
          <w:lang w:val="fr-FR"/>
        </w:rPr>
        <w:t>P</w:t>
      </w:r>
      <w:proofErr w:type="spellStart"/>
      <w:r w:rsidR="00D95C4C">
        <w:t>ассмотрев</w:t>
      </w:r>
      <w:proofErr w:type="spellEnd"/>
      <w:r w:rsidR="00D95C4C" w:rsidRPr="00EF42BC">
        <w:rPr>
          <w:u w:val="none"/>
        </w:rPr>
        <w:t xml:space="preserve"> </w:t>
      </w:r>
      <w:r w:rsidR="00D95C4C">
        <w:rPr>
          <w:u w:val="none"/>
        </w:rPr>
        <w:t xml:space="preserve">документы LHE/24/10.GA/8 и </w:t>
      </w:r>
      <w:hyperlink r:id="rId54" w:history="1">
        <w:r w:rsidR="00D95C4C" w:rsidRPr="00D53F57">
          <w:rPr>
            <w:rStyle w:val="Lienhypertexte"/>
          </w:rPr>
          <w:t>LHE/24/10.GA/INF.8</w:t>
        </w:r>
      </w:hyperlink>
      <w:r w:rsidR="00D95C4C">
        <w:rPr>
          <w:u w:val="none"/>
        </w:rPr>
        <w:t xml:space="preserve"> и соответствующие к ним приложения, </w:t>
      </w:r>
    </w:p>
    <w:p w14:paraId="384D1EF5" w14:textId="39F45692" w:rsidR="00E61198" w:rsidRPr="00E61198" w:rsidRDefault="00EF42BC" w:rsidP="00D217E3">
      <w:pPr>
        <w:pStyle w:val="COMParaDecision"/>
        <w:widowControl w:val="0"/>
        <w:ind w:left="1134" w:hanging="567"/>
      </w:pPr>
      <w:r>
        <w:rPr>
          <w:lang w:val="fr-FR"/>
        </w:rPr>
        <w:t>C</w:t>
      </w:r>
      <w:proofErr w:type="spellStart"/>
      <w:r w:rsidR="00E61198">
        <w:t>сылаясь</w:t>
      </w:r>
      <w:proofErr w:type="spellEnd"/>
      <w:r w:rsidR="00E61198">
        <w:rPr>
          <w:u w:val="none"/>
        </w:rPr>
        <w:t xml:space="preserve"> на статью 7(c) Конвенции и главу II.1 Оперативного руководства,</w:t>
      </w:r>
    </w:p>
    <w:p w14:paraId="03C0863E" w14:textId="2B8CEF1F" w:rsidR="00E61198" w:rsidRDefault="00EF42BC" w:rsidP="00D217E3">
      <w:pPr>
        <w:pStyle w:val="COMParaDecision"/>
        <w:widowControl w:val="0"/>
        <w:ind w:left="1134" w:hanging="567"/>
        <w:rPr>
          <w:u w:val="none"/>
        </w:rPr>
      </w:pPr>
      <w:r>
        <w:rPr>
          <w:lang w:val="fr-FR"/>
        </w:rPr>
        <w:t>C</w:t>
      </w:r>
      <w:proofErr w:type="spellStart"/>
      <w:r w:rsidR="00E61198">
        <w:t>сылаясь</w:t>
      </w:r>
      <w:proofErr w:type="spellEnd"/>
      <w:r w:rsidR="00E61198">
        <w:rPr>
          <w:u w:val="none"/>
        </w:rPr>
        <w:t xml:space="preserve"> далее на резолюцию Генеральной конференции ЮНЕСКО об ассигнованиях на </w:t>
      </w:r>
      <w:bookmarkStart w:id="9" w:name="_Hlk150367455"/>
      <w:r w:rsidR="00E61198">
        <w:rPr>
          <w:u w:val="none"/>
        </w:rPr>
        <w:t>2024–</w:t>
      </w:r>
      <w:bookmarkEnd w:id="9"/>
      <w:r w:rsidR="00E61198">
        <w:rPr>
          <w:u w:val="none"/>
        </w:rPr>
        <w:t xml:space="preserve">2025 </w:t>
      </w:r>
      <w:r w:rsidR="00E61198">
        <w:rPr>
          <w:color w:val="212121"/>
          <w:u w:val="none"/>
          <w:shd w:val="clear" w:color="auto" w:fill="FFFFFF"/>
        </w:rPr>
        <w:t>(</w:t>
      </w:r>
      <w:hyperlink r:id="rId55" w:history="1">
        <w:r w:rsidR="00E61198">
          <w:rPr>
            <w:rStyle w:val="Lienhypertexte"/>
          </w:rPr>
          <w:t>42 C/Резолюция 80</w:t>
        </w:r>
      </w:hyperlink>
      <w:r w:rsidR="00E61198">
        <w:rPr>
          <w:color w:val="212121"/>
          <w:u w:val="none"/>
          <w:shd w:val="clear" w:color="auto" w:fill="FFFFFF"/>
        </w:rPr>
        <w:t>)</w:t>
      </w:r>
      <w:r w:rsidR="00E61198">
        <w:rPr>
          <w:u w:val="none"/>
        </w:rPr>
        <w:t>,</w:t>
      </w:r>
    </w:p>
    <w:p w14:paraId="6ACBA10F" w14:textId="77777777" w:rsidR="00E61198" w:rsidRPr="00557EBD" w:rsidRDefault="00E61198" w:rsidP="00D217E3">
      <w:pPr>
        <w:pStyle w:val="COMParaDecision"/>
        <w:widowControl w:val="0"/>
        <w:numPr>
          <w:ilvl w:val="0"/>
          <w:numId w:val="0"/>
        </w:numPr>
        <w:ind w:left="567"/>
        <w:rPr>
          <w:b/>
          <w:bCs/>
          <w:u w:val="none"/>
        </w:rPr>
      </w:pPr>
      <w:r>
        <w:rPr>
          <w:b/>
          <w:u w:val="none"/>
        </w:rPr>
        <w:t>Состояние и тенденции развития Фонда</w:t>
      </w:r>
    </w:p>
    <w:p w14:paraId="64BCBD44" w14:textId="038AC951" w:rsidR="00250B98" w:rsidRPr="00D53F57" w:rsidRDefault="00250B98" w:rsidP="00D217E3">
      <w:pPr>
        <w:pStyle w:val="COMParaDecision"/>
        <w:widowControl w:val="0"/>
        <w:ind w:left="1134" w:hanging="567"/>
        <w:rPr>
          <w:u w:val="none"/>
        </w:rPr>
      </w:pPr>
      <w:r w:rsidRPr="00250B98">
        <w:t>Принимает к сведению</w:t>
      </w:r>
      <w:r w:rsidRPr="00D53F57">
        <w:rPr>
          <w:u w:val="none"/>
        </w:rPr>
        <w:t xml:space="preserve"> отчет о начисленных взносах Фонда на 2022-2023 годы, </w:t>
      </w:r>
      <w:r w:rsidRPr="00250B98">
        <w:t>напоминает</w:t>
      </w:r>
      <w:r w:rsidRPr="00D53F57">
        <w:rPr>
          <w:u w:val="none"/>
        </w:rPr>
        <w:t xml:space="preserve">, что выплата обязательных и начисленных добровольных взносов является, согласно статье 26 Конвенции, обязанностью всех государств-участников, ратифицировавших Конвенцию, и </w:t>
      </w:r>
      <w:r w:rsidRPr="00250B98">
        <w:t>призывает</w:t>
      </w:r>
      <w:r w:rsidRPr="00D53F57">
        <w:rPr>
          <w:u w:val="none"/>
        </w:rPr>
        <w:t xml:space="preserve"> все государства-участники, которые еще не выплатили всю сумму своих начисленных взносов, включая добровольно начисленные взносы, обеспечить выплату своих взносов в установленные сроки;</w:t>
      </w:r>
    </w:p>
    <w:p w14:paraId="019466BF" w14:textId="7C953605" w:rsidR="00E61198" w:rsidRPr="00557EBD" w:rsidRDefault="00EF42BC" w:rsidP="00D217E3">
      <w:pPr>
        <w:pStyle w:val="COMParaDecision"/>
        <w:widowControl w:val="0"/>
        <w:ind w:left="1134" w:hanging="567"/>
        <w:rPr>
          <w:u w:val="none"/>
        </w:rPr>
      </w:pPr>
      <w:r w:rsidRPr="00EF42BC">
        <w:t>Д</w:t>
      </w:r>
      <w:r w:rsidR="00E61198">
        <w:t>алее принимает к сведению</w:t>
      </w:r>
      <w:r w:rsidR="00E61198">
        <w:rPr>
          <w:u w:val="none"/>
        </w:rPr>
        <w:t xml:space="preserve"> доноров, предоставивших в течение двухлетнего периода 2022-2023 гг. (a) добровольные дополнительные взносы на конкретные мероприятия, утвержденные Комитетом, а именно Нидерланды и Международный центр информации и сетевого взаимодействия по нематериальному культурному наследию в регионе Азии и Тихого океана (ICHCAP), а также (b) добровольные дополнительные взносы в субфонд для укрепления кадрового потенциала Секретариата, а именно Литву, Монако, Словакию, Словению и Францию;</w:t>
      </w:r>
    </w:p>
    <w:p w14:paraId="353664D6" w14:textId="1D5CB2B6" w:rsidR="00E61198" w:rsidRPr="00557EBD" w:rsidRDefault="00EF42BC" w:rsidP="00D217E3">
      <w:pPr>
        <w:pStyle w:val="COMParaDecision"/>
        <w:widowControl w:val="0"/>
        <w:ind w:left="1134" w:hanging="567"/>
      </w:pPr>
      <w:r w:rsidRPr="00EF42BC">
        <w:t>Б</w:t>
      </w:r>
      <w:r w:rsidR="00E61198">
        <w:t>лагодарит</w:t>
      </w:r>
      <w:r w:rsidR="00E61198">
        <w:rPr>
          <w:u w:val="none"/>
        </w:rPr>
        <w:t xml:space="preserve"> всех доноров, оказавших поддержку Конвенции и ее Секретариату после ее последней сессии посредством различных форм поддержки, как финансовой, так и натуральной, таких как добровольные дополнительные взносы в Фонд нематериального культурного наследия, включая субфонд для укрепления кадрового потенциала Секретариата, целевые фонды или заемный персонал, и </w:t>
      </w:r>
      <w:r w:rsidR="00E61198">
        <w:t>призывает</w:t>
      </w:r>
      <w:r w:rsidR="00E61198">
        <w:rPr>
          <w:u w:val="none"/>
        </w:rPr>
        <w:t xml:space="preserve"> потенциальных доноров рассмотреть возможность оказания поддержки Конвенции с помощью выбранной ими формы;</w:t>
      </w:r>
    </w:p>
    <w:p w14:paraId="5DB8F325" w14:textId="3936C8AA" w:rsidR="00250B98" w:rsidRPr="00D53F57" w:rsidRDefault="00250B98" w:rsidP="00250B98">
      <w:pPr>
        <w:pStyle w:val="COMParaDecision"/>
        <w:widowControl w:val="0"/>
        <w:ind w:left="1134" w:hanging="567"/>
        <w:rPr>
          <w:u w:val="none"/>
        </w:rPr>
      </w:pPr>
      <w:r w:rsidRPr="00250B98">
        <w:t>Вновь заявляет</w:t>
      </w:r>
      <w:r w:rsidRPr="00D53F57">
        <w:rPr>
          <w:u w:val="none"/>
        </w:rPr>
        <w:t xml:space="preserve"> о необходимости укрепления кадровых ресурсов Секретариата на </w:t>
      </w:r>
      <w:r w:rsidRPr="00D53F57">
        <w:rPr>
          <w:u w:val="none"/>
        </w:rPr>
        <w:lastRenderedPageBreak/>
        <w:t xml:space="preserve">долгосрочной основе, с тем чтобы Секретариат мог лучше реагировать на потребности государств-участников, и </w:t>
      </w:r>
      <w:r w:rsidRPr="00250B98">
        <w:t>предлагае</w:t>
      </w:r>
      <w:r w:rsidRPr="00D53F57">
        <w:rPr>
          <w:u w:val="none"/>
        </w:rPr>
        <w:t xml:space="preserve">т государствам-участникам вносить добровольные дополнительные взносы в </w:t>
      </w:r>
      <w:proofErr w:type="spellStart"/>
      <w:r w:rsidRPr="00D53F57">
        <w:rPr>
          <w:u w:val="none"/>
        </w:rPr>
        <w:t>субфонд</w:t>
      </w:r>
      <w:proofErr w:type="spellEnd"/>
      <w:r w:rsidRPr="00D53F57">
        <w:rPr>
          <w:u w:val="none"/>
        </w:rPr>
        <w:t xml:space="preserve"> для укрепления кадрового потенциала Секретариата;</w:t>
      </w:r>
    </w:p>
    <w:p w14:paraId="2D80BB1A" w14:textId="77777777" w:rsidR="00E61198" w:rsidRPr="00557EBD" w:rsidRDefault="00E61198" w:rsidP="00D217E3">
      <w:pPr>
        <w:pStyle w:val="COMParaDecision"/>
        <w:widowControl w:val="0"/>
        <w:numPr>
          <w:ilvl w:val="0"/>
          <w:numId w:val="0"/>
        </w:numPr>
        <w:ind w:left="567"/>
        <w:rPr>
          <w:b/>
          <w:bCs/>
          <w:u w:val="none"/>
        </w:rPr>
      </w:pPr>
      <w:r>
        <w:rPr>
          <w:b/>
          <w:u w:val="none"/>
        </w:rPr>
        <w:t>Планирование использования ресурсов Фонда</w:t>
      </w:r>
    </w:p>
    <w:p w14:paraId="3E969ED0" w14:textId="5DCEBDA6" w:rsidR="00E61198" w:rsidRPr="00E937BA" w:rsidRDefault="00EF42BC" w:rsidP="00D217E3">
      <w:pPr>
        <w:pStyle w:val="COMParaDecision"/>
        <w:widowControl w:val="0"/>
        <w:ind w:left="1134" w:hanging="567"/>
        <w:rPr>
          <w:u w:val="none"/>
        </w:rPr>
      </w:pPr>
      <w:r>
        <w:t>У</w:t>
      </w:r>
      <w:r w:rsidR="00E61198">
        <w:t>тверждает</w:t>
      </w:r>
      <w:r w:rsidR="00E61198">
        <w:rPr>
          <w:u w:val="none"/>
        </w:rPr>
        <w:t xml:space="preserve"> План использования средств Фонда на период с 1 января 2024 года по 31 декабря 2025 года, а также на период с 1 января 2026 года по 30 июня 2026 года в Приложении к настоящей резолюции;</w:t>
      </w:r>
    </w:p>
    <w:p w14:paraId="335779E7" w14:textId="5C8EFC00" w:rsidR="00E61198" w:rsidRPr="000E7BA6" w:rsidRDefault="00EF42BC" w:rsidP="00D217E3">
      <w:pPr>
        <w:pStyle w:val="COMParaDecision"/>
        <w:widowControl w:val="0"/>
        <w:ind w:left="1134" w:hanging="567"/>
        <w:rPr>
          <w:u w:val="none"/>
        </w:rPr>
      </w:pPr>
      <w:r>
        <w:t>У</w:t>
      </w:r>
      <w:r w:rsidR="00E61198">
        <w:t>читывает</w:t>
      </w:r>
      <w:r w:rsidR="00E61198">
        <w:rPr>
          <w:u w:val="none"/>
        </w:rPr>
        <w:t xml:space="preserve"> что во время проведения одиннадцатой сессии в 2026 году она может скорректировать бюджетный план с 1 января 2026 года до 30 июня 2026 года; если Генеральная Ассамблея не сможет собраться до 30 июня 2026 года, Секретариат уполномочен продолжать работу до тех пор, пока Генеральная Ассамблея не сможет собраться;</w:t>
      </w:r>
    </w:p>
    <w:p w14:paraId="3DEC571A" w14:textId="15AA433E" w:rsidR="00E61198" w:rsidRPr="000E7BA6" w:rsidRDefault="00EF42BC" w:rsidP="00D217E3">
      <w:pPr>
        <w:pStyle w:val="COMParaDecision"/>
        <w:widowControl w:val="0"/>
        <w:ind w:left="1134" w:hanging="567"/>
        <w:rPr>
          <w:u w:val="none"/>
        </w:rPr>
      </w:pPr>
      <w:r>
        <w:rPr>
          <w:lang w:val="fr-FR"/>
        </w:rPr>
        <w:t>T</w:t>
      </w:r>
      <w:proofErr w:type="spellStart"/>
      <w:r w:rsidR="009D3A5F">
        <w:t>акже</w:t>
      </w:r>
      <w:proofErr w:type="spellEnd"/>
      <w:r w:rsidR="009D3A5F">
        <w:t xml:space="preserve"> принимает к сведению</w:t>
      </w:r>
      <w:r w:rsidR="009D3A5F">
        <w:rPr>
          <w:u w:val="none"/>
        </w:rPr>
        <w:t xml:space="preserve"> разрешение, предоставленное Комитетом Секретариату, использовать на экспериментальной основе сумму, не превышающую 10 процентов утвержденного бюджета каждого проекта международной помощи, в дополнение к сумме, предоставленной Комитетом или его Бюро на каждый проект, для мониторинга и оценки воздействия проектов, поддерживаемых Фондом;</w:t>
      </w:r>
    </w:p>
    <w:p w14:paraId="2ED66586" w14:textId="53C5AB68" w:rsidR="00E61198" w:rsidRPr="001478D5" w:rsidRDefault="00EF42BC" w:rsidP="00D217E3">
      <w:pPr>
        <w:pStyle w:val="COMParaDecision"/>
        <w:widowControl w:val="0"/>
        <w:ind w:left="1134" w:hanging="567"/>
        <w:rPr>
          <w:u w:val="none"/>
        </w:rPr>
      </w:pPr>
      <w:r>
        <w:t>К</w:t>
      </w:r>
      <w:r w:rsidR="00E61198">
        <w:t>роме того, приветствует</w:t>
      </w:r>
      <w:r w:rsidR="00E61198">
        <w:rPr>
          <w:u w:val="none"/>
        </w:rPr>
        <w:t xml:space="preserve"> корректировки в ассигнованиях, предусмотренные для практической реализации итогов глобального анализа механизмов включения в перечень Конвенции 2003 года, в частности, более широкого осуществления статьи 18 Конвенции; </w:t>
      </w:r>
    </w:p>
    <w:p w14:paraId="7201A0CA" w14:textId="3187D8D6" w:rsidR="00E61198" w:rsidRPr="00557EBD" w:rsidRDefault="00EF42BC" w:rsidP="00D217E3">
      <w:pPr>
        <w:pStyle w:val="COMParaDecision"/>
        <w:widowControl w:val="0"/>
        <w:ind w:left="1134" w:hanging="567"/>
      </w:pPr>
      <w:r>
        <w:t>П</w:t>
      </w:r>
      <w:r w:rsidR="00E61198">
        <w:t>ринимает также к сведению</w:t>
      </w:r>
      <w:r w:rsidR="00E61198">
        <w:rPr>
          <w:u w:val="none"/>
        </w:rPr>
        <w:t xml:space="preserve"> разрешение, данное Комитетом Секретариату, при использовании средств, выделенных по бюджетной статье 3 Плана, осуществлять перераспределение между мероприятиями, включенными в бюджетную статью 3, в пределах совокупной суммы, эквивалентной 5 процентам от первоначального общего объема ассигнований, предложенных Генеральной Ассамблее для этой цели;</w:t>
      </w:r>
    </w:p>
    <w:p w14:paraId="438260CA" w14:textId="5AA03FB9" w:rsidR="00E61198" w:rsidRPr="00557EBD" w:rsidRDefault="00EF42BC" w:rsidP="00D217E3">
      <w:pPr>
        <w:pStyle w:val="COMParaDecision"/>
        <w:widowControl w:val="0"/>
        <w:ind w:left="1134" w:hanging="567"/>
        <w:rPr>
          <w:u w:val="none"/>
        </w:rPr>
      </w:pPr>
      <w:r>
        <w:t>У</w:t>
      </w:r>
      <w:r w:rsidR="00E61198">
        <w:t>полномочивает</w:t>
      </w:r>
      <w:r w:rsidR="00E61198">
        <w:rPr>
          <w:u w:val="none"/>
        </w:rPr>
        <w:t xml:space="preserve"> Комитет незамедлительно использовать любые добровольные дополнительные взносы, которые могут быть получены в эти периоды, как указано в статье 27 Конвенции, в соответствии с процентными долями, установленными в Плане;</w:t>
      </w:r>
    </w:p>
    <w:p w14:paraId="7BC80583" w14:textId="0612E53A" w:rsidR="00E61198" w:rsidRPr="00557EBD" w:rsidRDefault="00EF42BC" w:rsidP="00D217E3">
      <w:pPr>
        <w:pStyle w:val="COMParaDecision"/>
        <w:widowControl w:val="0"/>
        <w:ind w:left="1134" w:hanging="567"/>
        <w:rPr>
          <w:u w:val="none"/>
        </w:rPr>
      </w:pPr>
      <w:r>
        <w:rPr>
          <w:lang w:val="fr-FR"/>
        </w:rPr>
        <w:t>T</w:t>
      </w:r>
      <w:proofErr w:type="spellStart"/>
      <w:r w:rsidR="00E61198">
        <w:t>акже</w:t>
      </w:r>
      <w:proofErr w:type="spellEnd"/>
      <w:r w:rsidR="00E61198">
        <w:t xml:space="preserve"> уполномочивает</w:t>
      </w:r>
      <w:r w:rsidR="00E61198">
        <w:rPr>
          <w:u w:val="none"/>
        </w:rPr>
        <w:t xml:space="preserve"> Комитет незамедлительно использовать любые взносы, которые он может принять в течение этих периодов, на конкретные цели, связанные с конкретными проектами, при условии, что эти проекты были утверждены Комитетом до получения средств, как указано в статье 25.5 Конвенции;</w:t>
      </w:r>
    </w:p>
    <w:p w14:paraId="43887484" w14:textId="773D0D28" w:rsidR="00E61198" w:rsidRDefault="00EF42BC" w:rsidP="00D217E3">
      <w:pPr>
        <w:pStyle w:val="COMParaDecision"/>
        <w:widowControl w:val="0"/>
        <w:ind w:left="1134" w:hanging="567"/>
        <w:rPr>
          <w:u w:val="none"/>
        </w:rPr>
      </w:pPr>
      <w:r>
        <w:t>У</w:t>
      </w:r>
      <w:r w:rsidR="00E61198">
        <w:t>полномочивает также</w:t>
      </w:r>
      <w:r w:rsidR="00E61198">
        <w:rPr>
          <w:u w:val="none"/>
        </w:rPr>
        <w:t xml:space="preserve"> Уполномочивает также Секретариат производить перечисления между статьями 4, 5, 6 и 7 бюджета в размере, эквивалентном 30 процентам от их первоначального общего объема ассигнований, и просит Секретариат информировать Комитет и Генеральную Ассамблею в письменном виде на сессии, следующей за таким действием, о деталях и причинах этих перечислений.</w:t>
      </w:r>
    </w:p>
    <w:p w14:paraId="20BB7CB8" w14:textId="53AC54B7" w:rsidR="00863A53" w:rsidRDefault="00863A53" w:rsidP="00D217E3">
      <w:pPr>
        <w:widowControl w:val="0"/>
        <w:rPr>
          <w:rFonts w:ascii="Arial" w:eastAsia="SimSun" w:hAnsi="Arial" w:cs="Arial"/>
          <w:sz w:val="22"/>
          <w:szCs w:val="22"/>
        </w:rPr>
      </w:pPr>
      <w:r>
        <w:br w:type="page"/>
      </w:r>
    </w:p>
    <w:p w14:paraId="1B08DF9D" w14:textId="59BBB732" w:rsidR="00190205" w:rsidRDefault="00863A53" w:rsidP="00D217E3">
      <w:pPr>
        <w:widowControl w:val="0"/>
        <w:jc w:val="center"/>
        <w:rPr>
          <w:rFonts w:ascii="Arial" w:eastAsia="SimSun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sz w:val="22"/>
          <w:u w:val="single"/>
        </w:rPr>
        <w:lastRenderedPageBreak/>
        <w:t>ПРИЛОЖЕНИЕ</w:t>
      </w:r>
    </w:p>
    <w:p w14:paraId="5EA2C5ED" w14:textId="77777777" w:rsidR="00863A53" w:rsidRDefault="00863A53" w:rsidP="00D217E3">
      <w:pPr>
        <w:widowControl w:val="0"/>
        <w:jc w:val="center"/>
        <w:rPr>
          <w:rFonts w:ascii="Arial" w:eastAsia="SimSun" w:hAnsi="Arial" w:cs="Arial"/>
          <w:b/>
          <w:bCs/>
          <w:sz w:val="22"/>
          <w:szCs w:val="22"/>
          <w:u w:val="single"/>
          <w:lang w:val="en-GB"/>
        </w:rPr>
      </w:pPr>
    </w:p>
    <w:tbl>
      <w:tblPr>
        <w:tblW w:w="9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879"/>
        <w:gridCol w:w="1524"/>
        <w:gridCol w:w="1368"/>
        <w:gridCol w:w="1682"/>
        <w:gridCol w:w="1682"/>
      </w:tblGrid>
      <w:tr w:rsidR="00863A53" w:rsidRPr="00DE57E5" w14:paraId="4A780396" w14:textId="77777777" w:rsidTr="00863A53">
        <w:trPr>
          <w:trHeight w:val="315"/>
        </w:trPr>
        <w:tc>
          <w:tcPr>
            <w:tcW w:w="6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913A62A" w14:textId="77777777" w:rsidR="00863A53" w:rsidRPr="00863A53" w:rsidRDefault="00863A53" w:rsidP="00D217E3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Проект плана использования ресурсов Фонда</w:t>
            </w:r>
          </w:p>
        </w:tc>
        <w:tc>
          <w:tcPr>
            <w:tcW w:w="1543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DA6B9A" w14:textId="77777777" w:rsidR="00863A53" w:rsidRPr="00863A53" w:rsidRDefault="00863A53" w:rsidP="00D217E3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 </w:t>
            </w:r>
          </w:p>
        </w:tc>
        <w:tc>
          <w:tcPr>
            <w:tcW w:w="151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35EE4AF" w14:textId="77777777" w:rsidR="00863A53" w:rsidRPr="00863A53" w:rsidRDefault="00863A53" w:rsidP="00D217E3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863A53" w14:paraId="59674BF3" w14:textId="77777777" w:rsidTr="00027E63">
        <w:trPr>
          <w:trHeight w:val="1384"/>
        </w:trPr>
        <w:tc>
          <w:tcPr>
            <w:tcW w:w="41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6E8D" w14:textId="77777777" w:rsidR="00863A53" w:rsidRPr="00863A53" w:rsidRDefault="00863A53" w:rsidP="00D217E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В период с 1 января 2024 года по 31 декабря 2025 года, а также в период с 1 января по 30 июня 2026 года средства Фонда нематериального культурного наследия могут быть использованы на следующие цели: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07FE" w14:textId="2DC73B39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%, использованных ресурсов в течение предыдущего двухлетнего периода</w:t>
            </w:r>
            <w:r>
              <w:rPr>
                <w:rFonts w:ascii="Arial" w:hAnsi="Arial"/>
                <w:color w:val="000000"/>
                <w:sz w:val="18"/>
              </w:rPr>
              <w:br/>
            </w:r>
            <w:proofErr w:type="gramStart"/>
            <w:r>
              <w:rPr>
                <w:rFonts w:ascii="Arial" w:hAnsi="Arial"/>
                <w:color w:val="000000"/>
                <w:sz w:val="18"/>
              </w:rPr>
              <w:t>2022-2023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35CFD" w14:textId="2B795682" w:rsidR="00863A53" w:rsidRP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% от общей суммы, предложенной на </w:t>
            </w:r>
            <w:proofErr w:type="gramStart"/>
            <w:r>
              <w:rPr>
                <w:rFonts w:ascii="Arial" w:hAnsi="Arial"/>
                <w:color w:val="000000"/>
                <w:sz w:val="18"/>
              </w:rPr>
              <w:t>2024-2025</w:t>
            </w:r>
            <w:proofErr w:type="gramEnd"/>
            <w:r>
              <w:rPr>
                <w:rFonts w:ascii="Arial" w:hAnsi="Arial"/>
                <w:color w:val="000000"/>
                <w:sz w:val="18"/>
              </w:rPr>
              <w:t xml:space="preserve"> годы [1]</w:t>
            </w:r>
          </w:p>
        </w:tc>
        <w:tc>
          <w:tcPr>
            <w:tcW w:w="15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8D314D9" w14:textId="201288AC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Ориентировочные суммы</w:t>
            </w:r>
            <w:r>
              <w:rPr>
                <w:rFonts w:ascii="Arial" w:hAnsi="Arial"/>
                <w:color w:val="000000"/>
                <w:sz w:val="18"/>
              </w:rPr>
              <w:br/>
            </w:r>
            <w:proofErr w:type="gramStart"/>
            <w:r>
              <w:rPr>
                <w:rFonts w:ascii="Arial" w:hAnsi="Arial"/>
                <w:color w:val="000000"/>
                <w:sz w:val="18"/>
              </w:rPr>
              <w:t>2024-2025</w:t>
            </w:r>
            <w:proofErr w:type="gramEnd"/>
          </w:p>
        </w:tc>
        <w:tc>
          <w:tcPr>
            <w:tcW w:w="15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4D3B8D9" w14:textId="53BE7515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Ориентировочные суммы</w:t>
            </w:r>
            <w:r>
              <w:rPr>
                <w:rFonts w:ascii="Arial" w:hAnsi="Arial"/>
                <w:color w:val="000000"/>
                <w:sz w:val="18"/>
              </w:rPr>
              <w:br/>
              <w:t>январь-июнь 2026 г.</w:t>
            </w:r>
          </w:p>
        </w:tc>
      </w:tr>
      <w:tr w:rsidR="00863A53" w14:paraId="39735238" w14:textId="77777777" w:rsidTr="00027E63">
        <w:trPr>
          <w:trHeight w:val="18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916D" w14:textId="77777777" w:rsidR="00863A53" w:rsidRDefault="00863A53" w:rsidP="00D217E3">
            <w:pPr>
              <w:widowControl w:val="0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1.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EEDF" w14:textId="77777777" w:rsidR="00863A53" w:rsidRPr="00863A53" w:rsidRDefault="00863A53" w:rsidP="00D217E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Международная помощь, включающая охрану наследия, включенного в Список нематериального культурного наследия, нуждающегося в срочной охране, подготовку инвентарных списков и поддержку других программ, проектов и мероприятий по охране наследия, включая мониторинг и оценку утвержденных заявок;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A6A0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50,00%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8F1C9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50,00%</w:t>
            </w:r>
          </w:p>
        </w:tc>
        <w:tc>
          <w:tcPr>
            <w:tcW w:w="15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2B08590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$4 094 789</w:t>
            </w:r>
          </w:p>
        </w:tc>
        <w:tc>
          <w:tcPr>
            <w:tcW w:w="15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900A97F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$1 023 697</w:t>
            </w:r>
          </w:p>
        </w:tc>
      </w:tr>
      <w:tr w:rsidR="00863A53" w14:paraId="3F5DE7CC" w14:textId="77777777" w:rsidTr="00027E63">
        <w:trPr>
          <w:trHeight w:val="1068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FA19" w14:textId="77777777" w:rsidR="00863A53" w:rsidRDefault="00863A53" w:rsidP="00D217E3">
            <w:pPr>
              <w:widowControl w:val="0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1,1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5D10" w14:textId="2E7FC429" w:rsidR="00863A53" w:rsidRPr="00863A53" w:rsidRDefault="00863A53" w:rsidP="00D217E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Укрепление кадровых ресурсов для улучшения реализации механизмов международной помощи за счет трех внебюджетных должностей по срочным контрактам (одна С3, одна С2 и одна G5);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E954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10,00%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23667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12,30%</w:t>
            </w:r>
          </w:p>
        </w:tc>
        <w:tc>
          <w:tcPr>
            <w:tcW w:w="15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BEDBCB3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$1 007 318</w:t>
            </w:r>
          </w:p>
        </w:tc>
        <w:tc>
          <w:tcPr>
            <w:tcW w:w="15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A6CEA1A" w14:textId="4C9E79B9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$251 830</w:t>
            </w:r>
          </w:p>
        </w:tc>
      </w:tr>
      <w:tr w:rsidR="00863A53" w14:paraId="01548207" w14:textId="77777777" w:rsidTr="00027E63">
        <w:trPr>
          <w:trHeight w:val="93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5CCC" w14:textId="77777777" w:rsidR="00863A53" w:rsidRDefault="00863A53" w:rsidP="00D217E3">
            <w:pPr>
              <w:widowControl w:val="0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AFDC" w14:textId="77777777" w:rsidR="00863A53" w:rsidRPr="00863A53" w:rsidRDefault="00863A53" w:rsidP="00D217E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Подготовительная помощь для запросов о международной помощи, номинаций и предложений в Списки и Реестр Конвенции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7C24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2,60%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0362A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2,80%</w:t>
            </w:r>
          </w:p>
        </w:tc>
        <w:tc>
          <w:tcPr>
            <w:tcW w:w="15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DAAAEDE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$229 308</w:t>
            </w:r>
          </w:p>
        </w:tc>
        <w:tc>
          <w:tcPr>
            <w:tcW w:w="15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8034AAD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$57 327</w:t>
            </w:r>
          </w:p>
        </w:tc>
      </w:tr>
      <w:tr w:rsidR="00863A53" w14:paraId="0A22C291" w14:textId="77777777" w:rsidTr="00027E63">
        <w:trPr>
          <w:trHeight w:val="2557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FC58" w14:textId="77777777" w:rsidR="00863A53" w:rsidRDefault="00863A53" w:rsidP="00D217E3">
            <w:pPr>
              <w:widowControl w:val="0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3.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7F7A" w14:textId="77777777" w:rsidR="00863A53" w:rsidRPr="00863A53" w:rsidRDefault="00863A53" w:rsidP="00D217E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Другие функции Комитета, описанные в статье 7 Конвенции, направлены на содействие достижению целей Конвенции, поощрение и мониторинг ее осуществления, в частности путем укрепления потенциала для эффективной охраны нематериального культурного наследия, повышения осведомленности о важности такого наследия, предоставления рекомендаций в отношении надлежащей практики охраны, а также обновления и публикации Списков и Реестра надлежащей практики охраны: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69EA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20,00%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7F818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20,00%</w:t>
            </w:r>
          </w:p>
        </w:tc>
        <w:tc>
          <w:tcPr>
            <w:tcW w:w="15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D559280" w14:textId="76B098E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$1 637 916</w:t>
            </w:r>
          </w:p>
        </w:tc>
        <w:tc>
          <w:tcPr>
            <w:tcW w:w="15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6E213E9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$409 479</w:t>
            </w:r>
          </w:p>
        </w:tc>
      </w:tr>
      <w:tr w:rsidR="00E426C4" w14:paraId="547CB677" w14:textId="77777777" w:rsidTr="00CA4765">
        <w:trPr>
          <w:trHeight w:val="300"/>
        </w:trPr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8EDDE2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 </w:t>
            </w:r>
          </w:p>
        </w:tc>
        <w:tc>
          <w:tcPr>
            <w:tcW w:w="3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E3238E" w14:textId="54B12901" w:rsidR="00E426C4" w:rsidRPr="00863A53" w:rsidRDefault="00E426C4" w:rsidP="00D217E3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</w:rPr>
              <w:t>ОР 1: Поощрение осуществления Конвенции путем усиления программы создания потенциала и включения нематериального культурного наследия в планы, политику и программы развития;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D7F38D" w14:textId="6FE6C8EE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6,60%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0A73088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10,4%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E7E6E6"/>
            <w:vAlign w:val="center"/>
            <w:hideMark/>
          </w:tcPr>
          <w:p w14:paraId="48FD8FBF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$851 716</w:t>
            </w:r>
          </w:p>
        </w:tc>
        <w:tc>
          <w:tcPr>
            <w:tcW w:w="1519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E7E6E6"/>
            <w:vAlign w:val="center"/>
            <w:hideMark/>
          </w:tcPr>
          <w:p w14:paraId="42807105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$212 929</w:t>
            </w:r>
          </w:p>
        </w:tc>
      </w:tr>
      <w:tr w:rsidR="00E426C4" w14:paraId="598337F6" w14:textId="77777777" w:rsidTr="00CA4765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D16A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B5B6" w14:textId="77777777" w:rsidR="00E426C4" w:rsidRDefault="00E426C4" w:rsidP="00D217E3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2DD7AA" w14:textId="03B74BC6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(ОР 2: 33% от строки 3)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78B7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99EC3CC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ACA2F3F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426C4" w14:paraId="1BC6D26C" w14:textId="77777777" w:rsidTr="00CA4765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BB6D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FD06" w14:textId="77777777" w:rsidR="00E426C4" w:rsidRDefault="00E426C4" w:rsidP="00D217E3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077A0A" w14:textId="29E2A16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3,70%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6E1A794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(52% от строки 3)</w:t>
            </w:r>
          </w:p>
        </w:tc>
        <w:tc>
          <w:tcPr>
            <w:tcW w:w="1543" w:type="dxa"/>
            <w:vMerge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9E6995B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E960190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426C4" w14:paraId="3D634618" w14:textId="77777777" w:rsidTr="00CA4765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3C4C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F8E5" w14:textId="77777777" w:rsidR="00E426C4" w:rsidRDefault="00E426C4" w:rsidP="00D217E3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D50F08" w14:textId="7656C84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(ОР 3: 19% от строки 3)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E7554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BD80608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96C5E1D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426C4" w14:paraId="106B3C0C" w14:textId="77777777" w:rsidTr="00CA4765">
        <w:trPr>
          <w:trHeight w:val="300"/>
        </w:trPr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84CC1B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 </w:t>
            </w:r>
          </w:p>
        </w:tc>
        <w:tc>
          <w:tcPr>
            <w:tcW w:w="3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596E2EE" w14:textId="3D515764" w:rsidR="00E426C4" w:rsidRPr="00863A53" w:rsidRDefault="00E426C4" w:rsidP="00D217E3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</w:rPr>
              <w:t>ОР 2: Рациональное управление Конвенцией, чему способствует усиленный мониторинг, услуги по управлению знаниями и повышение осведомленности, связанные с механизмами международного сотрудничества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8C8400" w14:textId="7A4E402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5,00%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1B0CF0A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9,6%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E7E6E6"/>
            <w:vAlign w:val="center"/>
            <w:hideMark/>
          </w:tcPr>
          <w:p w14:paraId="170380B6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$786 199</w:t>
            </w:r>
          </w:p>
        </w:tc>
        <w:tc>
          <w:tcPr>
            <w:tcW w:w="1519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E7E6E6"/>
            <w:vAlign w:val="center"/>
            <w:hideMark/>
          </w:tcPr>
          <w:p w14:paraId="7C6D83EE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$196 550</w:t>
            </w:r>
          </w:p>
        </w:tc>
      </w:tr>
      <w:tr w:rsidR="00E426C4" w14:paraId="6AAA0BDB" w14:textId="77777777" w:rsidTr="00CA4765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5220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978C" w14:textId="77777777" w:rsidR="00E426C4" w:rsidRDefault="00E426C4" w:rsidP="00D217E3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54D4DE" w14:textId="27001BD2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(ОР 1: 25% от строки 3)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76F78E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703D130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87CE6AA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426C4" w14:paraId="2D9B9EBE" w14:textId="77777777" w:rsidTr="00CA4765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B364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CD35" w14:textId="77777777" w:rsidR="00E426C4" w:rsidRDefault="00E426C4" w:rsidP="00D217E3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4047D6" w14:textId="4A38004F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4,70%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410D7EE" w14:textId="77777777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(48% от строки 3)</w:t>
            </w:r>
          </w:p>
        </w:tc>
        <w:tc>
          <w:tcPr>
            <w:tcW w:w="1543" w:type="dxa"/>
            <w:vMerge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5386A41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050FA35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426C4" w14:paraId="748754C1" w14:textId="77777777" w:rsidTr="00027E63">
        <w:trPr>
          <w:trHeight w:val="30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B08C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B650" w14:textId="77777777" w:rsidR="00E426C4" w:rsidRDefault="00E426C4" w:rsidP="00D217E3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048F188" w14:textId="6170B94E" w:rsidR="00E426C4" w:rsidRDefault="00E426C4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</w:rPr>
              <w:t>(ОР 4: 23% от строки 3)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66B968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4E3C42A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0E962FC" w14:textId="77777777" w:rsidR="00E426C4" w:rsidRDefault="00E426C4" w:rsidP="00D217E3">
            <w:pPr>
              <w:widowControl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3A53" w14:paraId="306C9533" w14:textId="77777777" w:rsidTr="00027E63">
        <w:trPr>
          <w:trHeight w:val="1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6FF2" w14:textId="77777777" w:rsidR="00863A53" w:rsidRDefault="00863A53" w:rsidP="00D217E3">
            <w:pPr>
              <w:widowControl w:val="0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45E5" w14:textId="77777777" w:rsidR="00863A53" w:rsidRPr="00863A53" w:rsidRDefault="00863A53" w:rsidP="00D217E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Участие в сессиях Комитета, его Президиума и вспомогательных органов экспертов по нематериальному культурному наследию, представляющих развивающиеся государства, которые являются членами Комитета;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37C3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3,10%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7F7F4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2,50%</w:t>
            </w:r>
          </w:p>
        </w:tc>
        <w:tc>
          <w:tcPr>
            <w:tcW w:w="15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6B00363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$204 739</w:t>
            </w:r>
          </w:p>
        </w:tc>
        <w:tc>
          <w:tcPr>
            <w:tcW w:w="15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97ECC34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$51 185</w:t>
            </w:r>
          </w:p>
        </w:tc>
      </w:tr>
      <w:tr w:rsidR="00863A53" w14:paraId="58423D6C" w14:textId="77777777" w:rsidTr="00027E63">
        <w:trPr>
          <w:trHeight w:val="1248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82BE" w14:textId="77777777" w:rsidR="00863A53" w:rsidRDefault="00863A53" w:rsidP="00D217E3">
            <w:pPr>
              <w:widowControl w:val="0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5.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9C39" w14:textId="77777777" w:rsidR="00863A53" w:rsidRPr="00863A53" w:rsidRDefault="00863A53" w:rsidP="00D217E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Участие в сессиях Комитета и его консультативных органов экспертов по нематериальному культурному наследию, представляющих развивающиеся государства, которые являются участниками Конвенции, но не являются членами Комитета;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1172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3,30%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01AFA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2,70%</w:t>
            </w:r>
          </w:p>
        </w:tc>
        <w:tc>
          <w:tcPr>
            <w:tcW w:w="15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997DD7C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$221 119</w:t>
            </w:r>
          </w:p>
        </w:tc>
        <w:tc>
          <w:tcPr>
            <w:tcW w:w="15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218B0C5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$55 280</w:t>
            </w:r>
          </w:p>
        </w:tc>
      </w:tr>
      <w:tr w:rsidR="00863A53" w14:paraId="046BD254" w14:textId="77777777" w:rsidTr="00027E63">
        <w:trPr>
          <w:trHeight w:val="192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397F" w14:textId="77777777" w:rsidR="00863A53" w:rsidRDefault="00863A53" w:rsidP="00D217E3">
            <w:pPr>
              <w:widowControl w:val="0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6.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67C5" w14:textId="77777777" w:rsidR="00863A53" w:rsidRPr="00863A53" w:rsidRDefault="00863A53" w:rsidP="00D217E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Участие в сессиях Комитета, его Президиума и консультативных органов государственных или частных органов, частных лиц, в частности членов общин и групп, которые были приглашены Комитетом для консультирования по конкретным вопросам, а также экспертов по нематериальному культурному наследию, представляющих аккредитованные НПО из развивающихся стран;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D7F9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3,30%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0206F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2,70%</w:t>
            </w:r>
          </w:p>
        </w:tc>
        <w:tc>
          <w:tcPr>
            <w:tcW w:w="15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80905E9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$221 119</w:t>
            </w:r>
          </w:p>
        </w:tc>
        <w:tc>
          <w:tcPr>
            <w:tcW w:w="15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D348F58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$55 280</w:t>
            </w:r>
          </w:p>
        </w:tc>
      </w:tr>
      <w:tr w:rsidR="00863A53" w14:paraId="5BE41C30" w14:textId="77777777" w:rsidTr="00027E63">
        <w:trPr>
          <w:trHeight w:val="767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8C33" w14:textId="77777777" w:rsidR="00863A53" w:rsidRDefault="00863A53" w:rsidP="00D217E3">
            <w:pPr>
              <w:widowControl w:val="0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7.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5664" w14:textId="77777777" w:rsidR="00863A53" w:rsidRPr="00863A53" w:rsidRDefault="00863A53" w:rsidP="00D217E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Расходы на консультационные услуги, предоставляемые по просьбе Комитета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40AE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7,70%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FA8C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7,00%</w:t>
            </w:r>
          </w:p>
        </w:tc>
        <w:tc>
          <w:tcPr>
            <w:tcW w:w="15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C33B48F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$573 270</w:t>
            </w:r>
          </w:p>
        </w:tc>
        <w:tc>
          <w:tcPr>
            <w:tcW w:w="15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6A2BAC5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$143 318</w:t>
            </w:r>
          </w:p>
        </w:tc>
      </w:tr>
      <w:tr w:rsidR="00863A53" w14:paraId="79424656" w14:textId="77777777" w:rsidTr="00027E63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4AC2" w14:textId="77777777" w:rsidR="00863A53" w:rsidRDefault="00863A53" w:rsidP="00D217E3">
            <w:pPr>
              <w:widowControl w:val="0"/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ED7" w14:textId="77777777" w:rsidR="00863A53" w:rsidRDefault="00863A53" w:rsidP="00D217E3">
            <w:pPr>
              <w:widowControl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EA31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100,00%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63CB5" w14:textId="77777777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100,00%</w:t>
            </w:r>
          </w:p>
        </w:tc>
        <w:tc>
          <w:tcPr>
            <w:tcW w:w="15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AB3BC9A" w14:textId="3C81C0AD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0000"/>
                <w:sz w:val="18"/>
              </w:rPr>
              <w:t>$8 189 578</w:t>
            </w:r>
          </w:p>
        </w:tc>
        <w:tc>
          <w:tcPr>
            <w:tcW w:w="15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C573969" w14:textId="58C9706F" w:rsidR="00863A53" w:rsidRDefault="00863A53" w:rsidP="00D217E3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0000"/>
                <w:sz w:val="18"/>
              </w:rPr>
              <w:t>$2 047 394</w:t>
            </w:r>
          </w:p>
        </w:tc>
      </w:tr>
      <w:tr w:rsidR="00027E63" w:rsidRPr="00027E63" w14:paraId="2E2DA16D" w14:textId="77777777" w:rsidTr="0015229A">
        <w:trPr>
          <w:trHeight w:val="812"/>
        </w:trPr>
        <w:tc>
          <w:tcPr>
            <w:tcW w:w="97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62606" w14:textId="266DBED2" w:rsidR="00027E63" w:rsidRPr="00027E63" w:rsidRDefault="00027E63" w:rsidP="00D217E3">
            <w:pPr>
              <w:widowControl w:val="0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</w:rPr>
              <w:t>[1] Проценты применяются к остатку средств Фонда по состоянию на 31 декабря 2023 года. Этот остаток не включает резервный фонд (1 000 000 долларов США).</w:t>
            </w:r>
          </w:p>
        </w:tc>
      </w:tr>
      <w:tr w:rsidR="00027E63" w:rsidRPr="00DE57E5" w14:paraId="1783285A" w14:textId="77777777" w:rsidTr="00D37288">
        <w:trPr>
          <w:trHeight w:val="812"/>
        </w:trPr>
        <w:tc>
          <w:tcPr>
            <w:tcW w:w="97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90E36" w14:textId="2053204F" w:rsidR="00027E63" w:rsidRPr="00863A53" w:rsidRDefault="00027E63" w:rsidP="00D217E3">
            <w:pPr>
              <w:widowControl w:val="0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</w:rPr>
              <w:t>Средства, которые не были выделены в конце периода действия настоящего Плана, переносятся на следующий финансовый период и распределяются в соответствии с Планом, утвержденным Генеральной Ассамблеей на тот момент.</w:t>
            </w:r>
          </w:p>
        </w:tc>
      </w:tr>
      <w:tr w:rsidR="00027E63" w:rsidRPr="00DE57E5" w14:paraId="0FD76BB1" w14:textId="77777777" w:rsidTr="00130841">
        <w:trPr>
          <w:trHeight w:val="887"/>
        </w:trPr>
        <w:tc>
          <w:tcPr>
            <w:tcW w:w="97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925AE" w14:textId="47B1E329" w:rsidR="00027E63" w:rsidRPr="00863A53" w:rsidRDefault="00027E63" w:rsidP="00D217E3">
            <w:pPr>
              <w:widowControl w:val="0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На период с 1 января 2026 года по 30 июня 2026 года на предварительной основе будет выделена одна четвертая часть суммы, установленной на двадцать четыре месяца финансового периода 2024-2025 годов, за исключением Резервного фонда, размер которого был установлен Комитетом в размере 1 млн. долларов США (Решение </w:t>
            </w:r>
            <w:hyperlink r:id="rId56" w:history="1">
              <w:r>
                <w:rPr>
                  <w:rStyle w:val="Lienhypertexte"/>
                  <w:rFonts w:ascii="Arial" w:hAnsi="Arial"/>
                  <w:sz w:val="18"/>
                </w:rPr>
                <w:t>10.COM 8</w:t>
              </w:r>
            </w:hyperlink>
            <w:r>
              <w:rPr>
                <w:rFonts w:ascii="Arial" w:hAnsi="Arial"/>
                <w:color w:val="000000"/>
                <w:sz w:val="18"/>
              </w:rPr>
              <w:t>).</w:t>
            </w:r>
          </w:p>
        </w:tc>
      </w:tr>
    </w:tbl>
    <w:p w14:paraId="210FD95B" w14:textId="77777777" w:rsidR="00863A53" w:rsidRPr="000A373F" w:rsidRDefault="00863A53" w:rsidP="00D217E3">
      <w:pPr>
        <w:widowControl w:val="0"/>
        <w:jc w:val="center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sectPr w:rsidR="00863A53" w:rsidRPr="000A373F" w:rsidSect="00655736">
      <w:headerReference w:type="even" r:id="rId57"/>
      <w:headerReference w:type="default" r:id="rId58"/>
      <w:headerReference w:type="first" r:id="rId59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  <w:footnote w:id="1">
    <w:p w14:paraId="22847125" w14:textId="67CE4C4A" w:rsidR="0008396B" w:rsidRPr="0008396B" w:rsidRDefault="0008396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53F57">
        <w:rPr>
          <w:rFonts w:asciiTheme="minorBidi" w:hAnsiTheme="minorBidi" w:cstheme="minorBidi"/>
          <w:sz w:val="18"/>
          <w:szCs w:val="18"/>
        </w:rPr>
        <w:t xml:space="preserve">Помимо обязательных начисленных взносов, Конвенция также получила добровольные начисленные взносы в размере 0,5 млн долларов США в период </w:t>
      </w:r>
      <w:proofErr w:type="gramStart"/>
      <w:r w:rsidRPr="00D53F57">
        <w:rPr>
          <w:rFonts w:asciiTheme="minorBidi" w:hAnsiTheme="minorBidi" w:cstheme="minorBidi"/>
          <w:sz w:val="18"/>
          <w:szCs w:val="18"/>
        </w:rPr>
        <w:t>2022-2023</w:t>
      </w:r>
      <w:proofErr w:type="gramEnd"/>
      <w:r w:rsidRPr="00D53F57">
        <w:rPr>
          <w:rFonts w:asciiTheme="minorBidi" w:hAnsiTheme="minorBidi" w:cstheme="minorBidi"/>
          <w:sz w:val="18"/>
          <w:szCs w:val="18"/>
        </w:rPr>
        <w:t xml:space="preserve"> годов.</w:t>
      </w:r>
    </w:p>
  </w:footnote>
  <w:footnote w:id="2">
    <w:p w14:paraId="63B40052" w14:textId="7F86CAD0" w:rsidR="0008396B" w:rsidRPr="00772FFE" w:rsidRDefault="0008396B" w:rsidP="00D53F57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bookmarkStart w:id="3" w:name="_Hlk167371179"/>
      <w:r w:rsidR="00772FFE" w:rsidRPr="00D53F57">
        <w:rPr>
          <w:rFonts w:asciiTheme="minorBidi" w:hAnsiTheme="minorBidi" w:cstheme="minorBidi"/>
          <w:sz w:val="18"/>
          <w:szCs w:val="18"/>
        </w:rPr>
        <w:t xml:space="preserve">Одно новое государство-участник, не включенное в отчет о начисленных взносах за период с 1 января 2022 года по 31 декабря 2023 года, также не выплатило свой пропорциональный взнос за 2023 год (70 дол. США). Это уже учтено в ежемесячном отчете о начисленных взносах, опубликованном на портале государств-членов по следующей ссылке: </w:t>
      </w:r>
      <w:hyperlink r:id="rId1" w:history="1">
        <w:r w:rsidR="00772FFE" w:rsidRPr="00D53F57">
          <w:rPr>
            <w:rStyle w:val="Lienhypertexte"/>
            <w:rFonts w:asciiTheme="minorBidi" w:hAnsiTheme="minorBidi" w:cstheme="minorBidi"/>
            <w:sz w:val="18"/>
            <w:szCs w:val="18"/>
          </w:rPr>
          <w:t>Статус вкладов</w:t>
        </w:r>
      </w:hyperlink>
      <w:r w:rsidR="00772FFE" w:rsidRPr="00D53F57">
        <w:rPr>
          <w:rFonts w:asciiTheme="minorBidi" w:hAnsiTheme="minorBidi" w:cstheme="minorBidi"/>
          <w:sz w:val="18"/>
          <w:szCs w:val="18"/>
        </w:rPr>
        <w:t>.</w:t>
      </w:r>
      <w:bookmarkEnd w:id="3"/>
    </w:p>
  </w:footnote>
  <w:footnote w:id="3">
    <w:p w14:paraId="09DFDEA7" w14:textId="40B14744" w:rsidR="00CA352E" w:rsidRPr="00B81BB0" w:rsidRDefault="00CA352E" w:rsidP="00B81BB0">
      <w:pPr>
        <w:pStyle w:val="Notedebasdepage"/>
        <w:spacing w:after="60"/>
        <w:jc w:val="both"/>
        <w:rPr>
          <w:rFonts w:asciiTheme="minorBidi" w:hAnsiTheme="minorBidi" w:cstheme="minorBidi"/>
          <w:sz w:val="18"/>
          <w:szCs w:val="18"/>
        </w:rPr>
      </w:pPr>
      <w:r>
        <w:rPr>
          <w:rStyle w:val="Appelnotedebasdep"/>
          <w:rFonts w:asciiTheme="minorBidi" w:hAnsiTheme="minorBidi" w:cstheme="minorBidi"/>
          <w:sz w:val="18"/>
          <w:szCs w:val="18"/>
        </w:rPr>
        <w:footnoteRef/>
      </w:r>
      <w:r>
        <w:rPr>
          <w:rFonts w:asciiTheme="minorBidi" w:hAnsiTheme="minorBidi"/>
          <w:sz w:val="18"/>
        </w:rPr>
        <w:t xml:space="preserve"> Под "подготовительной помощью" понимается помощь, которую государства-участники могут запросить для разработки предложений о включении в Список нематериального культурного наследия, нуждающегося в срочной охране, или предложений для Реестра передовой практики охраны, для переноса элементов из Списка и Реестра Конвенции и для включения элементов на расширенной или сокращенной основе (пункт 21 </w:t>
      </w:r>
      <w:hyperlink r:id="rId2" w:history="1">
        <w:r>
          <w:rPr>
            <w:rStyle w:val="Lienhypertexte"/>
            <w:rFonts w:asciiTheme="minorBidi" w:hAnsiTheme="minorBidi"/>
            <w:sz w:val="18"/>
          </w:rPr>
          <w:t>Оперативного руководства</w:t>
        </w:r>
      </w:hyperlink>
      <w:r>
        <w:rPr>
          <w:rFonts w:asciiTheme="minorBidi" w:hAnsiTheme="minorBidi"/>
          <w:sz w:val="18"/>
        </w:rPr>
        <w:t xml:space="preserve">). </w:t>
      </w:r>
      <w:r>
        <w:t>"</w:t>
      </w:r>
      <w:r w:rsidRPr="00D53F57">
        <w:rPr>
          <w:rFonts w:asciiTheme="minorBidi" w:hAnsiTheme="minorBidi"/>
          <w:sz w:val="18"/>
        </w:rPr>
        <w:t>Техническая помощь" относится к предоставлению экспертов, как описано в статье 21 Конвенции, государствам-участникам, желающим разработать запросы на международную помощь</w:t>
      </w:r>
      <w:r>
        <w:rPr>
          <w:rFonts w:asciiTheme="minorBidi" w:hAnsiTheme="minorBidi"/>
          <w:sz w:val="18"/>
        </w:rPr>
        <w:t xml:space="preserve"> (</w:t>
      </w:r>
      <w:hyperlink r:id="rId3" w:history="1">
        <w:r>
          <w:rPr>
            <w:rStyle w:val="Lienhypertexte"/>
            <w:rFonts w:asciiTheme="minorBidi" w:hAnsiTheme="minorBidi"/>
            <w:sz w:val="18"/>
          </w:rPr>
          <w:t>Решение 8.COM 7.c</w:t>
        </w:r>
      </w:hyperlink>
      <w:r>
        <w:rPr>
          <w:rFonts w:asciiTheme="minorBidi" w:hAnsiTheme="minorBidi"/>
          <w:sz w:val="18"/>
        </w:rPr>
        <w:t>).</w:t>
      </w:r>
    </w:p>
  </w:footnote>
  <w:footnote w:id="4">
    <w:p w14:paraId="2490CCC8" w14:textId="25E124E1" w:rsidR="00573329" w:rsidRPr="00B81BB0" w:rsidRDefault="00573329" w:rsidP="00B81BB0">
      <w:pPr>
        <w:pStyle w:val="Notedebasdepage"/>
        <w:spacing w:after="60"/>
        <w:jc w:val="both"/>
        <w:rPr>
          <w:rFonts w:asciiTheme="minorBidi" w:hAnsiTheme="minorBidi" w:cstheme="minorBidi"/>
          <w:sz w:val="18"/>
          <w:szCs w:val="18"/>
        </w:rPr>
      </w:pPr>
      <w:r>
        <w:rPr>
          <w:rStyle w:val="Appelnotedebasdep"/>
          <w:rFonts w:asciiTheme="minorBidi" w:hAnsiTheme="minorBidi" w:cstheme="minorBidi"/>
          <w:sz w:val="18"/>
          <w:szCs w:val="18"/>
        </w:rPr>
        <w:footnoteRef/>
      </w:r>
      <w:r>
        <w:rPr>
          <w:rFonts w:asciiTheme="minorBidi" w:hAnsiTheme="minorBidi"/>
          <w:sz w:val="18"/>
        </w:rPr>
        <w:t xml:space="preserve"> Предлагаемый ожидаемый результат 1 соответствует показателю эффективности 1 "Число государств-членов, имеющих новые или пересмотренные политику, стратегии и программы по сохранению живого наследия, в том числе в рамках планов и рамок устойчивого развития, в соответствии с Конвенцией об охране нематериального культурного наследия 2003 г." в утвержденном документе 42 C/5 для Мероприятия 5.CLT4. В Плане на 2022-2023 гг. объединены бывшие ОР 2 ("Содействие осуществлению Конвенции в государствах-членах посредством усиленной программы создания потенциала") и 3 ("Интеграция нематериального культурного наследия в планы, политику и программы развития").</w:t>
      </w:r>
    </w:p>
  </w:footnote>
  <w:footnote w:id="5">
    <w:p w14:paraId="620CD71E" w14:textId="49508270" w:rsidR="00573329" w:rsidRPr="00B81BB0" w:rsidRDefault="00573329" w:rsidP="00B81BB0">
      <w:pPr>
        <w:pStyle w:val="Notedebasdepage"/>
        <w:spacing w:after="60"/>
        <w:jc w:val="both"/>
        <w:rPr>
          <w:rFonts w:asciiTheme="minorBidi" w:hAnsiTheme="minorBidi" w:cstheme="minorBidi"/>
          <w:sz w:val="18"/>
          <w:szCs w:val="18"/>
        </w:rPr>
      </w:pPr>
      <w:r>
        <w:rPr>
          <w:rStyle w:val="Appelnotedebasdep"/>
          <w:rFonts w:asciiTheme="minorBidi" w:hAnsiTheme="minorBidi" w:cstheme="minorBidi"/>
          <w:sz w:val="18"/>
          <w:szCs w:val="18"/>
        </w:rPr>
        <w:footnoteRef/>
      </w:r>
      <w:r>
        <w:rPr>
          <w:rFonts w:asciiTheme="minorBidi" w:hAnsiTheme="minorBidi"/>
          <w:sz w:val="18"/>
        </w:rPr>
        <w:t xml:space="preserve"> Предлагаемый ожидаемый результат 2 согласован с показателем эффективности 2 "Число государств-членов, обеспечивающих устойчивую охрану живого наследия с помощью расширенных механизмов международного сотрудничества и помощи в рамках Конвенции об охране нематериального культурного наследия 2003 г." в утвержденном документа 42 С/5 для Мероприятия 5.CLT4. В Плане на 2022-2023 гг. объединены бывшие ОР 1 ("Рациональное управление Конвенцией 2003 г. при содействии усиленного мониторинга и служб управления знаниями") и 4 ("Содействие достижению целей Конвенции путем повышения осведомленности и информационно-просветительской работы").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055" w14:textId="2184035B" w:rsidR="00D95C4C" w:rsidRPr="00C23A97" w:rsidRDefault="00C5776D" w:rsidP="00C5776D">
    <w:pPr>
      <w:pStyle w:val="En-tte"/>
      <w:rPr>
        <w:rFonts w:ascii="Arial" w:hAnsi="Arial" w:cs="Arial"/>
      </w:rPr>
    </w:pPr>
    <w:r>
      <w:rPr>
        <w:rFonts w:ascii="Arial" w:hAnsi="Arial"/>
        <w:sz w:val="20"/>
      </w:rPr>
      <w:t xml:space="preserve">LHE/24/10.GA/8 – страница </w:t>
    </w:r>
    <w:r w:rsidR="00D95C4C" w:rsidRPr="00C23A97">
      <w:rPr>
        <w:rStyle w:val="Numrodepage"/>
        <w:rFonts w:ascii="Arial" w:hAnsi="Arial" w:cs="Arial"/>
        <w:sz w:val="20"/>
      </w:rPr>
      <w:fldChar w:fldCharType="begin"/>
    </w:r>
    <w:r w:rsidR="00D95C4C" w:rsidRPr="00C23A97">
      <w:rPr>
        <w:rStyle w:val="Numrodepage"/>
        <w:rFonts w:ascii="Arial" w:hAnsi="Arial" w:cs="Arial"/>
        <w:sz w:val="20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</w:rPr>
      <w:fldChar w:fldCharType="separate"/>
    </w:r>
    <w:r w:rsidR="006E75EB">
      <w:rPr>
        <w:rStyle w:val="Numrodepage"/>
        <w:rFonts w:ascii="Arial" w:hAnsi="Arial" w:cs="Arial"/>
        <w:sz w:val="20"/>
      </w:rPr>
      <w:t>2</w:t>
    </w:r>
    <w:r w:rsidR="00D95C4C" w:rsidRPr="00C23A97">
      <w:rPr>
        <w:rStyle w:val="Numrodepage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6495616D" w:rsidR="00D95C4C" w:rsidRPr="0063300C" w:rsidRDefault="00C5776D" w:rsidP="00C5776D">
    <w:pPr>
      <w:pStyle w:val="En-tte"/>
      <w:jc w:val="right"/>
      <w:rPr>
        <w:rFonts w:ascii="Arial" w:hAnsi="Arial" w:cs="Arial"/>
      </w:rPr>
    </w:pPr>
    <w:bookmarkStart w:id="10" w:name="_Hlk161650733"/>
    <w:r>
      <w:rPr>
        <w:rFonts w:ascii="Arial" w:hAnsi="Arial"/>
        <w:sz w:val="20"/>
      </w:rPr>
      <w:t xml:space="preserve">LHE/24/10.GA/8 </w:t>
    </w:r>
    <w:bookmarkEnd w:id="10"/>
    <w:r>
      <w:rPr>
        <w:rFonts w:ascii="Arial" w:hAnsi="Arial"/>
        <w:sz w:val="20"/>
      </w:rPr>
      <w:t xml:space="preserve">– страница </w:t>
    </w:r>
    <w:r w:rsidR="004A34A0" w:rsidRPr="0063300C">
      <w:rPr>
        <w:rStyle w:val="Numrodepage"/>
        <w:rFonts w:ascii="Arial" w:hAnsi="Arial" w:cs="Arial"/>
        <w:sz w:val="20"/>
      </w:rPr>
      <w:fldChar w:fldCharType="begin"/>
    </w:r>
    <w:r w:rsidR="004A34A0" w:rsidRPr="0063300C">
      <w:rPr>
        <w:rStyle w:val="Numrodepage"/>
        <w:rFonts w:ascii="Arial" w:hAnsi="Arial" w:cs="Arial"/>
        <w:sz w:val="20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</w:rPr>
      <w:fldChar w:fldCharType="separate"/>
    </w:r>
    <w:r w:rsidR="00190205">
      <w:rPr>
        <w:rStyle w:val="Numrodepage"/>
        <w:rFonts w:ascii="Arial" w:hAnsi="Arial" w:cs="Arial"/>
        <w:sz w:val="20"/>
      </w:rPr>
      <w:t>3</w:t>
    </w:r>
    <w:r w:rsidR="004A34A0" w:rsidRPr="0063300C">
      <w:rPr>
        <w:rStyle w:val="Numrodepage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0120C010" w:rsidR="00D95C4C" w:rsidRPr="00E95AE2" w:rsidRDefault="00415EF4">
    <w:pPr>
      <w:pStyle w:val="En-tte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363E03B" wp14:editId="01F03589">
          <wp:simplePos x="0" y="0"/>
          <wp:positionH relativeFrom="margin">
            <wp:align>left</wp:align>
          </wp:positionH>
          <wp:positionV relativeFrom="paragraph">
            <wp:posOffset>10293</wp:posOffset>
          </wp:positionV>
          <wp:extent cx="1677600" cy="1440000"/>
          <wp:effectExtent l="0" t="0" r="0" b="8255"/>
          <wp:wrapSquare wrapText="bothSides"/>
          <wp:docPr id="2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7B917" w14:textId="0E19DE85" w:rsidR="00D95C4C" w:rsidRPr="00D7105A" w:rsidRDefault="005C792B" w:rsidP="00C5776D">
    <w:pPr>
      <w:pStyle w:val="En-tte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10 GA</w:t>
    </w:r>
  </w:p>
  <w:p w14:paraId="306484B8" w14:textId="723523A8" w:rsidR="00D95C4C" w:rsidRPr="00D7105A" w:rsidRDefault="00C5776D" w:rsidP="00C5776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LHE/24/10.GA/8</w:t>
    </w:r>
  </w:p>
  <w:p w14:paraId="1B4446C3" w14:textId="00E70F36" w:rsidR="00D95C4C" w:rsidRPr="00EB6B46" w:rsidRDefault="00B17B1A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</w:rPr>
      <w:t xml:space="preserve">Париж, </w:t>
    </w:r>
    <w:r w:rsidR="00250B98" w:rsidRPr="00D53F57">
      <w:rPr>
        <w:rFonts w:ascii="Arial" w:hAnsi="Arial"/>
        <w:b/>
        <w:sz w:val="22"/>
      </w:rPr>
      <w:t>2</w:t>
    </w:r>
    <w:r w:rsidR="00D53F57" w:rsidRPr="00D53F57">
      <w:rPr>
        <w:rFonts w:ascii="Arial" w:hAnsi="Arial"/>
        <w:b/>
        <w:sz w:val="22"/>
      </w:rPr>
      <w:t>4</w:t>
    </w:r>
    <w:r w:rsidR="00250B98">
      <w:rPr>
        <w:rFonts w:ascii="Arial" w:hAnsi="Arial"/>
        <w:b/>
        <w:sz w:val="22"/>
      </w:rPr>
      <w:t xml:space="preserve"> </w:t>
    </w:r>
    <w:r>
      <w:rPr>
        <w:rFonts w:ascii="Arial" w:hAnsi="Arial"/>
        <w:b/>
        <w:sz w:val="22"/>
      </w:rPr>
      <w:t>мая 2024 г</w:t>
    </w:r>
    <w:r w:rsidR="00EB6B46" w:rsidRPr="00EB6B46">
      <w:rPr>
        <w:rFonts w:ascii="Arial" w:hAnsi="Arial"/>
        <w:b/>
        <w:sz w:val="22"/>
      </w:rPr>
      <w:t>.</w:t>
    </w:r>
  </w:p>
  <w:p w14:paraId="255B57FF" w14:textId="423F1FDD" w:rsidR="00D95C4C" w:rsidRPr="00F32C23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Оригинал: английский</w:t>
    </w:r>
  </w:p>
  <w:p w14:paraId="3C4B8B1B" w14:textId="77777777" w:rsidR="00D95C4C" w:rsidRPr="000A373F" w:rsidRDefault="00D95C4C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7A4"/>
    <w:multiLevelType w:val="hybridMultilevel"/>
    <w:tmpl w:val="5F0A7196"/>
    <w:lvl w:ilvl="0" w:tplc="4A669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550F7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515124"/>
    <w:multiLevelType w:val="hybridMultilevel"/>
    <w:tmpl w:val="93DAB1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23678"/>
    <w:multiLevelType w:val="hybridMultilevel"/>
    <w:tmpl w:val="0818CF1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040C0017">
      <w:start w:val="1"/>
      <w:numFmt w:val="lowerLetter"/>
      <w:lvlText w:val="%3)"/>
      <w:lvlJc w:val="left"/>
      <w:pPr>
        <w:ind w:left="3049" w:hanging="36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06BFA"/>
    <w:multiLevelType w:val="hybridMultilevel"/>
    <w:tmpl w:val="51B87C28"/>
    <w:lvl w:ilvl="0" w:tplc="040C0017">
      <w:start w:val="1"/>
      <w:numFmt w:val="lowerLetter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2628298">
    <w:abstractNumId w:val="14"/>
  </w:num>
  <w:num w:numId="2" w16cid:durableId="699629408">
    <w:abstractNumId w:val="8"/>
  </w:num>
  <w:num w:numId="3" w16cid:durableId="164177712">
    <w:abstractNumId w:val="3"/>
  </w:num>
  <w:num w:numId="4" w16cid:durableId="1416590798">
    <w:abstractNumId w:val="16"/>
  </w:num>
  <w:num w:numId="5" w16cid:durableId="1762608160">
    <w:abstractNumId w:val="15"/>
  </w:num>
  <w:num w:numId="6" w16cid:durableId="2146270374">
    <w:abstractNumId w:val="1"/>
  </w:num>
  <w:num w:numId="7" w16cid:durableId="1113592211">
    <w:abstractNumId w:val="4"/>
  </w:num>
  <w:num w:numId="8" w16cid:durableId="1920598164">
    <w:abstractNumId w:val="13"/>
  </w:num>
  <w:num w:numId="9" w16cid:durableId="1533764642">
    <w:abstractNumId w:val="7"/>
  </w:num>
  <w:num w:numId="10" w16cid:durableId="1246129">
    <w:abstractNumId w:val="9"/>
  </w:num>
  <w:num w:numId="11" w16cid:durableId="111829808">
    <w:abstractNumId w:val="12"/>
  </w:num>
  <w:num w:numId="12" w16cid:durableId="1088770206">
    <w:abstractNumId w:val="10"/>
  </w:num>
  <w:num w:numId="13" w16cid:durableId="1263951029">
    <w:abstractNumId w:val="17"/>
  </w:num>
  <w:num w:numId="14" w16cid:durableId="395903570">
    <w:abstractNumId w:val="5"/>
  </w:num>
  <w:num w:numId="15" w16cid:durableId="1857570918">
    <w:abstractNumId w:val="7"/>
  </w:num>
  <w:num w:numId="16" w16cid:durableId="248199808">
    <w:abstractNumId w:val="7"/>
  </w:num>
  <w:num w:numId="17" w16cid:durableId="350380342">
    <w:abstractNumId w:val="7"/>
  </w:num>
  <w:num w:numId="18" w16cid:durableId="944581980">
    <w:abstractNumId w:val="7"/>
  </w:num>
  <w:num w:numId="19" w16cid:durableId="772675100">
    <w:abstractNumId w:val="7"/>
  </w:num>
  <w:num w:numId="20" w16cid:durableId="1253010311">
    <w:abstractNumId w:val="7"/>
  </w:num>
  <w:num w:numId="21" w16cid:durableId="540821319">
    <w:abstractNumId w:val="2"/>
  </w:num>
  <w:num w:numId="22" w16cid:durableId="2046514942">
    <w:abstractNumId w:val="7"/>
  </w:num>
  <w:num w:numId="23" w16cid:durableId="414475267">
    <w:abstractNumId w:val="0"/>
  </w:num>
  <w:num w:numId="24" w16cid:durableId="1924412728">
    <w:abstractNumId w:val="9"/>
  </w:num>
  <w:num w:numId="25" w16cid:durableId="466902467">
    <w:abstractNumId w:val="11"/>
  </w:num>
  <w:num w:numId="26" w16cid:durableId="1434088829">
    <w:abstractNumId w:val="6"/>
  </w:num>
  <w:num w:numId="27" w16cid:durableId="921109833">
    <w:abstractNumId w:val="7"/>
  </w:num>
  <w:num w:numId="28" w16cid:durableId="1705011511">
    <w:abstractNumId w:val="7"/>
  </w:num>
  <w:num w:numId="29" w16cid:durableId="583806943">
    <w:abstractNumId w:val="7"/>
  </w:num>
  <w:num w:numId="30" w16cid:durableId="297927962">
    <w:abstractNumId w:val="7"/>
  </w:num>
  <w:num w:numId="31" w16cid:durableId="1944410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4790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05B4A"/>
    <w:rsid w:val="0001467E"/>
    <w:rsid w:val="00014915"/>
    <w:rsid w:val="000210C0"/>
    <w:rsid w:val="00027E63"/>
    <w:rsid w:val="00041A66"/>
    <w:rsid w:val="00042D88"/>
    <w:rsid w:val="0005176E"/>
    <w:rsid w:val="000765F7"/>
    <w:rsid w:val="0007725F"/>
    <w:rsid w:val="00077AB7"/>
    <w:rsid w:val="00081CD8"/>
    <w:rsid w:val="0008396B"/>
    <w:rsid w:val="000A1B4D"/>
    <w:rsid w:val="000A373F"/>
    <w:rsid w:val="000A7F0E"/>
    <w:rsid w:val="000B1C8F"/>
    <w:rsid w:val="000C0D61"/>
    <w:rsid w:val="000E7BA6"/>
    <w:rsid w:val="000F2A9F"/>
    <w:rsid w:val="000F3A3F"/>
    <w:rsid w:val="00102557"/>
    <w:rsid w:val="0011616B"/>
    <w:rsid w:val="00125C5B"/>
    <w:rsid w:val="00130CAB"/>
    <w:rsid w:val="001478D5"/>
    <w:rsid w:val="00147A38"/>
    <w:rsid w:val="00164D56"/>
    <w:rsid w:val="00164E64"/>
    <w:rsid w:val="00167B10"/>
    <w:rsid w:val="0017402F"/>
    <w:rsid w:val="0018502C"/>
    <w:rsid w:val="00190205"/>
    <w:rsid w:val="00196C1B"/>
    <w:rsid w:val="001A1264"/>
    <w:rsid w:val="001B0F73"/>
    <w:rsid w:val="001C2DB7"/>
    <w:rsid w:val="001D14FE"/>
    <w:rsid w:val="001D5C04"/>
    <w:rsid w:val="001F25C2"/>
    <w:rsid w:val="001F26CF"/>
    <w:rsid w:val="00212BAE"/>
    <w:rsid w:val="00212ED7"/>
    <w:rsid w:val="00216446"/>
    <w:rsid w:val="00222A2D"/>
    <w:rsid w:val="00223029"/>
    <w:rsid w:val="0022728C"/>
    <w:rsid w:val="00230ED0"/>
    <w:rsid w:val="00234745"/>
    <w:rsid w:val="002351A6"/>
    <w:rsid w:val="002407AF"/>
    <w:rsid w:val="00245501"/>
    <w:rsid w:val="002466A5"/>
    <w:rsid w:val="00250B98"/>
    <w:rsid w:val="00254B26"/>
    <w:rsid w:val="00255FB2"/>
    <w:rsid w:val="0026221A"/>
    <w:rsid w:val="0027466B"/>
    <w:rsid w:val="002814F6"/>
    <w:rsid w:val="002838A5"/>
    <w:rsid w:val="00285BB4"/>
    <w:rsid w:val="00297834"/>
    <w:rsid w:val="002A20C5"/>
    <w:rsid w:val="002A5DF7"/>
    <w:rsid w:val="002A7A01"/>
    <w:rsid w:val="002B0749"/>
    <w:rsid w:val="002B1655"/>
    <w:rsid w:val="002C09E3"/>
    <w:rsid w:val="002C6A2C"/>
    <w:rsid w:val="002D1244"/>
    <w:rsid w:val="002D140B"/>
    <w:rsid w:val="002D1CF2"/>
    <w:rsid w:val="00305796"/>
    <w:rsid w:val="00327AB4"/>
    <w:rsid w:val="00337CEB"/>
    <w:rsid w:val="00344B58"/>
    <w:rsid w:val="0034539A"/>
    <w:rsid w:val="00345CB4"/>
    <w:rsid w:val="00353518"/>
    <w:rsid w:val="00375D42"/>
    <w:rsid w:val="003A1683"/>
    <w:rsid w:val="003C7091"/>
    <w:rsid w:val="003D069C"/>
    <w:rsid w:val="003D7646"/>
    <w:rsid w:val="003E51DD"/>
    <w:rsid w:val="003E6CE1"/>
    <w:rsid w:val="003F113A"/>
    <w:rsid w:val="003F2F0B"/>
    <w:rsid w:val="003F3E63"/>
    <w:rsid w:val="003F4227"/>
    <w:rsid w:val="00403C9F"/>
    <w:rsid w:val="00407480"/>
    <w:rsid w:val="00414643"/>
    <w:rsid w:val="00415EF4"/>
    <w:rsid w:val="00424BAE"/>
    <w:rsid w:val="004313C4"/>
    <w:rsid w:val="00434995"/>
    <w:rsid w:val="004421E5"/>
    <w:rsid w:val="00442447"/>
    <w:rsid w:val="00452284"/>
    <w:rsid w:val="00457C8E"/>
    <w:rsid w:val="00475E86"/>
    <w:rsid w:val="00480175"/>
    <w:rsid w:val="0048288E"/>
    <w:rsid w:val="004856CA"/>
    <w:rsid w:val="00486688"/>
    <w:rsid w:val="00487E67"/>
    <w:rsid w:val="004906B7"/>
    <w:rsid w:val="0049705E"/>
    <w:rsid w:val="004A2875"/>
    <w:rsid w:val="004A34A0"/>
    <w:rsid w:val="004B159A"/>
    <w:rsid w:val="004C1543"/>
    <w:rsid w:val="004C77F0"/>
    <w:rsid w:val="004C7C82"/>
    <w:rsid w:val="005008A8"/>
    <w:rsid w:val="00502AAE"/>
    <w:rsid w:val="005045C4"/>
    <w:rsid w:val="00510EED"/>
    <w:rsid w:val="0051121D"/>
    <w:rsid w:val="00517FD8"/>
    <w:rsid w:val="00526B7B"/>
    <w:rsid w:val="005274D2"/>
    <w:rsid w:val="005308CE"/>
    <w:rsid w:val="0053318C"/>
    <w:rsid w:val="0054535F"/>
    <w:rsid w:val="00573329"/>
    <w:rsid w:val="0057439C"/>
    <w:rsid w:val="005912DF"/>
    <w:rsid w:val="005960FA"/>
    <w:rsid w:val="005B0127"/>
    <w:rsid w:val="005B7A35"/>
    <w:rsid w:val="005C10E6"/>
    <w:rsid w:val="005C4B73"/>
    <w:rsid w:val="005C792B"/>
    <w:rsid w:val="005D2606"/>
    <w:rsid w:val="005E1D2B"/>
    <w:rsid w:val="005E7074"/>
    <w:rsid w:val="005F2BAF"/>
    <w:rsid w:val="005F6407"/>
    <w:rsid w:val="005F6747"/>
    <w:rsid w:val="00600D93"/>
    <w:rsid w:val="006155B5"/>
    <w:rsid w:val="00626BEA"/>
    <w:rsid w:val="0063300C"/>
    <w:rsid w:val="006467F5"/>
    <w:rsid w:val="00651A5B"/>
    <w:rsid w:val="0065292B"/>
    <w:rsid w:val="00655736"/>
    <w:rsid w:val="00663B8D"/>
    <w:rsid w:val="00681BEE"/>
    <w:rsid w:val="00696C8D"/>
    <w:rsid w:val="006A2AC2"/>
    <w:rsid w:val="006A3617"/>
    <w:rsid w:val="006B4452"/>
    <w:rsid w:val="006B4B76"/>
    <w:rsid w:val="006C3678"/>
    <w:rsid w:val="006C4FC1"/>
    <w:rsid w:val="006E46E4"/>
    <w:rsid w:val="006E75EB"/>
    <w:rsid w:val="00701745"/>
    <w:rsid w:val="00717DA5"/>
    <w:rsid w:val="007333D0"/>
    <w:rsid w:val="00744484"/>
    <w:rsid w:val="00747566"/>
    <w:rsid w:val="0075506D"/>
    <w:rsid w:val="007617CB"/>
    <w:rsid w:val="00772FFE"/>
    <w:rsid w:val="00773188"/>
    <w:rsid w:val="00783782"/>
    <w:rsid w:val="00784B8C"/>
    <w:rsid w:val="007879E1"/>
    <w:rsid w:val="007B08F9"/>
    <w:rsid w:val="007B13D8"/>
    <w:rsid w:val="007B2FCB"/>
    <w:rsid w:val="007B7492"/>
    <w:rsid w:val="007C4992"/>
    <w:rsid w:val="007E1B1C"/>
    <w:rsid w:val="007E57AA"/>
    <w:rsid w:val="007F4D77"/>
    <w:rsid w:val="00803EF3"/>
    <w:rsid w:val="008043BD"/>
    <w:rsid w:val="00821407"/>
    <w:rsid w:val="00823A11"/>
    <w:rsid w:val="00850007"/>
    <w:rsid w:val="0085405E"/>
    <w:rsid w:val="0085414A"/>
    <w:rsid w:val="00857EB9"/>
    <w:rsid w:val="0086269D"/>
    <w:rsid w:val="00863A53"/>
    <w:rsid w:val="0086543A"/>
    <w:rsid w:val="008724E5"/>
    <w:rsid w:val="008765C9"/>
    <w:rsid w:val="00884A9D"/>
    <w:rsid w:val="0088512B"/>
    <w:rsid w:val="008A2B2D"/>
    <w:rsid w:val="008A4E1E"/>
    <w:rsid w:val="008A6458"/>
    <w:rsid w:val="008B21DE"/>
    <w:rsid w:val="008C296C"/>
    <w:rsid w:val="008D4305"/>
    <w:rsid w:val="008E1A85"/>
    <w:rsid w:val="008E344F"/>
    <w:rsid w:val="00912587"/>
    <w:rsid w:val="009163A7"/>
    <w:rsid w:val="0091798E"/>
    <w:rsid w:val="00922DA1"/>
    <w:rsid w:val="00937D53"/>
    <w:rsid w:val="00946D0B"/>
    <w:rsid w:val="00955877"/>
    <w:rsid w:val="00957D8E"/>
    <w:rsid w:val="00962034"/>
    <w:rsid w:val="00986AF0"/>
    <w:rsid w:val="00994671"/>
    <w:rsid w:val="009A18CD"/>
    <w:rsid w:val="009D3A5F"/>
    <w:rsid w:val="009D5428"/>
    <w:rsid w:val="009E0577"/>
    <w:rsid w:val="009E2937"/>
    <w:rsid w:val="00A12558"/>
    <w:rsid w:val="00A132C4"/>
    <w:rsid w:val="00A13903"/>
    <w:rsid w:val="00A1770C"/>
    <w:rsid w:val="00A34ED5"/>
    <w:rsid w:val="00A45DBF"/>
    <w:rsid w:val="00A55919"/>
    <w:rsid w:val="00A60F7E"/>
    <w:rsid w:val="00A725CF"/>
    <w:rsid w:val="00A755A2"/>
    <w:rsid w:val="00A84B1A"/>
    <w:rsid w:val="00A91430"/>
    <w:rsid w:val="00AA2D7A"/>
    <w:rsid w:val="00AA4914"/>
    <w:rsid w:val="00AA590D"/>
    <w:rsid w:val="00AA6660"/>
    <w:rsid w:val="00AB257B"/>
    <w:rsid w:val="00AB2C36"/>
    <w:rsid w:val="00AB5A2C"/>
    <w:rsid w:val="00AB6DDE"/>
    <w:rsid w:val="00AB70B6"/>
    <w:rsid w:val="00AC18C1"/>
    <w:rsid w:val="00AC6FB7"/>
    <w:rsid w:val="00AD1A86"/>
    <w:rsid w:val="00AD336E"/>
    <w:rsid w:val="00AD5C46"/>
    <w:rsid w:val="00AE0C07"/>
    <w:rsid w:val="00AE103E"/>
    <w:rsid w:val="00AF0A07"/>
    <w:rsid w:val="00AF4AEC"/>
    <w:rsid w:val="00AF625E"/>
    <w:rsid w:val="00B0416F"/>
    <w:rsid w:val="00B04DA5"/>
    <w:rsid w:val="00B139BE"/>
    <w:rsid w:val="00B17B1A"/>
    <w:rsid w:val="00B2172B"/>
    <w:rsid w:val="00B34428"/>
    <w:rsid w:val="00B713BE"/>
    <w:rsid w:val="00B81BB0"/>
    <w:rsid w:val="00B87E19"/>
    <w:rsid w:val="00B917D2"/>
    <w:rsid w:val="00B97EB3"/>
    <w:rsid w:val="00BA241A"/>
    <w:rsid w:val="00BB04AF"/>
    <w:rsid w:val="00BB6EEC"/>
    <w:rsid w:val="00BC652F"/>
    <w:rsid w:val="00BD52C9"/>
    <w:rsid w:val="00BE5714"/>
    <w:rsid w:val="00BE6354"/>
    <w:rsid w:val="00BF1B48"/>
    <w:rsid w:val="00C138D1"/>
    <w:rsid w:val="00C23A97"/>
    <w:rsid w:val="00C52EBE"/>
    <w:rsid w:val="00C5776D"/>
    <w:rsid w:val="00C64855"/>
    <w:rsid w:val="00C706D1"/>
    <w:rsid w:val="00C70EA7"/>
    <w:rsid w:val="00C7433F"/>
    <w:rsid w:val="00C7516E"/>
    <w:rsid w:val="00C75770"/>
    <w:rsid w:val="00C76B27"/>
    <w:rsid w:val="00CA352E"/>
    <w:rsid w:val="00CA4765"/>
    <w:rsid w:val="00CA56BB"/>
    <w:rsid w:val="00CB0542"/>
    <w:rsid w:val="00CD2851"/>
    <w:rsid w:val="00CD610C"/>
    <w:rsid w:val="00CD72B5"/>
    <w:rsid w:val="00CF5668"/>
    <w:rsid w:val="00D00B2B"/>
    <w:rsid w:val="00D217E3"/>
    <w:rsid w:val="00D24877"/>
    <w:rsid w:val="00D53F57"/>
    <w:rsid w:val="00D60C46"/>
    <w:rsid w:val="00D63318"/>
    <w:rsid w:val="00D7105A"/>
    <w:rsid w:val="00D8250F"/>
    <w:rsid w:val="00D86BB3"/>
    <w:rsid w:val="00D95C4C"/>
    <w:rsid w:val="00DA36ED"/>
    <w:rsid w:val="00DC49CB"/>
    <w:rsid w:val="00DD1A4C"/>
    <w:rsid w:val="00DD47D8"/>
    <w:rsid w:val="00DE25DF"/>
    <w:rsid w:val="00DE34F1"/>
    <w:rsid w:val="00DE57E5"/>
    <w:rsid w:val="00DE6160"/>
    <w:rsid w:val="00DF4942"/>
    <w:rsid w:val="00E2125F"/>
    <w:rsid w:val="00E244E1"/>
    <w:rsid w:val="00E4150C"/>
    <w:rsid w:val="00E426C4"/>
    <w:rsid w:val="00E61198"/>
    <w:rsid w:val="00E627B1"/>
    <w:rsid w:val="00E63241"/>
    <w:rsid w:val="00E70169"/>
    <w:rsid w:val="00E77069"/>
    <w:rsid w:val="00E9376C"/>
    <w:rsid w:val="00E937BA"/>
    <w:rsid w:val="00E95AE2"/>
    <w:rsid w:val="00E97A74"/>
    <w:rsid w:val="00EA335E"/>
    <w:rsid w:val="00EA528C"/>
    <w:rsid w:val="00EA580C"/>
    <w:rsid w:val="00EB0759"/>
    <w:rsid w:val="00EB6B46"/>
    <w:rsid w:val="00EC1A6A"/>
    <w:rsid w:val="00EC6F8D"/>
    <w:rsid w:val="00ED39B2"/>
    <w:rsid w:val="00EE0418"/>
    <w:rsid w:val="00EE49F4"/>
    <w:rsid w:val="00EF34E2"/>
    <w:rsid w:val="00EF42BC"/>
    <w:rsid w:val="00F14A14"/>
    <w:rsid w:val="00F30DC6"/>
    <w:rsid w:val="00F31F96"/>
    <w:rsid w:val="00F32C23"/>
    <w:rsid w:val="00F34916"/>
    <w:rsid w:val="00F364BB"/>
    <w:rsid w:val="00F40E3D"/>
    <w:rsid w:val="00F502F6"/>
    <w:rsid w:val="00F53DE9"/>
    <w:rsid w:val="00F560D9"/>
    <w:rsid w:val="00F576CB"/>
    <w:rsid w:val="00F7035D"/>
    <w:rsid w:val="00F70CC5"/>
    <w:rsid w:val="00F71A02"/>
    <w:rsid w:val="00F91E1F"/>
    <w:rsid w:val="00F92288"/>
    <w:rsid w:val="00F96047"/>
    <w:rsid w:val="00FA0D63"/>
    <w:rsid w:val="00FC339A"/>
    <w:rsid w:val="00FD1226"/>
    <w:rsid w:val="00FD4BC8"/>
    <w:rsid w:val="00FF4830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ru-RU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ru-R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ru-RU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</w:rPr>
  </w:style>
  <w:style w:type="table" w:customStyle="1" w:styleId="TableGrid1">
    <w:name w:val="Table Grid1"/>
    <w:basedOn w:val="TableauNormal"/>
    <w:next w:val="Grilledutableau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rsid w:val="004A287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4313C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313C4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unhideWhenUsed/>
    <w:rsid w:val="004313C4"/>
    <w:rPr>
      <w:vertAlign w:val="superscript"/>
    </w:rPr>
  </w:style>
  <w:style w:type="paragraph" w:customStyle="1" w:styleId="GAParaResolution">
    <w:name w:val="GA Para Resolution"/>
    <w:basedOn w:val="Normal"/>
    <w:qFormat/>
    <w:rsid w:val="005C792B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</w:rPr>
  </w:style>
  <w:style w:type="paragraph" w:customStyle="1" w:styleId="GAPara">
    <w:name w:val="GA Para"/>
    <w:qFormat/>
    <w:rsid w:val="00A60F7E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character" w:styleId="Lienhypertexte">
    <w:name w:val="Hyperlink"/>
    <w:unhideWhenUsed/>
    <w:rsid w:val="00A60F7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0F7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A2D7A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550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50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506D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50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506D"/>
    <w:rPr>
      <w:rFonts w:ascii="Times New Roman" w:eastAsia="Times New Roman" w:hAnsi="Times New Roman"/>
      <w:b/>
      <w:bCs/>
    </w:rPr>
  </w:style>
  <w:style w:type="paragraph" w:customStyle="1" w:styleId="COMParabodytext">
    <w:name w:val="COM Para body text"/>
    <w:basedOn w:val="Normal"/>
    <w:qFormat/>
    <w:rsid w:val="005912DF"/>
    <w:pPr>
      <w:tabs>
        <w:tab w:val="left" w:pos="567"/>
      </w:tabs>
      <w:snapToGrid w:val="0"/>
      <w:spacing w:after="120"/>
      <w:jc w:val="both"/>
    </w:pPr>
    <w:rPr>
      <w:rFonts w:ascii="Arial" w:hAnsi="Arial" w:cs="Arial"/>
      <w:snapToGrid w:val="0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7B2F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h.unesco.org/doc/src/LHE-24-10.GA-INF.8_EN.docx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ich.unesco.org/doc/src/LHE-22-9.GA-Resolutions-RU.docx" TargetMode="External"/><Relationship Id="rId39" Type="http://schemas.openxmlformats.org/officeDocument/2006/relationships/hyperlink" Target="https://ich.unesco.org/doc/src/LHE-21-16.COM-INF.10_Rev.-EN.pdf" TargetMode="External"/><Relationship Id="rId21" Type="http://schemas.openxmlformats.org/officeDocument/2006/relationships/hyperlink" Target="https://ich.unesco.org/doc/src/63471-EN.pdf" TargetMode="External"/><Relationship Id="rId34" Type="http://schemas.openxmlformats.org/officeDocument/2006/relationships/hyperlink" Target="https://unesdoc.unesco.org/ark:/48223/pf0000388394/PDF/388394eng.pdf.multi" TargetMode="External"/><Relationship Id="rId42" Type="http://schemas.openxmlformats.org/officeDocument/2006/relationships/hyperlink" Target="https://ich.unesco.org/en/emergency-situations-01117" TargetMode="External"/><Relationship Id="rId47" Type="http://schemas.openxmlformats.org/officeDocument/2006/relationships/hyperlink" Target="https://ich.unesco.org/en/anniversary" TargetMode="External"/><Relationship Id="rId50" Type="http://schemas.openxmlformats.org/officeDocument/2006/relationships/hyperlink" Target="https://ich.unesco.org/en/decisions/18.COM/11" TargetMode="External"/><Relationship Id="rId55" Type="http://schemas.openxmlformats.org/officeDocument/2006/relationships/hyperlink" Target="https://unesdoc.unesco.org/ark:/48223/pf0000388394_ru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ch.unesco.org/doc/src/LHE-24-10.GA-INF.8_EN.docx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ich.unesco.org/doc/src/LHE-23-18.COM-10_EN.docx" TargetMode="External"/><Relationship Id="rId41" Type="http://schemas.openxmlformats.org/officeDocument/2006/relationships/hyperlink" Target="https://ich.unesco.org/doc/src/LHE-23-18.COM-12_EN_Rev..docx" TargetMode="External"/><Relationship Id="rId54" Type="http://schemas.openxmlformats.org/officeDocument/2006/relationships/hyperlink" Target="https://ich.unesco.org/doc/src/LHE-24-10.GA-INF.8_EN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doc/src/LHE-22-9.GA-Resolutions-RU.docx" TargetMode="External"/><Relationship Id="rId24" Type="http://schemas.openxmlformats.org/officeDocument/2006/relationships/hyperlink" Target="https://ich.unesco.org/doc/src/LHE-22-9.GA-Resolutions-RU.docx" TargetMode="External"/><Relationship Id="rId32" Type="http://schemas.openxmlformats.org/officeDocument/2006/relationships/hyperlink" Target="https://ich.unesco.org/en/Decisions/14.COM/7" TargetMode="External"/><Relationship Id="rId37" Type="http://schemas.openxmlformats.org/officeDocument/2006/relationships/hyperlink" Target="https://www.unesco.org/en/articles/unesco-world-conference-cultural-policies-and-sustainable-development-mondiacult-2022" TargetMode="External"/><Relationship Id="rId40" Type="http://schemas.openxmlformats.org/officeDocument/2006/relationships/hyperlink" Target="https://ich.unesco.org/en/livelihoods-01315" TargetMode="External"/><Relationship Id="rId45" Type="http://schemas.openxmlformats.org/officeDocument/2006/relationships/hyperlink" Target="https://ich.unesco.org/doc/src/LHE-24-10.GA-7_RU.docx" TargetMode="External"/><Relationship Id="rId53" Type="http://schemas.openxmlformats.org/officeDocument/2006/relationships/hyperlink" Target="https://ich.unesco.org/en/decisions/18.COM/14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doc/src/LHE-23-18.COM-14_EN.docx" TargetMode="External"/><Relationship Id="rId23" Type="http://schemas.openxmlformats.org/officeDocument/2006/relationships/hyperlink" Target="https://ich.unesco.org/doc/src/LHE-20-8.GA-Resolutions-RU.docx" TargetMode="External"/><Relationship Id="rId28" Type="http://schemas.openxmlformats.org/officeDocument/2006/relationships/hyperlink" Target="https://ich.unesco.org/en/decisions/18.COM/14" TargetMode="External"/><Relationship Id="rId36" Type="http://schemas.openxmlformats.org/officeDocument/2006/relationships/hyperlink" Target="https://ich.unesco.org/doc/src/61291-EN.pdf" TargetMode="External"/><Relationship Id="rId49" Type="http://schemas.openxmlformats.org/officeDocument/2006/relationships/hyperlink" Target="https://ich.unesco.org/en/Decisions/17.COM/15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https://ich.unesco.org/doc/src/LHE-24-10.GA-INF.8_EN.docx" TargetMode="External"/><Relationship Id="rId19" Type="http://schemas.openxmlformats.org/officeDocument/2006/relationships/hyperlink" Target="https://ich.unesco.org/doc/src/LHE-23-18.COM-10_EN.docx" TargetMode="External"/><Relationship Id="rId31" Type="http://schemas.openxmlformats.org/officeDocument/2006/relationships/hyperlink" Target="https://ich.unesco.org/en/decisions/18.COM/10" TargetMode="External"/><Relationship Id="rId44" Type="http://schemas.openxmlformats.org/officeDocument/2006/relationships/hyperlink" Target="https://ich.unesco.org/doc/src/LHE-21-16.COM-INF.10_Rev.-EN.pdf" TargetMode="External"/><Relationship Id="rId52" Type="http://schemas.openxmlformats.org/officeDocument/2006/relationships/hyperlink" Target="https://ich.unesco.org/doc/src/LHE-24-10.GA-INF.8_EN.docx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2003_Convention_Basic_Texts-_2022_version-RU.pdf" TargetMode="External"/><Relationship Id="rId14" Type="http://schemas.openxmlformats.org/officeDocument/2006/relationships/hyperlink" Target="https://ich.unesco.org/doc/src/LHE-24-10.GA-INF.8_EN.docx" TargetMode="External"/><Relationship Id="rId22" Type="http://schemas.openxmlformats.org/officeDocument/2006/relationships/hyperlink" Target="https://ich.unesco.org/doc/src/07003-RU.doc" TargetMode="External"/><Relationship Id="rId27" Type="http://schemas.openxmlformats.org/officeDocument/2006/relationships/hyperlink" Target="http://ich.unesco.org/en/Decisions/16.COM/13" TargetMode="External"/><Relationship Id="rId30" Type="http://schemas.openxmlformats.org/officeDocument/2006/relationships/hyperlink" Target="https://ich.unesco.org/doc/src/ITH-18-7.GA-Resolutions-RU.docx" TargetMode="External"/><Relationship Id="rId35" Type="http://schemas.openxmlformats.org/officeDocument/2006/relationships/hyperlink" Target="https://ich.unesco.org/en/decisions/18.COM/14" TargetMode="External"/><Relationship Id="rId43" Type="http://schemas.openxmlformats.org/officeDocument/2006/relationships/hyperlink" Target="https://ich.unesco.org/en/education-01017" TargetMode="External"/><Relationship Id="rId48" Type="http://schemas.openxmlformats.org/officeDocument/2006/relationships/hyperlink" Target="https://ich.unesco.org/en/dive" TargetMode="External"/><Relationship Id="rId56" Type="http://schemas.openxmlformats.org/officeDocument/2006/relationships/hyperlink" Target="https://ich.unesco.org/en/decisions/10.COM/8" TargetMode="External"/><Relationship Id="rId8" Type="http://schemas.openxmlformats.org/officeDocument/2006/relationships/hyperlink" Target="https://ich.unesco.org/en/decisions/18.COM/14" TargetMode="External"/><Relationship Id="rId51" Type="http://schemas.openxmlformats.org/officeDocument/2006/relationships/hyperlink" Target="https://ich.unesco.org/doc/src/LHE-22-9.GA-Resolutions-RU.docx" TargetMode="External"/><Relationship Id="rId3" Type="http://schemas.openxmlformats.org/officeDocument/2006/relationships/styles" Target="styles.xml"/><Relationship Id="rId12" Type="http://schemas.openxmlformats.org/officeDocument/2006/relationships/hyperlink" Target="https://ich.unesco.org/en/Decisions/16.COM/12" TargetMode="External"/><Relationship Id="rId17" Type="http://schemas.openxmlformats.org/officeDocument/2006/relationships/hyperlink" Target="https://ich.unesco.org/doc/src/LHE-24-10.GA-6_RU.docx" TargetMode="External"/><Relationship Id="rId25" Type="http://schemas.openxmlformats.org/officeDocument/2006/relationships/hyperlink" Target="https://ich.unesco.org/doc/src/LHE-21-16.COM-INF.10_Rev.-EN.pdf" TargetMode="External"/><Relationship Id="rId33" Type="http://schemas.openxmlformats.org/officeDocument/2006/relationships/hyperlink" Target="https://unesdoc.unesco.org/in/documentViewer.xhtml?v=2.1.196&amp;id=p::usmarcdef_0000388394&amp;file=/in/rest/annotationSVC/DownloadWatermarkedAttachment/attach_import_acf5fe7c-5678-4b8c-8aa2-0efe82cf5256%3F_%3D388394eng.pdf&amp;updateUrl=updateUrl6226&amp;ark=/ark:/48223/pf0000388394/PDF/388394eng.pdf.multi&amp;fullScreen=true&amp;locale=en" TargetMode="External"/><Relationship Id="rId38" Type="http://schemas.openxmlformats.org/officeDocument/2006/relationships/hyperlink" Target="https://ich.unesco.org/doc/src/LHE-21-16.COM-INF.10_Rev.-EN.pdf" TargetMode="External"/><Relationship Id="rId46" Type="http://schemas.openxmlformats.org/officeDocument/2006/relationships/hyperlink" Target="https://ich.unesco.org/doc/src/LHE-21-16.COM-INF.10_Rev.-EN.pdf" TargetMode="External"/><Relationship Id="rId5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ch.unesco.org/en/Decisions/8.COM/7.c" TargetMode="External"/><Relationship Id="rId2" Type="http://schemas.openxmlformats.org/officeDocument/2006/relationships/hyperlink" Target="https://ich.unesco.org/doc/src/2003_Convention_Basic_Texts-_2022_version-RU.pdf" TargetMode="External"/><Relationship Id="rId1" Type="http://schemas.openxmlformats.org/officeDocument/2006/relationships/hyperlink" Target="https://unesco.sharepoint.com/sites/ms/en-US/Shared%20Documents/Forms/AllItems.aspx?id=%2Fsites%2Fms%2Fen%2DUS%2FShared%20Documents%2FMember%20States%20Assessed%20Contributions%2FICH%2DStatus%2Dof%2DContributions%2Epdf&amp;parent=%2Fsites%2Fms%2Fen%2DUS%2FShared%20Documents%2FMember%20States%20Assessed%20Contribu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77</TotalTime>
  <Pages>14</Pages>
  <Words>6589</Words>
  <Characters>36241</Characters>
  <Application>Microsoft Office Word</Application>
  <DocSecurity>0</DocSecurity>
  <Lines>302</Lines>
  <Paragraphs>85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42745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Nakata Glenat, Keiichi Julien</cp:lastModifiedBy>
  <cp:revision>10</cp:revision>
  <cp:lastPrinted>2024-04-22T11:12:00Z</cp:lastPrinted>
  <dcterms:created xsi:type="dcterms:W3CDTF">2024-05-13T16:03:00Z</dcterms:created>
  <dcterms:modified xsi:type="dcterms:W3CDTF">2024-05-24T17:03:00Z</dcterms:modified>
</cp:coreProperties>
</file>