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E05024" w:rsidRDefault="00EC6F8D" w:rsidP="00EC6F8D">
      <w:pPr>
        <w:spacing w:before="1440"/>
        <w:jc w:val="center"/>
        <w:rPr>
          <w:b/>
          <w:sz w:val="22"/>
          <w:szCs w:val="22"/>
        </w:rPr>
      </w:pPr>
      <w:r w:rsidRPr="00E05024">
        <w:rPr>
          <w:b/>
          <w:sz w:val="22"/>
        </w:rPr>
        <w:t>《保护非物质文化遗产公约》</w:t>
      </w:r>
    </w:p>
    <w:p w14:paraId="3F72B1D3" w14:textId="37133200" w:rsidR="00EC6F8D" w:rsidRPr="008F6A8E" w:rsidRDefault="005C792B" w:rsidP="00EC6F8D">
      <w:pPr>
        <w:spacing w:before="1200"/>
        <w:jc w:val="center"/>
        <w:rPr>
          <w:b/>
          <w:sz w:val="22"/>
          <w:szCs w:val="22"/>
          <w:lang w:val="en-US"/>
        </w:rPr>
      </w:pPr>
      <w:r w:rsidRPr="00E05024">
        <w:rPr>
          <w:b/>
          <w:sz w:val="22"/>
        </w:rPr>
        <w:t>缔约国大会</w:t>
      </w:r>
    </w:p>
    <w:p w14:paraId="2E1CD4B4" w14:textId="1F59B9D4" w:rsidR="00EC6F8D" w:rsidRPr="00E05024" w:rsidRDefault="005C792B" w:rsidP="001D14FE">
      <w:pPr>
        <w:spacing w:before="840"/>
        <w:jc w:val="center"/>
        <w:rPr>
          <w:b/>
          <w:sz w:val="22"/>
          <w:szCs w:val="22"/>
        </w:rPr>
      </w:pPr>
      <w:r w:rsidRPr="00E05024">
        <w:rPr>
          <w:b/>
          <w:sz w:val="22"/>
        </w:rPr>
        <w:t>第十届会议</w:t>
      </w:r>
    </w:p>
    <w:p w14:paraId="1FD89575" w14:textId="05D2C62D" w:rsidR="00B2172B" w:rsidRPr="008F6A8E" w:rsidRDefault="005C792B" w:rsidP="00B2172B">
      <w:pPr>
        <w:jc w:val="center"/>
        <w:rPr>
          <w:rFonts w:asciiTheme="majorEastAsia" w:eastAsiaTheme="majorEastAsia" w:hAnsiTheme="majorEastAsia"/>
          <w:b/>
          <w:sz w:val="22"/>
          <w:szCs w:val="22"/>
        </w:rPr>
      </w:pPr>
      <w:r w:rsidRPr="008F6A8E">
        <w:rPr>
          <w:rFonts w:asciiTheme="majorEastAsia" w:eastAsiaTheme="majorEastAsia" w:hAnsiTheme="majorEastAsia" w:hint="eastAsia"/>
          <w:b/>
          <w:sz w:val="22"/>
        </w:rPr>
        <w:t>联合国教科文组织总部，一号会议厅</w:t>
      </w:r>
    </w:p>
    <w:p w14:paraId="52EA6D50" w14:textId="05A21ED5" w:rsidR="00B2172B" w:rsidRPr="008F6A8E" w:rsidRDefault="0054535F" w:rsidP="00B2172B">
      <w:pPr>
        <w:jc w:val="center"/>
        <w:rPr>
          <w:rFonts w:asciiTheme="majorEastAsia" w:eastAsiaTheme="majorEastAsia" w:hAnsiTheme="majorEastAsia"/>
          <w:b/>
          <w:sz w:val="22"/>
          <w:szCs w:val="22"/>
        </w:rPr>
      </w:pPr>
      <w:r w:rsidRPr="008F6A8E">
        <w:rPr>
          <w:rFonts w:asciiTheme="majorEastAsia" w:eastAsiaTheme="majorEastAsia" w:hAnsiTheme="majorEastAsia"/>
          <w:b/>
          <w:sz w:val="22"/>
        </w:rPr>
        <w:t>2024</w:t>
      </w:r>
      <w:r w:rsidRPr="008F6A8E">
        <w:rPr>
          <w:rFonts w:asciiTheme="majorEastAsia" w:eastAsiaTheme="majorEastAsia" w:hAnsiTheme="majorEastAsia" w:hint="eastAsia"/>
          <w:b/>
          <w:sz w:val="22"/>
        </w:rPr>
        <w:t>年</w:t>
      </w:r>
      <w:r w:rsidRPr="008F6A8E">
        <w:rPr>
          <w:rFonts w:asciiTheme="majorEastAsia" w:eastAsiaTheme="majorEastAsia" w:hAnsiTheme="majorEastAsia"/>
          <w:b/>
          <w:sz w:val="22"/>
        </w:rPr>
        <w:t>6</w:t>
      </w:r>
      <w:r w:rsidRPr="008F6A8E">
        <w:rPr>
          <w:rFonts w:asciiTheme="majorEastAsia" w:eastAsiaTheme="majorEastAsia" w:hAnsiTheme="majorEastAsia" w:hint="eastAsia"/>
          <w:b/>
          <w:sz w:val="22"/>
        </w:rPr>
        <w:t>月</w:t>
      </w:r>
      <w:r w:rsidRPr="008F6A8E">
        <w:rPr>
          <w:rFonts w:asciiTheme="majorEastAsia" w:eastAsiaTheme="majorEastAsia" w:hAnsiTheme="majorEastAsia"/>
          <w:b/>
          <w:sz w:val="22"/>
        </w:rPr>
        <w:t>11</w:t>
      </w:r>
      <w:r w:rsidRPr="008F6A8E">
        <w:rPr>
          <w:rFonts w:asciiTheme="majorEastAsia" w:eastAsiaTheme="majorEastAsia" w:hAnsiTheme="majorEastAsia" w:hint="eastAsia"/>
          <w:b/>
          <w:sz w:val="22"/>
        </w:rPr>
        <w:t>日至</w:t>
      </w:r>
      <w:r w:rsidR="00601777" w:rsidRPr="008F6A8E">
        <w:rPr>
          <w:rFonts w:asciiTheme="majorEastAsia" w:eastAsiaTheme="majorEastAsia" w:hAnsiTheme="majorEastAsia"/>
          <w:b/>
          <w:sz w:val="22"/>
        </w:rPr>
        <w:t>12</w:t>
      </w:r>
      <w:r w:rsidRPr="008F6A8E">
        <w:rPr>
          <w:rFonts w:asciiTheme="majorEastAsia" w:eastAsiaTheme="majorEastAsia" w:hAnsiTheme="majorEastAsia" w:hint="eastAsia"/>
          <w:b/>
          <w:sz w:val="22"/>
        </w:rPr>
        <w:t>日</w:t>
      </w:r>
    </w:p>
    <w:p w14:paraId="0365203A" w14:textId="7B7158B1" w:rsidR="00EC6F8D" w:rsidRPr="008F6A8E" w:rsidRDefault="00EC6F8D" w:rsidP="00EC6F8D">
      <w:pPr>
        <w:pStyle w:val="Sansinterligne2"/>
        <w:spacing w:before="1200"/>
        <w:jc w:val="center"/>
        <w:rPr>
          <w:rFonts w:asciiTheme="majorEastAsia" w:eastAsiaTheme="majorEastAsia" w:hAnsiTheme="majorEastAsia"/>
          <w:b/>
          <w:sz w:val="22"/>
          <w:szCs w:val="22"/>
        </w:rPr>
      </w:pPr>
      <w:r w:rsidRPr="008F6A8E">
        <w:rPr>
          <w:rFonts w:asciiTheme="majorEastAsia" w:eastAsiaTheme="majorEastAsia" w:hAnsiTheme="majorEastAsia" w:hint="eastAsia"/>
          <w:b/>
          <w:sz w:val="22"/>
          <w:u w:val="single"/>
        </w:rPr>
        <w:t>临时议程项目</w:t>
      </w:r>
      <w:r w:rsidRPr="008F6A8E">
        <w:rPr>
          <w:rFonts w:asciiTheme="majorEastAsia" w:eastAsiaTheme="majorEastAsia" w:hAnsiTheme="majorEastAsia"/>
          <w:b/>
          <w:sz w:val="22"/>
          <w:u w:val="single"/>
        </w:rPr>
        <w:t>8</w:t>
      </w:r>
      <w:r w:rsidRPr="008F6A8E">
        <w:rPr>
          <w:rFonts w:asciiTheme="majorEastAsia" w:eastAsiaTheme="majorEastAsia" w:hAnsiTheme="majorEastAsia" w:hint="eastAsia"/>
          <w:b/>
          <w:sz w:val="22"/>
        </w:rPr>
        <w:t>：</w:t>
      </w:r>
    </w:p>
    <w:p w14:paraId="59920478" w14:textId="37857532" w:rsidR="004A2875" w:rsidRPr="008F6A8E" w:rsidRDefault="000F2A9F" w:rsidP="004A2875">
      <w:pPr>
        <w:pStyle w:val="Sansinterligne2"/>
        <w:spacing w:after="960"/>
        <w:jc w:val="center"/>
        <w:rPr>
          <w:bCs/>
          <w:sz w:val="22"/>
          <w:szCs w:val="22"/>
          <w:lang w:val="en-US"/>
        </w:rPr>
      </w:pPr>
      <w:r w:rsidRPr="00E05024">
        <w:rPr>
          <w:b/>
          <w:sz w:val="22"/>
        </w:rPr>
        <w:t>非物质文化遗产基金的资源</w:t>
      </w:r>
      <w:r w:rsidR="00601777">
        <w:rPr>
          <w:rFonts w:hint="eastAsia"/>
          <w:b/>
          <w:sz w:val="22"/>
          <w:lang w:val="en-US"/>
        </w:rPr>
        <w:t>使用情况</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E05024" w14:paraId="75AC6221" w14:textId="77777777" w:rsidTr="00EC6F8D">
        <w:trPr>
          <w:jc w:val="center"/>
        </w:trPr>
        <w:tc>
          <w:tcPr>
            <w:tcW w:w="5670" w:type="dxa"/>
            <w:vAlign w:val="center"/>
          </w:tcPr>
          <w:p w14:paraId="51C260A9" w14:textId="77777777" w:rsidR="00EC6F8D" w:rsidRPr="009C5A44" w:rsidRDefault="00EC6F8D" w:rsidP="00CA56BB">
            <w:pPr>
              <w:pStyle w:val="Sansinterligne1"/>
              <w:spacing w:before="200" w:after="200"/>
              <w:jc w:val="center"/>
              <w:rPr>
                <w:b/>
                <w:sz w:val="22"/>
                <w:szCs w:val="22"/>
                <w:lang w:val="en-US"/>
              </w:rPr>
            </w:pPr>
            <w:r w:rsidRPr="00E05024">
              <w:rPr>
                <w:b/>
                <w:sz w:val="22"/>
              </w:rPr>
              <w:t>摘要</w:t>
            </w:r>
          </w:p>
          <w:p w14:paraId="612E5DE6" w14:textId="6D7040A7" w:rsidR="00BB6EEC" w:rsidRPr="008F6A8E" w:rsidRDefault="00EB0759" w:rsidP="00BB6EEC">
            <w:pPr>
              <w:pStyle w:val="Sansinterligne1"/>
              <w:jc w:val="both"/>
              <w:rPr>
                <w:rFonts w:asciiTheme="majorEastAsia" w:eastAsiaTheme="majorEastAsia" w:hAnsiTheme="majorEastAsia"/>
                <w:bCs/>
                <w:sz w:val="22"/>
                <w:szCs w:val="22"/>
              </w:rPr>
            </w:pPr>
            <w:r w:rsidRPr="008F6A8E">
              <w:rPr>
                <w:rFonts w:asciiTheme="majorEastAsia" w:eastAsiaTheme="majorEastAsia" w:hAnsiTheme="majorEastAsia" w:hint="eastAsia"/>
                <w:sz w:val="22"/>
                <w:szCs w:val="22"/>
              </w:rPr>
              <w:t>《公约》第七条</w:t>
            </w:r>
            <w:r w:rsidRPr="009C5A44">
              <w:rPr>
                <w:rFonts w:asciiTheme="majorEastAsia" w:eastAsiaTheme="majorEastAsia" w:hAnsiTheme="majorEastAsia"/>
                <w:sz w:val="22"/>
                <w:szCs w:val="22"/>
                <w:lang w:val="en-US"/>
              </w:rPr>
              <w:t>(c)</w:t>
            </w:r>
            <w:r w:rsidRPr="008F6A8E">
              <w:rPr>
                <w:rFonts w:asciiTheme="majorEastAsia" w:eastAsiaTheme="majorEastAsia" w:hAnsiTheme="majorEastAsia" w:hint="eastAsia"/>
                <w:sz w:val="22"/>
                <w:szCs w:val="22"/>
              </w:rPr>
              <w:t>款规定</w:t>
            </w:r>
            <w:r w:rsidRPr="009C5A44">
              <w:rPr>
                <w:rFonts w:asciiTheme="majorEastAsia" w:eastAsiaTheme="majorEastAsia" w:hAnsiTheme="majorEastAsia" w:hint="eastAsia"/>
                <w:sz w:val="22"/>
                <w:szCs w:val="22"/>
                <w:lang w:val="en-US"/>
              </w:rPr>
              <w:t>，</w:t>
            </w:r>
            <w:r w:rsidRPr="008F6A8E">
              <w:rPr>
                <w:rFonts w:asciiTheme="majorEastAsia" w:eastAsiaTheme="majorEastAsia" w:hAnsiTheme="majorEastAsia" w:hint="eastAsia"/>
                <w:sz w:val="22"/>
                <w:szCs w:val="22"/>
              </w:rPr>
              <w:t>委员会应编制一份使用基金资源的计划草案</w:t>
            </w:r>
            <w:r w:rsidRPr="009C5A44">
              <w:rPr>
                <w:rFonts w:asciiTheme="majorEastAsia" w:eastAsiaTheme="majorEastAsia" w:hAnsiTheme="majorEastAsia" w:hint="eastAsia"/>
                <w:sz w:val="22"/>
                <w:szCs w:val="22"/>
                <w:lang w:val="en-US"/>
              </w:rPr>
              <w:t>，</w:t>
            </w:r>
            <w:r w:rsidRPr="008F6A8E">
              <w:rPr>
                <w:rFonts w:asciiTheme="majorEastAsia" w:eastAsiaTheme="majorEastAsia" w:hAnsiTheme="majorEastAsia" w:hint="eastAsia"/>
                <w:sz w:val="22"/>
                <w:szCs w:val="22"/>
              </w:rPr>
              <w:t>并提交大会批准。本文件根据委员会对</w:t>
            </w:r>
            <w:r w:rsidRPr="008F6A8E">
              <w:rPr>
                <w:rFonts w:asciiTheme="majorEastAsia" w:eastAsiaTheme="majorEastAsia" w:hAnsiTheme="majorEastAsia"/>
                <w:sz w:val="22"/>
                <w:szCs w:val="22"/>
              </w:rPr>
              <w:t>2024-2025</w:t>
            </w:r>
            <w:r w:rsidRPr="008F6A8E">
              <w:rPr>
                <w:rFonts w:asciiTheme="majorEastAsia" w:eastAsiaTheme="majorEastAsia" w:hAnsiTheme="majorEastAsia" w:hint="eastAsia"/>
                <w:sz w:val="22"/>
                <w:szCs w:val="22"/>
              </w:rPr>
              <w:t>年期间和</w:t>
            </w:r>
            <w:r w:rsidRPr="008F6A8E">
              <w:rPr>
                <w:rFonts w:asciiTheme="majorEastAsia" w:eastAsiaTheme="majorEastAsia" w:hAnsiTheme="majorEastAsia"/>
                <w:sz w:val="22"/>
                <w:szCs w:val="22"/>
              </w:rPr>
              <w:t>2026</w:t>
            </w:r>
            <w:r w:rsidRPr="008F6A8E">
              <w:rPr>
                <w:rFonts w:asciiTheme="majorEastAsia" w:eastAsiaTheme="majorEastAsia" w:hAnsiTheme="majorEastAsia" w:hint="eastAsia"/>
                <w:sz w:val="22"/>
                <w:szCs w:val="22"/>
              </w:rPr>
              <w:t>年第一期的建议，提出了此项计划草案。</w:t>
            </w:r>
            <w:r w:rsidRPr="008F6A8E">
              <w:rPr>
                <w:rFonts w:asciiTheme="majorEastAsia" w:eastAsiaTheme="majorEastAsia" w:hAnsiTheme="majorEastAsia"/>
                <w:sz w:val="22"/>
                <w:szCs w:val="22"/>
              </w:rPr>
              <w:t xml:space="preserve"> </w:t>
            </w:r>
          </w:p>
          <w:p w14:paraId="290310E8" w14:textId="35456630" w:rsidR="00EC6F8D" w:rsidRPr="00E05024" w:rsidRDefault="00EC6F8D" w:rsidP="00CA56BB">
            <w:pPr>
              <w:pStyle w:val="Sansinterligne2"/>
              <w:spacing w:before="200" w:after="200"/>
              <w:jc w:val="both"/>
              <w:rPr>
                <w:b/>
                <w:sz w:val="22"/>
                <w:szCs w:val="22"/>
              </w:rPr>
            </w:pPr>
            <w:r w:rsidRPr="008F6A8E">
              <w:rPr>
                <w:rFonts w:asciiTheme="majorEastAsia" w:eastAsiaTheme="majorEastAsia" w:hAnsiTheme="majorEastAsia" w:hint="eastAsia"/>
                <w:b/>
                <w:sz w:val="22"/>
                <w:szCs w:val="22"/>
              </w:rPr>
              <w:t>需要做出的决定</w:t>
            </w:r>
            <w:r w:rsidRPr="00652AAB">
              <w:rPr>
                <w:rFonts w:asciiTheme="majorEastAsia" w:eastAsiaTheme="majorEastAsia" w:hAnsiTheme="majorEastAsia" w:hint="eastAsia"/>
                <w:b/>
                <w:sz w:val="22"/>
                <w:szCs w:val="22"/>
              </w:rPr>
              <w:t>：</w:t>
            </w:r>
            <w:r w:rsidRPr="00652AAB">
              <w:rPr>
                <w:rFonts w:asciiTheme="majorEastAsia" w:eastAsiaTheme="majorEastAsia" w:hAnsiTheme="majorEastAsia" w:hint="eastAsia"/>
                <w:sz w:val="22"/>
                <w:szCs w:val="22"/>
              </w:rPr>
              <w:t>第</w:t>
            </w:r>
            <w:r w:rsidRPr="00652AAB">
              <w:rPr>
                <w:rFonts w:asciiTheme="majorEastAsia" w:eastAsiaTheme="majorEastAsia" w:hAnsiTheme="majorEastAsia"/>
                <w:sz w:val="22"/>
                <w:szCs w:val="22"/>
              </w:rPr>
              <w:t>33</w:t>
            </w:r>
            <w:r w:rsidRPr="00652AAB">
              <w:rPr>
                <w:rFonts w:asciiTheme="majorEastAsia" w:eastAsiaTheme="majorEastAsia" w:hAnsiTheme="majorEastAsia" w:hint="eastAsia"/>
                <w:sz w:val="22"/>
                <w:szCs w:val="22"/>
              </w:rPr>
              <w:t>段</w:t>
            </w:r>
          </w:p>
        </w:tc>
      </w:tr>
    </w:tbl>
    <w:p w14:paraId="6F51C9F2" w14:textId="77777777" w:rsidR="005C10E6" w:rsidRPr="00E05024" w:rsidRDefault="005C10E6">
      <w:pPr>
        <w:rPr>
          <w:b/>
          <w:bCs/>
          <w:sz w:val="22"/>
          <w:szCs w:val="22"/>
        </w:rPr>
      </w:pPr>
      <w:bookmarkStart w:id="0" w:name="_Hlk124351255"/>
      <w:r w:rsidRPr="00E05024">
        <w:br w:type="page"/>
      </w:r>
    </w:p>
    <w:p w14:paraId="6C62585F" w14:textId="6A62E756" w:rsidR="00F70CC5" w:rsidRPr="00652AAB" w:rsidRDefault="00FD4BC8" w:rsidP="00CA4765">
      <w:pPr>
        <w:pStyle w:val="Paragraphedeliste"/>
        <w:keepLines/>
        <w:spacing w:after="240"/>
        <w:ind w:left="0"/>
        <w:contextualSpacing w:val="0"/>
        <w:jc w:val="both"/>
        <w:rPr>
          <w:b/>
          <w:bCs/>
        </w:rPr>
      </w:pPr>
      <w:r w:rsidRPr="00652AAB">
        <w:rPr>
          <w:b/>
          <w:sz w:val="22"/>
        </w:rPr>
        <w:lastRenderedPageBreak/>
        <w:t>背景</w:t>
      </w:r>
    </w:p>
    <w:bookmarkEnd w:id="0"/>
    <w:p w14:paraId="5C1BBF4E" w14:textId="1630FB37" w:rsidR="00A60F7E" w:rsidRPr="00652AAB" w:rsidRDefault="00A60F7E" w:rsidP="00652AAB">
      <w:pPr>
        <w:pStyle w:val="GAPara"/>
        <w:numPr>
          <w:ilvl w:val="0"/>
          <w:numId w:val="23"/>
        </w:numPr>
        <w:ind w:left="567" w:hanging="567"/>
        <w:jc w:val="both"/>
        <w:rPr>
          <w:rFonts w:ascii="Times New Roman" w:hAnsi="Times New Roman" w:cs="Times New Roman"/>
        </w:rPr>
      </w:pPr>
      <w:r w:rsidRPr="00652AAB">
        <w:rPr>
          <w:rFonts w:ascii="Times New Roman" w:hAnsi="Times New Roman" w:cs="Times New Roman"/>
        </w:rPr>
        <w:t>公约</w:t>
      </w:r>
      <w:proofErr w:type="gramStart"/>
      <w:r w:rsidRPr="00652AAB">
        <w:rPr>
          <w:rFonts w:ascii="Times New Roman" w:hAnsi="Times New Roman" w:cs="Times New Roman"/>
        </w:rPr>
        <w:t>》</w:t>
      </w:r>
      <w:proofErr w:type="gramEnd"/>
      <w:r w:rsidRPr="00652AAB">
        <w:rPr>
          <w:rFonts w:ascii="Times New Roman" w:hAnsi="Times New Roman" w:cs="Times New Roman"/>
        </w:rPr>
        <w:t>第七条</w:t>
      </w:r>
      <w:r w:rsidRPr="009C5A44">
        <w:rPr>
          <w:rFonts w:ascii="Times New Roman" w:hAnsi="Times New Roman" w:cs="Times New Roman"/>
          <w:lang w:val="fr-FR"/>
        </w:rPr>
        <w:t>(c)</w:t>
      </w:r>
      <w:r w:rsidRPr="00652AAB">
        <w:rPr>
          <w:rFonts w:ascii="Times New Roman" w:hAnsi="Times New Roman" w:cs="Times New Roman"/>
        </w:rPr>
        <w:t>款要求委员会</w:t>
      </w:r>
      <w:proofErr w:type="gramStart"/>
      <w:r w:rsidRPr="009C5A44">
        <w:rPr>
          <w:rFonts w:ascii="Times New Roman" w:hAnsi="Times New Roman" w:cs="Times New Roman"/>
          <w:lang w:val="fr-FR"/>
        </w:rPr>
        <w:t>“</w:t>
      </w:r>
      <w:proofErr w:type="gramEnd"/>
      <w:r w:rsidRPr="00652AAB">
        <w:rPr>
          <w:rFonts w:ascii="Times New Roman" w:hAnsi="Times New Roman" w:cs="Times New Roman"/>
        </w:rPr>
        <w:t>根据《公约》第二十五条的规定</w:t>
      </w:r>
      <w:r w:rsidRPr="009C5A44">
        <w:rPr>
          <w:rFonts w:ascii="Times New Roman" w:hAnsi="Times New Roman" w:cs="Times New Roman"/>
          <w:lang w:val="fr-FR"/>
        </w:rPr>
        <w:t>，</w:t>
      </w:r>
      <w:r w:rsidRPr="00652AAB">
        <w:rPr>
          <w:rFonts w:ascii="Times New Roman" w:hAnsi="Times New Roman" w:cs="Times New Roman"/>
        </w:rPr>
        <w:t>编制</w:t>
      </w:r>
      <w:r w:rsidRPr="009C5A44">
        <w:rPr>
          <w:rFonts w:ascii="Times New Roman" w:hAnsi="Times New Roman" w:cs="Times New Roman"/>
          <w:lang w:val="fr-FR"/>
        </w:rPr>
        <w:t>[</w:t>
      </w:r>
      <w:r w:rsidRPr="00652AAB">
        <w:rPr>
          <w:rFonts w:ascii="Times New Roman" w:hAnsi="Times New Roman" w:cs="Times New Roman"/>
        </w:rPr>
        <w:t>非物质文化遗产</w:t>
      </w:r>
      <w:r w:rsidRPr="009C5A44">
        <w:rPr>
          <w:rFonts w:ascii="Times New Roman" w:hAnsi="Times New Roman" w:cs="Times New Roman"/>
          <w:lang w:val="fr-FR"/>
        </w:rPr>
        <w:t>]</w:t>
      </w:r>
      <w:r w:rsidRPr="00652AAB">
        <w:rPr>
          <w:rFonts w:ascii="Times New Roman" w:hAnsi="Times New Roman" w:cs="Times New Roman"/>
        </w:rPr>
        <w:t>基金</w:t>
      </w:r>
      <w:r w:rsidRPr="009C5A44">
        <w:rPr>
          <w:rFonts w:ascii="Times New Roman" w:hAnsi="Times New Roman" w:cs="Times New Roman"/>
          <w:lang w:val="fr-FR"/>
        </w:rPr>
        <w:t>[</w:t>
      </w:r>
      <w:r w:rsidRPr="00652AAB">
        <w:rPr>
          <w:rFonts w:ascii="Times New Roman" w:hAnsi="Times New Roman" w:cs="Times New Roman"/>
        </w:rPr>
        <w:t>特别账户</w:t>
      </w:r>
      <w:r w:rsidRPr="009C5A44">
        <w:rPr>
          <w:rFonts w:ascii="Times New Roman" w:hAnsi="Times New Roman" w:cs="Times New Roman"/>
          <w:lang w:val="fr-FR"/>
        </w:rPr>
        <w:t>（</w:t>
      </w:r>
      <w:r w:rsidRPr="00652AAB">
        <w:rPr>
          <w:rFonts w:ascii="Times New Roman" w:hAnsi="Times New Roman" w:cs="Times New Roman"/>
        </w:rPr>
        <w:t>下称</w:t>
      </w:r>
      <w:r w:rsidRPr="009C5A44">
        <w:rPr>
          <w:rFonts w:ascii="Times New Roman" w:hAnsi="Times New Roman" w:cs="Times New Roman"/>
          <w:lang w:val="fr-FR"/>
        </w:rPr>
        <w:t>“</w:t>
      </w:r>
      <w:r w:rsidRPr="00652AAB">
        <w:rPr>
          <w:rFonts w:ascii="Times New Roman" w:hAnsi="Times New Roman" w:cs="Times New Roman"/>
        </w:rPr>
        <w:t>基金</w:t>
      </w:r>
      <w:r w:rsidRPr="009C5A44">
        <w:rPr>
          <w:rFonts w:ascii="Times New Roman" w:hAnsi="Times New Roman" w:cs="Times New Roman"/>
          <w:lang w:val="fr-FR"/>
        </w:rPr>
        <w:t>”</w:t>
      </w:r>
      <w:r w:rsidRPr="009C5A44">
        <w:rPr>
          <w:rFonts w:ascii="Times New Roman" w:hAnsi="Times New Roman" w:cs="Times New Roman"/>
          <w:lang w:val="fr-FR"/>
        </w:rPr>
        <w:t>）</w:t>
      </w:r>
      <w:r w:rsidRPr="009C5A44">
        <w:rPr>
          <w:rFonts w:ascii="Times New Roman" w:hAnsi="Times New Roman" w:cs="Times New Roman"/>
          <w:lang w:val="fr-FR"/>
        </w:rPr>
        <w:t>]</w:t>
      </w:r>
      <w:r w:rsidRPr="00652AAB">
        <w:rPr>
          <w:rFonts w:ascii="Times New Roman" w:hAnsi="Times New Roman" w:cs="Times New Roman"/>
        </w:rPr>
        <w:t>资源使用计划草案并提交大会批准</w:t>
      </w:r>
      <w:proofErr w:type="gramStart"/>
      <w:r w:rsidRPr="009C5A44">
        <w:rPr>
          <w:rFonts w:ascii="Times New Roman" w:hAnsi="Times New Roman" w:cs="Times New Roman"/>
          <w:lang w:val="fr-FR"/>
        </w:rPr>
        <w:t>”</w:t>
      </w:r>
      <w:proofErr w:type="gramEnd"/>
      <w:r w:rsidRPr="00652AAB">
        <w:rPr>
          <w:rFonts w:ascii="Times New Roman" w:hAnsi="Times New Roman" w:cs="Times New Roman"/>
        </w:rPr>
        <w:t>。该计划草案（以下简称</w:t>
      </w:r>
      <w:r w:rsidRPr="00652AAB">
        <w:rPr>
          <w:rFonts w:ascii="Times New Roman" w:hAnsi="Times New Roman" w:cs="Times New Roman"/>
        </w:rPr>
        <w:t>“</w:t>
      </w:r>
      <w:r w:rsidRPr="00652AAB">
        <w:rPr>
          <w:rFonts w:ascii="Times New Roman" w:hAnsi="Times New Roman" w:cs="Times New Roman"/>
        </w:rPr>
        <w:t>计划</w:t>
      </w:r>
      <w:r w:rsidRPr="00652AAB">
        <w:rPr>
          <w:rFonts w:ascii="Times New Roman" w:hAnsi="Times New Roman" w:cs="Times New Roman"/>
        </w:rPr>
        <w:t>”</w:t>
      </w:r>
      <w:r w:rsidRPr="00652AAB">
        <w:rPr>
          <w:rFonts w:ascii="Times New Roman" w:hAnsi="Times New Roman" w:cs="Times New Roman"/>
        </w:rPr>
        <w:t>）由委员会根据其第</w:t>
      </w:r>
      <w:r w:rsidR="009644FE">
        <w:fldChar w:fldCharType="begin"/>
      </w:r>
      <w:r w:rsidR="009644FE">
        <w:instrText>HYPERLINK "https://ich.unesco.org/en/decisions/18.COM/14"</w:instrText>
      </w:r>
      <w:r w:rsidR="009644FE">
        <w:fldChar w:fldCharType="separate"/>
      </w:r>
      <w:r w:rsidRPr="00652AAB">
        <w:rPr>
          <w:rStyle w:val="Lienhypertexte"/>
          <w:rFonts w:ascii="Times New Roman" w:hAnsi="Times New Roman" w:cs="Times New Roman"/>
        </w:rPr>
        <w:t>18.COM 14</w:t>
      </w:r>
      <w:r w:rsidR="009644FE">
        <w:rPr>
          <w:rStyle w:val="Lienhypertexte"/>
          <w:rFonts w:ascii="Times New Roman" w:hAnsi="Times New Roman" w:cs="Times New Roman"/>
        </w:rPr>
        <w:fldChar w:fldCharType="end"/>
      </w:r>
      <w:r w:rsidRPr="00652AAB">
        <w:rPr>
          <w:rFonts w:ascii="Times New Roman" w:hAnsi="Times New Roman" w:cs="Times New Roman"/>
        </w:rPr>
        <w:t>号决定提交并随附于本文件，按照</w:t>
      </w:r>
      <w:r w:rsidR="009644FE">
        <w:fldChar w:fldCharType="begin"/>
      </w:r>
      <w:r w:rsidR="009644FE">
        <w:instrText>HYPERLINK "https://ich.unesco.org/doc/src/2003_Convention_Basic_Texts-_2022_version-ZH.pdf"</w:instrText>
      </w:r>
      <w:r w:rsidR="009644FE">
        <w:fldChar w:fldCharType="separate"/>
      </w:r>
      <w:r w:rsidR="00E05024" w:rsidRPr="00652AAB">
        <w:rPr>
          <w:rStyle w:val="Lienhypertexte"/>
          <w:rFonts w:ascii="Times New Roman" w:hAnsi="Times New Roman" w:cs="Times New Roman" w:hint="eastAsia"/>
        </w:rPr>
        <w:t>《业</w:t>
      </w:r>
      <w:r w:rsidRPr="00652AAB">
        <w:rPr>
          <w:rStyle w:val="Lienhypertexte"/>
          <w:rFonts w:ascii="Times New Roman" w:hAnsi="Times New Roman" w:cs="Times New Roman"/>
        </w:rPr>
        <w:t>务指南</w:t>
      </w:r>
      <w:r w:rsidR="009644FE">
        <w:rPr>
          <w:rStyle w:val="Lienhypertexte"/>
          <w:rFonts w:ascii="Times New Roman" w:hAnsi="Times New Roman" w:cs="Times New Roman"/>
        </w:rPr>
        <w:fldChar w:fldCharType="end"/>
      </w:r>
      <w:r w:rsidR="00E05024" w:rsidRPr="00652AAB">
        <w:rPr>
          <w:rStyle w:val="Lienhypertexte"/>
          <w:rFonts w:ascii="Times New Roman" w:hAnsi="Times New Roman" w:cs="Times New Roman" w:hint="eastAsia"/>
        </w:rPr>
        <w:t>》</w:t>
      </w:r>
      <w:r w:rsidRPr="00652AAB">
        <w:rPr>
          <w:rFonts w:ascii="Times New Roman" w:hAnsi="Times New Roman" w:cs="Times New Roman"/>
        </w:rPr>
        <w:t>第</w:t>
      </w:r>
      <w:r w:rsidRPr="00652AAB">
        <w:rPr>
          <w:rFonts w:ascii="Times New Roman" w:hAnsi="Times New Roman" w:cs="Times New Roman"/>
        </w:rPr>
        <w:t>II.1</w:t>
      </w:r>
      <w:r w:rsidRPr="00652AAB">
        <w:rPr>
          <w:rFonts w:ascii="Times New Roman" w:hAnsi="Times New Roman" w:cs="Times New Roman"/>
        </w:rPr>
        <w:t>章的准则并根据上一两年期实施计划的经验编写。根据《基金财务条例》第十条的要求，</w:t>
      </w:r>
      <w:r w:rsidRPr="00652AAB">
        <w:rPr>
          <w:rFonts w:ascii="Times New Roman" w:hAnsi="Times New Roman" w:cs="Times New Roman"/>
        </w:rPr>
        <w:t>2022</w:t>
      </w:r>
      <w:r w:rsidRPr="00652AAB">
        <w:rPr>
          <w:rFonts w:ascii="Times New Roman" w:hAnsi="Times New Roman" w:cs="Times New Roman"/>
        </w:rPr>
        <w:t>年</w:t>
      </w:r>
      <w:r w:rsidRPr="00652AAB">
        <w:rPr>
          <w:rFonts w:ascii="Times New Roman" w:hAnsi="Times New Roman" w:cs="Times New Roman"/>
        </w:rPr>
        <w:t>1</w:t>
      </w:r>
      <w:r w:rsidRPr="00652AAB">
        <w:rPr>
          <w:rFonts w:ascii="Times New Roman" w:hAnsi="Times New Roman" w:cs="Times New Roman"/>
        </w:rPr>
        <w:t>月</w:t>
      </w:r>
      <w:r w:rsidRPr="00652AAB">
        <w:rPr>
          <w:rFonts w:ascii="Times New Roman" w:hAnsi="Times New Roman" w:cs="Times New Roman"/>
        </w:rPr>
        <w:t>1</w:t>
      </w:r>
      <w:r w:rsidRPr="00652AAB">
        <w:rPr>
          <w:rFonts w:ascii="Times New Roman" w:hAnsi="Times New Roman" w:cs="Times New Roman"/>
        </w:rPr>
        <w:t>日至</w:t>
      </w:r>
      <w:r w:rsidRPr="00652AAB">
        <w:rPr>
          <w:rFonts w:ascii="Times New Roman" w:hAnsi="Times New Roman" w:cs="Times New Roman"/>
        </w:rPr>
        <w:t>2023</w:t>
      </w:r>
      <w:r w:rsidRPr="00652AAB">
        <w:rPr>
          <w:rFonts w:ascii="Times New Roman" w:hAnsi="Times New Roman" w:cs="Times New Roman"/>
        </w:rPr>
        <w:t>年</w:t>
      </w:r>
      <w:r w:rsidRPr="00652AAB">
        <w:rPr>
          <w:rFonts w:ascii="Times New Roman" w:hAnsi="Times New Roman" w:cs="Times New Roman"/>
        </w:rPr>
        <w:t>12</w:t>
      </w:r>
      <w:r w:rsidRPr="00652AAB">
        <w:rPr>
          <w:rFonts w:ascii="Times New Roman" w:hAnsi="Times New Roman" w:cs="Times New Roman"/>
        </w:rPr>
        <w:t>月</w:t>
      </w:r>
      <w:r w:rsidRPr="00652AAB">
        <w:rPr>
          <w:rFonts w:ascii="Times New Roman" w:hAnsi="Times New Roman" w:cs="Times New Roman"/>
        </w:rPr>
        <w:t>31</w:t>
      </w:r>
      <w:r w:rsidRPr="00652AAB">
        <w:rPr>
          <w:rFonts w:ascii="Times New Roman" w:hAnsi="Times New Roman" w:cs="Times New Roman"/>
        </w:rPr>
        <w:t>日期间的叙述和财务报告载于</w:t>
      </w:r>
      <w:r w:rsidR="009644FE">
        <w:fldChar w:fldCharType="begin"/>
      </w:r>
      <w:r w:rsidR="009644FE">
        <w:instrText>HYPERLINK "https://ich.unesco.org/doc/src/LHE-24-10.GA-INF.8_EN.docx"</w:instrText>
      </w:r>
      <w:r w:rsidR="009644FE">
        <w:fldChar w:fldCharType="separate"/>
      </w:r>
      <w:r w:rsidRPr="00652AAB">
        <w:rPr>
          <w:rStyle w:val="Lienhypertexte"/>
          <w:rFonts w:ascii="Times New Roman" w:hAnsi="Times New Roman" w:cs="Times New Roman"/>
        </w:rPr>
        <w:t>LHE/24/10.GA/INF.8</w:t>
      </w:r>
      <w:r w:rsidR="009644FE">
        <w:rPr>
          <w:rStyle w:val="Lienhypertexte"/>
          <w:rFonts w:ascii="Times New Roman" w:hAnsi="Times New Roman" w:cs="Times New Roman"/>
        </w:rPr>
        <w:fldChar w:fldCharType="end"/>
      </w:r>
      <w:r w:rsidRPr="00652AAB">
        <w:rPr>
          <w:rFonts w:ascii="Times New Roman" w:hAnsi="Times New Roman" w:cs="Times New Roman"/>
        </w:rPr>
        <w:t>号文件。</w:t>
      </w:r>
    </w:p>
    <w:p w14:paraId="787ACD7D" w14:textId="5FA818AC" w:rsidR="00AA2D7A" w:rsidRPr="00E05024" w:rsidRDefault="00AA2D7A" w:rsidP="00AA2D7A">
      <w:pPr>
        <w:pStyle w:val="GAPara"/>
        <w:numPr>
          <w:ilvl w:val="0"/>
          <w:numId w:val="23"/>
        </w:numPr>
        <w:ind w:left="567" w:hanging="567"/>
        <w:jc w:val="both"/>
        <w:rPr>
          <w:rFonts w:ascii="Times New Roman" w:hAnsi="Times New Roman" w:cs="Times New Roman"/>
        </w:rPr>
      </w:pPr>
      <w:r w:rsidRPr="00E05024">
        <w:rPr>
          <w:rFonts w:ascii="Times New Roman" w:hAnsi="Times New Roman" w:cs="Times New Roman"/>
        </w:rPr>
        <w:t>根据《基金财务条例》第二条，</w:t>
      </w:r>
      <w:r w:rsidRPr="00E05024">
        <w:rPr>
          <w:rFonts w:ascii="Times New Roman" w:hAnsi="Times New Roman" w:cs="Times New Roman"/>
        </w:rPr>
        <w:t>“</w:t>
      </w:r>
      <w:r w:rsidRPr="00E05024">
        <w:rPr>
          <w:rFonts w:ascii="Times New Roman" w:hAnsi="Times New Roman" w:cs="Times New Roman"/>
        </w:rPr>
        <w:t>用于估算预算的财务期应为从偶数年开始的连续两个日历年</w:t>
      </w:r>
      <w:r w:rsidRPr="00E05024">
        <w:rPr>
          <w:rFonts w:ascii="Times New Roman" w:hAnsi="Times New Roman" w:cs="Times New Roman"/>
        </w:rPr>
        <w:t>”</w:t>
      </w:r>
      <w:r w:rsidRPr="00E05024">
        <w:rPr>
          <w:rFonts w:ascii="Times New Roman" w:hAnsi="Times New Roman" w:cs="Times New Roman"/>
        </w:rPr>
        <w:t>。但是，《公约》缔约国大会常会在偶数年举行，在历年开始后约六个月举行。因此，请大会本届会议核准</w:t>
      </w:r>
      <w:r w:rsidRPr="00E05024">
        <w:rPr>
          <w:rFonts w:ascii="Times New Roman" w:hAnsi="Times New Roman" w:cs="Times New Roman"/>
        </w:rPr>
        <w:t>2024</w:t>
      </w:r>
      <w:r w:rsidRPr="00E05024">
        <w:rPr>
          <w:rFonts w:ascii="Times New Roman" w:hAnsi="Times New Roman" w:cs="Times New Roman"/>
        </w:rPr>
        <w:t>年</w:t>
      </w:r>
      <w:r w:rsidRPr="00E05024">
        <w:rPr>
          <w:rFonts w:ascii="Times New Roman" w:hAnsi="Times New Roman" w:cs="Times New Roman"/>
        </w:rPr>
        <w:t>1</w:t>
      </w:r>
      <w:r w:rsidRPr="00E05024">
        <w:rPr>
          <w:rFonts w:ascii="Times New Roman" w:hAnsi="Times New Roman" w:cs="Times New Roman"/>
        </w:rPr>
        <w:t>月</w:t>
      </w:r>
      <w:r w:rsidRPr="00E05024">
        <w:rPr>
          <w:rFonts w:ascii="Times New Roman" w:hAnsi="Times New Roman" w:cs="Times New Roman"/>
        </w:rPr>
        <w:t>1</w:t>
      </w:r>
      <w:r w:rsidRPr="00E05024">
        <w:rPr>
          <w:rFonts w:ascii="Times New Roman" w:hAnsi="Times New Roman" w:cs="Times New Roman"/>
        </w:rPr>
        <w:t>日至</w:t>
      </w:r>
      <w:r w:rsidRPr="00E05024">
        <w:rPr>
          <w:rFonts w:ascii="Times New Roman" w:hAnsi="Times New Roman" w:cs="Times New Roman"/>
        </w:rPr>
        <w:t>2025</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w:t>
      </w:r>
      <w:r w:rsidRPr="00E05024">
        <w:rPr>
          <w:rFonts w:ascii="Times New Roman" w:hAnsi="Times New Roman" w:cs="Times New Roman"/>
        </w:rPr>
        <w:t>31</w:t>
      </w:r>
      <w:r w:rsidRPr="00E05024">
        <w:rPr>
          <w:rFonts w:ascii="Times New Roman" w:hAnsi="Times New Roman" w:cs="Times New Roman"/>
        </w:rPr>
        <w:t>日期间的计划，以及下一财务期头六个月（即</w:t>
      </w:r>
      <w:r w:rsidRPr="00E05024">
        <w:rPr>
          <w:rFonts w:ascii="Times New Roman" w:hAnsi="Times New Roman" w:cs="Times New Roman"/>
        </w:rPr>
        <w:t>2026</w:t>
      </w:r>
      <w:r w:rsidRPr="00E05024">
        <w:rPr>
          <w:rFonts w:ascii="Times New Roman" w:hAnsi="Times New Roman" w:cs="Times New Roman"/>
        </w:rPr>
        <w:t>年</w:t>
      </w:r>
      <w:r w:rsidRPr="00E05024">
        <w:rPr>
          <w:rFonts w:ascii="Times New Roman" w:hAnsi="Times New Roman" w:cs="Times New Roman"/>
        </w:rPr>
        <w:t>1</w:t>
      </w:r>
      <w:r w:rsidRPr="00E05024">
        <w:rPr>
          <w:rFonts w:ascii="Times New Roman" w:hAnsi="Times New Roman" w:cs="Times New Roman"/>
        </w:rPr>
        <w:t>月</w:t>
      </w:r>
      <w:r w:rsidRPr="00E05024">
        <w:rPr>
          <w:rFonts w:ascii="Times New Roman" w:hAnsi="Times New Roman" w:cs="Times New Roman"/>
        </w:rPr>
        <w:t>1</w:t>
      </w:r>
      <w:r w:rsidRPr="00E05024">
        <w:rPr>
          <w:rFonts w:ascii="Times New Roman" w:hAnsi="Times New Roman" w:cs="Times New Roman"/>
        </w:rPr>
        <w:t>日至</w:t>
      </w:r>
      <w:r w:rsidRPr="00E05024">
        <w:rPr>
          <w:rFonts w:ascii="Times New Roman" w:hAnsi="Times New Roman" w:cs="Times New Roman"/>
        </w:rPr>
        <w:t>2026</w:t>
      </w:r>
      <w:r w:rsidRPr="00E05024">
        <w:rPr>
          <w:rFonts w:ascii="Times New Roman" w:hAnsi="Times New Roman" w:cs="Times New Roman"/>
        </w:rPr>
        <w:t>年</w:t>
      </w:r>
      <w:r w:rsidRPr="00E05024">
        <w:rPr>
          <w:rFonts w:ascii="Times New Roman" w:hAnsi="Times New Roman" w:cs="Times New Roman"/>
        </w:rPr>
        <w:t>6</w:t>
      </w:r>
      <w:r w:rsidRPr="00E05024">
        <w:rPr>
          <w:rFonts w:ascii="Times New Roman" w:hAnsi="Times New Roman" w:cs="Times New Roman"/>
        </w:rPr>
        <w:t>月</w:t>
      </w:r>
      <w:r w:rsidRPr="00E05024">
        <w:rPr>
          <w:rFonts w:ascii="Times New Roman" w:hAnsi="Times New Roman" w:cs="Times New Roman"/>
        </w:rPr>
        <w:t>30</w:t>
      </w:r>
      <w:r w:rsidRPr="00E05024">
        <w:rPr>
          <w:rFonts w:ascii="Times New Roman" w:hAnsi="Times New Roman" w:cs="Times New Roman"/>
        </w:rPr>
        <w:t>日）的临时计划。大会第九届会议通过的</w:t>
      </w:r>
      <w:r w:rsidRPr="00E05024">
        <w:rPr>
          <w:rFonts w:ascii="Times New Roman" w:hAnsi="Times New Roman" w:cs="Times New Roman"/>
        </w:rPr>
        <w:t>2024</w:t>
      </w:r>
      <w:r w:rsidRPr="00E05024">
        <w:rPr>
          <w:rFonts w:ascii="Times New Roman" w:hAnsi="Times New Roman" w:cs="Times New Roman"/>
        </w:rPr>
        <w:t>年第一期临时预算（第</w:t>
      </w:r>
      <w:r w:rsidR="009644FE">
        <w:fldChar w:fldCharType="begin"/>
      </w:r>
      <w:r w:rsidR="009644FE">
        <w:instrText>HYPERLINK "https://ich.unesco.org/doc/src/LHE-22-9.GA-Resolutions-ZH.docx"</w:instrText>
      </w:r>
      <w:r w:rsidR="009644FE">
        <w:fldChar w:fldCharType="separate"/>
      </w:r>
      <w:r w:rsidRPr="00E05024">
        <w:rPr>
          <w:rStyle w:val="Lienhypertexte"/>
          <w:rFonts w:ascii="Times New Roman" w:hAnsi="Times New Roman" w:cs="Times New Roman"/>
        </w:rPr>
        <w:t>9.GA 10</w:t>
      </w:r>
      <w:r w:rsidR="009644FE">
        <w:rPr>
          <w:rStyle w:val="Lienhypertexte"/>
          <w:rFonts w:ascii="Times New Roman" w:hAnsi="Times New Roman" w:cs="Times New Roman"/>
        </w:rPr>
        <w:fldChar w:fldCharType="end"/>
      </w:r>
      <w:r w:rsidRPr="00E05024">
        <w:rPr>
          <w:rFonts w:ascii="Times New Roman" w:hAnsi="Times New Roman" w:cs="Times New Roman"/>
        </w:rPr>
        <w:t>号决议）将在本届大会通过后被本计划取代。</w:t>
      </w:r>
    </w:p>
    <w:p w14:paraId="47055CF1" w14:textId="4EC77180" w:rsidR="00AA2D7A" w:rsidRPr="00E05024" w:rsidRDefault="00AA2D7A" w:rsidP="00AA2D7A">
      <w:pPr>
        <w:pStyle w:val="COMPara"/>
        <w:numPr>
          <w:ilvl w:val="0"/>
          <w:numId w:val="23"/>
        </w:numPr>
        <w:tabs>
          <w:tab w:val="left" w:pos="567"/>
        </w:tabs>
        <w:ind w:left="567" w:hanging="567"/>
        <w:jc w:val="both"/>
        <w:rPr>
          <w:rFonts w:ascii="Times New Roman" w:hAnsi="Times New Roman" w:cs="Times New Roman"/>
          <w:bCs/>
        </w:rPr>
      </w:pPr>
      <w:r w:rsidRPr="00E05024">
        <w:rPr>
          <w:rFonts w:ascii="Times New Roman" w:hAnsi="Times New Roman" w:cs="Times New Roman"/>
        </w:rPr>
        <w:t>建议大会在每一项中根据现有可用资源总额的百分比来分配资金，而不是按绝对数字。这样可在必要时将两年期内收到的分摊纳款按核准的百分比分配给每个预算项目。这样，委员会就能够利用在两年期内可能记入基金帐下的任何重要的不受限制的自愿补充捐款（如第</w:t>
      </w:r>
      <w:r w:rsidR="006516ED">
        <w:rPr>
          <w:rFonts w:hint="eastAsia"/>
        </w:rPr>
        <w:t>二十七</w:t>
      </w:r>
      <w:r w:rsidRPr="00E05024">
        <w:rPr>
          <w:rFonts w:ascii="Times New Roman" w:hAnsi="Times New Roman" w:cs="Times New Roman"/>
        </w:rPr>
        <w:t>条所述）。同时，还建议大会像前几届会议所做的那样，授权委员会在收到任何此类捐款时，按照计划中规定的百分比立即使用。</w:t>
      </w:r>
    </w:p>
    <w:p w14:paraId="478F425E" w14:textId="545A0E5F" w:rsidR="00AA2D7A" w:rsidRPr="00E05024" w:rsidRDefault="00AA2D7A" w:rsidP="00AA2D7A">
      <w:pPr>
        <w:pStyle w:val="COMPara"/>
        <w:numPr>
          <w:ilvl w:val="0"/>
          <w:numId w:val="23"/>
        </w:numPr>
        <w:tabs>
          <w:tab w:val="left" w:pos="567"/>
        </w:tabs>
        <w:ind w:left="567" w:hanging="567"/>
        <w:jc w:val="both"/>
        <w:rPr>
          <w:rFonts w:ascii="Times New Roman" w:hAnsi="Times New Roman" w:cs="Times New Roman"/>
        </w:rPr>
      </w:pPr>
      <w:r w:rsidRPr="00E05024">
        <w:rPr>
          <w:rFonts w:ascii="Times New Roman" w:hAnsi="Times New Roman" w:cs="Times New Roman"/>
        </w:rPr>
        <w:t>此外，请大会授权委员会立即使用与具体项目有关的捐款，前提是这些捐款应在委员会</w:t>
      </w:r>
      <w:r w:rsidRPr="00E05024">
        <w:rPr>
          <w:rFonts w:ascii="Times New Roman" w:hAnsi="Times New Roman" w:cs="Times New Roman"/>
        </w:rPr>
        <w:t>2022-2025</w:t>
      </w:r>
      <w:r w:rsidRPr="00E05024">
        <w:rPr>
          <w:rFonts w:ascii="Times New Roman" w:hAnsi="Times New Roman" w:cs="Times New Roman"/>
        </w:rPr>
        <w:t>年批准的两个资金优先项目的范围之内（第</w:t>
      </w:r>
      <w:r w:rsidR="009644FE">
        <w:fldChar w:fldCharType="begin"/>
      </w:r>
      <w:r w:rsidR="009644FE">
        <w:instrText>HYPERLINK "https://ich.unesco.org/en/Decisions/16.COM/12"</w:instrText>
      </w:r>
      <w:r w:rsidR="009644FE">
        <w:fldChar w:fldCharType="separate"/>
      </w:r>
      <w:r w:rsidRPr="00E05024">
        <w:rPr>
          <w:rStyle w:val="Lienhypertexte"/>
          <w:rFonts w:ascii="Times New Roman" w:hAnsi="Times New Roman" w:cs="Times New Roman"/>
        </w:rPr>
        <w:t>16.COM 12</w:t>
      </w:r>
      <w:r w:rsidR="009644FE">
        <w:rPr>
          <w:rStyle w:val="Lienhypertexte"/>
          <w:rFonts w:ascii="Times New Roman" w:hAnsi="Times New Roman" w:cs="Times New Roman"/>
        </w:rPr>
        <w:fldChar w:fldCharType="end"/>
      </w:r>
      <w:r w:rsidRPr="00E05024">
        <w:rPr>
          <w:rFonts w:ascii="Times New Roman" w:hAnsi="Times New Roman" w:cs="Times New Roman"/>
        </w:rPr>
        <w:t>号决定）：</w:t>
      </w:r>
      <w:r w:rsidRPr="00E05024">
        <w:rPr>
          <w:rFonts w:ascii="Times New Roman" w:hAnsi="Times New Roman" w:cs="Times New Roman"/>
        </w:rPr>
        <w:t>“</w:t>
      </w:r>
      <w:r w:rsidRPr="00E05024">
        <w:rPr>
          <w:rFonts w:ascii="Times New Roman" w:hAnsi="Times New Roman" w:cs="Times New Roman"/>
        </w:rPr>
        <w:t>加强利用多模式综合保护非物质文化遗产并促进可持续发展的能力</w:t>
      </w:r>
      <w:r w:rsidRPr="00E05024">
        <w:rPr>
          <w:rFonts w:ascii="Times New Roman" w:hAnsi="Times New Roman" w:cs="Times New Roman"/>
        </w:rPr>
        <w:t>”</w:t>
      </w:r>
      <w:r w:rsidRPr="00E05024">
        <w:rPr>
          <w:rFonts w:ascii="Times New Roman" w:hAnsi="Times New Roman" w:cs="Times New Roman"/>
        </w:rPr>
        <w:t>以及</w:t>
      </w:r>
      <w:r w:rsidRPr="00E05024">
        <w:rPr>
          <w:rFonts w:ascii="Times New Roman" w:hAnsi="Times New Roman" w:cs="Times New Roman"/>
        </w:rPr>
        <w:t>“</w:t>
      </w:r>
      <w:r w:rsidRPr="00E05024">
        <w:rPr>
          <w:rFonts w:ascii="Times New Roman" w:hAnsi="Times New Roman" w:cs="Times New Roman"/>
        </w:rPr>
        <w:t>通过正规和非正规教育保护非物质文化遗产</w:t>
      </w:r>
      <w:r w:rsidRPr="00E05024">
        <w:rPr>
          <w:rFonts w:ascii="Times New Roman" w:hAnsi="Times New Roman" w:cs="Times New Roman"/>
        </w:rPr>
        <w:t>”</w:t>
      </w:r>
      <w:r w:rsidRPr="00E05024">
        <w:rPr>
          <w:rFonts w:ascii="Times New Roman" w:hAnsi="Times New Roman" w:cs="Times New Roman"/>
        </w:rPr>
        <w:t>。此类捐款以及其他自愿补充捐款和捐助者的清单可在信息文件</w:t>
      </w:r>
      <w:r w:rsidR="009644FE">
        <w:fldChar w:fldCharType="begin"/>
      </w:r>
      <w:r w:rsidR="009644FE">
        <w:instrText>HYPERLINK "https://ich.unesco.org/doc/src/LHE-24-10.GA-INF.8_EN.docx"</w:instrText>
      </w:r>
      <w:r w:rsidR="009644FE">
        <w:fldChar w:fldCharType="separate"/>
      </w:r>
      <w:r w:rsidRPr="00652AAB">
        <w:rPr>
          <w:rStyle w:val="Lienhypertexte"/>
          <w:rFonts w:ascii="Times New Roman" w:hAnsi="Times New Roman" w:cs="Times New Roman"/>
        </w:rPr>
        <w:t>LHE/24/10.GA/INF.8</w:t>
      </w:r>
      <w:r w:rsidR="009644FE">
        <w:rPr>
          <w:rStyle w:val="Lienhypertexte"/>
          <w:rFonts w:ascii="Times New Roman" w:hAnsi="Times New Roman" w:cs="Times New Roman"/>
        </w:rPr>
        <w:fldChar w:fldCharType="end"/>
      </w:r>
      <w:r w:rsidRPr="00652AAB">
        <w:rPr>
          <w:rFonts w:ascii="Times New Roman" w:hAnsi="Times New Roman" w:cs="Times New Roman"/>
        </w:rPr>
        <w:t>中</w:t>
      </w:r>
      <w:r w:rsidRPr="00E05024">
        <w:rPr>
          <w:rFonts w:ascii="Times New Roman" w:hAnsi="Times New Roman" w:cs="Times New Roman"/>
        </w:rPr>
        <w:t>查看。</w:t>
      </w:r>
    </w:p>
    <w:p w14:paraId="2099EB25" w14:textId="25E020E4" w:rsidR="00994671" w:rsidRPr="00E05024" w:rsidRDefault="00994671" w:rsidP="00994671">
      <w:pPr>
        <w:pStyle w:val="GAPara"/>
        <w:numPr>
          <w:ilvl w:val="0"/>
          <w:numId w:val="23"/>
        </w:numPr>
        <w:ind w:left="567" w:hanging="567"/>
        <w:jc w:val="both"/>
        <w:rPr>
          <w:rFonts w:ascii="Times New Roman" w:hAnsi="Times New Roman" w:cs="Times New Roman"/>
        </w:rPr>
      </w:pPr>
      <w:r w:rsidRPr="00E05024">
        <w:rPr>
          <w:rFonts w:ascii="Times New Roman" w:hAnsi="Times New Roman" w:cs="Times New Roman"/>
        </w:rPr>
        <w:t>本文件首先概述了基金的现状和当前的趋势，包括用于加强秘书处人力资源的</w:t>
      </w:r>
      <w:proofErr w:type="gramStart"/>
      <w:r w:rsidRPr="00E05024">
        <w:rPr>
          <w:rFonts w:ascii="Times New Roman" w:hAnsi="Times New Roman" w:cs="Times New Roman"/>
        </w:rPr>
        <w:t>子基金</w:t>
      </w:r>
      <w:proofErr w:type="gramEnd"/>
      <w:r w:rsidRPr="00E05024">
        <w:rPr>
          <w:rFonts w:ascii="Times New Roman" w:hAnsi="Times New Roman" w:cs="Times New Roman"/>
        </w:rPr>
        <w:t>的最新情况（第</w:t>
      </w:r>
      <w:r w:rsidRPr="00E05024">
        <w:rPr>
          <w:rFonts w:ascii="Times New Roman" w:hAnsi="Times New Roman" w:cs="Times New Roman"/>
        </w:rPr>
        <w:t>I</w:t>
      </w:r>
      <w:r w:rsidRPr="00E05024">
        <w:rPr>
          <w:rFonts w:ascii="Times New Roman" w:hAnsi="Times New Roman" w:cs="Times New Roman"/>
        </w:rPr>
        <w:t>部分）。然后提出</w:t>
      </w:r>
      <w:r w:rsidRPr="00E05024">
        <w:rPr>
          <w:rFonts w:ascii="Times New Roman" w:hAnsi="Times New Roman" w:cs="Times New Roman"/>
        </w:rPr>
        <w:t>2024-2025</w:t>
      </w:r>
      <w:r w:rsidRPr="00E05024">
        <w:rPr>
          <w:rFonts w:ascii="Times New Roman" w:hAnsi="Times New Roman" w:cs="Times New Roman"/>
        </w:rPr>
        <w:t>年期间基金资源的拟议使用计划，并说明每个预算项目的理由（第</w:t>
      </w:r>
      <w:r w:rsidRPr="00E05024">
        <w:rPr>
          <w:rFonts w:ascii="Times New Roman" w:hAnsi="Times New Roman" w:cs="Times New Roman"/>
        </w:rPr>
        <w:t>II</w:t>
      </w:r>
      <w:r w:rsidRPr="00E05024">
        <w:rPr>
          <w:rFonts w:ascii="Times New Roman" w:hAnsi="Times New Roman" w:cs="Times New Roman"/>
        </w:rPr>
        <w:t>部分）。</w:t>
      </w:r>
    </w:p>
    <w:p w14:paraId="123B6521" w14:textId="05CD314D" w:rsidR="00F70CC5" w:rsidRPr="00E05024" w:rsidRDefault="00994671" w:rsidP="00CA4765">
      <w:pPr>
        <w:pStyle w:val="Titre4"/>
        <w:spacing w:before="240" w:after="120"/>
        <w:rPr>
          <w:rFonts w:ascii="Times New Roman" w:hAnsi="Times New Roman"/>
        </w:rPr>
      </w:pPr>
      <w:bookmarkStart w:id="1" w:name="PartI"/>
      <w:r w:rsidRPr="00E05024">
        <w:rPr>
          <w:rFonts w:ascii="Times New Roman" w:hAnsi="Times New Roman"/>
        </w:rPr>
        <w:t>现状和趋势</w:t>
      </w:r>
    </w:p>
    <w:bookmarkEnd w:id="1"/>
    <w:p w14:paraId="6F8776EE" w14:textId="1DE6284F" w:rsidR="00994671" w:rsidRPr="00E05024" w:rsidRDefault="00994671" w:rsidP="00994671">
      <w:pPr>
        <w:pStyle w:val="GAPara"/>
        <w:numPr>
          <w:ilvl w:val="0"/>
          <w:numId w:val="23"/>
        </w:numPr>
        <w:ind w:left="567" w:hanging="567"/>
        <w:jc w:val="both"/>
        <w:rPr>
          <w:rFonts w:ascii="Times New Roman" w:hAnsi="Times New Roman" w:cs="Times New Roman"/>
        </w:rPr>
      </w:pPr>
      <w:r w:rsidRPr="00E05024">
        <w:rPr>
          <w:rFonts w:ascii="Times New Roman" w:hAnsi="Times New Roman" w:cs="Times New Roman"/>
        </w:rPr>
        <w:t>基于</w:t>
      </w:r>
      <w:r w:rsidR="002B2264">
        <w:rPr>
          <w:rFonts w:ascii="Times New Roman" w:hAnsi="Times New Roman" w:cs="Times New Roman" w:hint="eastAsia"/>
        </w:rPr>
        <w:t>上述提及的</w:t>
      </w:r>
      <w:r w:rsidRPr="00E05024">
        <w:rPr>
          <w:rFonts w:ascii="Times New Roman" w:hAnsi="Times New Roman" w:cs="Times New Roman"/>
        </w:rPr>
        <w:t>2022</w:t>
      </w:r>
      <w:r w:rsidRPr="00E05024">
        <w:rPr>
          <w:rFonts w:ascii="Times New Roman" w:hAnsi="Times New Roman" w:cs="Times New Roman"/>
        </w:rPr>
        <w:t>年</w:t>
      </w:r>
      <w:r w:rsidRPr="00E05024">
        <w:rPr>
          <w:rFonts w:ascii="Times New Roman" w:hAnsi="Times New Roman" w:cs="Times New Roman"/>
        </w:rPr>
        <w:t>1</w:t>
      </w:r>
      <w:r w:rsidRPr="00E05024">
        <w:rPr>
          <w:rFonts w:ascii="Times New Roman" w:hAnsi="Times New Roman" w:cs="Times New Roman"/>
        </w:rPr>
        <w:t>月</w:t>
      </w:r>
      <w:r w:rsidRPr="00E05024">
        <w:rPr>
          <w:rFonts w:ascii="Times New Roman" w:hAnsi="Times New Roman" w:cs="Times New Roman"/>
        </w:rPr>
        <w:t>1</w:t>
      </w:r>
      <w:r w:rsidRPr="00E05024">
        <w:rPr>
          <w:rFonts w:ascii="Times New Roman" w:hAnsi="Times New Roman" w:cs="Times New Roman"/>
        </w:rPr>
        <w:t>日至</w:t>
      </w:r>
      <w:r w:rsidRPr="00E05024">
        <w:rPr>
          <w:rFonts w:ascii="Times New Roman" w:hAnsi="Times New Roman" w:cs="Times New Roman"/>
        </w:rPr>
        <w:t>2023</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w:t>
      </w:r>
      <w:r w:rsidRPr="00E05024">
        <w:rPr>
          <w:rFonts w:ascii="Times New Roman" w:hAnsi="Times New Roman" w:cs="Times New Roman"/>
        </w:rPr>
        <w:t>31</w:t>
      </w:r>
      <w:r w:rsidRPr="00E05024">
        <w:rPr>
          <w:rFonts w:ascii="Times New Roman" w:hAnsi="Times New Roman" w:cs="Times New Roman"/>
        </w:rPr>
        <w:t>日期间的报告</w:t>
      </w:r>
      <w:r w:rsidRPr="00652AAB">
        <w:rPr>
          <w:rFonts w:ascii="Times New Roman" w:hAnsi="Times New Roman" w:cs="Times New Roman"/>
        </w:rPr>
        <w:t>（</w:t>
      </w:r>
      <w:hyperlink r:id="rId8" w:history="1">
        <w:r w:rsidRPr="00652AAB">
          <w:rPr>
            <w:rStyle w:val="Lienhypertexte"/>
            <w:rFonts w:ascii="Times New Roman" w:hAnsi="Times New Roman" w:cs="Times New Roman"/>
          </w:rPr>
          <w:t>LHE/24/10.GA/INF.8</w:t>
        </w:r>
      </w:hyperlink>
      <w:r w:rsidRPr="00652AAB">
        <w:rPr>
          <w:rFonts w:ascii="Times New Roman" w:hAnsi="Times New Roman" w:cs="Times New Roman"/>
        </w:rPr>
        <w:t>号</w:t>
      </w:r>
      <w:r w:rsidRPr="00E05024">
        <w:rPr>
          <w:rFonts w:ascii="Times New Roman" w:hAnsi="Times New Roman" w:cs="Times New Roman"/>
        </w:rPr>
        <w:t>文件），并根据</w:t>
      </w:r>
      <w:r w:rsidR="009644FE">
        <w:fldChar w:fldCharType="begin"/>
      </w:r>
      <w:r w:rsidR="009644FE">
        <w:instrText>HYPERLINK "https://ich.unesco.org/doc/src/LHE-23-18.COM-14_EN.docx"</w:instrText>
      </w:r>
      <w:r w:rsidR="009644FE">
        <w:fldChar w:fldCharType="separate"/>
      </w:r>
      <w:r w:rsidRPr="00E05024">
        <w:rPr>
          <w:rStyle w:val="Lienhypertexte"/>
          <w:rFonts w:ascii="Times New Roman" w:hAnsi="Times New Roman" w:cs="Times New Roman"/>
        </w:rPr>
        <w:t>LHE/23/18.COM/14</w:t>
      </w:r>
      <w:r w:rsidR="009644FE">
        <w:rPr>
          <w:rStyle w:val="Lienhypertexte"/>
          <w:rFonts w:ascii="Times New Roman" w:hAnsi="Times New Roman" w:cs="Times New Roman"/>
        </w:rPr>
        <w:fldChar w:fldCharType="end"/>
      </w:r>
      <w:r w:rsidRPr="00E05024">
        <w:rPr>
          <w:rFonts w:ascii="Times New Roman" w:hAnsi="Times New Roman" w:cs="Times New Roman"/>
        </w:rPr>
        <w:t>号文件所概述的趋势分析，这一部分将描述截至</w:t>
      </w:r>
      <w:r w:rsidRPr="00E05024">
        <w:rPr>
          <w:rFonts w:ascii="Times New Roman" w:hAnsi="Times New Roman" w:cs="Times New Roman"/>
        </w:rPr>
        <w:t>2023</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w:t>
      </w:r>
      <w:r w:rsidRPr="00E05024">
        <w:rPr>
          <w:rFonts w:ascii="Times New Roman" w:hAnsi="Times New Roman" w:cs="Times New Roman"/>
        </w:rPr>
        <w:t>31</w:t>
      </w:r>
      <w:r w:rsidRPr="00E05024">
        <w:rPr>
          <w:rFonts w:ascii="Times New Roman" w:hAnsi="Times New Roman" w:cs="Times New Roman"/>
        </w:rPr>
        <w:t>日的基金支出和分摊纳款的演变情况。</w:t>
      </w:r>
    </w:p>
    <w:p w14:paraId="1B04DA4D" w14:textId="09B65FA1" w:rsidR="00994671" w:rsidRPr="00E05024" w:rsidRDefault="00994671" w:rsidP="00CA352E">
      <w:pPr>
        <w:pStyle w:val="COMPara"/>
        <w:numPr>
          <w:ilvl w:val="0"/>
          <w:numId w:val="0"/>
        </w:numPr>
        <w:ind w:firstLine="567"/>
        <w:jc w:val="both"/>
        <w:rPr>
          <w:rFonts w:ascii="Times New Roman" w:hAnsi="Times New Roman" w:cs="Times New Roman"/>
          <w:b/>
          <w:bCs/>
        </w:rPr>
      </w:pPr>
      <w:r w:rsidRPr="00E05024">
        <w:rPr>
          <w:rFonts w:ascii="Times New Roman" w:hAnsi="Times New Roman" w:cs="Times New Roman"/>
          <w:b/>
        </w:rPr>
        <w:t>支出</w:t>
      </w:r>
    </w:p>
    <w:p w14:paraId="7E88E733" w14:textId="081BE070" w:rsidR="00994671" w:rsidRPr="00E05024" w:rsidRDefault="00353518" w:rsidP="00994671">
      <w:pPr>
        <w:pStyle w:val="GAPara"/>
        <w:numPr>
          <w:ilvl w:val="0"/>
          <w:numId w:val="23"/>
        </w:numPr>
        <w:ind w:left="567" w:hanging="567"/>
        <w:jc w:val="both"/>
        <w:rPr>
          <w:rFonts w:ascii="Times New Roman" w:hAnsi="Times New Roman" w:cs="Times New Roman"/>
        </w:rPr>
      </w:pPr>
      <w:r w:rsidRPr="00E05024">
        <w:rPr>
          <w:rFonts w:ascii="Times New Roman" w:hAnsi="Times New Roman" w:cs="Times New Roman"/>
        </w:rPr>
        <w:t>大会第九届会议批准的最新计划的支出率是该基金的最高支出率，截至</w:t>
      </w:r>
      <w:r w:rsidRPr="00E05024">
        <w:rPr>
          <w:rFonts w:ascii="Times New Roman" w:hAnsi="Times New Roman" w:cs="Times New Roman"/>
        </w:rPr>
        <w:t>2023</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w:t>
      </w:r>
      <w:r w:rsidRPr="00E05024">
        <w:rPr>
          <w:rFonts w:ascii="Times New Roman" w:hAnsi="Times New Roman" w:cs="Times New Roman"/>
        </w:rPr>
        <w:t>31</w:t>
      </w:r>
      <w:r w:rsidRPr="00E05024">
        <w:rPr>
          <w:rFonts w:ascii="Times New Roman" w:hAnsi="Times New Roman" w:cs="Times New Roman"/>
        </w:rPr>
        <w:t>日达到</w:t>
      </w:r>
      <w:r w:rsidRPr="00E05024">
        <w:rPr>
          <w:rFonts w:ascii="Times New Roman" w:hAnsi="Times New Roman" w:cs="Times New Roman"/>
        </w:rPr>
        <w:t>73.2%</w:t>
      </w:r>
      <w:r w:rsidRPr="00E05024">
        <w:rPr>
          <w:rFonts w:ascii="Times New Roman" w:hAnsi="Times New Roman" w:cs="Times New Roman"/>
        </w:rPr>
        <w:t>（</w:t>
      </w:r>
      <w:r w:rsidRPr="00E05024">
        <w:rPr>
          <w:rFonts w:ascii="Times New Roman" w:hAnsi="Times New Roman" w:cs="Times New Roman"/>
        </w:rPr>
        <w:t>2012</w:t>
      </w:r>
      <w:r w:rsidRPr="00E05024">
        <w:rPr>
          <w:rFonts w:ascii="Times New Roman" w:hAnsi="Times New Roman" w:cs="Times New Roman"/>
        </w:rPr>
        <w:t>年至</w:t>
      </w:r>
      <w:r w:rsidRPr="00E05024">
        <w:rPr>
          <w:rFonts w:ascii="Times New Roman" w:hAnsi="Times New Roman" w:cs="Times New Roman"/>
        </w:rPr>
        <w:t>2023</w:t>
      </w:r>
      <w:r w:rsidRPr="00E05024">
        <w:rPr>
          <w:rFonts w:ascii="Times New Roman" w:hAnsi="Times New Roman" w:cs="Times New Roman"/>
        </w:rPr>
        <w:t>年平均为</w:t>
      </w:r>
      <w:r w:rsidRPr="00E05024">
        <w:rPr>
          <w:rFonts w:ascii="Times New Roman" w:hAnsi="Times New Roman" w:cs="Times New Roman"/>
        </w:rPr>
        <w:t>52%</w:t>
      </w:r>
      <w:r w:rsidRPr="00E05024">
        <w:rPr>
          <w:rFonts w:ascii="Times New Roman" w:hAnsi="Times New Roman" w:cs="Times New Roman"/>
        </w:rPr>
        <w:t>）。</w:t>
      </w:r>
      <w:r w:rsidRPr="00E05024">
        <w:rPr>
          <w:rFonts w:ascii="Times New Roman" w:hAnsi="Times New Roman" w:cs="Times New Roman"/>
        </w:rPr>
        <w:t>2022-2023</w:t>
      </w:r>
      <w:r w:rsidRPr="00E05024">
        <w:rPr>
          <w:rFonts w:ascii="Times New Roman" w:hAnsi="Times New Roman" w:cs="Times New Roman"/>
        </w:rPr>
        <w:t>两年期间的支出为</w:t>
      </w:r>
      <w:r w:rsidRPr="00E05024">
        <w:rPr>
          <w:rFonts w:ascii="Times New Roman" w:hAnsi="Times New Roman" w:cs="Times New Roman"/>
        </w:rPr>
        <w:t>639</w:t>
      </w:r>
      <w:r w:rsidRPr="00E05024">
        <w:rPr>
          <w:rFonts w:ascii="Times New Roman" w:hAnsi="Times New Roman" w:cs="Times New Roman"/>
        </w:rPr>
        <w:t>万美元，而</w:t>
      </w:r>
      <w:r w:rsidRPr="00E05024">
        <w:rPr>
          <w:rFonts w:ascii="Times New Roman" w:hAnsi="Times New Roman" w:cs="Times New Roman"/>
        </w:rPr>
        <w:t>2020-2021</w:t>
      </w:r>
      <w:r w:rsidRPr="00E05024">
        <w:rPr>
          <w:rFonts w:ascii="Times New Roman" w:hAnsi="Times New Roman" w:cs="Times New Roman"/>
        </w:rPr>
        <w:t>两年期间的支出为</w:t>
      </w:r>
      <w:r w:rsidRPr="00E05024">
        <w:rPr>
          <w:rFonts w:ascii="Times New Roman" w:hAnsi="Times New Roman" w:cs="Times New Roman"/>
        </w:rPr>
        <w:t>361</w:t>
      </w:r>
      <w:r w:rsidRPr="00E05024">
        <w:rPr>
          <w:rFonts w:ascii="Times New Roman" w:hAnsi="Times New Roman" w:cs="Times New Roman"/>
        </w:rPr>
        <w:t>万美元（见图</w:t>
      </w:r>
      <w:r w:rsidRPr="00E05024">
        <w:rPr>
          <w:rFonts w:ascii="Times New Roman" w:hAnsi="Times New Roman" w:cs="Times New Roman"/>
        </w:rPr>
        <w:t>1</w:t>
      </w:r>
      <w:r w:rsidRPr="00E05024">
        <w:rPr>
          <w:rFonts w:ascii="Times New Roman" w:hAnsi="Times New Roman" w:cs="Times New Roman"/>
        </w:rPr>
        <w:t>）。</w:t>
      </w:r>
    </w:p>
    <w:p w14:paraId="7FC2DA6C" w14:textId="6D5279F9" w:rsidR="006C4FC1" w:rsidRPr="00E05024" w:rsidRDefault="00502AAE" w:rsidP="00F560D9">
      <w:pPr>
        <w:pStyle w:val="COMPara"/>
        <w:numPr>
          <w:ilvl w:val="0"/>
          <w:numId w:val="23"/>
        </w:numPr>
        <w:tabs>
          <w:tab w:val="left" w:pos="567"/>
        </w:tabs>
        <w:ind w:left="567" w:hanging="567"/>
        <w:jc w:val="both"/>
        <w:rPr>
          <w:rFonts w:ascii="Times New Roman" w:hAnsi="Times New Roman" w:cs="Times New Roman"/>
        </w:rPr>
      </w:pPr>
      <w:r w:rsidRPr="00E05024">
        <w:rPr>
          <w:rFonts w:ascii="Times New Roman" w:hAnsi="Times New Roman" w:cs="Times New Roman"/>
        </w:rPr>
        <w:t>下图显示的是，在</w:t>
      </w:r>
      <w:r w:rsidRPr="00E05024">
        <w:rPr>
          <w:rFonts w:ascii="Times New Roman" w:hAnsi="Times New Roman" w:cs="Times New Roman"/>
        </w:rPr>
        <w:t>2022</w:t>
      </w:r>
      <w:r w:rsidRPr="00E05024">
        <w:rPr>
          <w:rFonts w:ascii="Times New Roman" w:hAnsi="Times New Roman" w:cs="Times New Roman"/>
        </w:rPr>
        <w:t>年</w:t>
      </w:r>
      <w:r w:rsidRPr="00E05024">
        <w:rPr>
          <w:rFonts w:ascii="Times New Roman" w:hAnsi="Times New Roman" w:cs="Times New Roman"/>
        </w:rPr>
        <w:t>1</w:t>
      </w:r>
      <w:r w:rsidRPr="00E05024">
        <w:rPr>
          <w:rFonts w:ascii="Times New Roman" w:hAnsi="Times New Roman" w:cs="Times New Roman"/>
        </w:rPr>
        <w:t>月</w:t>
      </w:r>
      <w:r w:rsidRPr="00E05024">
        <w:rPr>
          <w:rFonts w:ascii="Times New Roman" w:hAnsi="Times New Roman" w:cs="Times New Roman"/>
        </w:rPr>
        <w:t>1</w:t>
      </w:r>
      <w:r w:rsidRPr="00E05024">
        <w:rPr>
          <w:rFonts w:ascii="Times New Roman" w:hAnsi="Times New Roman" w:cs="Times New Roman"/>
        </w:rPr>
        <w:t>日至</w:t>
      </w:r>
      <w:r w:rsidRPr="00E05024">
        <w:rPr>
          <w:rFonts w:ascii="Times New Roman" w:hAnsi="Times New Roman" w:cs="Times New Roman"/>
        </w:rPr>
        <w:t>2023</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w:t>
      </w:r>
      <w:r w:rsidRPr="00E05024">
        <w:rPr>
          <w:rFonts w:ascii="Times New Roman" w:hAnsi="Times New Roman" w:cs="Times New Roman"/>
        </w:rPr>
        <w:t>31</w:t>
      </w:r>
      <w:r w:rsidRPr="00E05024">
        <w:rPr>
          <w:rFonts w:ascii="Times New Roman" w:hAnsi="Times New Roman" w:cs="Times New Roman"/>
        </w:rPr>
        <w:t>日期间，支出（</w:t>
      </w:r>
      <w:r w:rsidRPr="00E05024">
        <w:rPr>
          <w:rFonts w:ascii="Times New Roman" w:hAnsi="Times New Roman" w:cs="Times New Roman"/>
        </w:rPr>
        <w:t>639</w:t>
      </w:r>
      <w:r w:rsidRPr="00E05024">
        <w:rPr>
          <w:rFonts w:ascii="Times New Roman" w:hAnsi="Times New Roman" w:cs="Times New Roman"/>
        </w:rPr>
        <w:t>万美元）大大超过了</w:t>
      </w:r>
      <w:r w:rsidRPr="00E05024">
        <w:rPr>
          <w:rFonts w:ascii="Times New Roman" w:hAnsi="Times New Roman" w:cs="Times New Roman"/>
        </w:rPr>
        <w:t>2022-2023</w:t>
      </w:r>
      <w:r w:rsidRPr="00E05024">
        <w:rPr>
          <w:rFonts w:ascii="Times New Roman" w:hAnsi="Times New Roman" w:cs="Times New Roman"/>
        </w:rPr>
        <w:t>年期间的义务纳款（</w:t>
      </w:r>
      <w:r w:rsidRPr="00E05024">
        <w:rPr>
          <w:rFonts w:ascii="Times New Roman" w:hAnsi="Times New Roman" w:cs="Times New Roman"/>
        </w:rPr>
        <w:t>396</w:t>
      </w:r>
      <w:r w:rsidRPr="00E05024">
        <w:rPr>
          <w:rFonts w:ascii="Times New Roman" w:hAnsi="Times New Roman" w:cs="Times New Roman"/>
        </w:rPr>
        <w:t>万美元），这是该基金最大的收入来源</w:t>
      </w:r>
      <w:r w:rsidR="00DC47E6">
        <w:rPr>
          <w:rStyle w:val="Appelnotedebasdep"/>
          <w:rFonts w:ascii="Times New Roman" w:hAnsi="Times New Roman" w:cs="Times New Roman"/>
        </w:rPr>
        <w:footnoteReference w:id="1"/>
      </w:r>
      <w:r w:rsidRPr="00E05024">
        <w:rPr>
          <w:rFonts w:ascii="Times New Roman" w:hAnsi="Times New Roman" w:cs="Times New Roman"/>
        </w:rPr>
        <w:t>。支出大幅增加的主要原因是一些积极的</w:t>
      </w:r>
      <w:r w:rsidR="00D94BF0">
        <w:rPr>
          <w:rFonts w:ascii="Times New Roman" w:hAnsi="Times New Roman" w:cs="Times New Roman" w:hint="eastAsia"/>
        </w:rPr>
        <w:t>进展</w:t>
      </w:r>
      <w:r w:rsidRPr="00E05024">
        <w:rPr>
          <w:rFonts w:ascii="Times New Roman" w:hAnsi="Times New Roman" w:cs="Times New Roman"/>
        </w:rPr>
        <w:t>，例如：</w:t>
      </w:r>
      <w:r w:rsidRPr="00E05024">
        <w:rPr>
          <w:rFonts w:ascii="Times New Roman" w:hAnsi="Times New Roman" w:cs="Times New Roman"/>
        </w:rPr>
        <w:t>a</w:t>
      </w:r>
      <w:r w:rsidRPr="00E05024">
        <w:rPr>
          <w:rFonts w:ascii="Times New Roman" w:hAnsi="Times New Roman" w:cs="Times New Roman"/>
        </w:rPr>
        <w:t>）缔约国申请国际援助的能力得到提高，加上秘书处应对缔约国需求的能力增强；</w:t>
      </w:r>
      <w:r w:rsidRPr="00E05024">
        <w:rPr>
          <w:rFonts w:ascii="Times New Roman" w:hAnsi="Times New Roman" w:cs="Times New Roman"/>
        </w:rPr>
        <w:t>b</w:t>
      </w:r>
      <w:r w:rsidRPr="00E05024">
        <w:rPr>
          <w:rFonts w:ascii="Times New Roman" w:hAnsi="Times New Roman" w:cs="Times New Roman"/>
        </w:rPr>
        <w:t>）在以</w:t>
      </w:r>
      <w:r w:rsidRPr="00E05024">
        <w:rPr>
          <w:rFonts w:ascii="Times New Roman" w:hAnsi="Times New Roman" w:cs="Times New Roman"/>
        </w:rPr>
        <w:t>COVID-19</w:t>
      </w:r>
      <w:r w:rsidRPr="00E05024">
        <w:rPr>
          <w:rFonts w:ascii="Times New Roman" w:hAnsi="Times New Roman" w:cs="Times New Roman"/>
        </w:rPr>
        <w:t>疫情为标志的</w:t>
      </w:r>
      <w:r w:rsidRPr="00E05024">
        <w:rPr>
          <w:rFonts w:ascii="Times New Roman" w:hAnsi="Times New Roman" w:cs="Times New Roman"/>
        </w:rPr>
        <w:t>2020-2021</w:t>
      </w:r>
      <w:r w:rsidRPr="00E05024">
        <w:rPr>
          <w:rFonts w:ascii="Times New Roman" w:hAnsi="Times New Roman" w:cs="Times New Roman"/>
        </w:rPr>
        <w:t>两年期之后活动的全面恢复，包括组织面对面的法定会议，这导致与向发展中国家参</w:t>
      </w:r>
      <w:r w:rsidR="00D94BF0">
        <w:rPr>
          <w:rFonts w:ascii="Times New Roman" w:hAnsi="Times New Roman" w:cs="Times New Roman" w:hint="eastAsia"/>
        </w:rPr>
        <w:t>会</w:t>
      </w:r>
      <w:r w:rsidRPr="00E05024">
        <w:rPr>
          <w:rFonts w:ascii="Times New Roman" w:hAnsi="Times New Roman" w:cs="Times New Roman"/>
        </w:rPr>
        <w:t>者提供财政援助相关的支出增加（</w:t>
      </w:r>
      <w:bookmarkStart w:id="2" w:name="_Hlk162009935"/>
      <w:r w:rsidRPr="00E05024">
        <w:rPr>
          <w:rFonts w:ascii="Times New Roman" w:hAnsi="Times New Roman" w:cs="Times New Roman"/>
        </w:rPr>
        <w:t>参见</w:t>
      </w:r>
      <w:r w:rsidRPr="00E05024">
        <w:rPr>
          <w:rFonts w:ascii="Times New Roman" w:hAnsi="Times New Roman" w:cs="Times New Roman"/>
        </w:rPr>
        <w:t xml:space="preserve"> </w:t>
      </w:r>
      <w:hyperlink r:id="rId9" w:history="1">
        <w:r w:rsidRPr="00652AAB">
          <w:rPr>
            <w:rStyle w:val="Lienhypertexte"/>
            <w:rFonts w:ascii="Times New Roman" w:hAnsi="Times New Roman" w:cs="Times New Roman"/>
          </w:rPr>
          <w:t>LHE/24/10.GA/INF.8</w:t>
        </w:r>
      </w:hyperlink>
      <w:r w:rsidRPr="00652AAB">
        <w:rPr>
          <w:rFonts w:ascii="Times New Roman" w:hAnsi="Times New Roman" w:cs="Times New Roman"/>
        </w:rPr>
        <w:t>和</w:t>
      </w:r>
      <w:bookmarkEnd w:id="2"/>
      <w:r w:rsidR="00ED53AC" w:rsidRPr="00652AAB">
        <w:rPr>
          <w:rFonts w:ascii="Times New Roman" w:hAnsi="Times New Roman" w:cs="Times New Roman"/>
        </w:rPr>
        <w:fldChar w:fldCharType="begin"/>
      </w:r>
      <w:r w:rsidR="00ED53AC" w:rsidRPr="00652AAB">
        <w:rPr>
          <w:rFonts w:ascii="Times New Roman" w:hAnsi="Times New Roman" w:cs="Times New Roman"/>
        </w:rPr>
        <w:instrText>HYPERLINK "https://ich.unesco.org/doc/src/LHE-24-10.GA-6_ZH.docx"</w:instrText>
      </w:r>
      <w:r w:rsidR="00ED53AC" w:rsidRPr="00652AAB">
        <w:rPr>
          <w:rFonts w:ascii="Times New Roman" w:hAnsi="Times New Roman" w:cs="Times New Roman"/>
        </w:rPr>
      </w:r>
      <w:r w:rsidR="00ED53AC" w:rsidRPr="00652AAB">
        <w:rPr>
          <w:rFonts w:ascii="Times New Roman" w:hAnsi="Times New Roman" w:cs="Times New Roman"/>
        </w:rPr>
        <w:fldChar w:fldCharType="separate"/>
      </w:r>
      <w:r w:rsidRPr="00652AAB">
        <w:rPr>
          <w:rStyle w:val="Lienhypertexte"/>
          <w:rFonts w:ascii="Times New Roman" w:hAnsi="Times New Roman" w:cs="Times New Roman"/>
        </w:rPr>
        <w:t>LHE/24/10.GA/6</w:t>
      </w:r>
      <w:r w:rsidR="00ED53AC" w:rsidRPr="00652AAB">
        <w:rPr>
          <w:rFonts w:ascii="Times New Roman" w:hAnsi="Times New Roman" w:cs="Times New Roman"/>
        </w:rPr>
        <w:fldChar w:fldCharType="end"/>
      </w:r>
      <w:r w:rsidRPr="00652AAB">
        <w:rPr>
          <w:rFonts w:ascii="Times New Roman" w:hAnsi="Times New Roman" w:cs="Times New Roman"/>
        </w:rPr>
        <w:t>)</w:t>
      </w:r>
      <w:r w:rsidRPr="00652AAB">
        <w:rPr>
          <w:rFonts w:ascii="Times New Roman" w:hAnsi="Times New Roman" w:cs="Times New Roman"/>
        </w:rPr>
        <w:t>号</w:t>
      </w:r>
      <w:r w:rsidRPr="00E05024">
        <w:rPr>
          <w:rFonts w:ascii="Times New Roman" w:hAnsi="Times New Roman" w:cs="Times New Roman"/>
        </w:rPr>
        <w:t>文件。</w:t>
      </w:r>
      <w:r w:rsidRPr="00E05024">
        <w:rPr>
          <w:rFonts w:ascii="Times New Roman" w:hAnsi="Times New Roman" w:cs="Times New Roman"/>
        </w:rPr>
        <w:t xml:space="preserve"> </w:t>
      </w:r>
    </w:p>
    <w:p w14:paraId="11FF404C" w14:textId="470CC656" w:rsidR="00F560D9" w:rsidRPr="00E05024" w:rsidRDefault="004F01A2" w:rsidP="00F560D9">
      <w:pPr>
        <w:pStyle w:val="COMPara"/>
        <w:numPr>
          <w:ilvl w:val="0"/>
          <w:numId w:val="0"/>
        </w:numPr>
        <w:tabs>
          <w:tab w:val="left" w:pos="567"/>
        </w:tabs>
        <w:ind w:left="567"/>
        <w:jc w:val="both"/>
        <w:rPr>
          <w:rFonts w:ascii="Times New Roman" w:hAnsi="Times New Roman" w:cs="Times New Roman"/>
        </w:rPr>
      </w:pPr>
      <w:r>
        <w:rPr>
          <w:noProof/>
        </w:rPr>
        <w:lastRenderedPageBreak/>
        <w:drawing>
          <wp:inline distT="0" distB="0" distL="0" distR="0" wp14:anchorId="391FC20D" wp14:editId="057AE02C">
            <wp:extent cx="5629275" cy="4219575"/>
            <wp:effectExtent l="0" t="0" r="9525" b="9525"/>
            <wp:docPr id="1155098721" name="Chart 1">
              <a:extLst xmlns:a="http://schemas.openxmlformats.org/drawingml/2006/main">
                <a:ext uri="{FF2B5EF4-FFF2-40B4-BE49-F238E27FC236}">
                  <a16:creationId xmlns:a16="http://schemas.microsoft.com/office/drawing/2014/main" id="{44E620BB-8E7B-4F47-A6FB-46866876B3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7AC01B" w14:textId="3AB44031" w:rsidR="00994671" w:rsidRPr="00E05024" w:rsidRDefault="00B713BE" w:rsidP="00B713BE">
      <w:pPr>
        <w:pStyle w:val="GAPara"/>
        <w:jc w:val="both"/>
        <w:rPr>
          <w:rFonts w:ascii="Times New Roman" w:hAnsi="Times New Roman" w:cs="Times New Roman"/>
        </w:rPr>
      </w:pPr>
      <w:r w:rsidRPr="00E05024">
        <w:rPr>
          <w:rFonts w:ascii="Times New Roman" w:hAnsi="Times New Roman" w:cs="Times New Roman"/>
          <w:noProof/>
          <w:sz w:val="24"/>
          <w:lang w:val="en-US"/>
        </w:rPr>
        <mc:AlternateContent>
          <mc:Choice Requires="wps">
            <w:drawing>
              <wp:inline distT="0" distB="0" distL="0" distR="0" wp14:anchorId="300F6235" wp14:editId="59374CE4">
                <wp:extent cx="5756275" cy="241300"/>
                <wp:effectExtent l="0" t="0" r="0" b="0"/>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1C055" w14:textId="77777777" w:rsidR="00B713BE" w:rsidRPr="00557EBD" w:rsidRDefault="00B713BE" w:rsidP="00B713BE">
                            <w:pPr>
                              <w:spacing w:after="120"/>
                              <w:ind w:right="201"/>
                              <w:rPr>
                                <w:rFonts w:ascii="Arial" w:hAnsi="Arial" w:cs="Arial"/>
                                <w:sz w:val="16"/>
                                <w:szCs w:val="16"/>
                              </w:rPr>
                            </w:pPr>
                            <w:r>
                              <w:rPr>
                                <w:rFonts w:ascii="Arial" w:hAnsi="Arial" w:hint="eastAsia"/>
                                <w:b/>
                                <w:sz w:val="16"/>
                              </w:rPr>
                              <w:t>图</w:t>
                            </w:r>
                            <w:r>
                              <w:rPr>
                                <w:rFonts w:ascii="Arial" w:hAnsi="Arial" w:hint="eastAsia"/>
                                <w:b/>
                                <w:sz w:val="16"/>
                              </w:rPr>
                              <w:t>1</w:t>
                            </w:r>
                            <w:r>
                              <w:rPr>
                                <w:rFonts w:ascii="Arial" w:hAnsi="Arial" w:hint="eastAsia"/>
                                <w:b/>
                                <w:sz w:val="16"/>
                              </w:rPr>
                              <w:t>：</w:t>
                            </w:r>
                            <w:r>
                              <w:rPr>
                                <w:rFonts w:ascii="Arial" w:hAnsi="Arial" w:hint="eastAsia"/>
                                <w:sz w:val="16"/>
                              </w:rPr>
                              <w:t>基金支出的演变情况</w:t>
                            </w:r>
                          </w:p>
                        </w:txbxContent>
                      </wps:txbx>
                      <wps:bodyPr rot="0" vert="horz" wrap="square" lIns="91440" tIns="45720" rIns="91440" bIns="45720" anchor="t" anchorCtr="0" upright="1">
                        <a:noAutofit/>
                      </wps:bodyPr>
                    </wps:wsp>
                  </a:graphicData>
                </a:graphic>
              </wp:inline>
            </w:drawing>
          </mc:Choice>
          <mc:Fallback>
            <w:pict>
              <v:shapetype w14:anchorId="300F6235" id="_x0000_t202" coordsize="21600,21600" o:spt="202" path="m,l,21600r21600,l21600,xe">
                <v:stroke joinstyle="miter"/>
                <v:path gradientshapeok="t" o:connecttype="rect"/>
              </v:shapetype>
              <v:shape id="Zone de texte 10" o:spid="_x0000_s1026" type="#_x0000_t202" style="width:453.2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oH9AEAAMoDAAAOAAAAZHJzL2Uyb0RvYy54bWysU9uO0zAQfUfiHyy/06Sl3ULUdLV0VYS0&#10;XKSFD3AcJ7FwPGbsNilfz9jpdqvlDZEHy+Oxz8w5c7K5HXvDjgq9Blvy+SznTFkJtbZtyX983795&#10;x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" stroked="f">
                <v:textbox>
                  <w:txbxContent>
                    <w:p w14:paraId="7CE1C055" w14:textId="77777777" w:rsidR="00B713BE" w:rsidRPr="00557EBD" w:rsidRDefault="00B713BE" w:rsidP="00B713BE">
                      <w:pPr>
                        <w:spacing w:after="120"/>
                        <w:ind w:right="201"/>
                        <w:rPr>
                          <w:rFonts w:ascii="Arial" w:hAnsi="Arial" w:cs="Arial"/>
                          <w:sz w:val="16"/>
                          <w:szCs w:val="16"/>
                        </w:rPr>
                      </w:pPr>
                      <w:r>
                        <w:rPr>
                          <w:rFonts w:ascii="Arial" w:hAnsi="Arial" w:hint="eastAsia"/>
                          <w:b/>
                          <w:sz w:val="16"/>
                        </w:rPr>
                        <w:t>图</w:t>
                      </w:r>
                      <w:r>
                        <w:rPr>
                          <w:rFonts w:ascii="Arial" w:hAnsi="Arial" w:hint="eastAsia"/>
                          <w:b/>
                          <w:sz w:val="16"/>
                        </w:rPr>
                        <w:t>1</w:t>
                      </w:r>
                      <w:r>
                        <w:rPr>
                          <w:rFonts w:ascii="Arial" w:hAnsi="Arial" w:hint="eastAsia"/>
                          <w:b/>
                          <w:sz w:val="16"/>
                        </w:rPr>
                        <w:t>：</w:t>
                      </w:r>
                      <w:r>
                        <w:rPr>
                          <w:rFonts w:ascii="Arial" w:hAnsi="Arial" w:hint="eastAsia"/>
                          <w:sz w:val="16"/>
                        </w:rPr>
                        <w:t>基金支出的演变情况</w:t>
                      </w:r>
                    </w:p>
                  </w:txbxContent>
                </v:textbox>
                <w10:anchorlock/>
              </v:shape>
            </w:pict>
          </mc:Fallback>
        </mc:AlternateContent>
      </w:r>
    </w:p>
    <w:p w14:paraId="64671CC8" w14:textId="5857BB91" w:rsidR="00994671" w:rsidRPr="00E05024" w:rsidRDefault="00994671" w:rsidP="00CA352E">
      <w:pPr>
        <w:pStyle w:val="GAPara"/>
        <w:ind w:left="0" w:firstLine="567"/>
        <w:jc w:val="both"/>
        <w:rPr>
          <w:rFonts w:ascii="Times New Roman" w:hAnsi="Times New Roman" w:cs="Times New Roman"/>
          <w:b/>
          <w:bCs/>
        </w:rPr>
      </w:pPr>
      <w:r w:rsidRPr="00E05024">
        <w:rPr>
          <w:rFonts w:ascii="Times New Roman" w:hAnsi="Times New Roman" w:cs="Times New Roman"/>
          <w:b/>
        </w:rPr>
        <w:t>国际援助</w:t>
      </w:r>
      <w:r w:rsidRPr="00E05024">
        <w:rPr>
          <w:rFonts w:ascii="Times New Roman" w:hAnsi="Times New Roman" w:cs="Times New Roman"/>
          <w:b/>
        </w:rPr>
        <w:t xml:space="preserve"> </w:t>
      </w:r>
    </w:p>
    <w:p w14:paraId="5FB9724C" w14:textId="41E8206F" w:rsidR="00912587" w:rsidRPr="00E05024" w:rsidRDefault="00AB257B" w:rsidP="00FC0B75">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在上一个</w:t>
      </w:r>
      <w:r w:rsidRPr="00E05024">
        <w:rPr>
          <w:rFonts w:ascii="Times New Roman" w:hAnsi="Times New Roman" w:cs="Times New Roman"/>
        </w:rPr>
        <w:t>2022-2023</w:t>
      </w:r>
      <w:r w:rsidRPr="00E05024">
        <w:rPr>
          <w:rFonts w:ascii="Times New Roman" w:hAnsi="Times New Roman" w:cs="Times New Roman"/>
        </w:rPr>
        <w:t>两年期，各缔约国对</w:t>
      </w:r>
      <w:r w:rsidRPr="00E05024">
        <w:rPr>
          <w:rFonts w:ascii="Times New Roman" w:hAnsi="Times New Roman" w:cs="Times New Roman"/>
          <w:b/>
        </w:rPr>
        <w:t>国际</w:t>
      </w:r>
      <w:r w:rsidRPr="00E05024">
        <w:rPr>
          <w:rFonts w:ascii="Times New Roman" w:hAnsi="Times New Roman" w:cs="Times New Roman"/>
          <w:b/>
          <w:bCs/>
        </w:rPr>
        <w:t>援助机制</w:t>
      </w:r>
      <w:r w:rsidRPr="00E05024">
        <w:rPr>
          <w:rFonts w:ascii="Times New Roman" w:hAnsi="Times New Roman" w:cs="Times New Roman"/>
        </w:rPr>
        <w:t>的使用大大增加。图</w:t>
      </w:r>
      <w:r w:rsidRPr="00E05024">
        <w:rPr>
          <w:rFonts w:ascii="Times New Roman" w:hAnsi="Times New Roman" w:cs="Times New Roman"/>
        </w:rPr>
        <w:t>2</w:t>
      </w:r>
      <w:r w:rsidRPr="00E05024">
        <w:rPr>
          <w:rFonts w:ascii="Times New Roman" w:hAnsi="Times New Roman" w:cs="Times New Roman"/>
        </w:rPr>
        <w:t>（下图）显示，与预算项目</w:t>
      </w:r>
      <w:r w:rsidRPr="00E05024">
        <w:rPr>
          <w:rFonts w:ascii="Times New Roman" w:hAnsi="Times New Roman" w:cs="Times New Roman"/>
        </w:rPr>
        <w:t>1</w:t>
      </w:r>
      <w:r w:rsidRPr="00E05024">
        <w:rPr>
          <w:rFonts w:ascii="Times New Roman" w:hAnsi="Times New Roman" w:cs="Times New Roman"/>
        </w:rPr>
        <w:t>、</w:t>
      </w:r>
      <w:r w:rsidRPr="00E05024">
        <w:rPr>
          <w:rFonts w:ascii="Times New Roman" w:hAnsi="Times New Roman" w:cs="Times New Roman"/>
        </w:rPr>
        <w:t>1.1</w:t>
      </w:r>
      <w:r w:rsidRPr="00E05024">
        <w:rPr>
          <w:rFonts w:ascii="Times New Roman" w:hAnsi="Times New Roman" w:cs="Times New Roman"/>
        </w:rPr>
        <w:t>和</w:t>
      </w:r>
      <w:r w:rsidRPr="00E05024">
        <w:rPr>
          <w:rFonts w:ascii="Times New Roman" w:hAnsi="Times New Roman" w:cs="Times New Roman"/>
        </w:rPr>
        <w:t>2</w:t>
      </w:r>
      <w:r w:rsidRPr="00E05024">
        <w:rPr>
          <w:rFonts w:ascii="Times New Roman" w:hAnsi="Times New Roman" w:cs="Times New Roman"/>
        </w:rPr>
        <w:t>相对应，专用于国际援助机制的资金使用有所增加。这三个</w:t>
      </w:r>
      <w:r w:rsidR="00DC47E6" w:rsidRPr="00DC47E6">
        <w:rPr>
          <w:rFonts w:ascii="Times New Roman" w:hAnsi="Times New Roman" w:cs="Times New Roman" w:hint="eastAsia"/>
        </w:rPr>
        <w:t>合并</w:t>
      </w:r>
      <w:r w:rsidRPr="00E05024">
        <w:rPr>
          <w:rFonts w:ascii="Times New Roman" w:hAnsi="Times New Roman" w:cs="Times New Roman"/>
        </w:rPr>
        <w:t>预算项目下的支出率达到</w:t>
      </w:r>
      <w:r w:rsidRPr="00E05024">
        <w:rPr>
          <w:rFonts w:ascii="Times New Roman" w:hAnsi="Times New Roman" w:cs="Times New Roman"/>
        </w:rPr>
        <w:t>71%</w:t>
      </w:r>
      <w:r w:rsidRPr="00E05024">
        <w:rPr>
          <w:rFonts w:ascii="Times New Roman" w:hAnsi="Times New Roman" w:cs="Times New Roman"/>
        </w:rPr>
        <w:t>，而</w:t>
      </w:r>
      <w:r w:rsidRPr="00E05024">
        <w:rPr>
          <w:rFonts w:ascii="Times New Roman" w:hAnsi="Times New Roman" w:cs="Times New Roman"/>
        </w:rPr>
        <w:t>2020-2021</w:t>
      </w:r>
      <w:r w:rsidRPr="00E05024">
        <w:rPr>
          <w:rFonts w:ascii="Times New Roman" w:hAnsi="Times New Roman" w:cs="Times New Roman"/>
        </w:rPr>
        <w:t>两年期的支出率为</w:t>
      </w:r>
      <w:r w:rsidRPr="00E05024">
        <w:rPr>
          <w:rFonts w:ascii="Times New Roman" w:hAnsi="Times New Roman" w:cs="Times New Roman"/>
        </w:rPr>
        <w:t>44%</w:t>
      </w:r>
      <w:r w:rsidRPr="00E05024">
        <w:rPr>
          <w:rFonts w:ascii="Times New Roman" w:hAnsi="Times New Roman" w:cs="Times New Roman"/>
        </w:rPr>
        <w:t>。</w:t>
      </w:r>
      <w:r w:rsidR="00D94BF0" w:rsidRPr="00E05024">
        <w:rPr>
          <w:rFonts w:ascii="Times New Roman" w:hAnsi="Times New Roman" w:cs="Times New Roman"/>
        </w:rPr>
        <w:t>主要</w:t>
      </w:r>
      <w:r w:rsidRPr="00E05024">
        <w:rPr>
          <w:rFonts w:ascii="Times New Roman" w:hAnsi="Times New Roman" w:cs="Times New Roman"/>
        </w:rPr>
        <w:t>原因是：</w:t>
      </w:r>
      <w:r w:rsidRPr="00E05024">
        <w:rPr>
          <w:rFonts w:ascii="Times New Roman" w:hAnsi="Times New Roman" w:cs="Times New Roman"/>
        </w:rPr>
        <w:t xml:space="preserve"> </w:t>
      </w:r>
    </w:p>
    <w:p w14:paraId="322AED2E" w14:textId="44A22E72" w:rsidR="00912587" w:rsidRPr="00E05024" w:rsidRDefault="00AB257B" w:rsidP="00AD336E">
      <w:pPr>
        <w:pStyle w:val="COMPara"/>
        <w:numPr>
          <w:ilvl w:val="2"/>
          <w:numId w:val="26"/>
        </w:numPr>
        <w:ind w:left="1134" w:hanging="283"/>
        <w:jc w:val="both"/>
        <w:rPr>
          <w:rFonts w:ascii="Times New Roman" w:hAnsi="Times New Roman" w:cs="Times New Roman"/>
          <w:bCs/>
        </w:rPr>
      </w:pPr>
      <w:r w:rsidRPr="00E05024">
        <w:rPr>
          <w:rFonts w:ascii="Times New Roman" w:hAnsi="Times New Roman" w:cs="Times New Roman"/>
        </w:rPr>
        <w:t>委员会及其主席团批准的国际援助申请数量增加：</w:t>
      </w:r>
      <w:r w:rsidRPr="00E05024">
        <w:rPr>
          <w:rFonts w:ascii="Times New Roman" w:hAnsi="Times New Roman" w:cs="Times New Roman"/>
        </w:rPr>
        <w:t>2022</w:t>
      </w:r>
      <w:r w:rsidRPr="00E05024">
        <w:rPr>
          <w:rFonts w:ascii="Times New Roman" w:hAnsi="Times New Roman" w:cs="Times New Roman"/>
        </w:rPr>
        <w:t>年</w:t>
      </w:r>
      <w:r w:rsidRPr="00E05024">
        <w:rPr>
          <w:rFonts w:ascii="Times New Roman" w:hAnsi="Times New Roman" w:cs="Times New Roman"/>
        </w:rPr>
        <w:t>1</w:t>
      </w:r>
      <w:r w:rsidRPr="00E05024">
        <w:rPr>
          <w:rFonts w:ascii="Times New Roman" w:hAnsi="Times New Roman" w:cs="Times New Roman"/>
        </w:rPr>
        <w:t>月</w:t>
      </w:r>
      <w:r w:rsidRPr="00E05024">
        <w:rPr>
          <w:rFonts w:ascii="Times New Roman" w:hAnsi="Times New Roman" w:cs="Times New Roman"/>
        </w:rPr>
        <w:t>1</w:t>
      </w:r>
      <w:r w:rsidRPr="00E05024">
        <w:rPr>
          <w:rFonts w:ascii="Times New Roman" w:hAnsi="Times New Roman" w:cs="Times New Roman"/>
        </w:rPr>
        <w:t>日至</w:t>
      </w:r>
      <w:r w:rsidRPr="00E05024">
        <w:rPr>
          <w:rFonts w:ascii="Times New Roman" w:hAnsi="Times New Roman" w:cs="Times New Roman"/>
        </w:rPr>
        <w:t>2023</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w:t>
      </w:r>
      <w:r w:rsidRPr="00E05024">
        <w:rPr>
          <w:rFonts w:ascii="Times New Roman" w:hAnsi="Times New Roman" w:cs="Times New Roman"/>
        </w:rPr>
        <w:t>31</w:t>
      </w:r>
      <w:r w:rsidRPr="00E05024">
        <w:rPr>
          <w:rFonts w:ascii="Times New Roman" w:hAnsi="Times New Roman" w:cs="Times New Roman"/>
        </w:rPr>
        <w:t>日期间批准了</w:t>
      </w:r>
      <w:r w:rsidRPr="00E05024">
        <w:rPr>
          <w:rFonts w:ascii="Times New Roman" w:hAnsi="Times New Roman" w:cs="Times New Roman"/>
        </w:rPr>
        <w:t>29</w:t>
      </w:r>
      <w:r w:rsidRPr="00E05024">
        <w:rPr>
          <w:rFonts w:ascii="Times New Roman" w:hAnsi="Times New Roman" w:cs="Times New Roman"/>
        </w:rPr>
        <w:t>项申请。这包括非洲地区的</w:t>
      </w:r>
      <w:r w:rsidRPr="00E05024">
        <w:rPr>
          <w:rFonts w:ascii="Times New Roman" w:hAnsi="Times New Roman" w:cs="Times New Roman"/>
        </w:rPr>
        <w:t>13</w:t>
      </w:r>
      <w:r w:rsidRPr="00E05024">
        <w:rPr>
          <w:rFonts w:ascii="Times New Roman" w:hAnsi="Times New Roman" w:cs="Times New Roman"/>
        </w:rPr>
        <w:t>个项目（占两年期内拨款总额的</w:t>
      </w:r>
      <w:r w:rsidRPr="00E05024">
        <w:rPr>
          <w:rFonts w:ascii="Times New Roman" w:hAnsi="Times New Roman" w:cs="Times New Roman"/>
        </w:rPr>
        <w:t>51%</w:t>
      </w:r>
      <w:r w:rsidRPr="00E05024">
        <w:rPr>
          <w:rFonts w:ascii="Times New Roman" w:hAnsi="Times New Roman" w:cs="Times New Roman"/>
        </w:rPr>
        <w:t>），以及涉及六个小岛屿发展中国家（</w:t>
      </w:r>
      <w:r w:rsidRPr="00E05024">
        <w:rPr>
          <w:rFonts w:ascii="Times New Roman" w:hAnsi="Times New Roman" w:cs="Times New Roman"/>
        </w:rPr>
        <w:t>SIDS</w:t>
      </w:r>
      <w:r w:rsidRPr="00E05024">
        <w:rPr>
          <w:rFonts w:ascii="Times New Roman" w:hAnsi="Times New Roman" w:cs="Times New Roman"/>
        </w:rPr>
        <w:t>）的</w:t>
      </w:r>
      <w:r w:rsidRPr="00E05024">
        <w:rPr>
          <w:rFonts w:ascii="Times New Roman" w:hAnsi="Times New Roman" w:cs="Times New Roman"/>
        </w:rPr>
        <w:t>5</w:t>
      </w:r>
      <w:r w:rsidRPr="00E05024">
        <w:rPr>
          <w:rFonts w:ascii="Times New Roman" w:hAnsi="Times New Roman" w:cs="Times New Roman"/>
        </w:rPr>
        <w:t>个项目（占拨款总额的</w:t>
      </w:r>
      <w:r w:rsidRPr="00E05024">
        <w:rPr>
          <w:rFonts w:ascii="Times New Roman" w:hAnsi="Times New Roman" w:cs="Times New Roman"/>
        </w:rPr>
        <w:t>21%</w:t>
      </w:r>
      <w:r w:rsidRPr="00E05024">
        <w:rPr>
          <w:rFonts w:ascii="Times New Roman" w:hAnsi="Times New Roman" w:cs="Times New Roman"/>
        </w:rPr>
        <w:t>）；</w:t>
      </w:r>
    </w:p>
    <w:p w14:paraId="0E4574FD" w14:textId="33ED065B" w:rsidR="00912587" w:rsidRPr="00E05024" w:rsidRDefault="00AB257B" w:rsidP="00AD336E">
      <w:pPr>
        <w:pStyle w:val="COMPara"/>
        <w:numPr>
          <w:ilvl w:val="2"/>
          <w:numId w:val="26"/>
        </w:numPr>
        <w:ind w:left="1134" w:hanging="283"/>
        <w:jc w:val="both"/>
        <w:rPr>
          <w:rFonts w:ascii="Times New Roman" w:hAnsi="Times New Roman" w:cs="Times New Roman"/>
          <w:bCs/>
        </w:rPr>
      </w:pPr>
      <w:r w:rsidRPr="00E05024">
        <w:rPr>
          <w:rFonts w:ascii="Times New Roman" w:hAnsi="Times New Roman" w:cs="Times New Roman"/>
        </w:rPr>
        <w:t>秘书处的上游工作</w:t>
      </w:r>
      <w:r w:rsidRPr="00E05024">
        <w:rPr>
          <w:rFonts w:ascii="Times New Roman" w:hAnsi="Times New Roman" w:cs="Times New Roman"/>
        </w:rPr>
        <w:t xml:space="preserve">, </w:t>
      </w:r>
      <w:r w:rsidRPr="00E05024">
        <w:rPr>
          <w:rFonts w:ascii="Times New Roman" w:hAnsi="Times New Roman" w:cs="Times New Roman"/>
        </w:rPr>
        <w:t>主要是在拟定</w:t>
      </w:r>
      <w:r w:rsidR="00D94BF0">
        <w:rPr>
          <w:rFonts w:ascii="Times New Roman" w:hAnsi="Times New Roman" w:cs="Times New Roman" w:hint="eastAsia"/>
        </w:rPr>
        <w:t>援助申请</w:t>
      </w:r>
      <w:r w:rsidRPr="00E05024">
        <w:rPr>
          <w:rFonts w:ascii="Times New Roman" w:hAnsi="Times New Roman" w:cs="Times New Roman"/>
        </w:rPr>
        <w:t>过程中向各缔约国提供技术支持</w:t>
      </w:r>
      <w:r w:rsidRPr="00E05024">
        <w:rPr>
          <w:rFonts w:ascii="Times New Roman" w:hAnsi="Times New Roman" w:cs="Times New Roman"/>
        </w:rPr>
        <w:t xml:space="preserve"> </w:t>
      </w:r>
      <w:r w:rsidRPr="00E05024">
        <w:rPr>
          <w:rFonts w:ascii="Times New Roman" w:hAnsi="Times New Roman" w:cs="Times New Roman"/>
        </w:rPr>
        <w:t>（委员会及其主席团审查的所有申请均已获得批准）；以及</w:t>
      </w:r>
      <w:r w:rsidRPr="00E05024">
        <w:rPr>
          <w:rFonts w:ascii="Times New Roman" w:hAnsi="Times New Roman" w:cs="Times New Roman"/>
        </w:rPr>
        <w:t xml:space="preserve"> </w:t>
      </w:r>
    </w:p>
    <w:p w14:paraId="2FC03D07" w14:textId="6F94CEE5" w:rsidR="00AD336E" w:rsidRPr="00E05024" w:rsidRDefault="00AB257B" w:rsidP="00AD336E">
      <w:pPr>
        <w:pStyle w:val="COMPara"/>
        <w:numPr>
          <w:ilvl w:val="2"/>
          <w:numId w:val="26"/>
        </w:numPr>
        <w:ind w:left="1134" w:hanging="283"/>
        <w:jc w:val="both"/>
        <w:rPr>
          <w:rFonts w:ascii="Times New Roman" w:hAnsi="Times New Roman" w:cs="Times New Roman"/>
          <w:bCs/>
        </w:rPr>
      </w:pPr>
      <w:r w:rsidRPr="00E05024">
        <w:rPr>
          <w:rFonts w:ascii="Times New Roman" w:hAnsi="Times New Roman" w:cs="Times New Roman"/>
        </w:rPr>
        <w:t>各缔约国越来越多地利用技术援助来制定和修订其申请（两年期内有九个缔约国获得了专家的支持）。</w:t>
      </w:r>
      <w:r w:rsidRPr="00E05024">
        <w:rPr>
          <w:rFonts w:ascii="Times New Roman" w:hAnsi="Times New Roman" w:cs="Times New Roman"/>
        </w:rPr>
        <w:t xml:space="preserve"> </w:t>
      </w:r>
    </w:p>
    <w:p w14:paraId="5D21A807" w14:textId="78C4CC88" w:rsidR="00AB257B" w:rsidRDefault="000210C0" w:rsidP="005F6407">
      <w:pPr>
        <w:pStyle w:val="COMPara"/>
        <w:numPr>
          <w:ilvl w:val="0"/>
          <w:numId w:val="0"/>
        </w:numPr>
        <w:ind w:left="567"/>
        <w:jc w:val="both"/>
        <w:rPr>
          <w:rFonts w:ascii="Times New Roman" w:hAnsi="Times New Roman" w:cs="Times New Roman"/>
        </w:rPr>
      </w:pPr>
      <w:r w:rsidRPr="00E05024">
        <w:rPr>
          <w:rFonts w:ascii="Times New Roman" w:hAnsi="Times New Roman" w:cs="Times New Roman"/>
        </w:rPr>
        <w:t>关于国际援助机制实施情况的详细报告可见</w:t>
      </w:r>
      <w:r w:rsidRPr="00E05024">
        <w:rPr>
          <w:rFonts w:ascii="Times New Roman" w:hAnsi="Times New Roman" w:cs="Times New Roman"/>
        </w:rPr>
        <w:t xml:space="preserve"> </w:t>
      </w:r>
      <w:hyperlink r:id="rId11" w:history="1">
        <w:r w:rsidRPr="00E05024">
          <w:rPr>
            <w:rStyle w:val="Lienhypertexte"/>
            <w:rFonts w:ascii="Times New Roman" w:hAnsi="Times New Roman" w:cs="Times New Roman"/>
          </w:rPr>
          <w:t>LHE/23/18.COM/10</w:t>
        </w:r>
      </w:hyperlink>
      <w:r w:rsidRPr="00E05024">
        <w:rPr>
          <w:rFonts w:ascii="Times New Roman" w:hAnsi="Times New Roman" w:cs="Times New Roman"/>
        </w:rPr>
        <w:t>号文件。</w:t>
      </w:r>
    </w:p>
    <w:p w14:paraId="74084D55" w14:textId="70162705" w:rsidR="004B3D04" w:rsidRPr="00E05024" w:rsidRDefault="00A454EB" w:rsidP="005F6407">
      <w:pPr>
        <w:pStyle w:val="COMPara"/>
        <w:numPr>
          <w:ilvl w:val="0"/>
          <w:numId w:val="0"/>
        </w:numPr>
        <w:ind w:left="567"/>
        <w:jc w:val="both"/>
        <w:rPr>
          <w:rFonts w:ascii="Times New Roman" w:hAnsi="Times New Roman" w:cs="Times New Roman"/>
        </w:rPr>
      </w:pPr>
      <w:r>
        <w:rPr>
          <w:rFonts w:ascii="Times New Roman" w:hAnsi="Times New Roman" w:cs="Times New Roman"/>
          <w:noProof/>
        </w:rPr>
        <w:lastRenderedPageBreak/>
        <w:drawing>
          <wp:inline distT="0" distB="0" distL="0" distR="0" wp14:anchorId="5DC0994F" wp14:editId="3A09950D">
            <wp:extent cx="5943600" cy="2647744"/>
            <wp:effectExtent l="0" t="0" r="0" b="635"/>
            <wp:docPr id="1595492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647744"/>
                    </a:xfrm>
                    <a:prstGeom prst="rect">
                      <a:avLst/>
                    </a:prstGeom>
                    <a:noFill/>
                  </pic:spPr>
                </pic:pic>
              </a:graphicData>
            </a:graphic>
          </wp:inline>
        </w:drawing>
      </w:r>
    </w:p>
    <w:p w14:paraId="03AC7CCA" w14:textId="380D44D3" w:rsidR="00994671" w:rsidRPr="008F6A8E" w:rsidRDefault="00994671" w:rsidP="008F6A8E">
      <w:pPr>
        <w:pStyle w:val="GAPara"/>
        <w:ind w:left="142" w:firstLine="0"/>
        <w:rPr>
          <w:rFonts w:ascii="Times New Roman" w:hAnsi="Times New Roman" w:cs="Times New Roman"/>
          <w:lang w:val="en-US"/>
        </w:rPr>
      </w:pPr>
    </w:p>
    <w:p w14:paraId="52D5B73B" w14:textId="68A886AA" w:rsidR="00AB257B" w:rsidRPr="00E05024" w:rsidRDefault="00AB257B" w:rsidP="00AB257B">
      <w:pPr>
        <w:pStyle w:val="GAPara"/>
        <w:jc w:val="both"/>
        <w:rPr>
          <w:rFonts w:ascii="Times New Roman" w:hAnsi="Times New Roman" w:cs="Times New Roman"/>
        </w:rPr>
      </w:pPr>
      <w:r w:rsidRPr="00E05024">
        <w:rPr>
          <w:rFonts w:ascii="Times New Roman" w:hAnsi="Times New Roman" w:cs="Times New Roman"/>
          <w:noProof/>
          <w:lang w:val="en-US"/>
        </w:rPr>
        <mc:AlternateContent>
          <mc:Choice Requires="wps">
            <w:drawing>
              <wp:inline distT="0" distB="0" distL="0" distR="0" wp14:anchorId="24432364" wp14:editId="3EB181EE">
                <wp:extent cx="5127432" cy="1404620"/>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7432" cy="1404620"/>
                        </a:xfrm>
                        <a:prstGeom prst="rect">
                          <a:avLst/>
                        </a:prstGeom>
                        <a:solidFill>
                          <a:srgbClr val="FFFFFF"/>
                        </a:solidFill>
                        <a:ln w="9525">
                          <a:noFill/>
                          <a:miter lim="800000"/>
                          <a:headEnd/>
                          <a:tailEnd/>
                        </a:ln>
                      </wps:spPr>
                      <wps:txbx>
                        <w:txbxContent>
                          <w:p w14:paraId="70A4265C" w14:textId="521E6389" w:rsidR="00AB257B" w:rsidRPr="000B21E2" w:rsidRDefault="00AB257B" w:rsidP="00AB257B">
                            <w:pPr>
                              <w:spacing w:after="120"/>
                              <w:ind w:right="198"/>
                              <w:rPr>
                                <w:rFonts w:ascii="Arial" w:hAnsi="Arial" w:cs="Arial"/>
                                <w:sz w:val="16"/>
                                <w:szCs w:val="16"/>
                              </w:rPr>
                            </w:pPr>
                            <w:r>
                              <w:rPr>
                                <w:rFonts w:ascii="Arial" w:hAnsi="Arial" w:hint="eastAsia"/>
                                <w:b/>
                                <w:sz w:val="16"/>
                              </w:rPr>
                              <w:t>图</w:t>
                            </w:r>
                            <w:r>
                              <w:rPr>
                                <w:rFonts w:ascii="Arial" w:hAnsi="Arial" w:hint="eastAsia"/>
                                <w:b/>
                                <w:sz w:val="16"/>
                              </w:rPr>
                              <w:t>2</w:t>
                            </w:r>
                            <w:r>
                              <w:rPr>
                                <w:rFonts w:ascii="Arial" w:hAnsi="Arial" w:hint="eastAsia"/>
                                <w:b/>
                                <w:sz w:val="16"/>
                              </w:rPr>
                              <w:t>：</w:t>
                            </w:r>
                            <w:r>
                              <w:rPr>
                                <w:rFonts w:ascii="Arial" w:hAnsi="Arial" w:hint="eastAsia"/>
                                <w:sz w:val="16"/>
                              </w:rPr>
                              <w:t>国际和筹备性援助的支出率</w:t>
                            </w:r>
                          </w:p>
                        </w:txbxContent>
                      </wps:txbx>
                      <wps:bodyPr rot="0" vert="horz" wrap="square" lIns="91440" tIns="45720" rIns="91440" bIns="45720" anchor="t" anchorCtr="0">
                        <a:spAutoFit/>
                      </wps:bodyPr>
                    </wps:wsp>
                  </a:graphicData>
                </a:graphic>
              </wp:inline>
            </w:drawing>
          </mc:Choice>
          <mc:Fallback>
            <w:pict>
              <v:shape w14:anchorId="24432364" id="Text Box 7" o:spid="_x0000_s1027" type="#_x0000_t202" style="width:403.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" stroked="f">
                <v:textbox style="mso-fit-shape-to-text:t">
                  <w:txbxContent>
                    <w:p w14:paraId="70A4265C" w14:textId="521E6389" w:rsidR="00AB257B" w:rsidRPr="000B21E2" w:rsidRDefault="00AB257B" w:rsidP="00AB257B">
                      <w:pPr>
                        <w:spacing w:after="120"/>
                        <w:ind w:right="198"/>
                        <w:rPr>
                          <w:rFonts w:ascii="Arial" w:hAnsi="Arial" w:cs="Arial"/>
                          <w:sz w:val="16"/>
                          <w:szCs w:val="16"/>
                        </w:rPr>
                      </w:pPr>
                      <w:r>
                        <w:rPr>
                          <w:rFonts w:ascii="Arial" w:hAnsi="Arial" w:hint="eastAsia"/>
                          <w:b/>
                          <w:sz w:val="16"/>
                        </w:rPr>
                        <w:t>图</w:t>
                      </w:r>
                      <w:r>
                        <w:rPr>
                          <w:rFonts w:ascii="Arial" w:hAnsi="Arial" w:hint="eastAsia"/>
                          <w:b/>
                          <w:sz w:val="16"/>
                        </w:rPr>
                        <w:t>2</w:t>
                      </w:r>
                      <w:r>
                        <w:rPr>
                          <w:rFonts w:ascii="Arial" w:hAnsi="Arial" w:hint="eastAsia"/>
                          <w:b/>
                          <w:sz w:val="16"/>
                        </w:rPr>
                        <w:t>：</w:t>
                      </w:r>
                      <w:r>
                        <w:rPr>
                          <w:rFonts w:ascii="Arial" w:hAnsi="Arial" w:hint="eastAsia"/>
                          <w:sz w:val="16"/>
                        </w:rPr>
                        <w:t>国际和筹备性援助的支出率</w:t>
                      </w:r>
                    </w:p>
                  </w:txbxContent>
                </v:textbox>
                <w10:anchorlock/>
              </v:shape>
            </w:pict>
          </mc:Fallback>
        </mc:AlternateContent>
      </w:r>
    </w:p>
    <w:p w14:paraId="45EDA775" w14:textId="3450D708" w:rsidR="00994671" w:rsidRPr="00E05024" w:rsidRDefault="00994671" w:rsidP="00AD336E">
      <w:pPr>
        <w:pStyle w:val="COMPara"/>
        <w:numPr>
          <w:ilvl w:val="0"/>
          <w:numId w:val="0"/>
        </w:numPr>
        <w:ind w:firstLine="567"/>
        <w:jc w:val="both"/>
        <w:rPr>
          <w:rFonts w:ascii="Times New Roman" w:hAnsi="Times New Roman" w:cs="Times New Roman"/>
          <w:b/>
          <w:bCs/>
        </w:rPr>
      </w:pPr>
      <w:r w:rsidRPr="00E05024">
        <w:rPr>
          <w:rFonts w:ascii="Times New Roman" w:hAnsi="Times New Roman" w:cs="Times New Roman"/>
          <w:b/>
        </w:rPr>
        <w:t>分摊纳款</w:t>
      </w:r>
    </w:p>
    <w:p w14:paraId="09E543A1" w14:textId="77777777" w:rsidR="006155B5" w:rsidRPr="00E05024" w:rsidRDefault="006155B5" w:rsidP="006155B5">
      <w:pPr>
        <w:pStyle w:val="COMPara"/>
        <w:numPr>
          <w:ilvl w:val="0"/>
          <w:numId w:val="23"/>
        </w:numPr>
        <w:tabs>
          <w:tab w:val="left" w:pos="567"/>
        </w:tabs>
        <w:spacing w:before="120"/>
        <w:ind w:left="567" w:hanging="567"/>
        <w:jc w:val="both"/>
        <w:rPr>
          <w:rFonts w:ascii="Times New Roman" w:hAnsi="Times New Roman" w:cs="Times New Roman"/>
        </w:rPr>
      </w:pPr>
      <w:r w:rsidRPr="00E05024">
        <w:rPr>
          <w:rFonts w:ascii="Times New Roman" w:hAnsi="Times New Roman" w:cs="Times New Roman"/>
        </w:rPr>
        <w:t>应当指出，按照《公约》第二十六条的规定，</w:t>
      </w:r>
      <w:r w:rsidRPr="00E05024">
        <w:rPr>
          <w:rFonts w:ascii="Times New Roman" w:hAnsi="Times New Roman" w:cs="Times New Roman"/>
          <w:b/>
        </w:rPr>
        <w:t>缴付纳款</w:t>
      </w:r>
      <w:r w:rsidRPr="00E05024">
        <w:rPr>
          <w:rFonts w:ascii="Times New Roman" w:hAnsi="Times New Roman" w:cs="Times New Roman"/>
        </w:rPr>
        <w:t>是已批准《公约》的所有缔约国的义务。在缔约国行使《公约》赋予的权利和享受其利益时，也希望各缔约国履行相应的承诺。延迟缴付分摊纳款造成现金短缺，这可能会延迟并进而危及预算中预见的活动的执行。</w:t>
      </w:r>
    </w:p>
    <w:p w14:paraId="70EC97AE" w14:textId="2615E690" w:rsidR="00475E86" w:rsidRPr="00E05024" w:rsidRDefault="006155B5" w:rsidP="00E05024">
      <w:pPr>
        <w:pStyle w:val="COMPara"/>
        <w:numPr>
          <w:ilvl w:val="0"/>
          <w:numId w:val="23"/>
        </w:numPr>
        <w:tabs>
          <w:tab w:val="left" w:pos="567"/>
        </w:tabs>
        <w:spacing w:before="120"/>
        <w:ind w:left="567" w:hanging="567"/>
        <w:rPr>
          <w:rFonts w:ascii="Times New Roman" w:hAnsi="Times New Roman" w:cs="Times New Roman"/>
        </w:rPr>
      </w:pPr>
      <w:r w:rsidRPr="00E05024">
        <w:rPr>
          <w:rFonts w:ascii="Times New Roman" w:hAnsi="Times New Roman" w:cs="Times New Roman"/>
        </w:rPr>
        <w:t>如</w:t>
      </w:r>
      <w:hyperlink r:id="rId13" w:history="1">
        <w:r w:rsidRPr="00E05024">
          <w:rPr>
            <w:rStyle w:val="Lienhypertexte"/>
            <w:rFonts w:ascii="Times New Roman" w:hAnsi="Times New Roman" w:cs="Times New Roman"/>
          </w:rPr>
          <w:t>2022</w:t>
        </w:r>
        <w:r w:rsidRPr="00E05024">
          <w:rPr>
            <w:rStyle w:val="Lienhypertexte"/>
            <w:rFonts w:ascii="Times New Roman" w:hAnsi="Times New Roman" w:cs="Times New Roman"/>
          </w:rPr>
          <w:t>年</w:t>
        </w:r>
        <w:r w:rsidRPr="00E05024">
          <w:rPr>
            <w:rStyle w:val="Lienhypertexte"/>
            <w:rFonts w:ascii="Times New Roman" w:hAnsi="Times New Roman" w:cs="Times New Roman"/>
          </w:rPr>
          <w:t>1</w:t>
        </w:r>
        <w:r w:rsidRPr="00E05024">
          <w:rPr>
            <w:rStyle w:val="Lienhypertexte"/>
            <w:rFonts w:ascii="Times New Roman" w:hAnsi="Times New Roman" w:cs="Times New Roman"/>
          </w:rPr>
          <w:t>月</w:t>
        </w:r>
        <w:r w:rsidRPr="00E05024">
          <w:rPr>
            <w:rStyle w:val="Lienhypertexte"/>
            <w:rFonts w:ascii="Times New Roman" w:hAnsi="Times New Roman" w:cs="Times New Roman"/>
          </w:rPr>
          <w:t>1</w:t>
        </w:r>
        <w:r w:rsidRPr="00E05024">
          <w:rPr>
            <w:rStyle w:val="Lienhypertexte"/>
            <w:rFonts w:ascii="Times New Roman" w:hAnsi="Times New Roman" w:cs="Times New Roman"/>
          </w:rPr>
          <w:t>日至</w:t>
        </w:r>
        <w:r w:rsidRPr="00E05024">
          <w:rPr>
            <w:rStyle w:val="Lienhypertexte"/>
            <w:rFonts w:ascii="Times New Roman" w:hAnsi="Times New Roman" w:cs="Times New Roman"/>
          </w:rPr>
          <w:t>2023</w:t>
        </w:r>
        <w:r w:rsidRPr="00E05024">
          <w:rPr>
            <w:rStyle w:val="Lienhypertexte"/>
            <w:rFonts w:ascii="Times New Roman" w:hAnsi="Times New Roman" w:cs="Times New Roman"/>
          </w:rPr>
          <w:t>年</w:t>
        </w:r>
        <w:r w:rsidRPr="00E05024">
          <w:rPr>
            <w:rStyle w:val="Lienhypertexte"/>
            <w:rFonts w:ascii="Times New Roman" w:hAnsi="Times New Roman" w:cs="Times New Roman"/>
          </w:rPr>
          <w:t>12</w:t>
        </w:r>
        <w:r w:rsidRPr="00E05024">
          <w:rPr>
            <w:rStyle w:val="Lienhypertexte"/>
            <w:rFonts w:ascii="Times New Roman" w:hAnsi="Times New Roman" w:cs="Times New Roman"/>
          </w:rPr>
          <w:t>月</w:t>
        </w:r>
        <w:r w:rsidRPr="00E05024">
          <w:rPr>
            <w:rStyle w:val="Lienhypertexte"/>
            <w:rFonts w:ascii="Times New Roman" w:hAnsi="Times New Roman" w:cs="Times New Roman"/>
          </w:rPr>
          <w:t>31</w:t>
        </w:r>
        <w:r w:rsidRPr="00E05024">
          <w:rPr>
            <w:rStyle w:val="Lienhypertexte"/>
            <w:rFonts w:ascii="Times New Roman" w:hAnsi="Times New Roman" w:cs="Times New Roman"/>
          </w:rPr>
          <w:t>日期间的分摊纳款表</w:t>
        </w:r>
      </w:hyperlink>
      <w:r w:rsidRPr="00E05024">
        <w:rPr>
          <w:rFonts w:ascii="Times New Roman" w:hAnsi="Times New Roman" w:cs="Times New Roman"/>
        </w:rPr>
        <w:t>所示，未缴的</w:t>
      </w:r>
      <w:r w:rsidRPr="00E05024">
        <w:rPr>
          <w:rFonts w:ascii="Times New Roman" w:hAnsi="Times New Roman" w:cs="Times New Roman"/>
          <w:b/>
        </w:rPr>
        <w:t>义务分摊纳款</w:t>
      </w:r>
      <w:r w:rsidRPr="00E05024">
        <w:rPr>
          <w:rFonts w:ascii="Times New Roman" w:hAnsi="Times New Roman" w:cs="Times New Roman"/>
        </w:rPr>
        <w:t>为</w:t>
      </w:r>
      <w:r w:rsidRPr="00E05024">
        <w:rPr>
          <w:rFonts w:ascii="Times New Roman" w:hAnsi="Times New Roman" w:cs="Times New Roman"/>
        </w:rPr>
        <w:t>410,153</w:t>
      </w:r>
      <w:r w:rsidRPr="00E05024">
        <w:rPr>
          <w:rFonts w:ascii="Times New Roman" w:hAnsi="Times New Roman" w:cs="Times New Roman"/>
        </w:rPr>
        <w:t>美元（而截至</w:t>
      </w:r>
      <w:r w:rsidRPr="00E05024">
        <w:rPr>
          <w:rFonts w:ascii="Times New Roman" w:hAnsi="Times New Roman" w:cs="Times New Roman"/>
        </w:rPr>
        <w:t>2021</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w:t>
      </w:r>
      <w:r w:rsidRPr="00E05024">
        <w:rPr>
          <w:rFonts w:ascii="Times New Roman" w:hAnsi="Times New Roman" w:cs="Times New Roman"/>
        </w:rPr>
        <w:t>31</w:t>
      </w:r>
      <w:r w:rsidRPr="00E05024">
        <w:rPr>
          <w:rFonts w:ascii="Times New Roman" w:hAnsi="Times New Roman" w:cs="Times New Roman"/>
        </w:rPr>
        <w:t>日为</w:t>
      </w:r>
      <w:r w:rsidRPr="00E05024">
        <w:rPr>
          <w:rFonts w:ascii="Times New Roman" w:hAnsi="Times New Roman" w:cs="Times New Roman"/>
        </w:rPr>
        <w:t>409,948</w:t>
      </w:r>
      <w:r w:rsidRPr="00E05024">
        <w:rPr>
          <w:rFonts w:ascii="Times New Roman" w:hAnsi="Times New Roman" w:cs="Times New Roman"/>
        </w:rPr>
        <w:t>美元），其中</w:t>
      </w:r>
      <w:r w:rsidRPr="00E05024">
        <w:rPr>
          <w:rFonts w:ascii="Times New Roman" w:hAnsi="Times New Roman" w:cs="Times New Roman"/>
        </w:rPr>
        <w:t>253,300</w:t>
      </w:r>
      <w:r w:rsidRPr="00E05024">
        <w:rPr>
          <w:rFonts w:ascii="Times New Roman" w:hAnsi="Times New Roman" w:cs="Times New Roman"/>
        </w:rPr>
        <w:t>美元对应于</w:t>
      </w:r>
      <w:r w:rsidRPr="00E05024">
        <w:rPr>
          <w:rFonts w:ascii="Times New Roman" w:hAnsi="Times New Roman" w:cs="Times New Roman"/>
        </w:rPr>
        <w:t>2021</w:t>
      </w:r>
      <w:r w:rsidRPr="00E05024">
        <w:rPr>
          <w:rFonts w:ascii="Times New Roman" w:hAnsi="Times New Roman" w:cs="Times New Roman"/>
        </w:rPr>
        <w:t>年及前几年的未缴纳款。截至</w:t>
      </w:r>
      <w:r w:rsidRPr="00E05024">
        <w:rPr>
          <w:rFonts w:ascii="Times New Roman" w:hAnsi="Times New Roman" w:cs="Times New Roman"/>
        </w:rPr>
        <w:t>2023</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w:t>
      </w:r>
      <w:r w:rsidRPr="00E05024">
        <w:rPr>
          <w:rFonts w:ascii="Times New Roman" w:hAnsi="Times New Roman" w:cs="Times New Roman"/>
        </w:rPr>
        <w:t>31</w:t>
      </w:r>
      <w:r w:rsidRPr="00E05024">
        <w:rPr>
          <w:rFonts w:ascii="Times New Roman" w:hAnsi="Times New Roman" w:cs="Times New Roman"/>
        </w:rPr>
        <w:t>日，</w:t>
      </w:r>
      <w:r w:rsidRPr="00E05024">
        <w:rPr>
          <w:rFonts w:ascii="Times New Roman" w:hAnsi="Times New Roman" w:cs="Times New Roman"/>
        </w:rPr>
        <w:t>73</w:t>
      </w:r>
      <w:r w:rsidRPr="00E05024">
        <w:rPr>
          <w:rFonts w:ascii="Times New Roman" w:hAnsi="Times New Roman" w:cs="Times New Roman"/>
        </w:rPr>
        <w:t>个缔约国</w:t>
      </w:r>
      <w:r w:rsidR="00987497">
        <w:rPr>
          <w:rStyle w:val="Appelnotedebasdep"/>
          <w:rFonts w:ascii="Times New Roman" w:hAnsi="Times New Roman" w:cs="Times New Roman"/>
        </w:rPr>
        <w:footnoteReference w:id="2"/>
      </w:r>
      <w:r w:rsidRPr="00E05024">
        <w:rPr>
          <w:rFonts w:ascii="Times New Roman" w:hAnsi="Times New Roman" w:cs="Times New Roman"/>
        </w:rPr>
        <w:t>（占受《公约》第二十六条第</w:t>
      </w:r>
      <w:r w:rsidRPr="00E05024">
        <w:rPr>
          <w:rFonts w:ascii="Times New Roman" w:hAnsi="Times New Roman" w:cs="Times New Roman"/>
        </w:rPr>
        <w:t>1</w:t>
      </w:r>
      <w:r w:rsidRPr="00E05024">
        <w:rPr>
          <w:rFonts w:ascii="Times New Roman" w:hAnsi="Times New Roman" w:cs="Times New Roman"/>
        </w:rPr>
        <w:t>款约束的缔约国的</w:t>
      </w:r>
      <w:r w:rsidRPr="00E05024">
        <w:rPr>
          <w:rFonts w:ascii="Times New Roman" w:hAnsi="Times New Roman" w:cs="Times New Roman"/>
        </w:rPr>
        <w:t>42%</w:t>
      </w:r>
      <w:r w:rsidRPr="00E05024">
        <w:rPr>
          <w:rFonts w:ascii="Times New Roman" w:hAnsi="Times New Roman" w:cs="Times New Roman"/>
        </w:rPr>
        <w:t>）尚未缴纳</w:t>
      </w:r>
      <w:r w:rsidRPr="00E05024">
        <w:rPr>
          <w:rFonts w:ascii="Times New Roman" w:hAnsi="Times New Roman" w:cs="Times New Roman"/>
        </w:rPr>
        <w:t>2022-2023</w:t>
      </w:r>
      <w:r w:rsidRPr="00E05024">
        <w:rPr>
          <w:rFonts w:ascii="Times New Roman" w:hAnsi="Times New Roman" w:cs="Times New Roman"/>
        </w:rPr>
        <w:t>年的缴款。其中，</w:t>
      </w:r>
      <w:r w:rsidRPr="00E05024">
        <w:rPr>
          <w:rFonts w:ascii="Times New Roman" w:hAnsi="Times New Roman" w:cs="Times New Roman"/>
        </w:rPr>
        <w:t>28</w:t>
      </w:r>
      <w:r w:rsidRPr="00E05024">
        <w:rPr>
          <w:rFonts w:ascii="Times New Roman" w:hAnsi="Times New Roman" w:cs="Times New Roman"/>
        </w:rPr>
        <w:t>个缔约国（</w:t>
      </w:r>
      <w:r w:rsidRPr="00E05024">
        <w:rPr>
          <w:rFonts w:ascii="Times New Roman" w:hAnsi="Times New Roman" w:cs="Times New Roman"/>
        </w:rPr>
        <w:t>16%</w:t>
      </w:r>
      <w:r w:rsidRPr="00E05024">
        <w:rPr>
          <w:rFonts w:ascii="Times New Roman" w:hAnsi="Times New Roman" w:cs="Times New Roman"/>
        </w:rPr>
        <w:t>）亦未缴纳</w:t>
      </w:r>
      <w:r w:rsidRPr="00E05024">
        <w:rPr>
          <w:rFonts w:ascii="Times New Roman" w:hAnsi="Times New Roman" w:cs="Times New Roman"/>
        </w:rPr>
        <w:t>2021</w:t>
      </w:r>
      <w:r w:rsidRPr="00E05024">
        <w:rPr>
          <w:rFonts w:ascii="Times New Roman" w:hAnsi="Times New Roman" w:cs="Times New Roman"/>
        </w:rPr>
        <w:t>年及前几年的缴款。缔约国根据《公约》第二十六条第</w:t>
      </w:r>
      <w:r w:rsidRPr="00E05024">
        <w:rPr>
          <w:rFonts w:ascii="Times New Roman" w:hAnsi="Times New Roman" w:cs="Times New Roman"/>
        </w:rPr>
        <w:t>2</w:t>
      </w:r>
      <w:r w:rsidRPr="00E05024">
        <w:rPr>
          <w:rFonts w:ascii="Times New Roman" w:hAnsi="Times New Roman" w:cs="Times New Roman"/>
        </w:rPr>
        <w:t>款支付的</w:t>
      </w:r>
      <w:r w:rsidR="00987497" w:rsidRPr="00E05024">
        <w:rPr>
          <w:rFonts w:ascii="Times New Roman" w:hAnsi="Times New Roman" w:cs="Times New Roman"/>
          <w:b/>
        </w:rPr>
        <w:t>义务分摊纳款</w:t>
      </w:r>
      <w:r w:rsidRPr="00E05024">
        <w:rPr>
          <w:rFonts w:ascii="Times New Roman" w:hAnsi="Times New Roman" w:cs="Times New Roman"/>
        </w:rPr>
        <w:t>占</w:t>
      </w:r>
      <w:r w:rsidRPr="00E05024">
        <w:rPr>
          <w:rFonts w:ascii="Times New Roman" w:hAnsi="Times New Roman" w:cs="Times New Roman"/>
        </w:rPr>
        <w:t>2022-2023</w:t>
      </w:r>
      <w:r w:rsidRPr="00E05024">
        <w:rPr>
          <w:rFonts w:ascii="Times New Roman" w:hAnsi="Times New Roman" w:cs="Times New Roman"/>
        </w:rPr>
        <w:t>两年期分摊额的</w:t>
      </w:r>
      <w:r w:rsidRPr="00E05024">
        <w:rPr>
          <w:rFonts w:ascii="Times New Roman" w:hAnsi="Times New Roman" w:cs="Times New Roman"/>
        </w:rPr>
        <w:t>92%</w:t>
      </w:r>
      <w:r w:rsidRPr="00E05024">
        <w:rPr>
          <w:rFonts w:ascii="Times New Roman" w:hAnsi="Times New Roman" w:cs="Times New Roman"/>
        </w:rPr>
        <w:t>，</w:t>
      </w:r>
      <w:r w:rsidR="00DC47E6">
        <w:rPr>
          <w:rFonts w:ascii="Times New Roman" w:hAnsi="Times New Roman" w:cs="Times New Roman" w:hint="eastAsia"/>
        </w:rPr>
        <w:t>高于</w:t>
      </w:r>
      <w:r w:rsidRPr="00E05024">
        <w:rPr>
          <w:rFonts w:ascii="Times New Roman" w:hAnsi="Times New Roman" w:cs="Times New Roman"/>
        </w:rPr>
        <w:t>上一个</w:t>
      </w:r>
      <w:r w:rsidRPr="00E05024">
        <w:rPr>
          <w:rFonts w:ascii="Times New Roman" w:hAnsi="Times New Roman" w:cs="Times New Roman"/>
        </w:rPr>
        <w:t>2020-2021</w:t>
      </w:r>
      <w:r w:rsidRPr="00E05024">
        <w:rPr>
          <w:rFonts w:ascii="Times New Roman" w:hAnsi="Times New Roman" w:cs="Times New Roman"/>
        </w:rPr>
        <w:t>两年期（</w:t>
      </w:r>
      <w:r w:rsidR="00DC47E6">
        <w:rPr>
          <w:rFonts w:ascii="Times New Roman" w:hAnsi="Times New Roman" w:cs="Times New Roman" w:hint="eastAsia"/>
        </w:rPr>
        <w:t>76</w:t>
      </w:r>
      <w:r w:rsidRPr="00E05024">
        <w:rPr>
          <w:rFonts w:ascii="Times New Roman" w:hAnsi="Times New Roman" w:cs="Times New Roman"/>
        </w:rPr>
        <w:t>%</w:t>
      </w:r>
      <w:r w:rsidRPr="00E05024">
        <w:rPr>
          <w:rFonts w:ascii="Times New Roman" w:hAnsi="Times New Roman" w:cs="Times New Roman"/>
        </w:rPr>
        <w:t>）。</w:t>
      </w:r>
    </w:p>
    <w:p w14:paraId="0C1C611D" w14:textId="313AF615" w:rsidR="008723C7" w:rsidRPr="008F6A8E" w:rsidRDefault="005F6747" w:rsidP="008723C7">
      <w:pPr>
        <w:pStyle w:val="COMPara"/>
        <w:numPr>
          <w:ilvl w:val="0"/>
          <w:numId w:val="0"/>
        </w:numPr>
        <w:ind w:firstLine="567"/>
        <w:rPr>
          <w:rFonts w:ascii="Times New Roman" w:hAnsi="Times New Roman" w:cs="Times New Roman"/>
          <w:b/>
        </w:rPr>
      </w:pPr>
      <w:r w:rsidRPr="00E05024">
        <w:rPr>
          <w:rFonts w:ascii="Times New Roman" w:hAnsi="Times New Roman" w:cs="Times New Roman"/>
          <w:b/>
        </w:rPr>
        <w:t>未来预算周期的展望</w:t>
      </w:r>
    </w:p>
    <w:p w14:paraId="14073513" w14:textId="7E523FEF" w:rsidR="008723C7" w:rsidRPr="008723C7" w:rsidRDefault="008723C7" w:rsidP="008F6A8E">
      <w:pPr>
        <w:pStyle w:val="COMPara"/>
        <w:numPr>
          <w:ilvl w:val="0"/>
          <w:numId w:val="23"/>
        </w:numPr>
        <w:ind w:left="540" w:hanging="540"/>
        <w:jc w:val="both"/>
        <w:rPr>
          <w:rFonts w:ascii="Times New Roman" w:hAnsi="Times New Roman" w:cs="Times New Roman"/>
          <w:bCs/>
        </w:rPr>
      </w:pPr>
      <w:bookmarkStart w:id="3" w:name="_Hlk166492364"/>
      <w:r w:rsidRPr="008723C7">
        <w:rPr>
          <w:rFonts w:ascii="Times New Roman" w:hAnsi="Times New Roman" w:cs="Times New Roman"/>
        </w:rPr>
        <w:t>尽管</w:t>
      </w:r>
      <w:r w:rsidRPr="008723C7">
        <w:rPr>
          <w:rFonts w:ascii="Times New Roman" w:hAnsi="Times New Roman" w:cs="Times New Roman" w:hint="eastAsia"/>
        </w:rPr>
        <w:t>非物质文化遗产</w:t>
      </w:r>
      <w:r w:rsidRPr="008723C7">
        <w:rPr>
          <w:rFonts w:ascii="Times New Roman" w:hAnsi="Times New Roman" w:cs="Times New Roman"/>
        </w:rPr>
        <w:t>基金仍处于健康状态，但值得注意的是，如果支出保持在如此高的水平（即高于每个两年</w:t>
      </w:r>
      <w:proofErr w:type="gramStart"/>
      <w:r w:rsidRPr="008723C7">
        <w:rPr>
          <w:rFonts w:ascii="Times New Roman" w:hAnsi="Times New Roman" w:cs="Times New Roman"/>
        </w:rPr>
        <w:t>期收到</w:t>
      </w:r>
      <w:proofErr w:type="gramEnd"/>
      <w:r w:rsidRPr="008723C7">
        <w:rPr>
          <w:rFonts w:ascii="Times New Roman" w:hAnsi="Times New Roman" w:cs="Times New Roman"/>
        </w:rPr>
        <w:t>的义务分摊纳款的水平），未来两年期的核定预算预计将减少。</w:t>
      </w:r>
      <w:r w:rsidRPr="008723C7">
        <w:rPr>
          <w:rFonts w:ascii="Times New Roman" w:hAnsi="Times New Roman" w:cs="Times New Roman" w:hint="eastAsia"/>
        </w:rPr>
        <w:t>基金能够应对</w:t>
      </w:r>
      <w:proofErr w:type="gramStart"/>
      <w:r w:rsidRPr="008723C7">
        <w:rPr>
          <w:rFonts w:ascii="Times New Roman" w:hAnsi="Times New Roman" w:cs="Times New Roman" w:hint="eastAsia"/>
        </w:rPr>
        <w:t>下文第</w:t>
      </w:r>
      <w:proofErr w:type="gramEnd"/>
      <w:r w:rsidRPr="008723C7">
        <w:rPr>
          <w:rFonts w:ascii="Times New Roman" w:hAnsi="Times New Roman" w:cs="Times New Roman" w:hint="eastAsia"/>
        </w:rPr>
        <w:t xml:space="preserve"> II </w:t>
      </w:r>
      <w:r w:rsidRPr="008723C7">
        <w:rPr>
          <w:rFonts w:ascii="Times New Roman" w:hAnsi="Times New Roman" w:cs="Times New Roman" w:hint="eastAsia"/>
        </w:rPr>
        <w:t>部分所述的缔约国保护需求的情况不应被视为理所当然。为确保</w:t>
      </w:r>
      <w:r w:rsidRPr="008723C7">
        <w:rPr>
          <w:rFonts w:ascii="Times New Roman" w:hAnsi="Times New Roman" w:cs="Times New Roman" w:hint="eastAsia"/>
        </w:rPr>
        <w:t xml:space="preserve"> 2003 </w:t>
      </w:r>
      <w:r w:rsidRPr="008723C7">
        <w:rPr>
          <w:rFonts w:ascii="Times New Roman" w:hAnsi="Times New Roman" w:cs="Times New Roman" w:hint="eastAsia"/>
        </w:rPr>
        <w:t>年《公约》实施的可持续性，包括人力资源方面的需求，有必要进行短期以外的密切监测</w:t>
      </w:r>
    </w:p>
    <w:bookmarkEnd w:id="3"/>
    <w:p w14:paraId="2206950C" w14:textId="2E6D38A8" w:rsidR="00E61198" w:rsidRPr="00987497" w:rsidRDefault="00E61198" w:rsidP="008F6A8E">
      <w:pPr>
        <w:pStyle w:val="COMPara"/>
        <w:numPr>
          <w:ilvl w:val="0"/>
          <w:numId w:val="0"/>
        </w:numPr>
        <w:ind w:left="630"/>
        <w:rPr>
          <w:rFonts w:ascii="Times New Roman" w:hAnsi="Times New Roman" w:cs="Times New Roman"/>
          <w:b/>
          <w:bCs/>
        </w:rPr>
      </w:pPr>
      <w:r w:rsidRPr="00987497">
        <w:rPr>
          <w:rFonts w:ascii="Times New Roman" w:hAnsi="Times New Roman" w:cs="Times New Roman"/>
          <w:b/>
        </w:rPr>
        <w:t>关于加强秘书处人力资源的</w:t>
      </w:r>
      <w:proofErr w:type="gramStart"/>
      <w:r w:rsidRPr="00987497">
        <w:rPr>
          <w:rFonts w:ascii="Times New Roman" w:hAnsi="Times New Roman" w:cs="Times New Roman"/>
          <w:b/>
        </w:rPr>
        <w:t>子基金</w:t>
      </w:r>
      <w:proofErr w:type="gramEnd"/>
      <w:r w:rsidRPr="00987497">
        <w:rPr>
          <w:rFonts w:ascii="Times New Roman" w:hAnsi="Times New Roman" w:cs="Times New Roman"/>
          <w:b/>
        </w:rPr>
        <w:t>的最新情况</w:t>
      </w:r>
    </w:p>
    <w:p w14:paraId="7E93D587" w14:textId="431CF74D" w:rsidR="00125C5B" w:rsidRPr="00E05024" w:rsidRDefault="005912DF" w:rsidP="00125C5B">
      <w:pPr>
        <w:pStyle w:val="COMPara"/>
        <w:numPr>
          <w:ilvl w:val="0"/>
          <w:numId w:val="23"/>
        </w:numPr>
        <w:tabs>
          <w:tab w:val="left" w:pos="567"/>
        </w:tabs>
        <w:spacing w:before="120"/>
        <w:ind w:left="567" w:hanging="567"/>
        <w:jc w:val="both"/>
        <w:rPr>
          <w:rFonts w:ascii="Times New Roman" w:hAnsi="Times New Roman" w:cs="Times New Roman"/>
        </w:rPr>
      </w:pPr>
      <w:r w:rsidRPr="00E05024">
        <w:rPr>
          <w:rFonts w:ascii="Times New Roman" w:hAnsi="Times New Roman" w:cs="Times New Roman"/>
        </w:rPr>
        <w:t>大会于</w:t>
      </w:r>
      <w:r w:rsidRPr="00E05024">
        <w:rPr>
          <w:rFonts w:ascii="Times New Roman" w:hAnsi="Times New Roman" w:cs="Times New Roman"/>
        </w:rPr>
        <w:t>2010</w:t>
      </w:r>
      <w:r w:rsidRPr="00E05024">
        <w:rPr>
          <w:rFonts w:ascii="Times New Roman" w:hAnsi="Times New Roman" w:cs="Times New Roman"/>
        </w:rPr>
        <w:t>年</w:t>
      </w:r>
      <w:r w:rsidRPr="00E05024">
        <w:rPr>
          <w:rFonts w:ascii="Times New Roman" w:hAnsi="Times New Roman" w:cs="Times New Roman"/>
        </w:rPr>
        <w:t>6</w:t>
      </w:r>
      <w:r w:rsidRPr="00E05024">
        <w:rPr>
          <w:rFonts w:ascii="Times New Roman" w:hAnsi="Times New Roman" w:cs="Times New Roman"/>
        </w:rPr>
        <w:t>月设立了用于加强秘书处人力资源能力的</w:t>
      </w:r>
      <w:proofErr w:type="gramStart"/>
      <w:r w:rsidRPr="00E05024">
        <w:rPr>
          <w:rFonts w:ascii="Times New Roman" w:hAnsi="Times New Roman" w:cs="Times New Roman"/>
        </w:rPr>
        <w:t>子基金</w:t>
      </w:r>
      <w:proofErr w:type="gramEnd"/>
      <w:r w:rsidRPr="00E05024">
        <w:rPr>
          <w:rFonts w:ascii="Times New Roman" w:hAnsi="Times New Roman" w:cs="Times New Roman"/>
        </w:rPr>
        <w:t xml:space="preserve"> </w:t>
      </w:r>
      <w:r w:rsidRPr="00E05024">
        <w:rPr>
          <w:rFonts w:ascii="Times New Roman" w:hAnsi="Times New Roman" w:cs="Times New Roman"/>
        </w:rPr>
        <w:t>（第</w:t>
      </w:r>
      <w:hyperlink r:id="rId14" w:history="1">
        <w:r w:rsidRPr="00E05024">
          <w:rPr>
            <w:rStyle w:val="Lienhypertexte"/>
            <w:rFonts w:ascii="Times New Roman" w:hAnsi="Times New Roman" w:cs="Times New Roman"/>
          </w:rPr>
          <w:t>3.GA 9</w:t>
        </w:r>
      </w:hyperlink>
      <w:r w:rsidRPr="00E05024">
        <w:rPr>
          <w:rFonts w:ascii="Times New Roman" w:hAnsi="Times New Roman" w:cs="Times New Roman"/>
        </w:rPr>
        <w:t>号决议），</w:t>
      </w:r>
      <w:proofErr w:type="gramStart"/>
      <w:r w:rsidRPr="00E05024">
        <w:rPr>
          <w:rFonts w:ascii="Times New Roman" w:hAnsi="Times New Roman" w:cs="Times New Roman"/>
        </w:rPr>
        <w:t>以便可支持续</w:t>
      </w:r>
      <w:proofErr w:type="gramEnd"/>
      <w:r w:rsidRPr="00E05024">
        <w:rPr>
          <w:rFonts w:ascii="Times New Roman" w:hAnsi="Times New Roman" w:cs="Times New Roman"/>
        </w:rPr>
        <w:t>地支持秘书处，使其能够对各缔约国提出的需求</w:t>
      </w:r>
      <w:proofErr w:type="gramStart"/>
      <w:r w:rsidRPr="00E05024">
        <w:rPr>
          <w:rFonts w:ascii="Times New Roman" w:hAnsi="Times New Roman" w:cs="Times New Roman"/>
        </w:rPr>
        <w:t>作出</w:t>
      </w:r>
      <w:proofErr w:type="gramEnd"/>
      <w:r w:rsidRPr="00E05024">
        <w:rPr>
          <w:rFonts w:ascii="Times New Roman" w:hAnsi="Times New Roman" w:cs="Times New Roman"/>
        </w:rPr>
        <w:t>回应。大会在</w:t>
      </w:r>
      <w:r w:rsidRPr="00E05024">
        <w:rPr>
          <w:rFonts w:ascii="Times New Roman" w:hAnsi="Times New Roman" w:cs="Times New Roman"/>
        </w:rPr>
        <w:t>2020</w:t>
      </w:r>
      <w:r w:rsidRPr="00E05024">
        <w:rPr>
          <w:rFonts w:ascii="Times New Roman" w:hAnsi="Times New Roman" w:cs="Times New Roman"/>
        </w:rPr>
        <w:t>年将</w:t>
      </w:r>
      <w:proofErr w:type="gramStart"/>
      <w:r w:rsidRPr="00E05024">
        <w:rPr>
          <w:rFonts w:ascii="Times New Roman" w:hAnsi="Times New Roman" w:cs="Times New Roman"/>
        </w:rPr>
        <w:t>子基金</w:t>
      </w:r>
      <w:proofErr w:type="gramEnd"/>
      <w:r w:rsidRPr="00E05024">
        <w:rPr>
          <w:rFonts w:ascii="Times New Roman" w:hAnsi="Times New Roman" w:cs="Times New Roman"/>
        </w:rPr>
        <w:t>的年度目标定为每年</w:t>
      </w:r>
      <w:r w:rsidRPr="00E05024">
        <w:rPr>
          <w:rFonts w:ascii="Times New Roman" w:hAnsi="Times New Roman" w:cs="Times New Roman"/>
        </w:rPr>
        <w:t>95</w:t>
      </w:r>
      <w:r w:rsidRPr="00E05024">
        <w:rPr>
          <w:rFonts w:ascii="Times New Roman" w:hAnsi="Times New Roman" w:cs="Times New Roman"/>
        </w:rPr>
        <w:t>万美元（第</w:t>
      </w:r>
      <w:r w:rsidRPr="00E05024">
        <w:rPr>
          <w:rFonts w:ascii="Times New Roman" w:hAnsi="Times New Roman" w:cs="Times New Roman"/>
        </w:rPr>
        <w:t xml:space="preserve"> </w:t>
      </w:r>
      <w:hyperlink r:id="rId15" w:history="1">
        <w:r w:rsidRPr="00E05024">
          <w:rPr>
            <w:rStyle w:val="Lienhypertexte"/>
            <w:rFonts w:ascii="Times New Roman" w:hAnsi="Times New Roman" w:cs="Times New Roman"/>
          </w:rPr>
          <w:t>8.GA 7</w:t>
        </w:r>
      </w:hyperlink>
      <w:r w:rsidRPr="00E05024">
        <w:rPr>
          <w:rFonts w:ascii="Times New Roman" w:hAnsi="Times New Roman" w:cs="Times New Roman"/>
        </w:rPr>
        <w:t>号决议）。在</w:t>
      </w:r>
      <w:r w:rsidRPr="00E05024">
        <w:rPr>
          <w:rFonts w:ascii="Times New Roman" w:hAnsi="Times New Roman" w:cs="Times New Roman"/>
        </w:rPr>
        <w:t>2022-2023</w:t>
      </w:r>
      <w:r w:rsidRPr="00E05024">
        <w:rPr>
          <w:rFonts w:ascii="Times New Roman" w:hAnsi="Times New Roman" w:cs="Times New Roman"/>
        </w:rPr>
        <w:t>两年期间，共收到来自法国（两次）、立陶宛（两次）、摩纳哥（两次）、斯洛伐克和斯洛文尼亚的八笔自愿捐款，总额</w:t>
      </w:r>
      <w:r w:rsidRPr="00E05024">
        <w:rPr>
          <w:rFonts w:ascii="Times New Roman" w:hAnsi="Times New Roman" w:cs="Times New Roman"/>
        </w:rPr>
        <w:t>224,645</w:t>
      </w:r>
      <w:r w:rsidRPr="00E05024">
        <w:rPr>
          <w:rFonts w:ascii="Times New Roman" w:hAnsi="Times New Roman" w:cs="Times New Roman"/>
        </w:rPr>
        <w:t>美元。这一金额相当于大会在</w:t>
      </w:r>
      <w:proofErr w:type="gramStart"/>
      <w:r w:rsidRPr="00E05024">
        <w:rPr>
          <w:rFonts w:ascii="Times New Roman" w:hAnsi="Times New Roman" w:cs="Times New Roman"/>
        </w:rPr>
        <w:t>2020</w:t>
      </w:r>
      <w:r w:rsidRPr="00E05024">
        <w:rPr>
          <w:rFonts w:ascii="Times New Roman" w:hAnsi="Times New Roman" w:cs="Times New Roman"/>
        </w:rPr>
        <w:t>年所核可</w:t>
      </w:r>
      <w:proofErr w:type="gramEnd"/>
      <w:r w:rsidRPr="00E05024">
        <w:rPr>
          <w:rFonts w:ascii="Times New Roman" w:hAnsi="Times New Roman" w:cs="Times New Roman"/>
        </w:rPr>
        <w:t>两年</w:t>
      </w:r>
      <w:proofErr w:type="gramStart"/>
      <w:r w:rsidRPr="00E05024">
        <w:rPr>
          <w:rFonts w:ascii="Times New Roman" w:hAnsi="Times New Roman" w:cs="Times New Roman"/>
        </w:rPr>
        <w:t>期目标</w:t>
      </w:r>
      <w:proofErr w:type="gramEnd"/>
      <w:r w:rsidRPr="00E05024">
        <w:rPr>
          <w:rFonts w:ascii="Times New Roman" w:hAnsi="Times New Roman" w:cs="Times New Roman"/>
        </w:rPr>
        <w:t>的</w:t>
      </w:r>
      <w:r w:rsidRPr="00E05024">
        <w:rPr>
          <w:rFonts w:ascii="Times New Roman" w:hAnsi="Times New Roman" w:cs="Times New Roman"/>
        </w:rPr>
        <w:t>12%</w:t>
      </w:r>
      <w:r w:rsidRPr="00E05024">
        <w:rPr>
          <w:rFonts w:ascii="Times New Roman" w:hAnsi="Times New Roman" w:cs="Times New Roman"/>
        </w:rPr>
        <w:t>。</w:t>
      </w:r>
      <w:r w:rsidRPr="00E05024">
        <w:rPr>
          <w:rFonts w:ascii="Times New Roman" w:hAnsi="Times New Roman" w:cs="Times New Roman"/>
        </w:rPr>
        <w:t xml:space="preserve"> </w:t>
      </w:r>
    </w:p>
    <w:p w14:paraId="426A68D0" w14:textId="6D5A542C" w:rsidR="00994671" w:rsidRPr="00E05024" w:rsidRDefault="00CD2851" w:rsidP="006B4B76">
      <w:pPr>
        <w:pStyle w:val="COMParabodytext"/>
        <w:numPr>
          <w:ilvl w:val="0"/>
          <w:numId w:val="23"/>
        </w:numPr>
        <w:ind w:left="567" w:hanging="567"/>
        <w:rPr>
          <w:rFonts w:ascii="Times New Roman" w:hAnsi="Times New Roman" w:cs="Times New Roman"/>
        </w:rPr>
      </w:pPr>
      <w:r w:rsidRPr="00E05024">
        <w:rPr>
          <w:rFonts w:ascii="Times New Roman" w:hAnsi="Times New Roman" w:cs="Times New Roman"/>
        </w:rPr>
        <w:t>《公约》继续经历（</w:t>
      </w:r>
      <w:proofErr w:type="spellStart"/>
      <w:r w:rsidRPr="00E05024">
        <w:rPr>
          <w:rFonts w:ascii="Times New Roman" w:hAnsi="Times New Roman" w:cs="Times New Roman"/>
        </w:rPr>
        <w:t>i</w:t>
      </w:r>
      <w:proofErr w:type="spellEnd"/>
      <w:r w:rsidRPr="00E05024">
        <w:rPr>
          <w:rFonts w:ascii="Times New Roman" w:hAnsi="Times New Roman" w:cs="Times New Roman"/>
        </w:rPr>
        <w:t>）地域扩大（截至</w:t>
      </w:r>
      <w:r w:rsidRPr="00E05024">
        <w:rPr>
          <w:rFonts w:ascii="Times New Roman" w:hAnsi="Times New Roman" w:cs="Times New Roman"/>
        </w:rPr>
        <w:t>2023</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w:t>
      </w:r>
      <w:r w:rsidRPr="00E05024">
        <w:rPr>
          <w:rFonts w:ascii="Times New Roman" w:hAnsi="Times New Roman" w:cs="Times New Roman"/>
        </w:rPr>
        <w:t>31</w:t>
      </w:r>
      <w:r w:rsidRPr="00E05024">
        <w:rPr>
          <w:rFonts w:ascii="Times New Roman" w:hAnsi="Times New Roman" w:cs="Times New Roman"/>
        </w:rPr>
        <w:t>日已有</w:t>
      </w:r>
      <w:r w:rsidRPr="00E05024">
        <w:rPr>
          <w:rFonts w:ascii="Times New Roman" w:hAnsi="Times New Roman" w:cs="Times New Roman"/>
        </w:rPr>
        <w:t>181</w:t>
      </w:r>
      <w:r w:rsidRPr="00E05024">
        <w:rPr>
          <w:rFonts w:ascii="Times New Roman" w:hAnsi="Times New Roman" w:cs="Times New Roman"/>
        </w:rPr>
        <w:t>个缔约国），（</w:t>
      </w:r>
      <w:r w:rsidRPr="00E05024">
        <w:rPr>
          <w:rFonts w:ascii="Times New Roman" w:hAnsi="Times New Roman" w:cs="Times New Roman"/>
        </w:rPr>
        <w:t>ii</w:t>
      </w:r>
      <w:r w:rsidRPr="00E05024">
        <w:rPr>
          <w:rFonts w:ascii="Times New Roman" w:hAnsi="Times New Roman" w:cs="Times New Roman"/>
        </w:rPr>
        <w:t>）持续实施</w:t>
      </w:r>
      <w:r w:rsidRPr="00E05024">
        <w:rPr>
          <w:rFonts w:ascii="Times New Roman" w:hAnsi="Times New Roman" w:cs="Times New Roman"/>
        </w:rPr>
        <w:t>“</w:t>
      </w:r>
      <w:r w:rsidRPr="00E05024">
        <w:rPr>
          <w:rFonts w:ascii="Times New Roman" w:hAnsi="Times New Roman" w:cs="Times New Roman"/>
        </w:rPr>
        <w:t>通过正规和非正规教育保护非物质文化遗产</w:t>
      </w:r>
      <w:r w:rsidRPr="00E05024">
        <w:rPr>
          <w:rFonts w:ascii="Times New Roman" w:hAnsi="Times New Roman" w:cs="Times New Roman"/>
        </w:rPr>
        <w:t>”</w:t>
      </w:r>
      <w:r w:rsidRPr="00E05024">
        <w:rPr>
          <w:rFonts w:ascii="Times New Roman" w:hAnsi="Times New Roman" w:cs="Times New Roman"/>
        </w:rPr>
        <w:t>等举措，（</w:t>
      </w:r>
      <w:r w:rsidRPr="00E05024">
        <w:rPr>
          <w:rFonts w:ascii="Times New Roman" w:hAnsi="Times New Roman" w:cs="Times New Roman"/>
        </w:rPr>
        <w:t>iii</w:t>
      </w:r>
      <w:r w:rsidRPr="00E05024">
        <w:rPr>
          <w:rFonts w:ascii="Times New Roman" w:hAnsi="Times New Roman" w:cs="Times New Roman"/>
        </w:rPr>
        <w:t>）启动有关</w:t>
      </w:r>
      <w:r w:rsidRPr="00E05024">
        <w:rPr>
          <w:rFonts w:ascii="Times New Roman" w:hAnsi="Times New Roman" w:cs="Times New Roman"/>
        </w:rPr>
        <w:t>“</w:t>
      </w:r>
      <w:r w:rsidRPr="00E05024">
        <w:rPr>
          <w:rFonts w:ascii="Times New Roman" w:hAnsi="Times New Roman" w:cs="Times New Roman"/>
        </w:rPr>
        <w:t>保护非物质文化遗产的经济层面</w:t>
      </w:r>
      <w:r w:rsidRPr="00E05024">
        <w:rPr>
          <w:rFonts w:ascii="Times New Roman" w:hAnsi="Times New Roman" w:cs="Times New Roman"/>
        </w:rPr>
        <w:t>”</w:t>
      </w:r>
      <w:r w:rsidRPr="00E05024">
        <w:rPr>
          <w:rFonts w:ascii="Times New Roman" w:hAnsi="Times New Roman" w:cs="Times New Roman"/>
        </w:rPr>
        <w:t>、</w:t>
      </w:r>
      <w:r w:rsidRPr="00E05024">
        <w:rPr>
          <w:rFonts w:ascii="Times New Roman" w:hAnsi="Times New Roman" w:cs="Times New Roman"/>
        </w:rPr>
        <w:t>“</w:t>
      </w:r>
      <w:r w:rsidRPr="00E05024">
        <w:rPr>
          <w:rFonts w:ascii="Times New Roman" w:hAnsi="Times New Roman" w:cs="Times New Roman"/>
        </w:rPr>
        <w:t>保护非物质文化遗产和气候变化</w:t>
      </w:r>
      <w:r w:rsidRPr="00E05024">
        <w:rPr>
          <w:rFonts w:ascii="Times New Roman" w:hAnsi="Times New Roman" w:cs="Times New Roman"/>
        </w:rPr>
        <w:t>”</w:t>
      </w:r>
      <w:r w:rsidRPr="00E05024">
        <w:rPr>
          <w:rFonts w:ascii="Times New Roman" w:hAnsi="Times New Roman" w:cs="Times New Roman"/>
        </w:rPr>
        <w:t>和</w:t>
      </w:r>
      <w:r w:rsidRPr="00E05024">
        <w:rPr>
          <w:rFonts w:ascii="Times New Roman" w:hAnsi="Times New Roman" w:cs="Times New Roman"/>
        </w:rPr>
        <w:t>“</w:t>
      </w:r>
      <w:r w:rsidRPr="00E05024">
        <w:rPr>
          <w:rFonts w:ascii="Times New Roman" w:hAnsi="Times New Roman" w:cs="Times New Roman"/>
        </w:rPr>
        <w:t>保护城市环境中的非物质文化遗产</w:t>
      </w:r>
      <w:r w:rsidRPr="00E05024">
        <w:rPr>
          <w:rFonts w:ascii="Times New Roman" w:hAnsi="Times New Roman" w:cs="Times New Roman"/>
        </w:rPr>
        <w:t>”</w:t>
      </w:r>
      <w:r w:rsidRPr="00E05024">
        <w:rPr>
          <w:rFonts w:ascii="Times New Roman" w:hAnsi="Times New Roman" w:cs="Times New Roman"/>
        </w:rPr>
        <w:t>等新主题举措，以及（</w:t>
      </w:r>
      <w:r w:rsidRPr="00E05024">
        <w:rPr>
          <w:rFonts w:ascii="Times New Roman" w:hAnsi="Times New Roman" w:cs="Times New Roman"/>
        </w:rPr>
        <w:t>iv</w:t>
      </w:r>
      <w:r w:rsidRPr="00E05024">
        <w:rPr>
          <w:rFonts w:ascii="Times New Roman" w:hAnsi="Times New Roman" w:cs="Times New Roman"/>
        </w:rPr>
        <w:t>）执行关于更广泛地执行</w:t>
      </w:r>
      <w:r w:rsidR="008723C7" w:rsidRPr="00E05024">
        <w:rPr>
          <w:rFonts w:ascii="Times New Roman" w:hAnsi="Times New Roman" w:cs="Times New Roman"/>
        </w:rPr>
        <w:t>《公约》</w:t>
      </w:r>
      <w:r w:rsidRPr="00E05024">
        <w:rPr>
          <w:rFonts w:ascii="Times New Roman" w:hAnsi="Times New Roman" w:cs="Times New Roman"/>
        </w:rPr>
        <w:t>第十八条的反思结果和关于《公约》列名</w:t>
      </w:r>
      <w:r w:rsidRPr="00E05024">
        <w:rPr>
          <w:rFonts w:ascii="Times New Roman" w:hAnsi="Times New Roman" w:cs="Times New Roman"/>
        </w:rPr>
        <w:lastRenderedPageBreak/>
        <w:t>机制的全球反思结果。这些多重</w:t>
      </w:r>
      <w:r w:rsidR="008723C7">
        <w:rPr>
          <w:rFonts w:ascii="Times New Roman" w:hAnsi="Times New Roman" w:cs="Times New Roman" w:hint="eastAsia"/>
        </w:rPr>
        <w:t>举措</w:t>
      </w:r>
      <w:r w:rsidRPr="00E05024">
        <w:rPr>
          <w:rFonts w:ascii="Times New Roman" w:hAnsi="Times New Roman" w:cs="Times New Roman"/>
        </w:rPr>
        <w:t>表明《公约》对各国和社区有很强的相关性，它们对《公约》当前和未来的实施都具有积极的意义。不过，应当记住，这些举措需要秘书处持续的支持。为此，大会不妨考虑人力资源方面的影响，以确保秘书处有能力为这些新的行动提供充分的支持。否则，其中一些举措将需要根据理事机构确定的优先事项予以搁置。在这方面，</w:t>
      </w:r>
      <w:r w:rsidR="008723C7">
        <w:rPr>
          <w:rFonts w:ascii="Times New Roman" w:hAnsi="Times New Roman" w:cs="Times New Roman" w:hint="eastAsia"/>
        </w:rPr>
        <w:t>通过</w:t>
      </w:r>
      <w:r w:rsidRPr="00E05024">
        <w:rPr>
          <w:rFonts w:ascii="Times New Roman" w:hAnsi="Times New Roman" w:cs="Times New Roman"/>
        </w:rPr>
        <w:t>回顾</w:t>
      </w:r>
      <w:r w:rsidR="008723C7" w:rsidRPr="00E05024">
        <w:rPr>
          <w:rFonts w:ascii="Times New Roman" w:hAnsi="Times New Roman" w:cs="Times New Roman"/>
        </w:rPr>
        <w:t>必须</w:t>
      </w:r>
      <w:r w:rsidRPr="00E05024">
        <w:rPr>
          <w:rFonts w:ascii="Times New Roman" w:hAnsi="Times New Roman" w:cs="Times New Roman"/>
        </w:rPr>
        <w:t>指出，自</w:t>
      </w:r>
      <w:r w:rsidRPr="00E05024">
        <w:rPr>
          <w:rFonts w:ascii="Times New Roman" w:hAnsi="Times New Roman" w:cs="Times New Roman"/>
        </w:rPr>
        <w:t>2010</w:t>
      </w:r>
      <w:r w:rsidRPr="00E05024">
        <w:rPr>
          <w:rFonts w:ascii="Times New Roman" w:hAnsi="Times New Roman" w:cs="Times New Roman"/>
        </w:rPr>
        <w:t>年设立</w:t>
      </w:r>
      <w:proofErr w:type="gramStart"/>
      <w:r w:rsidRPr="00E05024">
        <w:rPr>
          <w:rFonts w:ascii="Times New Roman" w:hAnsi="Times New Roman" w:cs="Times New Roman"/>
        </w:rPr>
        <w:t>子基金</w:t>
      </w:r>
      <w:proofErr w:type="gramEnd"/>
      <w:r w:rsidRPr="00E05024">
        <w:rPr>
          <w:rFonts w:ascii="Times New Roman" w:hAnsi="Times New Roman" w:cs="Times New Roman"/>
        </w:rPr>
        <w:t>以来，大会设定的目标从未实现。实际上，对子基金的捐款在过去十四年中从</w:t>
      </w:r>
      <w:r w:rsidRPr="00E05024">
        <w:rPr>
          <w:rFonts w:ascii="Times New Roman" w:hAnsi="Times New Roman" w:cs="Times New Roman"/>
        </w:rPr>
        <w:t>2010-2011</w:t>
      </w:r>
      <w:r w:rsidRPr="00E05024">
        <w:rPr>
          <w:rFonts w:ascii="Times New Roman" w:hAnsi="Times New Roman" w:cs="Times New Roman"/>
        </w:rPr>
        <w:t>年的</w:t>
      </w:r>
      <w:r w:rsidRPr="00E05024">
        <w:rPr>
          <w:rFonts w:ascii="Times New Roman" w:hAnsi="Times New Roman" w:cs="Times New Roman"/>
        </w:rPr>
        <w:t>511,885</w:t>
      </w:r>
      <w:r w:rsidRPr="00E05024">
        <w:rPr>
          <w:rFonts w:ascii="Times New Roman" w:hAnsi="Times New Roman" w:cs="Times New Roman"/>
        </w:rPr>
        <w:t>美元（目标的</w:t>
      </w:r>
      <w:r w:rsidRPr="00E05024">
        <w:rPr>
          <w:rFonts w:ascii="Times New Roman" w:hAnsi="Times New Roman" w:cs="Times New Roman"/>
        </w:rPr>
        <w:t>23%</w:t>
      </w:r>
      <w:r w:rsidRPr="00E05024">
        <w:rPr>
          <w:rFonts w:ascii="Times New Roman" w:hAnsi="Times New Roman" w:cs="Times New Roman"/>
        </w:rPr>
        <w:t>，有史以来达到的最高比率）下降到上一个两年期的</w:t>
      </w:r>
      <w:r w:rsidRPr="00E05024">
        <w:rPr>
          <w:rFonts w:ascii="Times New Roman" w:hAnsi="Times New Roman" w:cs="Times New Roman"/>
        </w:rPr>
        <w:t>224,645</w:t>
      </w:r>
      <w:r w:rsidRPr="00E05024">
        <w:rPr>
          <w:rFonts w:ascii="Times New Roman" w:hAnsi="Times New Roman" w:cs="Times New Roman"/>
        </w:rPr>
        <w:t>美元。</w:t>
      </w:r>
      <w:r w:rsidRPr="00E05024">
        <w:rPr>
          <w:rFonts w:ascii="Times New Roman" w:hAnsi="Times New Roman" w:cs="Times New Roman"/>
        </w:rPr>
        <w:t xml:space="preserve"> </w:t>
      </w:r>
    </w:p>
    <w:p w14:paraId="77321678" w14:textId="707FF403" w:rsidR="00D63318" w:rsidRPr="00E05024" w:rsidRDefault="00994671" w:rsidP="00CA4765">
      <w:pPr>
        <w:pStyle w:val="Titre4"/>
        <w:spacing w:before="240" w:after="120"/>
        <w:rPr>
          <w:rFonts w:ascii="Times New Roman" w:hAnsi="Times New Roman"/>
        </w:rPr>
      </w:pPr>
      <w:bookmarkStart w:id="4" w:name="PartII"/>
      <w:r w:rsidRPr="00E05024">
        <w:rPr>
          <w:rFonts w:ascii="Times New Roman" w:hAnsi="Times New Roman"/>
        </w:rPr>
        <w:t>42 C/5</w:t>
      </w:r>
      <w:r w:rsidRPr="00E05024">
        <w:rPr>
          <w:rFonts w:ascii="Times New Roman" w:hAnsi="Times New Roman"/>
        </w:rPr>
        <w:t>（</w:t>
      </w:r>
      <w:r w:rsidRPr="00E05024">
        <w:rPr>
          <w:rFonts w:ascii="Times New Roman" w:hAnsi="Times New Roman"/>
        </w:rPr>
        <w:t>2024–2025</w:t>
      </w:r>
      <w:r w:rsidRPr="00E05024">
        <w:rPr>
          <w:rFonts w:ascii="Times New Roman" w:hAnsi="Times New Roman"/>
        </w:rPr>
        <w:t>年）的预算项目和拨款</w:t>
      </w:r>
      <w:r w:rsidRPr="00E05024">
        <w:rPr>
          <w:rFonts w:ascii="Times New Roman" w:hAnsi="Times New Roman"/>
        </w:rPr>
        <w:t xml:space="preserve"> </w:t>
      </w:r>
    </w:p>
    <w:bookmarkEnd w:id="4"/>
    <w:p w14:paraId="1FF7FFFE" w14:textId="120B4B41" w:rsidR="0001467E" w:rsidRPr="00E05024" w:rsidRDefault="0001467E" w:rsidP="0001467E">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下文提出的计划草案基于截至</w:t>
      </w:r>
      <w:r w:rsidRPr="00E05024">
        <w:rPr>
          <w:rFonts w:ascii="Times New Roman" w:hAnsi="Times New Roman" w:cs="Times New Roman"/>
        </w:rPr>
        <w:t>2023</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w:t>
      </w:r>
      <w:r w:rsidRPr="00E05024">
        <w:rPr>
          <w:rFonts w:ascii="Times New Roman" w:hAnsi="Times New Roman" w:cs="Times New Roman"/>
        </w:rPr>
        <w:t>31</w:t>
      </w:r>
      <w:r w:rsidRPr="00E05024">
        <w:rPr>
          <w:rFonts w:ascii="Times New Roman" w:hAnsi="Times New Roman" w:cs="Times New Roman"/>
        </w:rPr>
        <w:t>日可用于</w:t>
      </w:r>
      <w:r w:rsidR="002A2A28">
        <w:rPr>
          <w:rFonts w:ascii="Times New Roman" w:hAnsi="Times New Roman" w:cs="Times New Roman" w:hint="eastAsia"/>
        </w:rPr>
        <w:t>计划</w:t>
      </w:r>
      <w:r w:rsidRPr="00E05024">
        <w:rPr>
          <w:rFonts w:ascii="Times New Roman" w:hAnsi="Times New Roman" w:cs="Times New Roman"/>
        </w:rPr>
        <w:t>活动的资金余额，不包括储备基金，即</w:t>
      </w:r>
      <w:r w:rsidRPr="00E05024">
        <w:rPr>
          <w:rFonts w:ascii="Times New Roman" w:hAnsi="Times New Roman" w:cs="Times New Roman"/>
        </w:rPr>
        <w:t>819</w:t>
      </w:r>
      <w:r w:rsidRPr="00E05024">
        <w:rPr>
          <w:rFonts w:ascii="Times New Roman" w:hAnsi="Times New Roman" w:cs="Times New Roman"/>
        </w:rPr>
        <w:t>万美元。这与大会第九届会议批准的</w:t>
      </w:r>
      <w:r w:rsidRPr="00E05024">
        <w:rPr>
          <w:rFonts w:ascii="Times New Roman" w:hAnsi="Times New Roman" w:cs="Times New Roman"/>
        </w:rPr>
        <w:t>873</w:t>
      </w:r>
      <w:r w:rsidRPr="00E05024">
        <w:rPr>
          <w:rFonts w:ascii="Times New Roman" w:hAnsi="Times New Roman" w:cs="Times New Roman"/>
        </w:rPr>
        <w:t>万美元的预算（第</w:t>
      </w:r>
      <w:bookmarkStart w:id="5" w:name="_Hlk147502296"/>
      <w:r w:rsidR="00447DFF" w:rsidRPr="00E05024">
        <w:fldChar w:fldCharType="begin"/>
      </w:r>
      <w:r w:rsidR="002A2A28">
        <w:instrText>HYPERLINK "https://ich.unesco.org/doc/src/LHE-22-9.GA-Resolutions-ZH.docx"</w:instrText>
      </w:r>
      <w:r w:rsidR="00447DFF" w:rsidRPr="00E05024">
        <w:fldChar w:fldCharType="separate"/>
      </w:r>
      <w:r w:rsidRPr="00E05024">
        <w:rPr>
          <w:rStyle w:val="Lienhypertexte"/>
          <w:rFonts w:ascii="Times New Roman" w:hAnsi="Times New Roman" w:cs="Times New Roman"/>
        </w:rPr>
        <w:t>9.G</w:t>
      </w:r>
      <w:r w:rsidR="00E05024">
        <w:rPr>
          <w:rStyle w:val="Lienhypertexte"/>
          <w:rFonts w:ascii="Times New Roman" w:hAnsi="Times New Roman" w:cs="Times New Roman" w:hint="eastAsia"/>
        </w:rPr>
        <w:t>A 10</w:t>
      </w:r>
      <w:r w:rsidR="00447DFF" w:rsidRPr="00E05024">
        <w:rPr>
          <w:rStyle w:val="Lienhypertexte"/>
          <w:rFonts w:ascii="Times New Roman" w:hAnsi="Times New Roman" w:cs="Times New Roman"/>
        </w:rPr>
        <w:fldChar w:fldCharType="end"/>
      </w:r>
      <w:r w:rsidRPr="00E05024">
        <w:rPr>
          <w:rFonts w:ascii="Times New Roman" w:hAnsi="Times New Roman" w:cs="Times New Roman"/>
        </w:rPr>
        <w:t>号决议</w:t>
      </w:r>
      <w:bookmarkEnd w:id="5"/>
      <w:r w:rsidRPr="00E05024">
        <w:rPr>
          <w:rFonts w:ascii="Times New Roman" w:hAnsi="Times New Roman" w:cs="Times New Roman"/>
        </w:rPr>
        <w:t>）相比有所减少。</w:t>
      </w:r>
      <w:r w:rsidRPr="00E05024">
        <w:rPr>
          <w:rFonts w:ascii="Times New Roman" w:hAnsi="Times New Roman" w:cs="Times New Roman"/>
        </w:rPr>
        <w:t xml:space="preserve"> </w:t>
      </w:r>
    </w:p>
    <w:p w14:paraId="319D0CCD" w14:textId="245E9498" w:rsidR="0001467E" w:rsidRPr="00E05024" w:rsidRDefault="0001467E" w:rsidP="0001467E">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针对</w:t>
      </w:r>
      <w:bookmarkStart w:id="6" w:name="_Hlk100226655"/>
      <w:r w:rsidRPr="00E05024">
        <w:rPr>
          <w:rFonts w:ascii="Times New Roman" w:hAnsi="Times New Roman" w:cs="Times New Roman"/>
        </w:rPr>
        <w:t>42 C/5</w:t>
      </w:r>
      <w:r w:rsidRPr="00E05024">
        <w:rPr>
          <w:rFonts w:ascii="Times New Roman" w:hAnsi="Times New Roman" w:cs="Times New Roman"/>
        </w:rPr>
        <w:t>（</w:t>
      </w:r>
      <w:r w:rsidRPr="00E05024">
        <w:rPr>
          <w:rFonts w:ascii="Times New Roman" w:hAnsi="Times New Roman" w:cs="Times New Roman"/>
        </w:rPr>
        <w:t>2024-2025</w:t>
      </w:r>
      <w:r w:rsidRPr="00E05024">
        <w:rPr>
          <w:rFonts w:ascii="Times New Roman" w:hAnsi="Times New Roman" w:cs="Times New Roman"/>
        </w:rPr>
        <w:t>年）</w:t>
      </w:r>
      <w:bookmarkEnd w:id="6"/>
      <w:r w:rsidRPr="00E05024">
        <w:rPr>
          <w:rFonts w:ascii="Times New Roman" w:hAnsi="Times New Roman" w:cs="Times New Roman"/>
        </w:rPr>
        <w:t>资金划拨提案遵循基于预算项目的结构，该结构已被用于过去所有同等实践。这些预算项目可分为三类，即与下列各方面有关的支出：</w:t>
      </w:r>
      <w:r w:rsidRPr="00E05024">
        <w:rPr>
          <w:rFonts w:ascii="Times New Roman" w:hAnsi="Times New Roman" w:cs="Times New Roman"/>
        </w:rPr>
        <w:t>a</w:t>
      </w:r>
      <w:r w:rsidRPr="00E05024">
        <w:rPr>
          <w:rFonts w:ascii="Times New Roman" w:hAnsi="Times New Roman" w:cs="Times New Roman"/>
        </w:rPr>
        <w:t>）国际援助；</w:t>
      </w:r>
      <w:r w:rsidRPr="00E05024">
        <w:rPr>
          <w:rFonts w:ascii="Times New Roman" w:hAnsi="Times New Roman" w:cs="Times New Roman"/>
        </w:rPr>
        <w:t>b</w:t>
      </w:r>
      <w:r w:rsidRPr="00E05024">
        <w:rPr>
          <w:rFonts w:ascii="Times New Roman" w:hAnsi="Times New Roman" w:cs="Times New Roman"/>
        </w:rPr>
        <w:t>）《公约》第七条所指的委员会</w:t>
      </w:r>
      <w:r w:rsidRPr="00E05024">
        <w:rPr>
          <w:rFonts w:ascii="Times New Roman" w:hAnsi="Times New Roman" w:cs="Times New Roman"/>
        </w:rPr>
        <w:t>“</w:t>
      </w:r>
      <w:r w:rsidRPr="00E05024">
        <w:rPr>
          <w:rFonts w:ascii="Times New Roman" w:hAnsi="Times New Roman" w:cs="Times New Roman"/>
        </w:rPr>
        <w:t>其他职能</w:t>
      </w:r>
      <w:r w:rsidRPr="00E05024">
        <w:rPr>
          <w:rFonts w:ascii="Times New Roman" w:hAnsi="Times New Roman" w:cs="Times New Roman"/>
        </w:rPr>
        <w:t>”</w:t>
      </w:r>
      <w:r w:rsidRPr="00E05024">
        <w:rPr>
          <w:rFonts w:ascii="Times New Roman" w:hAnsi="Times New Roman" w:cs="Times New Roman"/>
        </w:rPr>
        <w:t>；</w:t>
      </w:r>
      <w:r w:rsidRPr="00E05024">
        <w:rPr>
          <w:rFonts w:ascii="Times New Roman" w:hAnsi="Times New Roman" w:cs="Times New Roman"/>
        </w:rPr>
        <w:t>c</w:t>
      </w:r>
      <w:r w:rsidRPr="00E05024">
        <w:rPr>
          <w:rFonts w:ascii="Times New Roman" w:hAnsi="Times New Roman" w:cs="Times New Roman"/>
        </w:rPr>
        <w:t>）参加</w:t>
      </w:r>
      <w:r w:rsidR="002A2A28" w:rsidRPr="00E05024">
        <w:rPr>
          <w:rFonts w:ascii="Times New Roman" w:hAnsi="Times New Roman" w:cs="Times New Roman"/>
        </w:rPr>
        <w:t>委员会</w:t>
      </w:r>
      <w:r w:rsidRPr="00E05024">
        <w:rPr>
          <w:rFonts w:ascii="Times New Roman" w:hAnsi="Times New Roman" w:cs="Times New Roman"/>
        </w:rPr>
        <w:t>各理事机构的会议并向委员会提供咨询服务。但是，下文各段</w:t>
      </w:r>
      <w:r w:rsidR="002A2A28">
        <w:rPr>
          <w:rFonts w:ascii="Times New Roman" w:hAnsi="Times New Roman" w:cs="Times New Roman" w:hint="eastAsia"/>
        </w:rPr>
        <w:t>也</w:t>
      </w:r>
      <w:r w:rsidR="002A2A28" w:rsidRPr="00E05024">
        <w:rPr>
          <w:rFonts w:ascii="Times New Roman" w:hAnsi="Times New Roman" w:cs="Times New Roman"/>
        </w:rPr>
        <w:t>提议</w:t>
      </w:r>
      <w:r w:rsidRPr="00E05024">
        <w:rPr>
          <w:rFonts w:ascii="Times New Roman" w:hAnsi="Times New Roman" w:cs="Times New Roman"/>
        </w:rPr>
        <w:t>，在不同的预算项目之间进行一些调整。</w:t>
      </w:r>
      <w:r w:rsidRPr="00E05024">
        <w:rPr>
          <w:rFonts w:ascii="Times New Roman" w:hAnsi="Times New Roman" w:cs="Times New Roman"/>
        </w:rPr>
        <w:t xml:space="preserve"> </w:t>
      </w:r>
    </w:p>
    <w:p w14:paraId="12ACCCD8" w14:textId="7AA89F47" w:rsidR="0001467E" w:rsidRPr="00E05024" w:rsidRDefault="0001467E" w:rsidP="00CA352E">
      <w:pPr>
        <w:pStyle w:val="COMPara"/>
        <w:numPr>
          <w:ilvl w:val="0"/>
          <w:numId w:val="0"/>
        </w:numPr>
        <w:ind w:firstLine="567"/>
        <w:jc w:val="both"/>
        <w:rPr>
          <w:rFonts w:ascii="Times New Roman" w:hAnsi="Times New Roman" w:cs="Times New Roman"/>
          <w:b/>
          <w:bCs/>
        </w:rPr>
      </w:pPr>
      <w:r w:rsidRPr="00E05024">
        <w:rPr>
          <w:rFonts w:ascii="Times New Roman" w:hAnsi="Times New Roman" w:cs="Times New Roman"/>
          <w:b/>
        </w:rPr>
        <w:t>国际援助</w:t>
      </w:r>
    </w:p>
    <w:p w14:paraId="11DA1986" w14:textId="41A43ACF" w:rsidR="00E63241" w:rsidRPr="00E05024" w:rsidRDefault="00E63241" w:rsidP="00E63241">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根据《业务指南》第</w:t>
      </w:r>
      <w:r w:rsidRPr="00E05024">
        <w:rPr>
          <w:rFonts w:ascii="Times New Roman" w:hAnsi="Times New Roman" w:cs="Times New Roman"/>
        </w:rPr>
        <w:t>II.1</w:t>
      </w:r>
      <w:r w:rsidRPr="00E05024">
        <w:rPr>
          <w:rFonts w:ascii="Times New Roman" w:hAnsi="Times New Roman" w:cs="Times New Roman"/>
        </w:rPr>
        <w:t>章中基金资源使用准则确定的优先事项，建议将大部分资源（</w:t>
      </w:r>
      <w:r w:rsidRPr="00E05024">
        <w:rPr>
          <w:rFonts w:ascii="Times New Roman" w:hAnsi="Times New Roman" w:cs="Times New Roman"/>
        </w:rPr>
        <w:t>65.1%</w:t>
      </w:r>
      <w:r w:rsidRPr="00E05024">
        <w:rPr>
          <w:rFonts w:ascii="Times New Roman" w:hAnsi="Times New Roman" w:cs="Times New Roman"/>
        </w:rPr>
        <w:t>）分配给向缔约国提供国际援助，以补充其保护非物质文化遗产的国家工作（</w:t>
      </w:r>
      <w:r w:rsidRPr="00E05024">
        <w:rPr>
          <w:rFonts w:ascii="Times New Roman" w:hAnsi="Times New Roman" w:cs="Times New Roman"/>
          <w:b/>
        </w:rPr>
        <w:t>预算项目</w:t>
      </w:r>
      <w:r w:rsidRPr="00E05024">
        <w:rPr>
          <w:rFonts w:ascii="Times New Roman" w:hAnsi="Times New Roman" w:cs="Times New Roman"/>
          <w:b/>
        </w:rPr>
        <w:t>1</w:t>
      </w:r>
      <w:r w:rsidRPr="00E05024">
        <w:rPr>
          <w:rFonts w:ascii="Times New Roman" w:hAnsi="Times New Roman" w:cs="Times New Roman"/>
          <w:b/>
        </w:rPr>
        <w:t>、</w:t>
      </w:r>
      <w:r w:rsidRPr="00E05024">
        <w:rPr>
          <w:rFonts w:ascii="Times New Roman" w:hAnsi="Times New Roman" w:cs="Times New Roman"/>
          <w:b/>
        </w:rPr>
        <w:t>1.1</w:t>
      </w:r>
      <w:r w:rsidRPr="00E05024">
        <w:rPr>
          <w:rFonts w:ascii="Times New Roman" w:hAnsi="Times New Roman" w:cs="Times New Roman"/>
          <w:b/>
        </w:rPr>
        <w:t>和</w:t>
      </w:r>
      <w:r w:rsidRPr="00E05024">
        <w:rPr>
          <w:rFonts w:ascii="Times New Roman" w:hAnsi="Times New Roman" w:cs="Times New Roman"/>
          <w:b/>
        </w:rPr>
        <w:t>2</w:t>
      </w:r>
      <w:r w:rsidRPr="00E05024">
        <w:rPr>
          <w:rFonts w:ascii="Times New Roman" w:hAnsi="Times New Roman" w:cs="Times New Roman"/>
        </w:rPr>
        <w:t>）。</w:t>
      </w:r>
    </w:p>
    <w:p w14:paraId="115BFAF8" w14:textId="2374B794" w:rsidR="00E63241" w:rsidRPr="00E05024" w:rsidRDefault="00E63241" w:rsidP="00E63241">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作为这一合并百分比的一部分，分配给</w:t>
      </w:r>
      <w:r w:rsidRPr="00E05024">
        <w:rPr>
          <w:rFonts w:ascii="Times New Roman" w:hAnsi="Times New Roman" w:cs="Times New Roman"/>
          <w:b/>
        </w:rPr>
        <w:t>预算项目</w:t>
      </w:r>
      <w:r w:rsidRPr="00E05024">
        <w:rPr>
          <w:rFonts w:ascii="Times New Roman" w:hAnsi="Times New Roman" w:cs="Times New Roman"/>
          <w:b/>
        </w:rPr>
        <w:t>1</w:t>
      </w:r>
      <w:r w:rsidRPr="00E05024">
        <w:rPr>
          <w:rFonts w:ascii="Times New Roman" w:hAnsi="Times New Roman" w:cs="Times New Roman"/>
        </w:rPr>
        <w:t>（</w:t>
      </w:r>
      <w:r w:rsidRPr="00E05024">
        <w:rPr>
          <w:rFonts w:ascii="Times New Roman" w:hAnsi="Times New Roman" w:cs="Times New Roman"/>
        </w:rPr>
        <w:t>50%</w:t>
      </w:r>
      <w:r w:rsidRPr="00E05024">
        <w:rPr>
          <w:rFonts w:ascii="Times New Roman" w:hAnsi="Times New Roman" w:cs="Times New Roman"/>
        </w:rPr>
        <w:t>）的资金预计将用于通过国际援助机制支持各国保护已列入急需保护的非物质文化遗产名录的遗产、编制清单以及支持其他保护计划和项目。建议将预算项目</w:t>
      </w:r>
      <w:r w:rsidRPr="00E05024">
        <w:rPr>
          <w:rFonts w:ascii="Times New Roman" w:hAnsi="Times New Roman" w:cs="Times New Roman"/>
        </w:rPr>
        <w:t>1</w:t>
      </w:r>
      <w:r w:rsidRPr="00E05024">
        <w:rPr>
          <w:rFonts w:ascii="Times New Roman" w:hAnsi="Times New Roman" w:cs="Times New Roman"/>
        </w:rPr>
        <w:t>的拨款保持在同一水平，以使各缔约国能够加强保护工作，特别侧重于非洲地区和小岛屿发展中国家。大量资源将用于向</w:t>
      </w:r>
      <w:r w:rsidR="002A2A28">
        <w:rPr>
          <w:rFonts w:ascii="Times New Roman" w:hAnsi="Times New Roman" w:cs="Times New Roman" w:hint="eastAsia"/>
        </w:rPr>
        <w:t>经</w:t>
      </w:r>
      <w:r w:rsidRPr="00E05024">
        <w:rPr>
          <w:rFonts w:ascii="Times New Roman" w:hAnsi="Times New Roman" w:cs="Times New Roman"/>
        </w:rPr>
        <w:t>委员会和主席团批准的保护项目</w:t>
      </w:r>
      <w:r w:rsidR="002A2A28" w:rsidRPr="00E05024">
        <w:rPr>
          <w:rFonts w:ascii="Times New Roman" w:hAnsi="Times New Roman" w:cs="Times New Roman"/>
        </w:rPr>
        <w:t>尽可能多的</w:t>
      </w:r>
      <w:r w:rsidRPr="00E05024">
        <w:rPr>
          <w:rFonts w:ascii="Times New Roman" w:hAnsi="Times New Roman" w:cs="Times New Roman"/>
        </w:rPr>
        <w:t>提供资金，</w:t>
      </w:r>
      <w:r w:rsidR="002A2A28">
        <w:rPr>
          <w:rFonts w:ascii="Times New Roman" w:hAnsi="Times New Roman" w:cs="Times New Roman" w:hint="eastAsia"/>
        </w:rPr>
        <w:t>前提</w:t>
      </w:r>
      <w:r w:rsidRPr="00E05024">
        <w:rPr>
          <w:rFonts w:ascii="Times New Roman" w:hAnsi="Times New Roman" w:cs="Times New Roman"/>
        </w:rPr>
        <w:t>是这些项目符合国际援助标准。</w:t>
      </w:r>
    </w:p>
    <w:p w14:paraId="1AD5C246" w14:textId="05D0A516" w:rsidR="00D63318" w:rsidRPr="00E05024" w:rsidRDefault="00E63241" w:rsidP="00E63241">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根据内部监督事务处（</w:t>
      </w:r>
      <w:r w:rsidRPr="00E05024">
        <w:rPr>
          <w:rFonts w:ascii="Times New Roman" w:hAnsi="Times New Roman" w:cs="Times New Roman"/>
        </w:rPr>
        <w:t>IOS</w:t>
      </w:r>
      <w:r w:rsidRPr="00E05024">
        <w:rPr>
          <w:rFonts w:ascii="Times New Roman" w:hAnsi="Times New Roman" w:cs="Times New Roman"/>
        </w:rPr>
        <w:t>）</w:t>
      </w:r>
      <w:r w:rsidRPr="00E05024">
        <w:rPr>
          <w:rFonts w:ascii="Times New Roman" w:hAnsi="Times New Roman" w:cs="Times New Roman"/>
        </w:rPr>
        <w:t>2021</w:t>
      </w:r>
      <w:r w:rsidRPr="00E05024">
        <w:rPr>
          <w:rFonts w:ascii="Times New Roman" w:hAnsi="Times New Roman" w:cs="Times New Roman"/>
        </w:rPr>
        <w:t>年对教科文组织在</w:t>
      </w:r>
      <w:r w:rsidRPr="00E05024">
        <w:rPr>
          <w:rFonts w:ascii="Times New Roman" w:hAnsi="Times New Roman" w:cs="Times New Roman"/>
        </w:rPr>
        <w:t>2003</w:t>
      </w:r>
      <w:r w:rsidRPr="00E05024">
        <w:rPr>
          <w:rFonts w:ascii="Times New Roman" w:hAnsi="Times New Roman" w:cs="Times New Roman"/>
        </w:rPr>
        <w:t>年《保护非物质文化遗产公约》框架内行动的评估结果（见</w:t>
      </w:r>
      <w:r w:rsidRPr="00E05024">
        <w:rPr>
          <w:rFonts w:ascii="Times New Roman" w:hAnsi="Times New Roman" w:cs="Times New Roman"/>
        </w:rPr>
        <w:t xml:space="preserve"> </w:t>
      </w:r>
      <w:hyperlink r:id="rId16" w:history="1">
        <w:r w:rsidRPr="00E05024">
          <w:rPr>
            <w:rStyle w:val="Lienhypertexte"/>
            <w:rFonts w:ascii="Times New Roman" w:hAnsi="Times New Roman" w:cs="Times New Roman"/>
          </w:rPr>
          <w:t>LHE/21/16.COM/INF.10 Rev.</w:t>
        </w:r>
      </w:hyperlink>
      <w:r w:rsidRPr="00E05024">
        <w:rPr>
          <w:rFonts w:ascii="Times New Roman" w:hAnsi="Times New Roman" w:cs="Times New Roman"/>
        </w:rPr>
        <w:t>号文件中的建议书</w:t>
      </w:r>
      <w:r w:rsidRPr="00E05024">
        <w:rPr>
          <w:rFonts w:ascii="Times New Roman" w:hAnsi="Times New Roman" w:cs="Times New Roman"/>
        </w:rPr>
        <w:t>5</w:t>
      </w:r>
      <w:r w:rsidRPr="00E05024">
        <w:rPr>
          <w:rFonts w:ascii="Times New Roman" w:hAnsi="Times New Roman" w:cs="Times New Roman"/>
        </w:rPr>
        <w:t>和</w:t>
      </w:r>
      <w:r w:rsidRPr="00E05024">
        <w:rPr>
          <w:rFonts w:ascii="Times New Roman" w:hAnsi="Times New Roman" w:cs="Times New Roman"/>
        </w:rPr>
        <w:t>6</w:t>
      </w:r>
      <w:r w:rsidRPr="00E05024">
        <w:rPr>
          <w:rFonts w:ascii="Times New Roman" w:hAnsi="Times New Roman" w:cs="Times New Roman"/>
        </w:rPr>
        <w:t>），委员会试验性地授权使用预算项目</w:t>
      </w:r>
      <w:r w:rsidRPr="00E05024">
        <w:rPr>
          <w:rFonts w:ascii="Times New Roman" w:hAnsi="Times New Roman" w:cs="Times New Roman"/>
        </w:rPr>
        <w:t>1</w:t>
      </w:r>
      <w:r w:rsidRPr="00E05024">
        <w:rPr>
          <w:rFonts w:ascii="Times New Roman" w:hAnsi="Times New Roman" w:cs="Times New Roman"/>
        </w:rPr>
        <w:t>下的资金，金额不超过每个已批准国际援助项目核定预算的</w:t>
      </w:r>
      <w:r w:rsidRPr="00E05024">
        <w:rPr>
          <w:rFonts w:ascii="Times New Roman" w:hAnsi="Times New Roman" w:cs="Times New Roman"/>
        </w:rPr>
        <w:t>10%</w:t>
      </w:r>
      <w:r w:rsidRPr="00E05024">
        <w:rPr>
          <w:rFonts w:ascii="Times New Roman" w:hAnsi="Times New Roman" w:cs="Times New Roman"/>
        </w:rPr>
        <w:t>，以便按照《公约》第二十一条的规定为提供</w:t>
      </w:r>
      <w:r w:rsidR="00F3402B">
        <w:rPr>
          <w:rFonts w:ascii="Times New Roman" w:hAnsi="Times New Roman" w:cs="Times New Roman" w:hint="eastAsia"/>
        </w:rPr>
        <w:t>专业指导</w:t>
      </w:r>
      <w:r w:rsidRPr="00E05024">
        <w:rPr>
          <w:rFonts w:ascii="Times New Roman" w:hAnsi="Times New Roman" w:cs="Times New Roman"/>
        </w:rPr>
        <w:t>提供资金，以监测和评价正在进行的和最近完成的国际援助项目（第</w:t>
      </w:r>
      <w:hyperlink r:id="rId17" w:history="1">
        <w:r w:rsidRPr="00E05024">
          <w:rPr>
            <w:rStyle w:val="Lienhypertexte"/>
            <w:rFonts w:ascii="Times New Roman" w:hAnsi="Times New Roman" w:cs="Times New Roman"/>
          </w:rPr>
          <w:t>9.GA 10</w:t>
        </w:r>
      </w:hyperlink>
      <w:r w:rsidRPr="00E05024">
        <w:rPr>
          <w:rFonts w:ascii="Times New Roman" w:hAnsi="Times New Roman" w:cs="Times New Roman"/>
        </w:rPr>
        <w:t>号决议、第</w:t>
      </w:r>
      <w:hyperlink r:id="rId18" w:history="1">
        <w:r w:rsidRPr="00E05024">
          <w:rPr>
            <w:rStyle w:val="Lienhypertexte"/>
            <w:rFonts w:ascii="Times New Roman" w:hAnsi="Times New Roman" w:cs="Times New Roman"/>
          </w:rPr>
          <w:t>16.COM 13</w:t>
        </w:r>
      </w:hyperlink>
      <w:r w:rsidRPr="00E05024">
        <w:rPr>
          <w:rFonts w:ascii="Times New Roman" w:hAnsi="Times New Roman" w:cs="Times New Roman"/>
        </w:rPr>
        <w:t>号决定和第</w:t>
      </w:r>
      <w:hyperlink r:id="rId19" w:history="1">
        <w:r w:rsidRPr="00E05024">
          <w:rPr>
            <w:rStyle w:val="Lienhypertexte"/>
            <w:rFonts w:ascii="Times New Roman" w:hAnsi="Times New Roman" w:cs="Times New Roman"/>
          </w:rPr>
          <w:t>18.COM.14</w:t>
        </w:r>
      </w:hyperlink>
      <w:r w:rsidRPr="00E05024">
        <w:rPr>
          <w:rFonts w:ascii="Times New Roman" w:hAnsi="Times New Roman" w:cs="Times New Roman"/>
        </w:rPr>
        <w:t>号决定）。自委员会第十七届会议以来</w:t>
      </w:r>
      <w:r w:rsidR="00F3402B">
        <w:rPr>
          <w:rFonts w:ascii="Times New Roman" w:hAnsi="Times New Roman" w:cs="Times New Roman" w:hint="eastAsia"/>
        </w:rPr>
        <w:t>，已</w:t>
      </w:r>
      <w:r w:rsidRPr="00E05024">
        <w:rPr>
          <w:rFonts w:ascii="Times New Roman" w:hAnsi="Times New Roman" w:cs="Times New Roman"/>
        </w:rPr>
        <w:t>采取筹备步骤建立具有文化领域项目评估经验的顾问名册（见</w:t>
      </w:r>
      <w:hyperlink r:id="rId20" w:history="1">
        <w:r w:rsidRPr="00E05024">
          <w:rPr>
            <w:rStyle w:val="Lienhypertexte"/>
            <w:rFonts w:ascii="Times New Roman" w:hAnsi="Times New Roman" w:cs="Times New Roman"/>
          </w:rPr>
          <w:t>LHE/23/18.COM/10</w:t>
        </w:r>
      </w:hyperlink>
      <w:r w:rsidRPr="00E05024">
        <w:rPr>
          <w:rFonts w:ascii="Times New Roman" w:hAnsi="Times New Roman" w:cs="Times New Roman"/>
        </w:rPr>
        <w:t>号文件），</w:t>
      </w:r>
      <w:r w:rsidR="00F3402B" w:rsidRPr="00E05024">
        <w:rPr>
          <w:rFonts w:ascii="Times New Roman" w:hAnsi="Times New Roman" w:cs="Times New Roman"/>
        </w:rPr>
        <w:t>本两年期内</w:t>
      </w:r>
      <w:r w:rsidR="00F3402B">
        <w:rPr>
          <w:rFonts w:ascii="Times New Roman" w:hAnsi="Times New Roman" w:cs="Times New Roman" w:hint="eastAsia"/>
        </w:rPr>
        <w:t>，</w:t>
      </w:r>
      <w:r w:rsidRPr="00E05024">
        <w:rPr>
          <w:rFonts w:ascii="Times New Roman" w:hAnsi="Times New Roman" w:cs="Times New Roman"/>
        </w:rPr>
        <w:t>预计开展试点监测和评</w:t>
      </w:r>
      <w:r w:rsidR="00F3402B">
        <w:rPr>
          <w:rFonts w:ascii="Times New Roman" w:hAnsi="Times New Roman" w:cs="Times New Roman" w:hint="eastAsia"/>
        </w:rPr>
        <w:t>估</w:t>
      </w:r>
      <w:r w:rsidRPr="00E05024">
        <w:rPr>
          <w:rFonts w:ascii="Times New Roman" w:hAnsi="Times New Roman" w:cs="Times New Roman"/>
        </w:rPr>
        <w:t>活动。</w:t>
      </w:r>
      <w:r w:rsidR="00F3402B" w:rsidRPr="00E05024">
        <w:rPr>
          <w:rFonts w:ascii="Times New Roman" w:hAnsi="Times New Roman" w:cs="Times New Roman"/>
        </w:rPr>
        <w:t>与划拨给受益人的赠款分开</w:t>
      </w:r>
      <w:r w:rsidR="00F3402B">
        <w:rPr>
          <w:rFonts w:ascii="Times New Roman" w:hAnsi="Times New Roman" w:cs="Times New Roman" w:hint="eastAsia"/>
        </w:rPr>
        <w:t>，</w:t>
      </w:r>
      <w:r w:rsidR="001D6CA0" w:rsidRPr="00E05024">
        <w:rPr>
          <w:rFonts w:ascii="Times New Roman" w:hAnsi="Times New Roman" w:cs="Times New Roman"/>
        </w:rPr>
        <w:t>将</w:t>
      </w:r>
      <w:r w:rsidRPr="00E05024">
        <w:rPr>
          <w:rFonts w:ascii="Times New Roman" w:hAnsi="Times New Roman" w:cs="Times New Roman"/>
        </w:rPr>
        <w:t>预算项目</w:t>
      </w:r>
      <w:r w:rsidRPr="00E05024">
        <w:rPr>
          <w:rFonts w:ascii="Times New Roman" w:hAnsi="Times New Roman" w:cs="Times New Roman"/>
        </w:rPr>
        <w:t>1</w:t>
      </w:r>
      <w:r w:rsidRPr="00E05024">
        <w:rPr>
          <w:rFonts w:ascii="Times New Roman" w:hAnsi="Times New Roman" w:cs="Times New Roman"/>
        </w:rPr>
        <w:t>下的额外资金，试验性地使用</w:t>
      </w:r>
      <w:r w:rsidR="001D6CA0">
        <w:rPr>
          <w:rFonts w:ascii="Times New Roman" w:hAnsi="Times New Roman" w:cs="Times New Roman" w:hint="eastAsia"/>
        </w:rPr>
        <w:t>于</w:t>
      </w:r>
      <w:r w:rsidR="001D6CA0" w:rsidRPr="00E05024">
        <w:rPr>
          <w:rFonts w:ascii="Times New Roman" w:hAnsi="Times New Roman" w:cs="Times New Roman"/>
        </w:rPr>
        <w:t>为提供</w:t>
      </w:r>
      <w:r w:rsidR="001D6CA0">
        <w:rPr>
          <w:rFonts w:ascii="Times New Roman" w:hAnsi="Times New Roman" w:cs="Times New Roman" w:hint="eastAsia"/>
        </w:rPr>
        <w:t>专业指导</w:t>
      </w:r>
      <w:r w:rsidR="001D6CA0" w:rsidRPr="00E05024">
        <w:rPr>
          <w:rFonts w:ascii="Times New Roman" w:hAnsi="Times New Roman" w:cs="Times New Roman"/>
        </w:rPr>
        <w:t>提供资金，</w:t>
      </w:r>
      <w:r w:rsidRPr="00E05024">
        <w:rPr>
          <w:rFonts w:ascii="Times New Roman" w:hAnsi="Times New Roman" w:cs="Times New Roman"/>
        </w:rPr>
        <w:t>金额不超过每个已批准选定国际援助项目预算的</w:t>
      </w:r>
      <w:r w:rsidRPr="00E05024">
        <w:rPr>
          <w:rFonts w:ascii="Times New Roman" w:hAnsi="Times New Roman" w:cs="Times New Roman"/>
        </w:rPr>
        <w:t>10%</w:t>
      </w:r>
      <w:r w:rsidRPr="00E05024">
        <w:rPr>
          <w:rFonts w:ascii="Times New Roman" w:hAnsi="Times New Roman" w:cs="Times New Roman"/>
        </w:rPr>
        <w:t>。</w:t>
      </w:r>
    </w:p>
    <w:p w14:paraId="1D72249F" w14:textId="6FD276DD" w:rsidR="00475E86" w:rsidRPr="00E05024" w:rsidRDefault="002D140B" w:rsidP="00027E63">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2018</w:t>
      </w:r>
      <w:r w:rsidRPr="00E05024">
        <w:rPr>
          <w:rFonts w:ascii="Times New Roman" w:hAnsi="Times New Roman" w:cs="Times New Roman"/>
        </w:rPr>
        <w:t>年</w:t>
      </w:r>
      <w:r w:rsidRPr="00E05024">
        <w:rPr>
          <w:rFonts w:ascii="Times New Roman" w:hAnsi="Times New Roman" w:cs="Times New Roman"/>
        </w:rPr>
        <w:t>6</w:t>
      </w:r>
      <w:r w:rsidRPr="00E05024">
        <w:rPr>
          <w:rFonts w:ascii="Times New Roman" w:hAnsi="Times New Roman" w:cs="Times New Roman"/>
        </w:rPr>
        <w:t>月，大会第七届会议批准设立三个预算外定期</w:t>
      </w:r>
      <w:r w:rsidR="00F3402B">
        <w:rPr>
          <w:rFonts w:ascii="Times New Roman" w:hAnsi="Times New Roman" w:cs="Times New Roman" w:hint="eastAsia"/>
        </w:rPr>
        <w:t>职员职位</w:t>
      </w:r>
      <w:r w:rsidRPr="00E05024">
        <w:rPr>
          <w:rFonts w:ascii="Times New Roman" w:hAnsi="Times New Roman" w:cs="Times New Roman"/>
        </w:rPr>
        <w:t>（</w:t>
      </w:r>
      <w:r w:rsidRPr="00E05024">
        <w:rPr>
          <w:rFonts w:ascii="Times New Roman" w:hAnsi="Times New Roman" w:cs="Times New Roman"/>
        </w:rPr>
        <w:t>1</w:t>
      </w:r>
      <w:r w:rsidRPr="00E05024">
        <w:rPr>
          <w:rFonts w:ascii="Times New Roman" w:hAnsi="Times New Roman" w:cs="Times New Roman"/>
        </w:rPr>
        <w:t>个</w:t>
      </w:r>
      <w:r w:rsidRPr="00E05024">
        <w:rPr>
          <w:rFonts w:ascii="Times New Roman" w:hAnsi="Times New Roman" w:cs="Times New Roman"/>
        </w:rPr>
        <w:t>P3</w:t>
      </w:r>
      <w:r w:rsidRPr="00E05024">
        <w:rPr>
          <w:rFonts w:ascii="Times New Roman" w:hAnsi="Times New Roman" w:cs="Times New Roman"/>
        </w:rPr>
        <w:t>、</w:t>
      </w:r>
      <w:r w:rsidRPr="00E05024">
        <w:rPr>
          <w:rFonts w:ascii="Times New Roman" w:hAnsi="Times New Roman" w:cs="Times New Roman"/>
        </w:rPr>
        <w:t>1</w:t>
      </w:r>
      <w:r w:rsidRPr="00E05024">
        <w:rPr>
          <w:rFonts w:ascii="Times New Roman" w:hAnsi="Times New Roman" w:cs="Times New Roman"/>
        </w:rPr>
        <w:t>个</w:t>
      </w:r>
      <w:r w:rsidRPr="00E05024">
        <w:rPr>
          <w:rFonts w:ascii="Times New Roman" w:hAnsi="Times New Roman" w:cs="Times New Roman"/>
        </w:rPr>
        <w:t>P2</w:t>
      </w:r>
      <w:r w:rsidRPr="00E05024">
        <w:rPr>
          <w:rFonts w:ascii="Times New Roman" w:hAnsi="Times New Roman" w:cs="Times New Roman"/>
        </w:rPr>
        <w:t>和</w:t>
      </w:r>
      <w:r w:rsidRPr="00E05024">
        <w:rPr>
          <w:rFonts w:ascii="Times New Roman" w:hAnsi="Times New Roman" w:cs="Times New Roman"/>
        </w:rPr>
        <w:t>1</w:t>
      </w:r>
      <w:r w:rsidRPr="00E05024">
        <w:rPr>
          <w:rFonts w:ascii="Times New Roman" w:hAnsi="Times New Roman" w:cs="Times New Roman"/>
        </w:rPr>
        <w:t>个</w:t>
      </w:r>
      <w:r w:rsidRPr="00E05024">
        <w:rPr>
          <w:rFonts w:ascii="Times New Roman" w:hAnsi="Times New Roman" w:cs="Times New Roman"/>
        </w:rPr>
        <w:t>G5</w:t>
      </w:r>
      <w:r w:rsidRPr="00E05024">
        <w:rPr>
          <w:rFonts w:ascii="Times New Roman" w:hAnsi="Times New Roman" w:cs="Times New Roman"/>
        </w:rPr>
        <w:t>），用于成立一个实施国际援助机制的专门团队（第</w:t>
      </w:r>
      <w:hyperlink r:id="rId21" w:history="1">
        <w:r w:rsidRPr="00E05024">
          <w:rPr>
            <w:rStyle w:val="Lienhypertexte"/>
            <w:rFonts w:ascii="Times New Roman" w:hAnsi="Times New Roman" w:cs="Times New Roman"/>
          </w:rPr>
          <w:t>7.GA 8</w:t>
        </w:r>
      </w:hyperlink>
      <w:r w:rsidRPr="00E05024">
        <w:rPr>
          <w:rFonts w:ascii="Times New Roman" w:hAnsi="Times New Roman" w:cs="Times New Roman"/>
        </w:rPr>
        <w:t>号决议）。</w:t>
      </w:r>
      <w:r w:rsidRPr="00E05024">
        <w:rPr>
          <w:rFonts w:ascii="Times New Roman" w:hAnsi="Times New Roman" w:cs="Times New Roman"/>
        </w:rPr>
        <w:t>“</w:t>
      </w:r>
      <w:r w:rsidRPr="00E05024">
        <w:rPr>
          <w:rFonts w:ascii="Times New Roman" w:hAnsi="Times New Roman" w:cs="Times New Roman"/>
        </w:rPr>
        <w:t>保护工作落实与监督（</w:t>
      </w:r>
      <w:r w:rsidRPr="00E05024">
        <w:rPr>
          <w:rFonts w:ascii="Times New Roman" w:hAnsi="Times New Roman" w:cs="Times New Roman"/>
        </w:rPr>
        <w:t>SIM</w:t>
      </w:r>
      <w:r w:rsidRPr="00E05024">
        <w:rPr>
          <w:rFonts w:ascii="Times New Roman" w:hAnsi="Times New Roman" w:cs="Times New Roman"/>
        </w:rPr>
        <w:t>）队组</w:t>
      </w:r>
      <w:r w:rsidRPr="00E05024">
        <w:rPr>
          <w:rFonts w:ascii="Times New Roman" w:hAnsi="Times New Roman" w:cs="Times New Roman"/>
        </w:rPr>
        <w:t>”</w:t>
      </w:r>
      <w:r w:rsidRPr="00E05024">
        <w:rPr>
          <w:rFonts w:ascii="Times New Roman" w:hAnsi="Times New Roman" w:cs="Times New Roman"/>
        </w:rPr>
        <w:t>于</w:t>
      </w:r>
      <w:r w:rsidRPr="00E05024">
        <w:rPr>
          <w:rFonts w:ascii="Times New Roman" w:hAnsi="Times New Roman" w:cs="Times New Roman"/>
        </w:rPr>
        <w:t>2020</w:t>
      </w:r>
      <w:r w:rsidRPr="00E05024">
        <w:rPr>
          <w:rFonts w:ascii="Times New Roman" w:hAnsi="Times New Roman" w:cs="Times New Roman"/>
        </w:rPr>
        <w:t>年</w:t>
      </w:r>
      <w:r w:rsidRPr="00E05024">
        <w:rPr>
          <w:rFonts w:ascii="Times New Roman" w:hAnsi="Times New Roman" w:cs="Times New Roman"/>
        </w:rPr>
        <w:t>2</w:t>
      </w:r>
      <w:r w:rsidRPr="00E05024">
        <w:rPr>
          <w:rFonts w:ascii="Times New Roman" w:hAnsi="Times New Roman" w:cs="Times New Roman"/>
        </w:rPr>
        <w:t>月成立。建议拨出基金资源的约</w:t>
      </w:r>
      <w:r w:rsidRPr="00E05024">
        <w:rPr>
          <w:rFonts w:ascii="Times New Roman" w:hAnsi="Times New Roman" w:cs="Times New Roman"/>
        </w:rPr>
        <w:t>12.3%</w:t>
      </w:r>
      <w:r w:rsidRPr="00E05024">
        <w:rPr>
          <w:rFonts w:ascii="Times New Roman" w:hAnsi="Times New Roman" w:cs="Times New Roman"/>
        </w:rPr>
        <w:t>用于</w:t>
      </w:r>
      <w:r w:rsidR="00F3402B">
        <w:rPr>
          <w:rFonts w:ascii="Times New Roman" w:hAnsi="Times New Roman" w:cs="Times New Roman" w:hint="eastAsia"/>
        </w:rPr>
        <w:t>支付</w:t>
      </w:r>
      <w:r w:rsidRPr="00E05024">
        <w:rPr>
          <w:rFonts w:ascii="Times New Roman" w:hAnsi="Times New Roman" w:cs="Times New Roman"/>
        </w:rPr>
        <w:t>这三个</w:t>
      </w:r>
      <w:r w:rsidR="00F3402B">
        <w:rPr>
          <w:rFonts w:ascii="Times New Roman" w:hAnsi="Times New Roman" w:cs="Times New Roman" w:hint="eastAsia"/>
        </w:rPr>
        <w:t>职位</w:t>
      </w:r>
      <w:r w:rsidRPr="00E05024">
        <w:rPr>
          <w:rFonts w:ascii="Times New Roman" w:hAnsi="Times New Roman" w:cs="Times New Roman"/>
        </w:rPr>
        <w:t>的实际费用（</w:t>
      </w:r>
      <w:r w:rsidRPr="00E05024">
        <w:rPr>
          <w:rFonts w:ascii="Times New Roman" w:hAnsi="Times New Roman" w:cs="Times New Roman"/>
          <w:b/>
        </w:rPr>
        <w:t>预算项目</w:t>
      </w:r>
      <w:r w:rsidRPr="00E05024">
        <w:rPr>
          <w:rFonts w:ascii="Times New Roman" w:hAnsi="Times New Roman" w:cs="Times New Roman"/>
          <w:b/>
        </w:rPr>
        <w:t>1.1</w:t>
      </w:r>
      <w:r w:rsidRPr="00E05024">
        <w:rPr>
          <w:rFonts w:ascii="Times New Roman" w:hAnsi="Times New Roman" w:cs="Times New Roman"/>
        </w:rPr>
        <w:t>），而该比例在</w:t>
      </w:r>
      <w:r w:rsidRPr="00E05024">
        <w:rPr>
          <w:rFonts w:ascii="Times New Roman" w:hAnsi="Times New Roman" w:cs="Times New Roman"/>
        </w:rPr>
        <w:t>2022–2023</w:t>
      </w:r>
      <w:r w:rsidRPr="00E05024">
        <w:rPr>
          <w:rFonts w:ascii="Times New Roman" w:hAnsi="Times New Roman" w:cs="Times New Roman"/>
        </w:rPr>
        <w:t>两年期为</w:t>
      </w:r>
      <w:r w:rsidRPr="00E05024">
        <w:rPr>
          <w:rFonts w:ascii="Times New Roman" w:hAnsi="Times New Roman" w:cs="Times New Roman"/>
        </w:rPr>
        <w:t>10%</w:t>
      </w:r>
      <w:r w:rsidRPr="00E05024">
        <w:rPr>
          <w:rFonts w:ascii="Times New Roman" w:hAnsi="Times New Roman" w:cs="Times New Roman"/>
        </w:rPr>
        <w:t>。</w:t>
      </w:r>
    </w:p>
    <w:p w14:paraId="792CF67D" w14:textId="085B340F" w:rsidR="00CA352E" w:rsidRPr="00E05024" w:rsidRDefault="00CA352E" w:rsidP="00CA352E">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此外，建议将</w:t>
      </w:r>
      <w:r w:rsidRPr="00E05024">
        <w:rPr>
          <w:rFonts w:ascii="Times New Roman" w:hAnsi="Times New Roman" w:cs="Times New Roman"/>
        </w:rPr>
        <w:t>2.8%</w:t>
      </w:r>
      <w:r w:rsidRPr="00E05024">
        <w:rPr>
          <w:rFonts w:ascii="Times New Roman" w:hAnsi="Times New Roman" w:cs="Times New Roman"/>
        </w:rPr>
        <w:t>的资金编入预算，用于提供筹备性援助（</w:t>
      </w:r>
      <w:r w:rsidRPr="00E05024">
        <w:rPr>
          <w:rFonts w:ascii="Times New Roman" w:hAnsi="Times New Roman" w:cs="Times New Roman"/>
          <w:b/>
        </w:rPr>
        <w:t>预算项目</w:t>
      </w:r>
      <w:r w:rsidRPr="00E05024">
        <w:rPr>
          <w:rFonts w:ascii="Times New Roman" w:hAnsi="Times New Roman" w:cs="Times New Roman"/>
          <w:b/>
        </w:rPr>
        <w:t>2</w:t>
      </w:r>
      <w:r w:rsidRPr="00E05024">
        <w:rPr>
          <w:rFonts w:ascii="Times New Roman" w:hAnsi="Times New Roman" w:cs="Times New Roman"/>
        </w:rPr>
        <w:t>）。建议与本两年期（</w:t>
      </w:r>
      <w:r w:rsidRPr="00E05024">
        <w:rPr>
          <w:rFonts w:ascii="Times New Roman" w:hAnsi="Times New Roman" w:cs="Times New Roman"/>
        </w:rPr>
        <w:t>2.6%</w:t>
      </w:r>
      <w:r w:rsidRPr="00E05024">
        <w:rPr>
          <w:rFonts w:ascii="Times New Roman" w:hAnsi="Times New Roman" w:cs="Times New Roman"/>
        </w:rPr>
        <w:t>）相比略有增加，原因是将筹备性援助机制扩大到没有列入代表名录的</w:t>
      </w:r>
      <w:r w:rsidR="0010555E">
        <w:rPr>
          <w:rFonts w:ascii="Times New Roman" w:hAnsi="Times New Roman" w:cs="Times New Roman" w:hint="eastAsia"/>
        </w:rPr>
        <w:t>单独申报</w:t>
      </w:r>
      <w:r w:rsidRPr="00E05024">
        <w:rPr>
          <w:rFonts w:ascii="Times New Roman" w:hAnsi="Times New Roman" w:cs="Times New Roman"/>
        </w:rPr>
        <w:t>遗产项目并且希望在编制申报材料方面受益于国际援助的缔约国可能会产生的潜在额外费用（第</w:t>
      </w:r>
      <w:hyperlink r:id="rId22" w:history="1">
        <w:r w:rsidRPr="00E05024">
          <w:rPr>
            <w:rStyle w:val="Lienhypertexte"/>
            <w:rFonts w:ascii="Times New Roman" w:hAnsi="Times New Roman" w:cs="Times New Roman"/>
          </w:rPr>
          <w:t>18.COM 10</w:t>
        </w:r>
      </w:hyperlink>
      <w:r w:rsidRPr="00E05024">
        <w:rPr>
          <w:rFonts w:ascii="Times New Roman" w:hAnsi="Times New Roman" w:cs="Times New Roman"/>
        </w:rPr>
        <w:t>号决定）。如果大会核准项目</w:t>
      </w:r>
      <w:r w:rsidRPr="00E05024">
        <w:rPr>
          <w:rFonts w:ascii="Times New Roman" w:hAnsi="Times New Roman" w:cs="Times New Roman"/>
        </w:rPr>
        <w:t>7</w:t>
      </w:r>
      <w:r w:rsidRPr="00E05024">
        <w:rPr>
          <w:rFonts w:ascii="Times New Roman" w:hAnsi="Times New Roman" w:cs="Times New Roman"/>
        </w:rPr>
        <w:t>下的</w:t>
      </w:r>
      <w:r w:rsidRPr="00E05024">
        <w:rPr>
          <w:rFonts w:ascii="Times New Roman" w:hAnsi="Times New Roman" w:cs="Times New Roman"/>
        </w:rPr>
        <w:t>“</w:t>
      </w:r>
      <w:r w:rsidRPr="00E05024">
        <w:rPr>
          <w:rFonts w:ascii="Times New Roman" w:hAnsi="Times New Roman" w:cs="Times New Roman"/>
        </w:rPr>
        <w:t>对执行《公约》业务指南的拟议修订</w:t>
      </w:r>
      <w:r w:rsidRPr="00E05024">
        <w:rPr>
          <w:rFonts w:ascii="Times New Roman" w:hAnsi="Times New Roman" w:cs="Times New Roman"/>
        </w:rPr>
        <w:t>”</w:t>
      </w:r>
      <w:r w:rsidRPr="00E05024">
        <w:rPr>
          <w:rFonts w:ascii="Times New Roman" w:hAnsi="Times New Roman" w:cs="Times New Roman"/>
        </w:rPr>
        <w:t>，则建议的增加拨款将能够为秘书处在</w:t>
      </w:r>
      <w:r w:rsidRPr="00E05024">
        <w:rPr>
          <w:rFonts w:ascii="Times New Roman" w:hAnsi="Times New Roman" w:cs="Times New Roman"/>
        </w:rPr>
        <w:t>2024-2025</w:t>
      </w:r>
      <w:r w:rsidRPr="00E05024">
        <w:rPr>
          <w:rFonts w:ascii="Times New Roman" w:hAnsi="Times New Roman" w:cs="Times New Roman"/>
        </w:rPr>
        <w:t>两年期可能收到的初始数量的申请提供此类援助。</w:t>
      </w:r>
      <w:r w:rsidRPr="00E05024">
        <w:rPr>
          <w:rFonts w:ascii="Times New Roman" w:hAnsi="Times New Roman" w:cs="Times New Roman"/>
        </w:rPr>
        <w:lastRenderedPageBreak/>
        <w:t>除了</w:t>
      </w:r>
      <w:r w:rsidR="0027170F" w:rsidRPr="00E05024">
        <w:rPr>
          <w:rFonts w:ascii="Times New Roman" w:hAnsi="Times New Roman" w:cs="Times New Roman"/>
        </w:rPr>
        <w:t>当前</w:t>
      </w:r>
      <w:r w:rsidRPr="00E05024">
        <w:rPr>
          <w:rFonts w:ascii="Times New Roman" w:hAnsi="Times New Roman" w:cs="Times New Roman"/>
        </w:rPr>
        <w:t>对申报材料的筹备性援助</w:t>
      </w:r>
      <w:r w:rsidR="0027170F">
        <w:rPr>
          <w:rStyle w:val="Appelnotedebasdep"/>
          <w:rFonts w:ascii="Times New Roman" w:hAnsi="Times New Roman" w:cs="Times New Roman"/>
        </w:rPr>
        <w:footnoteReference w:id="3"/>
      </w:r>
      <w:r w:rsidRPr="00E05024">
        <w:rPr>
          <w:rFonts w:ascii="Times New Roman" w:hAnsi="Times New Roman" w:cs="Times New Roman"/>
        </w:rPr>
        <w:t>和上述拟议的可能性以外，该预算项目还涵盖向各缔约国提供技术援助以编写国际援助申请的费用。</w:t>
      </w:r>
    </w:p>
    <w:p w14:paraId="7E71A812" w14:textId="31950985" w:rsidR="00CA352E" w:rsidRPr="00E05024" w:rsidRDefault="00CA352E" w:rsidP="00CA352E">
      <w:pPr>
        <w:pStyle w:val="COMPara"/>
        <w:numPr>
          <w:ilvl w:val="0"/>
          <w:numId w:val="0"/>
        </w:numPr>
        <w:ind w:left="567"/>
        <w:jc w:val="both"/>
        <w:rPr>
          <w:rFonts w:ascii="Times New Roman" w:hAnsi="Times New Roman" w:cs="Times New Roman"/>
          <w:b/>
          <w:bCs/>
        </w:rPr>
      </w:pPr>
      <w:r w:rsidRPr="00E05024">
        <w:rPr>
          <w:rFonts w:ascii="Times New Roman" w:hAnsi="Times New Roman" w:cs="Times New Roman"/>
          <w:b/>
        </w:rPr>
        <w:t>委员会的其他职能</w:t>
      </w:r>
    </w:p>
    <w:p w14:paraId="4A7BF624" w14:textId="7CC27916" w:rsidR="005045C4" w:rsidRPr="00E05024" w:rsidRDefault="005045C4" w:rsidP="005045C4">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b/>
        </w:rPr>
        <w:t>预算项目</w:t>
      </w:r>
      <w:r w:rsidRPr="00E05024">
        <w:rPr>
          <w:rFonts w:ascii="Times New Roman" w:hAnsi="Times New Roman" w:cs="Times New Roman"/>
          <w:b/>
        </w:rPr>
        <w:t>3</w:t>
      </w:r>
      <w:r w:rsidRPr="00E05024">
        <w:rPr>
          <w:rFonts w:ascii="Times New Roman" w:hAnsi="Times New Roman" w:cs="Times New Roman"/>
        </w:rPr>
        <w:t>（</w:t>
      </w:r>
      <w:r w:rsidRPr="00E05024">
        <w:rPr>
          <w:rFonts w:ascii="Times New Roman" w:hAnsi="Times New Roman" w:cs="Times New Roman"/>
        </w:rPr>
        <w:t>“</w:t>
      </w:r>
      <w:r w:rsidRPr="00E05024">
        <w:rPr>
          <w:rFonts w:ascii="Times New Roman" w:hAnsi="Times New Roman" w:cs="Times New Roman"/>
        </w:rPr>
        <w:t>委员会的其他职能</w:t>
      </w:r>
      <w:r w:rsidRPr="00E05024">
        <w:rPr>
          <w:rFonts w:ascii="Times New Roman" w:hAnsi="Times New Roman" w:cs="Times New Roman"/>
        </w:rPr>
        <w:t>”</w:t>
      </w:r>
      <w:r w:rsidRPr="00E05024">
        <w:rPr>
          <w:rFonts w:ascii="Times New Roman" w:hAnsi="Times New Roman" w:cs="Times New Roman"/>
        </w:rPr>
        <w:t>）将维持在</w:t>
      </w:r>
      <w:r w:rsidRPr="00E05024">
        <w:rPr>
          <w:rFonts w:ascii="Times New Roman" w:hAnsi="Times New Roman" w:cs="Times New Roman"/>
        </w:rPr>
        <w:t>20%</w:t>
      </w:r>
      <w:r w:rsidRPr="00E05024">
        <w:rPr>
          <w:rFonts w:ascii="Times New Roman" w:hAnsi="Times New Roman" w:cs="Times New Roman"/>
        </w:rPr>
        <w:t>，以加强在本两年期内启动的工作。这些职能在《公约》第七条下列出，秘书处可以利用这些资金，按照《公约》第十条的要求，协助委员会履行这些职能。换言之，这些资金将主要用于旨在推广《公约》目标的上游和跨部门行动，鼓励和监测《公约》实施情况（第</w:t>
      </w:r>
      <w:r w:rsidRPr="00E05024">
        <w:rPr>
          <w:rFonts w:ascii="Times New Roman" w:hAnsi="Times New Roman" w:cs="Times New Roman"/>
        </w:rPr>
        <w:t>7[a]</w:t>
      </w:r>
      <w:r w:rsidRPr="00E05024">
        <w:rPr>
          <w:rFonts w:ascii="Times New Roman" w:hAnsi="Times New Roman" w:cs="Times New Roman"/>
        </w:rPr>
        <w:t>条），并就保护非物质文化遗产的措施提供指导（第</w:t>
      </w:r>
      <w:r w:rsidRPr="00E05024">
        <w:rPr>
          <w:rFonts w:ascii="Times New Roman" w:hAnsi="Times New Roman" w:cs="Times New Roman"/>
        </w:rPr>
        <w:t>7[b]</w:t>
      </w:r>
      <w:r w:rsidRPr="00E05024">
        <w:rPr>
          <w:rFonts w:ascii="Times New Roman" w:hAnsi="Times New Roman" w:cs="Times New Roman"/>
        </w:rPr>
        <w:t>条）。</w:t>
      </w:r>
      <w:r w:rsidR="00243628">
        <w:rPr>
          <w:rFonts w:ascii="Times New Roman" w:hAnsi="Times New Roman" w:cs="Times New Roman" w:hint="eastAsia"/>
          <w:lang w:val="en-US"/>
        </w:rPr>
        <w:t>值得注意的是</w:t>
      </w:r>
      <w:r w:rsidRPr="00E05024">
        <w:rPr>
          <w:rFonts w:ascii="Times New Roman" w:hAnsi="Times New Roman" w:cs="Times New Roman"/>
        </w:rPr>
        <w:t>，如果拨款</w:t>
      </w:r>
      <w:r w:rsidR="00243628" w:rsidRPr="00E05024">
        <w:rPr>
          <w:rFonts w:ascii="Times New Roman" w:hAnsi="Times New Roman" w:cs="Times New Roman"/>
        </w:rPr>
        <w:t>的百分比</w:t>
      </w:r>
      <w:r w:rsidRPr="00E05024">
        <w:rPr>
          <w:rFonts w:ascii="Times New Roman" w:hAnsi="Times New Roman" w:cs="Times New Roman"/>
        </w:rPr>
        <w:t>保持不变，由于</w:t>
      </w:r>
      <w:r w:rsidRPr="00E05024">
        <w:rPr>
          <w:rFonts w:ascii="Times New Roman" w:hAnsi="Times New Roman" w:cs="Times New Roman"/>
        </w:rPr>
        <w:t>2024-2025</w:t>
      </w:r>
      <w:r w:rsidRPr="00E05024">
        <w:rPr>
          <w:rFonts w:ascii="Times New Roman" w:hAnsi="Times New Roman" w:cs="Times New Roman"/>
        </w:rPr>
        <w:t>年可用金额的减少，预算项目</w:t>
      </w:r>
      <w:r w:rsidRPr="00E05024">
        <w:rPr>
          <w:rFonts w:ascii="Times New Roman" w:hAnsi="Times New Roman" w:cs="Times New Roman"/>
        </w:rPr>
        <w:t>3</w:t>
      </w:r>
      <w:r w:rsidRPr="00E05024">
        <w:rPr>
          <w:rFonts w:ascii="Times New Roman" w:hAnsi="Times New Roman" w:cs="Times New Roman"/>
        </w:rPr>
        <w:t>的名义金额会减少。</w:t>
      </w:r>
      <w:r w:rsidRPr="00E05024">
        <w:rPr>
          <w:rFonts w:ascii="Times New Roman" w:hAnsi="Times New Roman" w:cs="Times New Roman"/>
        </w:rPr>
        <w:t xml:space="preserve"> </w:t>
      </w:r>
    </w:p>
    <w:p w14:paraId="71E98F16" w14:textId="4BAC4BC2" w:rsidR="005045C4" w:rsidRPr="00E05024" w:rsidRDefault="005045C4" w:rsidP="005045C4">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根据第</w:t>
      </w:r>
      <w:hyperlink r:id="rId23" w:history="1">
        <w:r w:rsidRPr="00E05024">
          <w:rPr>
            <w:rStyle w:val="Lienhypertexte"/>
            <w:rFonts w:ascii="Times New Roman" w:hAnsi="Times New Roman" w:cs="Times New Roman"/>
          </w:rPr>
          <w:t>14.COM</w:t>
        </w:r>
        <w:r w:rsidR="00243628">
          <w:rPr>
            <w:rStyle w:val="Lienhypertexte"/>
            <w:rFonts w:ascii="Times New Roman" w:hAnsi="Times New Roman" w:cs="Times New Roman" w:hint="eastAsia"/>
          </w:rPr>
          <w:t>.</w:t>
        </w:r>
        <w:r w:rsidRPr="00E05024">
          <w:rPr>
            <w:rStyle w:val="Lienhypertexte"/>
            <w:rFonts w:ascii="Times New Roman" w:hAnsi="Times New Roman" w:cs="Times New Roman"/>
          </w:rPr>
          <w:t>7</w:t>
        </w:r>
      </w:hyperlink>
      <w:r w:rsidRPr="00E05024">
        <w:rPr>
          <w:rFonts w:ascii="Times New Roman" w:hAnsi="Times New Roman" w:cs="Times New Roman"/>
        </w:rPr>
        <w:t>号决定，向委员会提交的拟议计划包括预算项目</w:t>
      </w:r>
      <w:r w:rsidRPr="00E05024">
        <w:rPr>
          <w:rFonts w:ascii="Times New Roman" w:hAnsi="Times New Roman" w:cs="Times New Roman"/>
        </w:rPr>
        <w:t>3</w:t>
      </w:r>
      <w:r w:rsidRPr="00E05024">
        <w:rPr>
          <w:rFonts w:ascii="Times New Roman" w:hAnsi="Times New Roman" w:cs="Times New Roman"/>
        </w:rPr>
        <w:t>下根据</w:t>
      </w:r>
      <w:r w:rsidRPr="00E05024">
        <w:rPr>
          <w:rFonts w:ascii="Times New Roman" w:hAnsi="Times New Roman" w:cs="Times New Roman"/>
        </w:rPr>
        <w:t>C/5</w:t>
      </w:r>
      <w:r w:rsidRPr="00E05024">
        <w:rPr>
          <w:rFonts w:ascii="Times New Roman" w:hAnsi="Times New Roman" w:cs="Times New Roman"/>
        </w:rPr>
        <w:t>中批准的产出按预期结果（</w:t>
      </w:r>
      <w:r w:rsidRPr="00E05024">
        <w:rPr>
          <w:rFonts w:ascii="Times New Roman" w:hAnsi="Times New Roman" w:cs="Times New Roman"/>
        </w:rPr>
        <w:t>ER</w:t>
      </w:r>
      <w:r w:rsidRPr="00E05024">
        <w:rPr>
          <w:rFonts w:ascii="Times New Roman" w:hAnsi="Times New Roman" w:cs="Times New Roman"/>
        </w:rPr>
        <w:t>）分列的百分比，以便提交大会下届会议批准。该计划提议将预算项目</w:t>
      </w:r>
      <w:r w:rsidRPr="00E05024">
        <w:rPr>
          <w:rFonts w:ascii="Times New Roman" w:hAnsi="Times New Roman" w:cs="Times New Roman"/>
        </w:rPr>
        <w:t>3</w:t>
      </w:r>
      <w:r w:rsidRPr="00E05024">
        <w:rPr>
          <w:rFonts w:ascii="Times New Roman" w:hAnsi="Times New Roman" w:cs="Times New Roman"/>
        </w:rPr>
        <w:t>分为两个预期结果，而不是上一两年期的四个预期结果，以使秘书处开展的活动与批准的</w:t>
      </w:r>
      <w:r w:rsidRPr="00E05024">
        <w:rPr>
          <w:rFonts w:ascii="Times New Roman" w:hAnsi="Times New Roman" w:cs="Times New Roman"/>
        </w:rPr>
        <w:t xml:space="preserve"> </w:t>
      </w:r>
      <w:hyperlink r:id="rId24" w:anchor="%5B%7B%22num%22%3A96%2C%22gen%22%3A0%7D%2C%7B%22name%22%3A%22XYZ%22%7D%2C54%2C771%2C0%5D" w:history="1">
        <w:r w:rsidRPr="00E05024">
          <w:rPr>
            <w:rStyle w:val="Lienhypertexte"/>
            <w:rFonts w:ascii="Times New Roman" w:hAnsi="Times New Roman" w:cs="Times New Roman"/>
          </w:rPr>
          <w:t>42 C/5</w:t>
        </w:r>
      </w:hyperlink>
      <w:r w:rsidRPr="00E05024">
        <w:rPr>
          <w:rFonts w:ascii="Times New Roman" w:hAnsi="Times New Roman" w:cs="Times New Roman"/>
        </w:rPr>
        <w:t>（重大计划</w:t>
      </w:r>
      <w:r w:rsidRPr="00E05024">
        <w:rPr>
          <w:rFonts w:ascii="Times New Roman" w:hAnsi="Times New Roman" w:cs="Times New Roman"/>
        </w:rPr>
        <w:t>IV</w:t>
      </w:r>
      <w:r w:rsidRPr="00E05024">
        <w:rPr>
          <w:rFonts w:ascii="Times New Roman" w:hAnsi="Times New Roman" w:cs="Times New Roman"/>
        </w:rPr>
        <w:t>：文化，成果</w:t>
      </w:r>
      <w:r w:rsidRPr="00E05024">
        <w:rPr>
          <w:rFonts w:ascii="Times New Roman" w:hAnsi="Times New Roman" w:cs="Times New Roman"/>
        </w:rPr>
        <w:t>5</w:t>
      </w:r>
      <w:r w:rsidRPr="00E05024">
        <w:rPr>
          <w:rFonts w:ascii="Times New Roman" w:hAnsi="Times New Roman" w:cs="Times New Roman"/>
        </w:rPr>
        <w:t>，产出</w:t>
      </w:r>
      <w:r w:rsidRPr="00E05024">
        <w:rPr>
          <w:rFonts w:ascii="Times New Roman" w:hAnsi="Times New Roman" w:cs="Times New Roman"/>
        </w:rPr>
        <w:t>5.CLT4“</w:t>
      </w:r>
      <w:r w:rsidRPr="00E05024">
        <w:rPr>
          <w:rFonts w:ascii="Times New Roman" w:hAnsi="Times New Roman" w:cs="Times New Roman"/>
        </w:rPr>
        <w:t>会员国和社区更有能力</w:t>
      </w:r>
      <w:r w:rsidR="00243628">
        <w:rPr>
          <w:rFonts w:ascii="Times New Roman" w:hAnsi="Times New Roman" w:cs="Times New Roman" w:hint="eastAsia"/>
        </w:rPr>
        <w:t>确认</w:t>
      </w:r>
      <w:r w:rsidRPr="00E05024">
        <w:rPr>
          <w:rFonts w:ascii="Times New Roman" w:hAnsi="Times New Roman" w:cs="Times New Roman"/>
        </w:rPr>
        <w:t>、保护和促进活态遗产</w:t>
      </w:r>
      <w:r w:rsidRPr="00E05024">
        <w:rPr>
          <w:rFonts w:ascii="Times New Roman" w:hAnsi="Times New Roman" w:cs="Times New Roman"/>
        </w:rPr>
        <w:t>”</w:t>
      </w:r>
      <w:r w:rsidRPr="00E05024">
        <w:rPr>
          <w:rFonts w:ascii="Times New Roman" w:hAnsi="Times New Roman" w:cs="Times New Roman"/>
        </w:rPr>
        <w:t>）中规定的两项业绩指标保持一致。两个拟议预期结果之间的预算拨款重新分配以批准的上一两年期重新分配为基础，新预期结果</w:t>
      </w:r>
      <w:r w:rsidRPr="00E05024">
        <w:rPr>
          <w:rFonts w:ascii="Times New Roman" w:hAnsi="Times New Roman" w:cs="Times New Roman"/>
        </w:rPr>
        <w:t>1</w:t>
      </w:r>
      <w:r w:rsidRPr="00E05024">
        <w:rPr>
          <w:rFonts w:ascii="Times New Roman" w:hAnsi="Times New Roman" w:cs="Times New Roman"/>
        </w:rPr>
        <w:t>的分配（</w:t>
      </w:r>
      <w:r w:rsidRPr="00E05024">
        <w:rPr>
          <w:rFonts w:ascii="Times New Roman" w:hAnsi="Times New Roman" w:cs="Times New Roman"/>
        </w:rPr>
        <w:t>52%</w:t>
      </w:r>
      <w:r w:rsidRPr="00E05024">
        <w:rPr>
          <w:rFonts w:ascii="Times New Roman" w:hAnsi="Times New Roman" w:cs="Times New Roman"/>
        </w:rPr>
        <w:t>）是先前预期结果</w:t>
      </w:r>
      <w:r w:rsidRPr="00E05024">
        <w:rPr>
          <w:rFonts w:ascii="Times New Roman" w:hAnsi="Times New Roman" w:cs="Times New Roman"/>
        </w:rPr>
        <w:t>2</w:t>
      </w:r>
      <w:r w:rsidRPr="00E05024">
        <w:rPr>
          <w:rFonts w:ascii="Times New Roman" w:hAnsi="Times New Roman" w:cs="Times New Roman"/>
        </w:rPr>
        <w:t>和</w:t>
      </w:r>
      <w:r w:rsidRPr="00E05024">
        <w:rPr>
          <w:rFonts w:ascii="Times New Roman" w:hAnsi="Times New Roman" w:cs="Times New Roman"/>
        </w:rPr>
        <w:t>3</w:t>
      </w:r>
      <w:r w:rsidRPr="00E05024">
        <w:rPr>
          <w:rFonts w:ascii="Times New Roman" w:hAnsi="Times New Roman" w:cs="Times New Roman"/>
        </w:rPr>
        <w:t>的结合（分别为</w:t>
      </w:r>
      <w:r w:rsidRPr="00E05024">
        <w:rPr>
          <w:rFonts w:ascii="Times New Roman" w:hAnsi="Times New Roman" w:cs="Times New Roman"/>
        </w:rPr>
        <w:t>33%</w:t>
      </w:r>
      <w:r w:rsidRPr="00E05024">
        <w:rPr>
          <w:rFonts w:ascii="Times New Roman" w:hAnsi="Times New Roman" w:cs="Times New Roman"/>
        </w:rPr>
        <w:t>和</w:t>
      </w:r>
      <w:r w:rsidRPr="00E05024">
        <w:rPr>
          <w:rFonts w:ascii="Times New Roman" w:hAnsi="Times New Roman" w:cs="Times New Roman"/>
        </w:rPr>
        <w:t>19%</w:t>
      </w:r>
      <w:r w:rsidRPr="00E05024">
        <w:rPr>
          <w:rFonts w:ascii="Times New Roman" w:hAnsi="Times New Roman" w:cs="Times New Roman"/>
        </w:rPr>
        <w:t>），而新预期结果</w:t>
      </w:r>
      <w:r w:rsidRPr="00E05024">
        <w:rPr>
          <w:rFonts w:ascii="Times New Roman" w:hAnsi="Times New Roman" w:cs="Times New Roman"/>
        </w:rPr>
        <w:t>2</w:t>
      </w:r>
      <w:r w:rsidRPr="00E05024">
        <w:rPr>
          <w:rFonts w:ascii="Times New Roman" w:hAnsi="Times New Roman" w:cs="Times New Roman"/>
        </w:rPr>
        <w:t>的分配（</w:t>
      </w:r>
      <w:r w:rsidRPr="00E05024">
        <w:rPr>
          <w:rFonts w:ascii="Times New Roman" w:hAnsi="Times New Roman" w:cs="Times New Roman"/>
        </w:rPr>
        <w:t>48%</w:t>
      </w:r>
      <w:r w:rsidRPr="00E05024">
        <w:rPr>
          <w:rFonts w:ascii="Times New Roman" w:hAnsi="Times New Roman" w:cs="Times New Roman"/>
        </w:rPr>
        <w:t>）相当于上一个两年期以前的预期结果</w:t>
      </w:r>
      <w:r w:rsidRPr="00E05024">
        <w:rPr>
          <w:rFonts w:ascii="Times New Roman" w:hAnsi="Times New Roman" w:cs="Times New Roman"/>
        </w:rPr>
        <w:t>1</w:t>
      </w:r>
      <w:r w:rsidRPr="00E05024">
        <w:rPr>
          <w:rFonts w:ascii="Times New Roman" w:hAnsi="Times New Roman" w:cs="Times New Roman"/>
        </w:rPr>
        <w:t>和</w:t>
      </w:r>
      <w:r w:rsidRPr="00E05024">
        <w:rPr>
          <w:rFonts w:ascii="Times New Roman" w:hAnsi="Times New Roman" w:cs="Times New Roman"/>
        </w:rPr>
        <w:t>4</w:t>
      </w:r>
      <w:r w:rsidRPr="00E05024">
        <w:rPr>
          <w:rFonts w:ascii="Times New Roman" w:hAnsi="Times New Roman" w:cs="Times New Roman"/>
        </w:rPr>
        <w:t>的结合（分别为</w:t>
      </w:r>
      <w:r w:rsidRPr="00E05024">
        <w:rPr>
          <w:rFonts w:ascii="Times New Roman" w:hAnsi="Times New Roman" w:cs="Times New Roman"/>
        </w:rPr>
        <w:t>25%</w:t>
      </w:r>
      <w:r w:rsidRPr="00E05024">
        <w:rPr>
          <w:rFonts w:ascii="Times New Roman" w:hAnsi="Times New Roman" w:cs="Times New Roman"/>
        </w:rPr>
        <w:t>和</w:t>
      </w:r>
      <w:r w:rsidRPr="00E05024">
        <w:rPr>
          <w:rFonts w:ascii="Times New Roman" w:hAnsi="Times New Roman" w:cs="Times New Roman"/>
        </w:rPr>
        <w:t>23%</w:t>
      </w:r>
      <w:r w:rsidRPr="00E05024">
        <w:rPr>
          <w:rFonts w:ascii="Times New Roman" w:hAnsi="Times New Roman" w:cs="Times New Roman"/>
        </w:rPr>
        <w:t>）：</w:t>
      </w:r>
    </w:p>
    <w:tbl>
      <w:tblPr>
        <w:tblpPr w:leftFromText="141" w:rightFromText="141" w:vertAnchor="text" w:horzAnchor="margin" w:tblpY="74"/>
        <w:tblW w:w="9638" w:type="dxa"/>
        <w:tblLayout w:type="fixed"/>
        <w:tblLook w:val="04A0" w:firstRow="1" w:lastRow="0" w:firstColumn="1" w:lastColumn="0" w:noHBand="0" w:noVBand="1"/>
      </w:tblPr>
      <w:tblGrid>
        <w:gridCol w:w="3969"/>
        <w:gridCol w:w="850"/>
        <w:gridCol w:w="3969"/>
        <w:gridCol w:w="850"/>
      </w:tblGrid>
      <w:tr w:rsidR="00573329" w:rsidRPr="00E05024" w14:paraId="404E8784" w14:textId="77777777" w:rsidTr="00C41F17">
        <w:trPr>
          <w:cantSplit/>
          <w:trHeight w:val="562"/>
        </w:trPr>
        <w:tc>
          <w:tcPr>
            <w:tcW w:w="3969" w:type="dxa"/>
            <w:shd w:val="clear" w:color="auto" w:fill="BFBFBF"/>
          </w:tcPr>
          <w:p w14:paraId="614B66CF" w14:textId="77777777" w:rsidR="00573329" w:rsidRPr="00E05024" w:rsidRDefault="00573329" w:rsidP="00C41F17">
            <w:pPr>
              <w:keepNext/>
              <w:keepLines/>
              <w:spacing w:before="60" w:after="60"/>
              <w:ind w:left="567" w:hanging="567"/>
              <w:rPr>
                <w:b/>
                <w:sz w:val="20"/>
                <w:szCs w:val="20"/>
              </w:rPr>
            </w:pPr>
            <w:r w:rsidRPr="00E05024">
              <w:rPr>
                <w:b/>
                <w:sz w:val="20"/>
              </w:rPr>
              <w:t>预期结果</w:t>
            </w:r>
          </w:p>
        </w:tc>
        <w:tc>
          <w:tcPr>
            <w:tcW w:w="850" w:type="dxa"/>
            <w:tcBorders>
              <w:right w:val="single" w:sz="4" w:space="0" w:color="auto"/>
            </w:tcBorders>
            <w:shd w:val="clear" w:color="auto" w:fill="BFBFBF"/>
            <w:vAlign w:val="center"/>
          </w:tcPr>
          <w:p w14:paraId="24B3FA74" w14:textId="043B821F" w:rsidR="00573329" w:rsidRPr="00E05024" w:rsidRDefault="00573329" w:rsidP="00C41F17">
            <w:pPr>
              <w:keepNext/>
              <w:spacing w:before="60" w:after="60"/>
              <w:ind w:left="567" w:hanging="567"/>
              <w:jc w:val="center"/>
              <w:rPr>
                <w:b/>
                <w:sz w:val="20"/>
                <w:szCs w:val="20"/>
              </w:rPr>
            </w:pPr>
            <w:r w:rsidRPr="00E05024">
              <w:rPr>
                <w:b/>
                <w:sz w:val="20"/>
              </w:rPr>
              <w:t>2022–</w:t>
            </w:r>
          </w:p>
          <w:p w14:paraId="279BF328" w14:textId="77777777" w:rsidR="00573329" w:rsidRPr="00E05024" w:rsidRDefault="00573329" w:rsidP="00C41F17">
            <w:pPr>
              <w:keepNext/>
              <w:spacing w:before="60" w:after="60"/>
              <w:ind w:left="567" w:hanging="567"/>
              <w:jc w:val="center"/>
              <w:rPr>
                <w:b/>
                <w:sz w:val="20"/>
                <w:szCs w:val="20"/>
              </w:rPr>
            </w:pPr>
            <w:r w:rsidRPr="00E05024">
              <w:rPr>
                <w:b/>
                <w:sz w:val="20"/>
              </w:rPr>
              <w:t>2023</w:t>
            </w:r>
          </w:p>
        </w:tc>
        <w:tc>
          <w:tcPr>
            <w:tcW w:w="3969" w:type="dxa"/>
            <w:tcBorders>
              <w:left w:val="single" w:sz="4" w:space="0" w:color="auto"/>
            </w:tcBorders>
            <w:shd w:val="clear" w:color="auto" w:fill="BFBFBF"/>
          </w:tcPr>
          <w:p w14:paraId="24CC1628" w14:textId="77777777" w:rsidR="00573329" w:rsidRPr="00E05024" w:rsidRDefault="00573329" w:rsidP="00C41F17">
            <w:pPr>
              <w:keepNext/>
              <w:spacing w:before="60" w:after="60"/>
              <w:ind w:left="567" w:hanging="567"/>
              <w:rPr>
                <w:b/>
                <w:sz w:val="20"/>
                <w:szCs w:val="20"/>
              </w:rPr>
            </w:pPr>
            <w:r w:rsidRPr="00E05024">
              <w:rPr>
                <w:b/>
                <w:sz w:val="20"/>
              </w:rPr>
              <w:t>预期结果</w:t>
            </w:r>
          </w:p>
        </w:tc>
        <w:tc>
          <w:tcPr>
            <w:tcW w:w="850" w:type="dxa"/>
            <w:shd w:val="clear" w:color="auto" w:fill="BFBFBF"/>
            <w:vAlign w:val="center"/>
          </w:tcPr>
          <w:p w14:paraId="447AC117" w14:textId="40A40C14" w:rsidR="00573329" w:rsidRPr="00E05024" w:rsidRDefault="00573329" w:rsidP="00C41F17">
            <w:pPr>
              <w:keepNext/>
              <w:spacing w:before="60" w:after="60"/>
              <w:ind w:left="567" w:hanging="567"/>
              <w:jc w:val="center"/>
              <w:rPr>
                <w:b/>
                <w:sz w:val="20"/>
                <w:szCs w:val="20"/>
              </w:rPr>
            </w:pPr>
            <w:r w:rsidRPr="00E05024">
              <w:rPr>
                <w:b/>
                <w:sz w:val="20"/>
              </w:rPr>
              <w:t>2024–</w:t>
            </w:r>
          </w:p>
          <w:p w14:paraId="344E70EA" w14:textId="77777777" w:rsidR="00573329" w:rsidRPr="00E05024" w:rsidRDefault="00573329" w:rsidP="00C41F17">
            <w:pPr>
              <w:keepNext/>
              <w:spacing w:before="60" w:after="60"/>
              <w:ind w:left="567" w:hanging="567"/>
              <w:jc w:val="center"/>
              <w:rPr>
                <w:b/>
                <w:sz w:val="20"/>
                <w:szCs w:val="20"/>
              </w:rPr>
            </w:pPr>
            <w:r w:rsidRPr="00E05024">
              <w:rPr>
                <w:b/>
                <w:sz w:val="20"/>
              </w:rPr>
              <w:t>2025</w:t>
            </w:r>
          </w:p>
        </w:tc>
      </w:tr>
      <w:tr w:rsidR="00573329" w:rsidRPr="00E05024" w14:paraId="014CFDDC" w14:textId="77777777" w:rsidTr="00C41F17">
        <w:trPr>
          <w:cantSplit/>
          <w:trHeight w:val="691"/>
        </w:trPr>
        <w:tc>
          <w:tcPr>
            <w:tcW w:w="3969" w:type="dxa"/>
            <w:shd w:val="clear" w:color="auto" w:fill="FDE9D9" w:themeFill="accent6" w:themeFillTint="33"/>
          </w:tcPr>
          <w:p w14:paraId="1FB1A9DF" w14:textId="77777777" w:rsidR="00573329" w:rsidRPr="00E05024" w:rsidRDefault="00573329" w:rsidP="00C41F17">
            <w:pPr>
              <w:keepNext/>
              <w:spacing w:before="60" w:after="60"/>
              <w:ind w:left="567" w:hanging="567"/>
              <w:rPr>
                <w:sz w:val="20"/>
                <w:szCs w:val="20"/>
              </w:rPr>
            </w:pPr>
            <w:r w:rsidRPr="00E05024">
              <w:rPr>
                <w:sz w:val="20"/>
              </w:rPr>
              <w:t>预期结果</w:t>
            </w:r>
            <w:r w:rsidRPr="00E05024">
              <w:rPr>
                <w:sz w:val="20"/>
              </w:rPr>
              <w:t>1</w:t>
            </w:r>
            <w:r w:rsidRPr="00E05024">
              <w:rPr>
                <w:sz w:val="20"/>
              </w:rPr>
              <w:t>：通过加强监测和知识管理服务，促进对</w:t>
            </w:r>
            <w:r w:rsidRPr="00E05024">
              <w:rPr>
                <w:sz w:val="20"/>
              </w:rPr>
              <w:t>2003</w:t>
            </w:r>
            <w:r w:rsidRPr="00E05024">
              <w:rPr>
                <w:sz w:val="20"/>
              </w:rPr>
              <w:t>年《公约》的健全治理</w:t>
            </w:r>
          </w:p>
        </w:tc>
        <w:tc>
          <w:tcPr>
            <w:tcW w:w="850" w:type="dxa"/>
            <w:tcBorders>
              <w:right w:val="single" w:sz="4" w:space="0" w:color="auto"/>
            </w:tcBorders>
            <w:shd w:val="clear" w:color="auto" w:fill="FDE9D9" w:themeFill="accent6" w:themeFillTint="33"/>
          </w:tcPr>
          <w:p w14:paraId="7DCE9E75" w14:textId="77777777" w:rsidR="00573329" w:rsidRPr="00E05024" w:rsidRDefault="00573329" w:rsidP="00C41F17">
            <w:pPr>
              <w:keepNext/>
              <w:spacing w:before="60" w:after="60"/>
              <w:ind w:left="567" w:hanging="567"/>
              <w:jc w:val="center"/>
              <w:rPr>
                <w:b/>
                <w:bCs/>
                <w:sz w:val="20"/>
                <w:szCs w:val="20"/>
              </w:rPr>
            </w:pPr>
            <w:r w:rsidRPr="00E05024">
              <w:rPr>
                <w:b/>
                <w:sz w:val="20"/>
              </w:rPr>
              <w:t>25%</w:t>
            </w:r>
          </w:p>
        </w:tc>
        <w:tc>
          <w:tcPr>
            <w:tcW w:w="3969" w:type="dxa"/>
            <w:vMerge w:val="restart"/>
            <w:tcBorders>
              <w:left w:val="single" w:sz="4" w:space="0" w:color="auto"/>
            </w:tcBorders>
            <w:shd w:val="clear" w:color="auto" w:fill="DBE5F1" w:themeFill="accent1" w:themeFillTint="33"/>
          </w:tcPr>
          <w:p w14:paraId="7AA1F585" w14:textId="440D5F81" w:rsidR="00573329" w:rsidRPr="00E05024" w:rsidRDefault="00573329" w:rsidP="00C41F17">
            <w:pPr>
              <w:keepNext/>
              <w:spacing w:before="60" w:after="60"/>
              <w:ind w:left="567" w:hanging="567"/>
              <w:rPr>
                <w:sz w:val="20"/>
                <w:szCs w:val="20"/>
              </w:rPr>
            </w:pPr>
            <w:r w:rsidRPr="00E05024">
              <w:rPr>
                <w:sz w:val="20"/>
              </w:rPr>
              <w:t>预期结果</w:t>
            </w:r>
            <w:r w:rsidRPr="00E05024">
              <w:rPr>
                <w:sz w:val="20"/>
              </w:rPr>
              <w:t>1</w:t>
            </w:r>
            <w:r w:rsidRPr="00E05024">
              <w:rPr>
                <w:sz w:val="20"/>
              </w:rPr>
              <w:t>：通过加强能力建设方案和将非物质文化遗产纳入发展规划、政策和项目鼓励执行《公约》</w:t>
            </w:r>
            <w:r w:rsidRPr="00E05024">
              <w:rPr>
                <w:sz w:val="20"/>
              </w:rPr>
              <w:t xml:space="preserve"> </w:t>
            </w:r>
            <w:r w:rsidR="00243628">
              <w:rPr>
                <w:rStyle w:val="Appelnotedebasdep"/>
                <w:sz w:val="20"/>
              </w:rPr>
              <w:footnoteReference w:id="4"/>
            </w:r>
          </w:p>
        </w:tc>
        <w:tc>
          <w:tcPr>
            <w:tcW w:w="850" w:type="dxa"/>
            <w:vMerge w:val="restart"/>
            <w:shd w:val="clear" w:color="auto" w:fill="DBE5F1" w:themeFill="accent1" w:themeFillTint="33"/>
          </w:tcPr>
          <w:p w14:paraId="3254FBCF" w14:textId="77777777" w:rsidR="00573329" w:rsidRPr="00E05024" w:rsidRDefault="00573329" w:rsidP="00C41F17">
            <w:pPr>
              <w:keepNext/>
              <w:spacing w:before="60" w:after="60"/>
              <w:ind w:left="567" w:hanging="567"/>
              <w:jc w:val="center"/>
              <w:rPr>
                <w:b/>
                <w:bCs/>
                <w:sz w:val="20"/>
                <w:szCs w:val="20"/>
              </w:rPr>
            </w:pPr>
            <w:r w:rsidRPr="00E05024">
              <w:rPr>
                <w:b/>
                <w:sz w:val="20"/>
              </w:rPr>
              <w:t>52%</w:t>
            </w:r>
          </w:p>
        </w:tc>
      </w:tr>
      <w:tr w:rsidR="00573329" w:rsidRPr="00E05024" w14:paraId="424C4E54" w14:textId="77777777" w:rsidTr="00C41F17">
        <w:trPr>
          <w:cantSplit/>
          <w:trHeight w:val="767"/>
        </w:trPr>
        <w:tc>
          <w:tcPr>
            <w:tcW w:w="3969" w:type="dxa"/>
            <w:shd w:val="clear" w:color="auto" w:fill="DBE5F1" w:themeFill="accent1" w:themeFillTint="33"/>
          </w:tcPr>
          <w:p w14:paraId="01B3833E" w14:textId="0D5E81FA" w:rsidR="00573329" w:rsidRPr="00E05024" w:rsidRDefault="00573329" w:rsidP="00C41F17">
            <w:pPr>
              <w:keepNext/>
              <w:spacing w:before="60" w:after="60"/>
              <w:ind w:left="567" w:hanging="567"/>
              <w:rPr>
                <w:sz w:val="20"/>
                <w:szCs w:val="20"/>
              </w:rPr>
            </w:pPr>
            <w:r w:rsidRPr="00E05024">
              <w:rPr>
                <w:sz w:val="20"/>
              </w:rPr>
              <w:t>预期结果</w:t>
            </w:r>
            <w:r w:rsidRPr="00E05024">
              <w:rPr>
                <w:sz w:val="20"/>
              </w:rPr>
              <w:t>2</w:t>
            </w:r>
            <w:r w:rsidRPr="00E05024">
              <w:rPr>
                <w:sz w:val="20"/>
              </w:rPr>
              <w:t>：通过加强能力建设方案来鼓励会员国执行《公约》</w:t>
            </w:r>
            <w:r w:rsidRPr="00E05024">
              <w:rPr>
                <w:sz w:val="20"/>
              </w:rPr>
              <w:t xml:space="preserve"> </w:t>
            </w:r>
          </w:p>
        </w:tc>
        <w:tc>
          <w:tcPr>
            <w:tcW w:w="850" w:type="dxa"/>
            <w:tcBorders>
              <w:right w:val="single" w:sz="4" w:space="0" w:color="auto"/>
            </w:tcBorders>
            <w:shd w:val="clear" w:color="auto" w:fill="DBE5F1" w:themeFill="accent1" w:themeFillTint="33"/>
          </w:tcPr>
          <w:p w14:paraId="5EBE9C57" w14:textId="77777777" w:rsidR="00573329" w:rsidRPr="00E05024" w:rsidRDefault="00573329" w:rsidP="00C41F17">
            <w:pPr>
              <w:keepNext/>
              <w:spacing w:before="60" w:after="60"/>
              <w:ind w:left="567" w:hanging="567"/>
              <w:jc w:val="center"/>
              <w:rPr>
                <w:b/>
                <w:bCs/>
                <w:sz w:val="20"/>
                <w:szCs w:val="20"/>
              </w:rPr>
            </w:pPr>
            <w:r w:rsidRPr="00E05024">
              <w:rPr>
                <w:b/>
                <w:sz w:val="20"/>
              </w:rPr>
              <w:t>33%</w:t>
            </w:r>
          </w:p>
        </w:tc>
        <w:tc>
          <w:tcPr>
            <w:tcW w:w="3969" w:type="dxa"/>
            <w:vMerge/>
            <w:tcBorders>
              <w:left w:val="single" w:sz="4" w:space="0" w:color="auto"/>
            </w:tcBorders>
            <w:shd w:val="clear" w:color="auto" w:fill="DBE5F1" w:themeFill="accent1" w:themeFillTint="33"/>
          </w:tcPr>
          <w:p w14:paraId="5180B17F" w14:textId="77777777" w:rsidR="00573329" w:rsidRPr="00E05024" w:rsidRDefault="00573329" w:rsidP="00C41F17">
            <w:pPr>
              <w:keepNext/>
              <w:spacing w:before="60" w:after="60"/>
              <w:jc w:val="center"/>
              <w:rPr>
                <w:b/>
                <w:bCs/>
                <w:sz w:val="20"/>
                <w:szCs w:val="20"/>
                <w:lang w:val="en-GB"/>
              </w:rPr>
            </w:pPr>
          </w:p>
        </w:tc>
        <w:tc>
          <w:tcPr>
            <w:tcW w:w="850" w:type="dxa"/>
            <w:vMerge/>
            <w:shd w:val="clear" w:color="auto" w:fill="DBE5F1" w:themeFill="accent1" w:themeFillTint="33"/>
          </w:tcPr>
          <w:p w14:paraId="51263857" w14:textId="77777777" w:rsidR="00573329" w:rsidRPr="00E05024" w:rsidRDefault="00573329" w:rsidP="00C41F17">
            <w:pPr>
              <w:keepNext/>
              <w:spacing w:before="60" w:after="60"/>
              <w:ind w:left="567" w:hanging="567"/>
              <w:jc w:val="center"/>
              <w:rPr>
                <w:b/>
                <w:bCs/>
                <w:sz w:val="20"/>
                <w:szCs w:val="20"/>
                <w:lang w:val="en-GB"/>
              </w:rPr>
            </w:pPr>
          </w:p>
        </w:tc>
      </w:tr>
      <w:tr w:rsidR="00573329" w:rsidRPr="00E05024" w14:paraId="57BC91F7" w14:textId="77777777" w:rsidTr="00C41F17">
        <w:trPr>
          <w:cantSplit/>
          <w:trHeight w:val="767"/>
        </w:trPr>
        <w:tc>
          <w:tcPr>
            <w:tcW w:w="3969" w:type="dxa"/>
            <w:shd w:val="clear" w:color="auto" w:fill="DBE5F1" w:themeFill="accent1" w:themeFillTint="33"/>
          </w:tcPr>
          <w:p w14:paraId="0465B580" w14:textId="77777777" w:rsidR="00573329" w:rsidRPr="00E05024" w:rsidRDefault="00573329" w:rsidP="00C41F17">
            <w:pPr>
              <w:keepNext/>
              <w:spacing w:before="60" w:after="60"/>
              <w:ind w:left="567" w:hanging="567"/>
              <w:rPr>
                <w:sz w:val="20"/>
                <w:szCs w:val="20"/>
              </w:rPr>
            </w:pPr>
            <w:r w:rsidRPr="00E05024">
              <w:rPr>
                <w:sz w:val="20"/>
              </w:rPr>
              <w:t>预期结果</w:t>
            </w:r>
            <w:r w:rsidRPr="00E05024">
              <w:rPr>
                <w:sz w:val="20"/>
              </w:rPr>
              <w:t>3</w:t>
            </w:r>
            <w:r w:rsidRPr="00E05024">
              <w:rPr>
                <w:sz w:val="20"/>
              </w:rPr>
              <w:t>：将非物质文化遗产纳入所支持的发展规划、政策和项目</w:t>
            </w:r>
          </w:p>
        </w:tc>
        <w:tc>
          <w:tcPr>
            <w:tcW w:w="850" w:type="dxa"/>
            <w:tcBorders>
              <w:right w:val="single" w:sz="4" w:space="0" w:color="auto"/>
            </w:tcBorders>
            <w:shd w:val="clear" w:color="auto" w:fill="DBE5F1" w:themeFill="accent1" w:themeFillTint="33"/>
          </w:tcPr>
          <w:p w14:paraId="4CF09FD4" w14:textId="77777777" w:rsidR="00573329" w:rsidRPr="00E05024" w:rsidRDefault="00573329" w:rsidP="00C41F17">
            <w:pPr>
              <w:keepNext/>
              <w:spacing w:before="60" w:after="60"/>
              <w:ind w:left="567" w:hanging="567"/>
              <w:jc w:val="center"/>
              <w:rPr>
                <w:b/>
                <w:bCs/>
                <w:sz w:val="20"/>
                <w:szCs w:val="20"/>
              </w:rPr>
            </w:pPr>
            <w:r w:rsidRPr="00E05024">
              <w:rPr>
                <w:b/>
                <w:sz w:val="20"/>
              </w:rPr>
              <w:t>19%</w:t>
            </w:r>
          </w:p>
        </w:tc>
        <w:tc>
          <w:tcPr>
            <w:tcW w:w="3969" w:type="dxa"/>
            <w:vMerge w:val="restart"/>
            <w:tcBorders>
              <w:left w:val="single" w:sz="4" w:space="0" w:color="auto"/>
            </w:tcBorders>
            <w:shd w:val="clear" w:color="auto" w:fill="FDE9D9" w:themeFill="accent6" w:themeFillTint="33"/>
          </w:tcPr>
          <w:p w14:paraId="463067EC" w14:textId="2AF0E976" w:rsidR="00573329" w:rsidRPr="00E05024" w:rsidRDefault="00573329" w:rsidP="00C41F17">
            <w:pPr>
              <w:keepNext/>
              <w:spacing w:before="60" w:after="60"/>
              <w:ind w:left="567" w:hanging="567"/>
              <w:rPr>
                <w:i/>
                <w:iCs/>
                <w:sz w:val="20"/>
                <w:szCs w:val="20"/>
              </w:rPr>
            </w:pPr>
            <w:r w:rsidRPr="00E05024">
              <w:rPr>
                <w:sz w:val="20"/>
              </w:rPr>
              <w:t>预期结果</w:t>
            </w:r>
            <w:r w:rsidRPr="00E05024">
              <w:rPr>
                <w:sz w:val="20"/>
              </w:rPr>
              <w:t>2</w:t>
            </w:r>
            <w:r w:rsidRPr="00E05024">
              <w:rPr>
                <w:sz w:val="20"/>
              </w:rPr>
              <w:t>：通过加强与国际合作机制有关的监测、知识管理服务和意识提升促进对《公约》的健全治理</w:t>
            </w:r>
            <w:r w:rsidR="009C3A55">
              <w:rPr>
                <w:rStyle w:val="Appelnotedebasdep"/>
                <w:sz w:val="20"/>
              </w:rPr>
              <w:footnoteReference w:id="5"/>
            </w:r>
          </w:p>
        </w:tc>
        <w:tc>
          <w:tcPr>
            <w:tcW w:w="850" w:type="dxa"/>
            <w:vMerge w:val="restart"/>
            <w:shd w:val="clear" w:color="auto" w:fill="FDE9D9" w:themeFill="accent6" w:themeFillTint="33"/>
          </w:tcPr>
          <w:p w14:paraId="4A0FB5C1" w14:textId="77777777" w:rsidR="00573329" w:rsidRPr="00E05024" w:rsidRDefault="00573329" w:rsidP="00C41F17">
            <w:pPr>
              <w:keepNext/>
              <w:spacing w:before="60" w:after="60"/>
              <w:ind w:left="567" w:hanging="567"/>
              <w:jc w:val="center"/>
              <w:rPr>
                <w:b/>
                <w:bCs/>
                <w:sz w:val="20"/>
                <w:szCs w:val="20"/>
              </w:rPr>
            </w:pPr>
            <w:r w:rsidRPr="00E05024">
              <w:rPr>
                <w:b/>
                <w:sz w:val="20"/>
              </w:rPr>
              <w:t>48%</w:t>
            </w:r>
          </w:p>
        </w:tc>
      </w:tr>
      <w:tr w:rsidR="00573329" w:rsidRPr="00E05024" w14:paraId="4A908024" w14:textId="77777777" w:rsidTr="00C41F17">
        <w:trPr>
          <w:cantSplit/>
          <w:trHeight w:val="536"/>
        </w:trPr>
        <w:tc>
          <w:tcPr>
            <w:tcW w:w="3969" w:type="dxa"/>
            <w:shd w:val="clear" w:color="auto" w:fill="FDE9D9" w:themeFill="accent6" w:themeFillTint="33"/>
          </w:tcPr>
          <w:p w14:paraId="78389D4C" w14:textId="71234A1B" w:rsidR="00573329" w:rsidRPr="00E05024" w:rsidRDefault="00573329" w:rsidP="00C41F17">
            <w:pPr>
              <w:keepNext/>
              <w:spacing w:before="60" w:after="60"/>
              <w:ind w:left="567" w:hanging="567"/>
              <w:rPr>
                <w:sz w:val="20"/>
                <w:szCs w:val="20"/>
              </w:rPr>
            </w:pPr>
            <w:r w:rsidRPr="00E05024">
              <w:rPr>
                <w:sz w:val="20"/>
              </w:rPr>
              <w:t>预期结果</w:t>
            </w:r>
            <w:r w:rsidRPr="00E05024">
              <w:rPr>
                <w:sz w:val="20"/>
              </w:rPr>
              <w:t>4</w:t>
            </w:r>
            <w:r w:rsidRPr="00E05024">
              <w:rPr>
                <w:sz w:val="20"/>
              </w:rPr>
              <w:t>：通过提高认识和外联活动来推广《公约》的目标</w:t>
            </w:r>
          </w:p>
        </w:tc>
        <w:tc>
          <w:tcPr>
            <w:tcW w:w="850" w:type="dxa"/>
            <w:tcBorders>
              <w:right w:val="single" w:sz="4" w:space="0" w:color="auto"/>
            </w:tcBorders>
            <w:shd w:val="clear" w:color="auto" w:fill="FDE9D9" w:themeFill="accent6" w:themeFillTint="33"/>
          </w:tcPr>
          <w:p w14:paraId="2EF77461" w14:textId="77777777" w:rsidR="00573329" w:rsidRPr="00E05024" w:rsidRDefault="00573329" w:rsidP="00C41F17">
            <w:pPr>
              <w:keepNext/>
              <w:spacing w:before="60" w:after="60"/>
              <w:ind w:left="567" w:hanging="567"/>
              <w:jc w:val="center"/>
              <w:rPr>
                <w:b/>
                <w:bCs/>
                <w:sz w:val="20"/>
                <w:szCs w:val="20"/>
              </w:rPr>
            </w:pPr>
            <w:r w:rsidRPr="00E05024">
              <w:rPr>
                <w:b/>
                <w:sz w:val="20"/>
              </w:rPr>
              <w:t>23%</w:t>
            </w:r>
          </w:p>
        </w:tc>
        <w:tc>
          <w:tcPr>
            <w:tcW w:w="3969" w:type="dxa"/>
            <w:vMerge/>
            <w:tcBorders>
              <w:left w:val="single" w:sz="4" w:space="0" w:color="auto"/>
            </w:tcBorders>
            <w:shd w:val="clear" w:color="auto" w:fill="FDE9D9" w:themeFill="accent6" w:themeFillTint="33"/>
          </w:tcPr>
          <w:p w14:paraId="66388C2C" w14:textId="77777777" w:rsidR="00573329" w:rsidRPr="00E05024" w:rsidRDefault="00573329" w:rsidP="00C41F17">
            <w:pPr>
              <w:keepNext/>
              <w:spacing w:before="60" w:after="60"/>
              <w:ind w:left="567" w:hanging="567"/>
              <w:jc w:val="center"/>
              <w:rPr>
                <w:b/>
                <w:bCs/>
                <w:sz w:val="20"/>
                <w:szCs w:val="20"/>
                <w:lang w:val="en-GB"/>
              </w:rPr>
            </w:pPr>
          </w:p>
        </w:tc>
        <w:tc>
          <w:tcPr>
            <w:tcW w:w="850" w:type="dxa"/>
            <w:vMerge/>
            <w:shd w:val="clear" w:color="auto" w:fill="FDE9D9" w:themeFill="accent6" w:themeFillTint="33"/>
          </w:tcPr>
          <w:p w14:paraId="22665325" w14:textId="77777777" w:rsidR="00573329" w:rsidRPr="00E05024" w:rsidRDefault="00573329" w:rsidP="00C41F17">
            <w:pPr>
              <w:keepNext/>
              <w:spacing w:before="60" w:after="60"/>
              <w:ind w:left="567" w:hanging="567"/>
              <w:jc w:val="center"/>
              <w:rPr>
                <w:b/>
                <w:bCs/>
                <w:sz w:val="20"/>
                <w:szCs w:val="20"/>
                <w:lang w:val="en-GB"/>
              </w:rPr>
            </w:pPr>
          </w:p>
        </w:tc>
      </w:tr>
    </w:tbl>
    <w:p w14:paraId="6DEE9E9F" w14:textId="123EC424" w:rsidR="001F25C2" w:rsidRPr="00E05024" w:rsidRDefault="001F25C2" w:rsidP="001F25C2">
      <w:pPr>
        <w:pStyle w:val="COMPara"/>
        <w:numPr>
          <w:ilvl w:val="0"/>
          <w:numId w:val="23"/>
        </w:numPr>
        <w:spacing w:before="240"/>
        <w:ind w:left="567" w:hanging="567"/>
        <w:jc w:val="both"/>
        <w:rPr>
          <w:rFonts w:ascii="Times New Roman" w:hAnsi="Times New Roman" w:cs="Times New Roman"/>
        </w:rPr>
      </w:pPr>
      <w:r w:rsidRPr="00E05024">
        <w:rPr>
          <w:rFonts w:ascii="Times New Roman" w:hAnsi="Times New Roman" w:cs="Times New Roman"/>
        </w:rPr>
        <w:t>根据大会</w:t>
      </w:r>
      <w:r w:rsidRPr="009C5A44">
        <w:rPr>
          <w:rFonts w:ascii="Times New Roman" w:hAnsi="Times New Roman" w:cs="Times New Roman"/>
          <w:lang w:val="fr-FR"/>
        </w:rPr>
        <w:t>2023</w:t>
      </w:r>
      <w:r w:rsidRPr="00E05024">
        <w:rPr>
          <w:rFonts w:ascii="Times New Roman" w:hAnsi="Times New Roman" w:cs="Times New Roman"/>
        </w:rPr>
        <w:t>年</w:t>
      </w:r>
      <w:r w:rsidRPr="009C5A44">
        <w:rPr>
          <w:rFonts w:ascii="Times New Roman" w:hAnsi="Times New Roman" w:cs="Times New Roman"/>
          <w:lang w:val="fr-FR"/>
        </w:rPr>
        <w:t>11</w:t>
      </w:r>
      <w:r w:rsidRPr="00E05024">
        <w:rPr>
          <w:rFonts w:ascii="Times New Roman" w:hAnsi="Times New Roman" w:cs="Times New Roman"/>
        </w:rPr>
        <w:t>月第</w:t>
      </w:r>
      <w:r w:rsidRPr="009C5A44">
        <w:rPr>
          <w:rFonts w:ascii="Times New Roman" w:hAnsi="Times New Roman" w:cs="Times New Roman"/>
          <w:lang w:val="fr-FR"/>
        </w:rPr>
        <w:t>42</w:t>
      </w:r>
      <w:r w:rsidRPr="00E05024">
        <w:rPr>
          <w:rFonts w:ascii="Times New Roman" w:hAnsi="Times New Roman" w:cs="Times New Roman"/>
        </w:rPr>
        <w:t>届会议通过的第</w:t>
      </w:r>
      <w:hyperlink r:id="rId25" w:history="1">
        <w:r w:rsidRPr="009C5A44">
          <w:rPr>
            <w:rStyle w:val="Lienhypertexte"/>
            <w:rFonts w:ascii="Times New Roman" w:hAnsi="Times New Roman" w:cs="Times New Roman"/>
            <w:lang w:val="fr-FR"/>
          </w:rPr>
          <w:t>42C/80</w:t>
        </w:r>
      </w:hyperlink>
      <w:r w:rsidRPr="00E05024">
        <w:rPr>
          <w:rFonts w:ascii="Times New Roman" w:hAnsi="Times New Roman" w:cs="Times New Roman"/>
        </w:rPr>
        <w:t>号决议</w:t>
      </w:r>
      <w:r w:rsidRPr="009C5A44">
        <w:rPr>
          <w:rFonts w:ascii="Times New Roman" w:hAnsi="Times New Roman" w:cs="Times New Roman"/>
          <w:lang w:val="fr-FR"/>
        </w:rPr>
        <w:t>（</w:t>
      </w:r>
      <w:r w:rsidRPr="00E05024">
        <w:rPr>
          <w:rFonts w:ascii="Times New Roman" w:hAnsi="Times New Roman" w:cs="Times New Roman"/>
        </w:rPr>
        <w:t>第</w:t>
      </w:r>
      <w:r w:rsidRPr="009C5A44">
        <w:rPr>
          <w:rFonts w:ascii="Times New Roman" w:hAnsi="Times New Roman" w:cs="Times New Roman"/>
          <w:lang w:val="fr-FR"/>
        </w:rPr>
        <w:t>3</w:t>
      </w:r>
      <w:r w:rsidRPr="00E05024">
        <w:rPr>
          <w:rFonts w:ascii="Times New Roman" w:hAnsi="Times New Roman" w:cs="Times New Roman"/>
        </w:rPr>
        <w:t>段</w:t>
      </w:r>
      <w:r w:rsidRPr="009C5A44">
        <w:rPr>
          <w:rFonts w:ascii="Times New Roman" w:hAnsi="Times New Roman" w:cs="Times New Roman"/>
          <w:lang w:val="fr-FR"/>
        </w:rPr>
        <w:t>），</w:t>
      </w:r>
      <w:r w:rsidRPr="00E05024">
        <w:rPr>
          <w:rFonts w:ascii="Times New Roman" w:hAnsi="Times New Roman" w:cs="Times New Roman"/>
        </w:rPr>
        <w:t>即授权总干事在教科文组织常规计划的适当项目之间进行资金转移</w:t>
      </w:r>
      <w:r w:rsidRPr="009C5A44">
        <w:rPr>
          <w:rFonts w:ascii="Times New Roman" w:hAnsi="Times New Roman" w:cs="Times New Roman"/>
          <w:lang w:val="fr-FR"/>
        </w:rPr>
        <w:t>，</w:t>
      </w:r>
      <w:r w:rsidRPr="00E05024">
        <w:rPr>
          <w:rFonts w:ascii="Times New Roman" w:hAnsi="Times New Roman" w:cs="Times New Roman"/>
        </w:rPr>
        <w:t>最高为根据</w:t>
      </w:r>
      <w:r w:rsidRPr="009C5A44">
        <w:rPr>
          <w:rFonts w:ascii="Times New Roman" w:hAnsi="Times New Roman" w:cs="Times New Roman"/>
          <w:lang w:val="fr-FR"/>
        </w:rPr>
        <w:t>42 C/5</w:t>
      </w:r>
      <w:r w:rsidRPr="00E05024">
        <w:rPr>
          <w:rFonts w:ascii="Times New Roman" w:hAnsi="Times New Roman" w:cs="Times New Roman"/>
        </w:rPr>
        <w:t>的初始拨款的</w:t>
      </w:r>
      <w:r w:rsidRPr="009C5A44">
        <w:rPr>
          <w:rFonts w:ascii="Times New Roman" w:hAnsi="Times New Roman" w:cs="Times New Roman"/>
          <w:lang w:val="fr-FR"/>
        </w:rPr>
        <w:t>5%</w:t>
      </w:r>
      <w:r w:rsidRPr="009C5A44">
        <w:rPr>
          <w:rFonts w:ascii="Times New Roman" w:hAnsi="Times New Roman" w:cs="Times New Roman"/>
          <w:lang w:val="fr-FR"/>
        </w:rPr>
        <w:t>，</w:t>
      </w:r>
      <w:r w:rsidRPr="00E05024">
        <w:rPr>
          <w:rFonts w:ascii="Times New Roman" w:hAnsi="Times New Roman" w:cs="Times New Roman"/>
        </w:rPr>
        <w:t>委员会授权秘书处在预算项目</w:t>
      </w:r>
      <w:r w:rsidRPr="009C5A44">
        <w:rPr>
          <w:rFonts w:ascii="Times New Roman" w:hAnsi="Times New Roman" w:cs="Times New Roman"/>
          <w:lang w:val="fr-FR"/>
        </w:rPr>
        <w:t>3</w:t>
      </w:r>
      <w:r w:rsidRPr="00E05024">
        <w:rPr>
          <w:rFonts w:ascii="Times New Roman" w:hAnsi="Times New Roman" w:cs="Times New Roman"/>
        </w:rPr>
        <w:t>特定分配包含的各活动之间进行资金转移</w:t>
      </w:r>
      <w:r w:rsidRPr="009C5A44">
        <w:rPr>
          <w:rFonts w:ascii="Times New Roman" w:hAnsi="Times New Roman" w:cs="Times New Roman"/>
          <w:lang w:val="fr-FR"/>
        </w:rPr>
        <w:t>，</w:t>
      </w:r>
      <w:r w:rsidRPr="00E05024">
        <w:rPr>
          <w:rFonts w:ascii="Times New Roman" w:hAnsi="Times New Roman" w:cs="Times New Roman"/>
        </w:rPr>
        <w:t>累计金额不超过初始拨款总额的</w:t>
      </w:r>
      <w:r w:rsidRPr="009C5A44">
        <w:rPr>
          <w:rFonts w:ascii="Times New Roman" w:hAnsi="Times New Roman" w:cs="Times New Roman"/>
          <w:lang w:val="fr-FR"/>
        </w:rPr>
        <w:t>5%</w:t>
      </w:r>
      <w:r w:rsidRPr="009C5A44">
        <w:rPr>
          <w:rFonts w:ascii="Times New Roman" w:hAnsi="Times New Roman" w:cs="Times New Roman"/>
          <w:lang w:val="fr-FR"/>
        </w:rPr>
        <w:t>（</w:t>
      </w:r>
      <w:r w:rsidRPr="00E05024">
        <w:rPr>
          <w:rFonts w:ascii="Times New Roman" w:hAnsi="Times New Roman" w:cs="Times New Roman"/>
        </w:rPr>
        <w:t>第</w:t>
      </w:r>
      <w:hyperlink r:id="rId26" w:history="1">
        <w:r w:rsidRPr="009C5A44">
          <w:rPr>
            <w:rStyle w:val="Lienhypertexte"/>
            <w:rFonts w:ascii="Times New Roman" w:hAnsi="Times New Roman" w:cs="Times New Roman"/>
            <w:lang w:val="fr-FR"/>
          </w:rPr>
          <w:t>18.COM 14</w:t>
        </w:r>
      </w:hyperlink>
      <w:r w:rsidRPr="00E05024">
        <w:rPr>
          <w:rFonts w:ascii="Times New Roman" w:hAnsi="Times New Roman" w:cs="Times New Roman"/>
        </w:rPr>
        <w:t>号决定</w:t>
      </w:r>
      <w:r w:rsidRPr="009C5A44">
        <w:rPr>
          <w:rFonts w:ascii="Times New Roman" w:hAnsi="Times New Roman" w:cs="Times New Roman"/>
          <w:lang w:val="fr-FR"/>
        </w:rPr>
        <w:t>）</w:t>
      </w:r>
      <w:r w:rsidRPr="00E05024">
        <w:rPr>
          <w:rFonts w:ascii="Times New Roman" w:hAnsi="Times New Roman" w:cs="Times New Roman"/>
        </w:rPr>
        <w:t>。根据附件所示的指示性预算额，这相当于</w:t>
      </w:r>
      <w:r w:rsidRPr="00E05024">
        <w:rPr>
          <w:rFonts w:ascii="Times New Roman" w:hAnsi="Times New Roman" w:cs="Times New Roman"/>
        </w:rPr>
        <w:t>81,896</w:t>
      </w:r>
      <w:r w:rsidRPr="00E05024">
        <w:rPr>
          <w:rFonts w:ascii="Times New Roman" w:hAnsi="Times New Roman" w:cs="Times New Roman"/>
        </w:rPr>
        <w:t>美元。如果发生这种情况，秘书处将在进行此操作之后的会议上，以书面方式通知大会和委员会此类转移的详情及理由。</w:t>
      </w:r>
    </w:p>
    <w:p w14:paraId="7434C1A9" w14:textId="76637D1D" w:rsidR="003E51DD" w:rsidRPr="00E05024" w:rsidRDefault="003E51DD" w:rsidP="003E51DD">
      <w:pPr>
        <w:pStyle w:val="COMPara"/>
        <w:numPr>
          <w:ilvl w:val="0"/>
          <w:numId w:val="0"/>
        </w:numPr>
        <w:spacing w:before="240"/>
        <w:ind w:left="567"/>
        <w:jc w:val="both"/>
        <w:rPr>
          <w:rFonts w:ascii="Times New Roman" w:hAnsi="Times New Roman" w:cs="Times New Roman"/>
          <w:b/>
          <w:bCs/>
        </w:rPr>
      </w:pPr>
      <w:r w:rsidRPr="00E05024">
        <w:rPr>
          <w:rFonts w:ascii="Times New Roman" w:hAnsi="Times New Roman" w:cs="Times New Roman"/>
          <w:b/>
        </w:rPr>
        <w:lastRenderedPageBreak/>
        <w:t>预期结果</w:t>
      </w:r>
      <w:r w:rsidRPr="00E05024">
        <w:rPr>
          <w:rFonts w:ascii="Times New Roman" w:hAnsi="Times New Roman" w:cs="Times New Roman"/>
          <w:b/>
        </w:rPr>
        <w:t>1</w:t>
      </w:r>
      <w:r w:rsidRPr="00E05024">
        <w:rPr>
          <w:rFonts w:ascii="Times New Roman" w:hAnsi="Times New Roman" w:cs="Times New Roman"/>
          <w:b/>
        </w:rPr>
        <w:t>：通过加强能力建设方案和将非物质文化遗产纳入发展规划、政策和项目来鼓励执行《公约》</w:t>
      </w:r>
    </w:p>
    <w:p w14:paraId="678204A4" w14:textId="474BF9B7" w:rsidR="003E51DD" w:rsidRPr="00E05024" w:rsidRDefault="003E51DD" w:rsidP="003E51DD">
      <w:pPr>
        <w:pStyle w:val="COMPara"/>
        <w:numPr>
          <w:ilvl w:val="0"/>
          <w:numId w:val="23"/>
        </w:numPr>
        <w:tabs>
          <w:tab w:val="left" w:pos="567"/>
        </w:tabs>
        <w:ind w:left="567" w:hanging="567"/>
        <w:jc w:val="both"/>
        <w:rPr>
          <w:rFonts w:ascii="Times New Roman" w:hAnsi="Times New Roman" w:cs="Times New Roman"/>
        </w:rPr>
      </w:pPr>
      <w:r w:rsidRPr="00E05024">
        <w:rPr>
          <w:rFonts w:ascii="Times New Roman" w:hAnsi="Times New Roman" w:cs="Times New Roman"/>
        </w:rPr>
        <w:t>秘书处将继续根据在《公约》二十周年之际进行反思的结果，特别是</w:t>
      </w:r>
      <w:hyperlink r:id="rId27" w:history="1">
        <w:r w:rsidRPr="00E05024">
          <w:rPr>
            <w:rStyle w:val="Lienhypertexte"/>
            <w:rFonts w:ascii="Times New Roman" w:hAnsi="Times New Roman" w:cs="Times New Roman"/>
          </w:rPr>
          <w:t>保护活态遗产以促进可持续发展与和平的</w:t>
        </w:r>
        <w:proofErr w:type="gramStart"/>
        <w:r w:rsidR="00E672F7" w:rsidRPr="00E672F7">
          <w:rPr>
            <w:rStyle w:val="Lienhypertexte"/>
            <w:rFonts w:ascii="Times New Roman" w:hAnsi="Times New Roman" w:cs="Times New Roman"/>
          </w:rPr>
          <w:t>首尔</w:t>
        </w:r>
        <w:r w:rsidRPr="00E05024">
          <w:rPr>
            <w:rStyle w:val="Lienhypertexte"/>
            <w:rFonts w:ascii="Times New Roman" w:hAnsi="Times New Roman" w:cs="Times New Roman"/>
          </w:rPr>
          <w:t>未来愿景</w:t>
        </w:r>
        <w:proofErr w:type="gramEnd"/>
      </w:hyperlink>
      <w:r w:rsidRPr="00E05024">
        <w:rPr>
          <w:rFonts w:ascii="Times New Roman" w:hAnsi="Times New Roman" w:cs="Times New Roman"/>
        </w:rPr>
        <w:t>（</w:t>
      </w:r>
      <w:r w:rsidRPr="00E05024">
        <w:rPr>
          <w:rFonts w:ascii="Times New Roman" w:hAnsi="Times New Roman" w:cs="Times New Roman"/>
        </w:rPr>
        <w:t>2023</w:t>
      </w:r>
      <w:r w:rsidRPr="00E05024">
        <w:rPr>
          <w:rFonts w:ascii="Times New Roman" w:hAnsi="Times New Roman" w:cs="Times New Roman"/>
        </w:rPr>
        <w:t>年），并根据</w:t>
      </w:r>
      <w:r w:rsidRPr="00E05024">
        <w:rPr>
          <w:rFonts w:ascii="Times New Roman" w:hAnsi="Times New Roman" w:cs="Times New Roman"/>
        </w:rPr>
        <w:t xml:space="preserve"> </w:t>
      </w:r>
      <w:hyperlink r:id="rId28" w:history="1">
        <w:r w:rsidRPr="00E05024">
          <w:rPr>
            <w:rStyle w:val="Lienhypertexte"/>
            <w:rFonts w:ascii="Times New Roman" w:hAnsi="Times New Roman" w:cs="Times New Roman"/>
          </w:rPr>
          <w:t>2022</w:t>
        </w:r>
        <w:r w:rsidRPr="00E05024">
          <w:rPr>
            <w:rStyle w:val="Lienhypertexte"/>
            <w:rFonts w:ascii="Times New Roman" w:hAnsi="Times New Roman" w:cs="Times New Roman"/>
          </w:rPr>
          <w:t>年关于文化政策和可持续发展的</w:t>
        </w:r>
        <w:r w:rsidRPr="00E05024">
          <w:rPr>
            <w:rStyle w:val="Lienhypertexte"/>
            <w:rFonts w:ascii="Times New Roman" w:hAnsi="Times New Roman" w:cs="Times New Roman"/>
          </w:rPr>
          <w:t>MONDIACULT</w:t>
        </w:r>
        <w:r w:rsidRPr="00E05024">
          <w:rPr>
            <w:rStyle w:val="Lienhypertexte"/>
            <w:rFonts w:ascii="Times New Roman" w:hAnsi="Times New Roman" w:cs="Times New Roman"/>
          </w:rPr>
          <w:t>宣言</w:t>
        </w:r>
      </w:hyperlink>
      <w:r w:rsidRPr="00E05024">
        <w:rPr>
          <w:rFonts w:ascii="Times New Roman" w:hAnsi="Times New Roman" w:cs="Times New Roman"/>
        </w:rPr>
        <w:t>，提供上游指导和支持。它将进一步（</w:t>
      </w:r>
      <w:r w:rsidRPr="00E05024">
        <w:rPr>
          <w:rFonts w:ascii="Times New Roman" w:hAnsi="Times New Roman" w:cs="Times New Roman"/>
        </w:rPr>
        <w:t>a</w:t>
      </w:r>
      <w:r w:rsidRPr="00E05024">
        <w:rPr>
          <w:rFonts w:ascii="Times New Roman" w:hAnsi="Times New Roman" w:cs="Times New Roman"/>
        </w:rPr>
        <w:t>）加强全球能力建设方案，以应对各国在保护活态遗产方面不断变化的需求，（</w:t>
      </w:r>
      <w:r w:rsidRPr="00E05024">
        <w:rPr>
          <w:rFonts w:ascii="Times New Roman" w:hAnsi="Times New Roman" w:cs="Times New Roman"/>
        </w:rPr>
        <w:t>b</w:t>
      </w:r>
      <w:r w:rsidRPr="00E05024">
        <w:rPr>
          <w:rFonts w:ascii="Times New Roman" w:hAnsi="Times New Roman" w:cs="Times New Roman"/>
        </w:rPr>
        <w:t>）继续开展关于活态遗产和可持续发展的主题倡议</w:t>
      </w:r>
      <w:r w:rsidRPr="00E05024">
        <w:rPr>
          <w:rFonts w:ascii="Times New Roman" w:hAnsi="Times New Roman" w:cs="Times New Roman"/>
          <w:color w:val="212121"/>
          <w:shd w:val="clear" w:color="auto" w:fill="FFFFFF"/>
        </w:rPr>
        <w:t>，特别是</w:t>
      </w:r>
      <w:r w:rsidRPr="00E05024">
        <w:rPr>
          <w:rFonts w:ascii="Times New Roman" w:hAnsi="Times New Roman" w:cs="Times New Roman"/>
        </w:rPr>
        <w:t>在委员会确定的优先领域。为确保达到能力建设方案的最大覆盖面，将努力继续开发适应混合模式的培训内容和工具，扩大方案对新受众的覆盖范围，并通过利用学习管理平台加强网络和知识交流。它将显著加强</w:t>
      </w:r>
      <w:r w:rsidR="00E672F7">
        <w:rPr>
          <w:rFonts w:ascii="Times New Roman" w:hAnsi="Times New Roman" w:cs="Times New Roman" w:hint="eastAsia"/>
        </w:rPr>
        <w:t>培训</w:t>
      </w:r>
      <w:proofErr w:type="gramStart"/>
      <w:r w:rsidR="00E672F7">
        <w:rPr>
          <w:rFonts w:ascii="Times New Roman" w:hAnsi="Times New Roman" w:cs="Times New Roman" w:hint="eastAsia"/>
        </w:rPr>
        <w:t>师</w:t>
      </w:r>
      <w:r w:rsidRPr="00E05024">
        <w:rPr>
          <w:rFonts w:ascii="Times New Roman" w:hAnsi="Times New Roman" w:cs="Times New Roman"/>
        </w:rPr>
        <w:t>网络</w:t>
      </w:r>
      <w:proofErr w:type="gramEnd"/>
      <w:r w:rsidRPr="00E05024">
        <w:rPr>
          <w:rFonts w:ascii="Times New Roman" w:hAnsi="Times New Roman" w:cs="Times New Roman"/>
        </w:rPr>
        <w:t>的主题专门知识，使之具备应对专题领域能力建设需求的能力。秘书处还将努力保护数字环境中的活态遗产，以积累该领域的更多知识和专业知识，并继续向各缔约国和社区提供能力建设支持（</w:t>
      </w:r>
      <w:r w:rsidRPr="00E05024">
        <w:rPr>
          <w:rFonts w:ascii="Times New Roman" w:hAnsi="Times New Roman" w:cs="Times New Roman"/>
        </w:rPr>
        <w:t xml:space="preserve"> </w:t>
      </w:r>
      <w:hyperlink r:id="rId29" w:history="1">
        <w:r w:rsidRPr="00E05024">
          <w:rPr>
            <w:rStyle w:val="Lienhypertexte"/>
            <w:rFonts w:ascii="Times New Roman" w:hAnsi="Times New Roman" w:cs="Times New Roman"/>
          </w:rPr>
          <w:t>2021</w:t>
        </w:r>
        <w:r w:rsidRPr="00E05024">
          <w:rPr>
            <w:rStyle w:val="Lienhypertexte"/>
            <w:rFonts w:ascii="Times New Roman" w:hAnsi="Times New Roman" w:cs="Times New Roman"/>
          </w:rPr>
          <w:t>年</w:t>
        </w:r>
        <w:r w:rsidRPr="00E05024">
          <w:rPr>
            <w:rStyle w:val="Lienhypertexte"/>
            <w:rFonts w:ascii="Times New Roman" w:hAnsi="Times New Roman" w:cs="Times New Roman"/>
          </w:rPr>
          <w:t>ISO</w:t>
        </w:r>
        <w:r w:rsidRPr="00E05024">
          <w:rPr>
            <w:rStyle w:val="Lienhypertexte"/>
            <w:rFonts w:ascii="Times New Roman" w:hAnsi="Times New Roman" w:cs="Times New Roman"/>
          </w:rPr>
          <w:t>评估</w:t>
        </w:r>
      </w:hyperlink>
      <w:r w:rsidRPr="00E05024">
        <w:rPr>
          <w:rFonts w:ascii="Times New Roman" w:hAnsi="Times New Roman" w:cs="Times New Roman"/>
        </w:rPr>
        <w:t>的建议书</w:t>
      </w:r>
      <w:r w:rsidRPr="00E05024">
        <w:rPr>
          <w:rFonts w:ascii="Times New Roman" w:hAnsi="Times New Roman" w:cs="Times New Roman"/>
        </w:rPr>
        <w:t>8</w:t>
      </w:r>
      <w:r w:rsidRPr="00E05024">
        <w:rPr>
          <w:rFonts w:ascii="Times New Roman" w:hAnsi="Times New Roman" w:cs="Times New Roman"/>
        </w:rPr>
        <w:t>和</w:t>
      </w:r>
      <w:r w:rsidRPr="00E05024">
        <w:rPr>
          <w:rFonts w:ascii="Times New Roman" w:hAnsi="Times New Roman" w:cs="Times New Roman"/>
        </w:rPr>
        <w:t>9</w:t>
      </w:r>
      <w:r w:rsidRPr="00E05024">
        <w:rPr>
          <w:rFonts w:ascii="Times New Roman" w:hAnsi="Times New Roman" w:cs="Times New Roman"/>
        </w:rPr>
        <w:t>）。</w:t>
      </w:r>
    </w:p>
    <w:p w14:paraId="01F8EBB0" w14:textId="415EAF5D" w:rsidR="003E51DD" w:rsidRPr="00E05024" w:rsidRDefault="003E51DD" w:rsidP="003E51DD">
      <w:pPr>
        <w:pStyle w:val="COMPara"/>
        <w:numPr>
          <w:ilvl w:val="0"/>
          <w:numId w:val="23"/>
        </w:numPr>
        <w:tabs>
          <w:tab w:val="left" w:pos="567"/>
        </w:tabs>
        <w:ind w:left="567" w:hanging="567"/>
        <w:jc w:val="both"/>
        <w:rPr>
          <w:rFonts w:ascii="Times New Roman" w:hAnsi="Times New Roman" w:cs="Times New Roman"/>
        </w:rPr>
      </w:pPr>
      <w:r w:rsidRPr="00E05024">
        <w:rPr>
          <w:rFonts w:ascii="Times New Roman" w:hAnsi="Times New Roman" w:cs="Times New Roman"/>
        </w:rPr>
        <w:t>为回应</w:t>
      </w:r>
      <w:hyperlink r:id="rId30" w:history="1">
        <w:r w:rsidRPr="00E05024">
          <w:rPr>
            <w:rStyle w:val="Lienhypertexte"/>
            <w:rFonts w:ascii="Times New Roman" w:hAnsi="Times New Roman" w:cs="Times New Roman"/>
          </w:rPr>
          <w:t>2021</w:t>
        </w:r>
        <w:r w:rsidRPr="00E05024">
          <w:rPr>
            <w:rStyle w:val="Lienhypertexte"/>
            <w:rFonts w:ascii="Times New Roman" w:hAnsi="Times New Roman" w:cs="Times New Roman"/>
          </w:rPr>
          <w:t>年</w:t>
        </w:r>
        <w:r w:rsidRPr="00E05024">
          <w:rPr>
            <w:rStyle w:val="Lienhypertexte"/>
            <w:rFonts w:ascii="Times New Roman" w:hAnsi="Times New Roman" w:cs="Times New Roman"/>
          </w:rPr>
          <w:t>IOS</w:t>
        </w:r>
        <w:r w:rsidRPr="00E05024">
          <w:rPr>
            <w:rStyle w:val="Lienhypertexte"/>
            <w:rFonts w:ascii="Times New Roman" w:hAnsi="Times New Roman" w:cs="Times New Roman"/>
          </w:rPr>
          <w:t>评估</w:t>
        </w:r>
      </w:hyperlink>
      <w:r w:rsidRPr="00E05024">
        <w:rPr>
          <w:rFonts w:ascii="Times New Roman" w:hAnsi="Times New Roman" w:cs="Times New Roman"/>
        </w:rPr>
        <w:t>中关于解决《公约》优先主题举措和应对当前可持续发展与和平挑战的建议书</w:t>
      </w:r>
      <w:r w:rsidRPr="00E05024">
        <w:rPr>
          <w:rFonts w:ascii="Times New Roman" w:hAnsi="Times New Roman" w:cs="Times New Roman"/>
        </w:rPr>
        <w:t>3</w:t>
      </w:r>
      <w:r w:rsidRPr="00E05024">
        <w:rPr>
          <w:rFonts w:ascii="Times New Roman" w:hAnsi="Times New Roman" w:cs="Times New Roman"/>
        </w:rPr>
        <w:t>，秘书处打算在</w:t>
      </w:r>
      <w:r w:rsidRPr="00E05024">
        <w:rPr>
          <w:rFonts w:ascii="Times New Roman" w:hAnsi="Times New Roman" w:cs="Times New Roman"/>
        </w:rPr>
        <w:t>2023</w:t>
      </w:r>
      <w:r w:rsidRPr="00E05024">
        <w:rPr>
          <w:rFonts w:ascii="Times New Roman" w:hAnsi="Times New Roman" w:cs="Times New Roman"/>
        </w:rPr>
        <w:t>年</w:t>
      </w:r>
      <w:r w:rsidRPr="00E05024">
        <w:rPr>
          <w:rFonts w:ascii="Times New Roman" w:hAnsi="Times New Roman" w:cs="Times New Roman"/>
        </w:rPr>
        <w:t>9</w:t>
      </w:r>
      <w:r w:rsidRPr="00E05024">
        <w:rPr>
          <w:rFonts w:ascii="Times New Roman" w:hAnsi="Times New Roman" w:cs="Times New Roman"/>
        </w:rPr>
        <w:t>月和</w:t>
      </w:r>
      <w:r w:rsidRPr="00E05024">
        <w:rPr>
          <w:rFonts w:ascii="Times New Roman" w:hAnsi="Times New Roman" w:cs="Times New Roman"/>
        </w:rPr>
        <w:t>10</w:t>
      </w:r>
      <w:r w:rsidRPr="00E05024">
        <w:rPr>
          <w:rFonts w:ascii="Times New Roman" w:hAnsi="Times New Roman" w:cs="Times New Roman"/>
        </w:rPr>
        <w:t>月举行的第六类专家会议</w:t>
      </w:r>
      <w:r w:rsidRPr="00E05024">
        <w:rPr>
          <w:rFonts w:ascii="Times New Roman" w:hAnsi="Times New Roman" w:cs="Times New Roman"/>
        </w:rPr>
        <w:t>“</w:t>
      </w:r>
      <w:r w:rsidRPr="00E05024">
        <w:rPr>
          <w:rFonts w:ascii="Times New Roman" w:hAnsi="Times New Roman" w:cs="Times New Roman"/>
        </w:rPr>
        <w:t>保护非物质文化遗产和气候变化</w:t>
      </w:r>
      <w:r w:rsidRPr="00E05024">
        <w:rPr>
          <w:rFonts w:ascii="Times New Roman" w:hAnsi="Times New Roman" w:cs="Times New Roman"/>
        </w:rPr>
        <w:t>”</w:t>
      </w:r>
      <w:r w:rsidRPr="00E05024">
        <w:rPr>
          <w:rFonts w:ascii="Times New Roman" w:hAnsi="Times New Roman" w:cs="Times New Roman"/>
        </w:rPr>
        <w:t>和</w:t>
      </w:r>
      <w:r w:rsidRPr="00E05024">
        <w:rPr>
          <w:rFonts w:ascii="Times New Roman" w:hAnsi="Times New Roman" w:cs="Times New Roman"/>
        </w:rPr>
        <w:t>“</w:t>
      </w:r>
      <w:r w:rsidRPr="00E05024">
        <w:rPr>
          <w:rFonts w:ascii="Times New Roman" w:hAnsi="Times New Roman" w:cs="Times New Roman"/>
        </w:rPr>
        <w:t>保护城市背景下的非物质文化遗产</w:t>
      </w:r>
      <w:r w:rsidRPr="00E05024">
        <w:rPr>
          <w:rFonts w:ascii="Times New Roman" w:hAnsi="Times New Roman" w:cs="Times New Roman"/>
        </w:rPr>
        <w:t>”</w:t>
      </w:r>
      <w:r w:rsidRPr="00E05024">
        <w:rPr>
          <w:rFonts w:ascii="Times New Roman" w:hAnsi="Times New Roman" w:cs="Times New Roman"/>
        </w:rPr>
        <w:t>（见</w:t>
      </w:r>
      <w:hyperlink r:id="rId31" w:history="1">
        <w:r w:rsidRPr="008F6A8E">
          <w:rPr>
            <w:rStyle w:val="Lienhypertexte"/>
            <w:rFonts w:asciiTheme="majorEastAsia" w:eastAsiaTheme="majorEastAsia" w:hAnsiTheme="majorEastAsia" w:cs="Times New Roman"/>
          </w:rPr>
          <w:t>LHE/23/18.COM/12</w:t>
        </w:r>
      </w:hyperlink>
      <w:r w:rsidR="003B3CB9" w:rsidRPr="008F6A8E">
        <w:rPr>
          <w:rStyle w:val="Lienhypertexte"/>
          <w:rFonts w:asciiTheme="majorEastAsia" w:eastAsiaTheme="majorEastAsia" w:hAnsiTheme="majorEastAsia"/>
        </w:rPr>
        <w:t xml:space="preserve"> Rev.</w:t>
      </w:r>
      <w:r w:rsidRPr="00E05024">
        <w:rPr>
          <w:rFonts w:ascii="Times New Roman" w:hAnsi="Times New Roman" w:cs="Times New Roman"/>
        </w:rPr>
        <w:t>号文件）的基础上，继续开展在</w:t>
      </w:r>
      <w:r w:rsidRPr="00E05024">
        <w:rPr>
          <w:rFonts w:ascii="Times New Roman" w:hAnsi="Times New Roman" w:cs="Times New Roman"/>
        </w:rPr>
        <w:t>“</w:t>
      </w:r>
      <w:hyperlink r:id="rId32" w:history="1">
        <w:r w:rsidRPr="00E05024">
          <w:rPr>
            <w:rStyle w:val="Lienhypertexte"/>
            <w:rFonts w:ascii="Times New Roman" w:hAnsi="Times New Roman" w:cs="Times New Roman"/>
          </w:rPr>
          <w:t>非物质文化遗产保护的经济层面</w:t>
        </w:r>
      </w:hyperlink>
      <w:r w:rsidRPr="00E05024">
        <w:rPr>
          <w:rFonts w:ascii="Times New Roman" w:hAnsi="Times New Roman" w:cs="Times New Roman"/>
        </w:rPr>
        <w:t>”</w:t>
      </w:r>
      <w:r w:rsidRPr="00E05024">
        <w:rPr>
          <w:rFonts w:ascii="Times New Roman" w:hAnsi="Times New Roman" w:cs="Times New Roman"/>
        </w:rPr>
        <w:t>的工作。此外，还将努力开展</w:t>
      </w:r>
      <w:r w:rsidRPr="00E05024">
        <w:rPr>
          <w:rFonts w:ascii="Times New Roman" w:hAnsi="Times New Roman" w:cs="Times New Roman"/>
        </w:rPr>
        <w:t>“</w:t>
      </w:r>
      <w:hyperlink r:id="rId33" w:history="1">
        <w:r w:rsidRPr="00E05024">
          <w:rPr>
            <w:rStyle w:val="Lienhypertexte"/>
            <w:rFonts w:ascii="Times New Roman" w:hAnsi="Times New Roman" w:cs="Times New Roman"/>
          </w:rPr>
          <w:t>紧急情况下的活态遗产</w:t>
        </w:r>
      </w:hyperlink>
      <w:r w:rsidRPr="00E05024">
        <w:rPr>
          <w:rFonts w:ascii="Times New Roman" w:hAnsi="Times New Roman" w:cs="Times New Roman"/>
        </w:rPr>
        <w:t>”</w:t>
      </w:r>
      <w:r w:rsidRPr="00E05024">
        <w:rPr>
          <w:rFonts w:ascii="Times New Roman" w:hAnsi="Times New Roman" w:cs="Times New Roman"/>
        </w:rPr>
        <w:t>和</w:t>
      </w:r>
      <w:r w:rsidRPr="00E05024">
        <w:rPr>
          <w:rFonts w:ascii="Times New Roman" w:hAnsi="Times New Roman" w:cs="Times New Roman"/>
        </w:rPr>
        <w:t>“</w:t>
      </w:r>
      <w:hyperlink r:id="rId34" w:history="1">
        <w:r w:rsidRPr="00E05024">
          <w:rPr>
            <w:rStyle w:val="Lienhypertexte"/>
            <w:rFonts w:ascii="Times New Roman" w:hAnsi="Times New Roman" w:cs="Times New Roman"/>
          </w:rPr>
          <w:t>通过正规和非正规教育保护非物质文化遗产</w:t>
        </w:r>
      </w:hyperlink>
      <w:r w:rsidRPr="00E05024">
        <w:rPr>
          <w:rFonts w:ascii="Times New Roman" w:hAnsi="Times New Roman" w:cs="Times New Roman"/>
        </w:rPr>
        <w:t>”</w:t>
      </w:r>
      <w:r w:rsidRPr="00E05024">
        <w:rPr>
          <w:rFonts w:ascii="Times New Roman" w:hAnsi="Times New Roman" w:cs="Times New Roman"/>
        </w:rPr>
        <w:t>方面的工作。本两年期的行动将包括专家会议、编写指导材料和提供培训，同时加强与其他文化公约、方案部门以及相关国际组织、框架和机制的协同作用。</w:t>
      </w:r>
      <w:r w:rsidRPr="00E05024">
        <w:rPr>
          <w:rFonts w:ascii="Times New Roman" w:hAnsi="Times New Roman" w:cs="Times New Roman"/>
        </w:rPr>
        <w:t xml:space="preserve"> </w:t>
      </w:r>
    </w:p>
    <w:p w14:paraId="07462C0B" w14:textId="4A448CDF" w:rsidR="003E51DD" w:rsidRPr="00E05024" w:rsidRDefault="003E51DD" w:rsidP="003E51DD">
      <w:pPr>
        <w:pStyle w:val="COMPara"/>
        <w:numPr>
          <w:ilvl w:val="0"/>
          <w:numId w:val="0"/>
        </w:numPr>
        <w:tabs>
          <w:tab w:val="left" w:pos="567"/>
        </w:tabs>
        <w:ind w:left="567"/>
        <w:jc w:val="both"/>
        <w:rPr>
          <w:rFonts w:ascii="Times New Roman" w:hAnsi="Times New Roman" w:cs="Times New Roman"/>
          <w:b/>
          <w:bCs/>
        </w:rPr>
      </w:pPr>
      <w:r w:rsidRPr="00E05024">
        <w:rPr>
          <w:rFonts w:ascii="Times New Roman" w:hAnsi="Times New Roman" w:cs="Times New Roman"/>
          <w:b/>
        </w:rPr>
        <w:t>预期结果</w:t>
      </w:r>
      <w:r w:rsidRPr="00E05024">
        <w:rPr>
          <w:rFonts w:ascii="Times New Roman" w:hAnsi="Times New Roman" w:cs="Times New Roman"/>
          <w:b/>
        </w:rPr>
        <w:t>2</w:t>
      </w:r>
      <w:r w:rsidRPr="00E05024">
        <w:rPr>
          <w:rFonts w:ascii="Times New Roman" w:hAnsi="Times New Roman" w:cs="Times New Roman"/>
          <w:b/>
        </w:rPr>
        <w:t>：通过加强与国际合作机制有关的监测、知识管理服务和意识提升促进对《公约》的健全治理</w:t>
      </w:r>
    </w:p>
    <w:p w14:paraId="4A8C7968" w14:textId="4C07458C" w:rsidR="003E51DD" w:rsidRPr="00E05024" w:rsidRDefault="003E51DD" w:rsidP="003E51DD">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维持</w:t>
      </w:r>
      <w:r w:rsidR="00225E94">
        <w:rPr>
          <w:rFonts w:ascii="Times New Roman" w:hAnsi="Times New Roman" w:cs="Times New Roman" w:hint="eastAsia"/>
        </w:rPr>
        <w:t>健全治理</w:t>
      </w:r>
      <w:r w:rsidRPr="00E05024">
        <w:rPr>
          <w:rFonts w:ascii="Times New Roman" w:hAnsi="Times New Roman" w:cs="Times New Roman"/>
        </w:rPr>
        <w:t>仍然是确保《公约》有效执行的优先事项。为了继续向《公约》的理事机构和缔约国提供充分的支持，将根据</w:t>
      </w:r>
      <w:r w:rsidRPr="00E05024">
        <w:rPr>
          <w:rFonts w:ascii="Times New Roman" w:hAnsi="Times New Roman" w:cs="Times New Roman"/>
        </w:rPr>
        <w:t xml:space="preserve"> </w:t>
      </w:r>
      <w:hyperlink r:id="rId35" w:history="1">
        <w:r w:rsidRPr="00E05024">
          <w:rPr>
            <w:rStyle w:val="Lienhypertexte"/>
            <w:rFonts w:ascii="Times New Roman" w:hAnsi="Times New Roman" w:cs="Times New Roman"/>
          </w:rPr>
          <w:t>2021</w:t>
        </w:r>
        <w:r w:rsidRPr="00E05024">
          <w:rPr>
            <w:rStyle w:val="Lienhypertexte"/>
            <w:rFonts w:ascii="Times New Roman" w:hAnsi="Times New Roman" w:cs="Times New Roman"/>
          </w:rPr>
          <w:t>年</w:t>
        </w:r>
        <w:r w:rsidRPr="00E05024">
          <w:rPr>
            <w:rStyle w:val="Lienhypertexte"/>
            <w:rFonts w:ascii="Times New Roman" w:hAnsi="Times New Roman" w:cs="Times New Roman"/>
          </w:rPr>
          <w:t>IOS</w:t>
        </w:r>
        <w:r w:rsidRPr="00E05024">
          <w:rPr>
            <w:rStyle w:val="Lienhypertexte"/>
            <w:rFonts w:ascii="Times New Roman" w:hAnsi="Times New Roman" w:cs="Times New Roman"/>
          </w:rPr>
          <w:t>评估</w:t>
        </w:r>
      </w:hyperlink>
      <w:r w:rsidRPr="00E05024">
        <w:rPr>
          <w:rFonts w:ascii="Times New Roman" w:hAnsi="Times New Roman" w:cs="Times New Roman"/>
        </w:rPr>
        <w:t>的建议书</w:t>
      </w:r>
      <w:r w:rsidRPr="00E05024">
        <w:rPr>
          <w:rFonts w:ascii="Times New Roman" w:hAnsi="Times New Roman" w:cs="Times New Roman"/>
        </w:rPr>
        <w:t>2</w:t>
      </w:r>
      <w:r w:rsidRPr="00E05024">
        <w:rPr>
          <w:rFonts w:ascii="Times New Roman" w:hAnsi="Times New Roman" w:cs="Times New Roman"/>
        </w:rPr>
        <w:t>、</w:t>
      </w:r>
      <w:r w:rsidRPr="00E05024">
        <w:rPr>
          <w:rFonts w:ascii="Times New Roman" w:hAnsi="Times New Roman" w:cs="Times New Roman"/>
        </w:rPr>
        <w:t>5</w:t>
      </w:r>
      <w:r w:rsidRPr="00E05024">
        <w:rPr>
          <w:rFonts w:ascii="Times New Roman" w:hAnsi="Times New Roman" w:cs="Times New Roman"/>
        </w:rPr>
        <w:t>和</w:t>
      </w:r>
      <w:r w:rsidRPr="00E05024">
        <w:rPr>
          <w:rFonts w:ascii="Times New Roman" w:hAnsi="Times New Roman" w:cs="Times New Roman"/>
        </w:rPr>
        <w:t>6</w:t>
      </w:r>
      <w:r w:rsidRPr="00E05024">
        <w:rPr>
          <w:rFonts w:ascii="Times New Roman" w:hAnsi="Times New Roman" w:cs="Times New Roman"/>
        </w:rPr>
        <w:t>，采取行动加强《公约》的国际合作机制，特别是定期报告、国际援助和列名机制。作为教科文组织文化部门编写四年</w:t>
      </w:r>
      <w:proofErr w:type="gramStart"/>
      <w:r w:rsidRPr="00E05024">
        <w:rPr>
          <w:rFonts w:ascii="Times New Roman" w:hAnsi="Times New Roman" w:cs="Times New Roman"/>
        </w:rPr>
        <w:t>期全球</w:t>
      </w:r>
      <w:proofErr w:type="gramEnd"/>
      <w:r w:rsidRPr="00E05024">
        <w:rPr>
          <w:rFonts w:ascii="Times New Roman" w:hAnsi="Times New Roman" w:cs="Times New Roman"/>
        </w:rPr>
        <w:t>文化政策报告的举措以及向单一全球提交系统转移的预期举措的一部分，将对通过定期报告机制收集的信息进行分析，并将分析结果提交给理事机构的相关会议，</w:t>
      </w:r>
      <w:r w:rsidR="00225E94" w:rsidRPr="00225E94">
        <w:rPr>
          <w:rFonts w:ascii="Times New Roman" w:hAnsi="Times New Roman" w:cs="Times New Roman" w:hint="eastAsia"/>
        </w:rPr>
        <w:t>同时认识到</w:t>
      </w:r>
      <w:r w:rsidRPr="00E05024">
        <w:rPr>
          <w:rFonts w:ascii="Times New Roman" w:hAnsi="Times New Roman" w:cs="Times New Roman"/>
        </w:rPr>
        <w:t>数据在指导当局和社区保护活态遗产方面的关键作用。此外，秘书处将开展上游行动，继续提高人们对《公约》名录和登记册的认识，特别是更好地了解列入名录对遗产项目及其相关社区的影响，以及对多国联合申报材料准备的影响。另外，秘书处还将继续努力促进国际援助，包括扩大筹备性援助的可能性（</w:t>
      </w:r>
      <w:r w:rsidRPr="00652AAB">
        <w:rPr>
          <w:rFonts w:ascii="Times New Roman" w:hAnsi="Times New Roman" w:cs="Times New Roman"/>
        </w:rPr>
        <w:t>见</w:t>
      </w:r>
      <w:hyperlink r:id="rId36" w:history="1">
        <w:r w:rsidRPr="00652AAB">
          <w:rPr>
            <w:rStyle w:val="Lienhypertexte"/>
            <w:rFonts w:ascii="Times New Roman" w:hAnsi="Times New Roman" w:cs="Times New Roman"/>
          </w:rPr>
          <w:t>LHE/24/10.GA/7</w:t>
        </w:r>
      </w:hyperlink>
      <w:r w:rsidRPr="00652AAB">
        <w:rPr>
          <w:rFonts w:ascii="Times New Roman" w:hAnsi="Times New Roman" w:cs="Times New Roman"/>
        </w:rPr>
        <w:t>号</w:t>
      </w:r>
      <w:r w:rsidRPr="00E05024">
        <w:rPr>
          <w:rFonts w:ascii="Times New Roman" w:hAnsi="Times New Roman" w:cs="Times New Roman"/>
        </w:rPr>
        <w:t>文件），以鼓励提交申请并促进提高在《公约》名录上的地域代表性。为了在反思更广泛执行《公约》第十八条之后加强其实施，可以为执行理事机构可能</w:t>
      </w:r>
      <w:proofErr w:type="gramStart"/>
      <w:r w:rsidRPr="00E05024">
        <w:rPr>
          <w:rFonts w:ascii="Times New Roman" w:hAnsi="Times New Roman" w:cs="Times New Roman"/>
        </w:rPr>
        <w:t>作出</w:t>
      </w:r>
      <w:proofErr w:type="gramEnd"/>
      <w:r w:rsidRPr="00E05024">
        <w:rPr>
          <w:rFonts w:ascii="Times New Roman" w:hAnsi="Times New Roman" w:cs="Times New Roman"/>
        </w:rPr>
        <w:t>的决定提供支持，包括启动在线平台的初步运作，以便在设立后分享优秀保护经验（见第</w:t>
      </w:r>
      <w:r w:rsidRPr="00E05024">
        <w:rPr>
          <w:rFonts w:ascii="Times New Roman" w:hAnsi="Times New Roman" w:cs="Times New Roman"/>
        </w:rPr>
        <w:t>31</w:t>
      </w:r>
      <w:r w:rsidRPr="00E05024">
        <w:rPr>
          <w:rFonts w:ascii="Times New Roman" w:hAnsi="Times New Roman" w:cs="Times New Roman"/>
        </w:rPr>
        <w:t>段）。</w:t>
      </w:r>
    </w:p>
    <w:p w14:paraId="51583F6B" w14:textId="4DF95F78" w:rsidR="00475E86" w:rsidRPr="00E05024" w:rsidRDefault="003E51DD" w:rsidP="003E51DD">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根据在</w:t>
      </w:r>
      <w:bookmarkStart w:id="7" w:name="_Hlk162009818"/>
      <w:r w:rsidRPr="00E05024">
        <w:rPr>
          <w:rFonts w:ascii="Times New Roman" w:hAnsi="Times New Roman" w:cs="Times New Roman"/>
        </w:rPr>
        <w:t>上一两年</w:t>
      </w:r>
      <w:proofErr w:type="gramStart"/>
      <w:r w:rsidRPr="00E05024">
        <w:rPr>
          <w:rFonts w:ascii="Times New Roman" w:hAnsi="Times New Roman" w:cs="Times New Roman"/>
        </w:rPr>
        <w:t>期</w:t>
      </w:r>
      <w:bookmarkEnd w:id="7"/>
      <w:r w:rsidRPr="00E05024">
        <w:rPr>
          <w:rFonts w:ascii="Times New Roman" w:hAnsi="Times New Roman" w:cs="Times New Roman"/>
        </w:rPr>
        <w:t>启动</w:t>
      </w:r>
      <w:proofErr w:type="gramEnd"/>
      <w:r w:rsidRPr="00E05024">
        <w:rPr>
          <w:rFonts w:ascii="Times New Roman" w:hAnsi="Times New Roman" w:cs="Times New Roman"/>
        </w:rPr>
        <w:t>的行动，秘书处将继续加强其知识管理服务，考虑到《公约》在地理位置（截至</w:t>
      </w:r>
      <w:r w:rsidRPr="00E05024">
        <w:rPr>
          <w:rFonts w:ascii="Times New Roman" w:hAnsi="Times New Roman" w:cs="Times New Roman"/>
        </w:rPr>
        <w:t>2023</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w:t>
      </w:r>
      <w:r w:rsidRPr="00E05024">
        <w:rPr>
          <w:rFonts w:ascii="Times New Roman" w:hAnsi="Times New Roman" w:cs="Times New Roman"/>
        </w:rPr>
        <w:t>31</w:t>
      </w:r>
      <w:r w:rsidRPr="00E05024">
        <w:rPr>
          <w:rFonts w:ascii="Times New Roman" w:hAnsi="Times New Roman" w:cs="Times New Roman"/>
        </w:rPr>
        <w:t>日有</w:t>
      </w:r>
      <w:r w:rsidRPr="00E05024">
        <w:rPr>
          <w:rFonts w:ascii="Times New Roman" w:hAnsi="Times New Roman" w:cs="Times New Roman"/>
        </w:rPr>
        <w:t>181</w:t>
      </w:r>
      <w:r w:rsidRPr="00E05024">
        <w:rPr>
          <w:rFonts w:ascii="Times New Roman" w:hAnsi="Times New Roman" w:cs="Times New Roman"/>
        </w:rPr>
        <w:t>个缔约国）和专题方面的扩大，这些服务至关重要，尤其是专题举措、持续的定期报告机制以及委员会对列名机制和《公约》第十八条发起的反思。根据</w:t>
      </w:r>
      <w:hyperlink r:id="rId37" w:history="1">
        <w:r w:rsidRPr="00E05024">
          <w:rPr>
            <w:rStyle w:val="Lienhypertexte"/>
            <w:rFonts w:ascii="Times New Roman" w:hAnsi="Times New Roman" w:cs="Times New Roman"/>
          </w:rPr>
          <w:t>2021</w:t>
        </w:r>
        <w:r w:rsidRPr="00E05024">
          <w:rPr>
            <w:rStyle w:val="Lienhypertexte"/>
            <w:rFonts w:ascii="Times New Roman" w:hAnsi="Times New Roman" w:cs="Times New Roman"/>
          </w:rPr>
          <w:t>年</w:t>
        </w:r>
        <w:r w:rsidRPr="00E05024">
          <w:rPr>
            <w:rStyle w:val="Lienhypertexte"/>
            <w:rFonts w:ascii="Times New Roman" w:hAnsi="Times New Roman" w:cs="Times New Roman"/>
          </w:rPr>
          <w:t>IOS</w:t>
        </w:r>
        <w:r w:rsidRPr="00E05024">
          <w:rPr>
            <w:rStyle w:val="Lienhypertexte"/>
            <w:rFonts w:ascii="Times New Roman" w:hAnsi="Times New Roman" w:cs="Times New Roman"/>
          </w:rPr>
          <w:t>评估</w:t>
        </w:r>
      </w:hyperlink>
      <w:r w:rsidRPr="00E05024">
        <w:rPr>
          <w:rFonts w:ascii="Times New Roman" w:hAnsi="Times New Roman" w:cs="Times New Roman"/>
        </w:rPr>
        <w:t xml:space="preserve"> </w:t>
      </w:r>
      <w:r w:rsidRPr="00E05024">
        <w:rPr>
          <w:rFonts w:ascii="Times New Roman" w:hAnsi="Times New Roman" w:cs="Times New Roman"/>
        </w:rPr>
        <w:t>（建议书</w:t>
      </w:r>
      <w:r w:rsidRPr="00E05024">
        <w:rPr>
          <w:rFonts w:ascii="Times New Roman" w:hAnsi="Times New Roman" w:cs="Times New Roman"/>
        </w:rPr>
        <w:t>10</w:t>
      </w:r>
      <w:r w:rsidRPr="00E05024">
        <w:rPr>
          <w:rFonts w:ascii="Times New Roman" w:hAnsi="Times New Roman" w:cs="Times New Roman"/>
        </w:rPr>
        <w:t>和</w:t>
      </w:r>
      <w:r w:rsidRPr="00E05024">
        <w:rPr>
          <w:rFonts w:ascii="Times New Roman" w:hAnsi="Times New Roman" w:cs="Times New Roman"/>
        </w:rPr>
        <w:t>11</w:t>
      </w:r>
      <w:r w:rsidRPr="00E05024">
        <w:rPr>
          <w:rFonts w:ascii="Times New Roman" w:hAnsi="Times New Roman" w:cs="Times New Roman"/>
        </w:rPr>
        <w:t>）的规定，下一个两年期将</w:t>
      </w:r>
      <w:proofErr w:type="gramStart"/>
      <w:r w:rsidRPr="00E05024">
        <w:rPr>
          <w:rFonts w:ascii="Times New Roman" w:hAnsi="Times New Roman" w:cs="Times New Roman"/>
        </w:rPr>
        <w:t>作出</w:t>
      </w:r>
      <w:proofErr w:type="gramEnd"/>
      <w:r w:rsidRPr="00E05024">
        <w:rPr>
          <w:rFonts w:ascii="Times New Roman" w:hAnsi="Times New Roman" w:cs="Times New Roman"/>
        </w:rPr>
        <w:t>具体努力，以精简数据制作和管理，并通过用户友好的开放格式促进信息的获取。将改进《公约》的知识管理，以落实最近反思和改革的成果，从而使来自更广泛国家和社区的信息迅速增加，并提高更广泛利益攸关方的兴趣。此外，基于为纪念《公约》二十周年而启动的</w:t>
      </w:r>
      <w:hyperlink r:id="rId38" w:history="1">
        <w:r w:rsidRPr="00E05024">
          <w:rPr>
            <w:rStyle w:val="Lienhypertexte"/>
            <w:rFonts w:ascii="Times New Roman" w:hAnsi="Times New Roman" w:cs="Times New Roman"/>
          </w:rPr>
          <w:t>平台</w:t>
        </w:r>
      </w:hyperlink>
      <w:r w:rsidRPr="00E05024">
        <w:rPr>
          <w:rFonts w:ascii="Times New Roman" w:hAnsi="Times New Roman" w:cs="Times New Roman"/>
        </w:rPr>
        <w:t>的成功经验，《公约》的</w:t>
      </w:r>
      <w:proofErr w:type="gramStart"/>
      <w:r w:rsidRPr="00E05024">
        <w:rPr>
          <w:rFonts w:ascii="Times New Roman" w:hAnsi="Times New Roman" w:cs="Times New Roman"/>
        </w:rPr>
        <w:t>网站仍</w:t>
      </w:r>
      <w:proofErr w:type="gramEnd"/>
      <w:r w:rsidRPr="00E05024">
        <w:rPr>
          <w:rFonts w:ascii="Times New Roman" w:hAnsi="Times New Roman" w:cs="Times New Roman"/>
        </w:rPr>
        <w:t>将是各国代表和专家的重要信息库，</w:t>
      </w:r>
      <w:r w:rsidR="00225E94" w:rsidRPr="00E05024">
        <w:rPr>
          <w:rFonts w:ascii="Times New Roman" w:hAnsi="Times New Roman" w:cs="Times New Roman"/>
        </w:rPr>
        <w:t>网站</w:t>
      </w:r>
      <w:r w:rsidRPr="00E05024">
        <w:rPr>
          <w:rFonts w:ascii="Times New Roman" w:hAnsi="Times New Roman" w:cs="Times New Roman"/>
        </w:rPr>
        <w:t>将继续进行改进，以提供主题方法，提供横向导航（包括通过定期更新</w:t>
      </w:r>
      <w:r w:rsidRPr="00E05024">
        <w:rPr>
          <w:rFonts w:ascii="Times New Roman" w:hAnsi="Times New Roman" w:cs="Times New Roman"/>
        </w:rPr>
        <w:t>“</w:t>
      </w:r>
      <w:hyperlink r:id="rId39" w:history="1">
        <w:r w:rsidR="003B3CB9">
          <w:rPr>
            <w:rStyle w:val="Lienhypertexte"/>
            <w:rFonts w:ascii="Times New Roman" w:hAnsi="Times New Roman" w:cs="Times New Roman" w:hint="eastAsia"/>
          </w:rPr>
          <w:t>沉浸式探索</w:t>
        </w:r>
        <w:r w:rsidRPr="003B3CB9">
          <w:rPr>
            <w:rStyle w:val="Lienhypertexte"/>
            <w:rFonts w:ascii="Times New Roman" w:hAnsi="Times New Roman" w:cs="Times New Roman"/>
          </w:rPr>
          <w:t>非物质文化遗产</w:t>
        </w:r>
      </w:hyperlink>
      <w:r w:rsidRPr="00E05024">
        <w:rPr>
          <w:rFonts w:ascii="Times New Roman" w:hAnsi="Times New Roman" w:cs="Times New Roman"/>
        </w:rPr>
        <w:t>！</w:t>
      </w:r>
      <w:r w:rsidRPr="00E05024">
        <w:rPr>
          <w:rFonts w:ascii="Times New Roman" w:hAnsi="Times New Roman" w:cs="Times New Roman"/>
        </w:rPr>
        <w:t>”</w:t>
      </w:r>
      <w:r w:rsidRPr="00E05024">
        <w:rPr>
          <w:rFonts w:ascii="Times New Roman" w:hAnsi="Times New Roman" w:cs="Times New Roman"/>
        </w:rPr>
        <w:t>等方式）并重点介绍数据可视化、高质量照片和视听材料等描绘活态遗产的内容。</w:t>
      </w:r>
    </w:p>
    <w:p w14:paraId="2341FEDD" w14:textId="1DD4D945" w:rsidR="003E51DD" w:rsidRPr="00E05024" w:rsidRDefault="00B87E19" w:rsidP="00B87E19">
      <w:pPr>
        <w:pStyle w:val="COMPara"/>
        <w:numPr>
          <w:ilvl w:val="0"/>
          <w:numId w:val="0"/>
        </w:numPr>
        <w:ind w:left="567"/>
        <w:jc w:val="both"/>
        <w:rPr>
          <w:rFonts w:ascii="Times New Roman" w:hAnsi="Times New Roman" w:cs="Times New Roman"/>
          <w:b/>
          <w:bCs/>
        </w:rPr>
      </w:pPr>
      <w:r w:rsidRPr="00E05024">
        <w:rPr>
          <w:rFonts w:ascii="Times New Roman" w:hAnsi="Times New Roman" w:cs="Times New Roman"/>
          <w:b/>
        </w:rPr>
        <w:t>专家参加理事机构的会议</w:t>
      </w:r>
    </w:p>
    <w:p w14:paraId="6F8BCEE6" w14:textId="29D232AB" w:rsidR="00B87E19" w:rsidRPr="00E05024" w:rsidRDefault="00B87E19" w:rsidP="00B87E19">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b/>
        </w:rPr>
        <w:t>预算项目</w:t>
      </w:r>
      <w:r w:rsidRPr="00E05024">
        <w:rPr>
          <w:rFonts w:ascii="Times New Roman" w:hAnsi="Times New Roman" w:cs="Times New Roman"/>
          <w:b/>
        </w:rPr>
        <w:t>4</w:t>
      </w:r>
      <w:r w:rsidRPr="00E05024">
        <w:rPr>
          <w:rFonts w:ascii="Times New Roman" w:hAnsi="Times New Roman" w:cs="Times New Roman"/>
        </w:rPr>
        <w:t>（如果相关专家</w:t>
      </w:r>
      <w:r w:rsidR="00225E94">
        <w:rPr>
          <w:rFonts w:ascii="Times New Roman" w:hAnsi="Times New Roman" w:cs="Times New Roman" w:hint="eastAsia"/>
        </w:rPr>
        <w:t>来自</w:t>
      </w:r>
      <w:r w:rsidRPr="00E05024">
        <w:rPr>
          <w:rFonts w:ascii="Times New Roman" w:hAnsi="Times New Roman" w:cs="Times New Roman"/>
        </w:rPr>
        <w:t>委员会成员</w:t>
      </w:r>
      <w:r w:rsidR="00225E94">
        <w:rPr>
          <w:rFonts w:ascii="Times New Roman" w:hAnsi="Times New Roman" w:cs="Times New Roman" w:hint="eastAsia"/>
        </w:rPr>
        <w:t>国</w:t>
      </w:r>
      <w:r w:rsidRPr="00E05024">
        <w:rPr>
          <w:rFonts w:ascii="Times New Roman" w:hAnsi="Times New Roman" w:cs="Times New Roman"/>
        </w:rPr>
        <w:t>）或</w:t>
      </w:r>
      <w:r w:rsidRPr="00E05024">
        <w:rPr>
          <w:rFonts w:ascii="Times New Roman" w:hAnsi="Times New Roman" w:cs="Times New Roman"/>
          <w:b/>
        </w:rPr>
        <w:t>预算项目</w:t>
      </w:r>
      <w:r w:rsidRPr="00E05024">
        <w:rPr>
          <w:rFonts w:ascii="Times New Roman" w:hAnsi="Times New Roman" w:cs="Times New Roman"/>
          <w:b/>
        </w:rPr>
        <w:t>5</w:t>
      </w:r>
      <w:r w:rsidRPr="00E05024">
        <w:rPr>
          <w:rFonts w:ascii="Times New Roman" w:hAnsi="Times New Roman" w:cs="Times New Roman"/>
        </w:rPr>
        <w:t>（</w:t>
      </w:r>
      <w:r w:rsidR="00225E94">
        <w:rPr>
          <w:rFonts w:hint="eastAsia"/>
        </w:rPr>
        <w:t>如果他们</w:t>
      </w:r>
      <w:proofErr w:type="gramStart"/>
      <w:r w:rsidR="00225E94">
        <w:rPr>
          <w:rFonts w:hint="eastAsia"/>
        </w:rPr>
        <w:t>不</w:t>
      </w:r>
      <w:proofErr w:type="gramEnd"/>
      <w:r w:rsidR="00225E94">
        <w:rPr>
          <w:rFonts w:hint="eastAsia"/>
        </w:rPr>
        <w:t>来自委员会成员国</w:t>
      </w:r>
      <w:r w:rsidRPr="00E05024">
        <w:rPr>
          <w:rFonts w:ascii="Times New Roman" w:hAnsi="Times New Roman" w:cs="Times New Roman"/>
        </w:rPr>
        <w:t>）负责涵盖代表发展中国家的非物质文化遗产专家参加</w:t>
      </w:r>
      <w:proofErr w:type="gramStart"/>
      <w:r w:rsidRPr="00E05024">
        <w:rPr>
          <w:rFonts w:ascii="Times New Roman" w:hAnsi="Times New Roman" w:cs="Times New Roman"/>
        </w:rPr>
        <w:t>法定会议</w:t>
      </w:r>
      <w:proofErr w:type="gramEnd"/>
      <w:r w:rsidRPr="00E05024">
        <w:rPr>
          <w:rFonts w:ascii="Times New Roman" w:hAnsi="Times New Roman" w:cs="Times New Roman"/>
        </w:rPr>
        <w:t>的费用。代表发展中国家经认可的非政府组织的专家参加委员会会议的费用由</w:t>
      </w:r>
      <w:r w:rsidRPr="00E05024">
        <w:rPr>
          <w:rFonts w:ascii="Times New Roman" w:hAnsi="Times New Roman" w:cs="Times New Roman"/>
          <w:b/>
        </w:rPr>
        <w:t>预算项目</w:t>
      </w:r>
      <w:r w:rsidRPr="00E05024">
        <w:rPr>
          <w:rFonts w:ascii="Times New Roman" w:hAnsi="Times New Roman" w:cs="Times New Roman"/>
          <w:b/>
        </w:rPr>
        <w:t>6</w:t>
      </w:r>
      <w:r w:rsidRPr="00E05024">
        <w:rPr>
          <w:rFonts w:ascii="Times New Roman" w:hAnsi="Times New Roman" w:cs="Times New Roman"/>
        </w:rPr>
        <w:t>支付。建议将</w:t>
      </w:r>
      <w:r w:rsidRPr="00E05024">
        <w:rPr>
          <w:rFonts w:ascii="Times New Roman" w:hAnsi="Times New Roman" w:cs="Times New Roman"/>
        </w:rPr>
        <w:t>2.5%</w:t>
      </w:r>
      <w:r w:rsidRPr="00E05024">
        <w:rPr>
          <w:rFonts w:ascii="Times New Roman" w:hAnsi="Times New Roman" w:cs="Times New Roman"/>
        </w:rPr>
        <w:t>、</w:t>
      </w:r>
      <w:r w:rsidRPr="00E05024">
        <w:rPr>
          <w:rFonts w:ascii="Times New Roman" w:hAnsi="Times New Roman" w:cs="Times New Roman"/>
        </w:rPr>
        <w:t>2.7%</w:t>
      </w:r>
      <w:r w:rsidRPr="00E05024">
        <w:rPr>
          <w:rFonts w:ascii="Times New Roman" w:hAnsi="Times New Roman" w:cs="Times New Roman"/>
        </w:rPr>
        <w:t>和</w:t>
      </w:r>
      <w:r w:rsidRPr="00E05024">
        <w:rPr>
          <w:rFonts w:ascii="Times New Roman" w:hAnsi="Times New Roman" w:cs="Times New Roman"/>
        </w:rPr>
        <w:t>2.7%</w:t>
      </w:r>
      <w:r w:rsidRPr="00E05024">
        <w:rPr>
          <w:rFonts w:ascii="Times New Roman" w:hAnsi="Times New Roman" w:cs="Times New Roman"/>
        </w:rPr>
        <w:t>分</w:t>
      </w:r>
      <w:r w:rsidRPr="00E05024">
        <w:rPr>
          <w:rFonts w:ascii="Times New Roman" w:hAnsi="Times New Roman" w:cs="Times New Roman"/>
        </w:rPr>
        <w:lastRenderedPageBreak/>
        <w:t>别用于上述项目。这表示</w:t>
      </w:r>
      <w:r w:rsidR="00225E94">
        <w:rPr>
          <w:rFonts w:ascii="Times New Roman" w:hAnsi="Times New Roman" w:cs="Times New Roman" w:hint="eastAsia"/>
        </w:rPr>
        <w:t>尽管</w:t>
      </w:r>
      <w:r w:rsidRPr="00E05024">
        <w:rPr>
          <w:rFonts w:ascii="Times New Roman" w:hAnsi="Times New Roman" w:cs="Times New Roman"/>
        </w:rPr>
        <w:t>每个项目都略有减少，基金</w:t>
      </w:r>
      <w:r w:rsidR="00225E94">
        <w:rPr>
          <w:rFonts w:ascii="Times New Roman" w:hAnsi="Times New Roman" w:cs="Times New Roman" w:hint="eastAsia"/>
        </w:rPr>
        <w:t>仍</w:t>
      </w:r>
      <w:r w:rsidRPr="00E05024">
        <w:rPr>
          <w:rFonts w:ascii="Times New Roman" w:hAnsi="Times New Roman" w:cs="Times New Roman"/>
        </w:rPr>
        <w:t>能够回应委员会成员的所有申请，以及非委员会成员的缔约国和经认证非政府组织提交的大多数（若非全部）申请。</w:t>
      </w:r>
      <w:r w:rsidRPr="00E05024">
        <w:rPr>
          <w:rFonts w:ascii="Times New Roman" w:hAnsi="Times New Roman" w:cs="Times New Roman"/>
        </w:rPr>
        <w:t xml:space="preserve"> </w:t>
      </w:r>
    </w:p>
    <w:p w14:paraId="713C01B9" w14:textId="4831843D" w:rsidR="00803EF3" w:rsidRPr="00E05024" w:rsidRDefault="00803EF3" w:rsidP="00CA4765">
      <w:pPr>
        <w:pStyle w:val="COMPara"/>
        <w:keepNext/>
        <w:numPr>
          <w:ilvl w:val="0"/>
          <w:numId w:val="0"/>
        </w:numPr>
        <w:ind w:left="567"/>
        <w:jc w:val="both"/>
        <w:rPr>
          <w:rFonts w:ascii="Times New Roman" w:hAnsi="Times New Roman" w:cs="Times New Roman"/>
          <w:b/>
          <w:bCs/>
        </w:rPr>
      </w:pPr>
      <w:r w:rsidRPr="00E05024">
        <w:rPr>
          <w:rFonts w:ascii="Times New Roman" w:hAnsi="Times New Roman" w:cs="Times New Roman"/>
          <w:b/>
        </w:rPr>
        <w:t>向委员会提供咨询服务</w:t>
      </w:r>
    </w:p>
    <w:p w14:paraId="12210674" w14:textId="7CA5791F" w:rsidR="00803EF3" w:rsidRPr="00E05024" w:rsidRDefault="00803EF3" w:rsidP="00803EF3">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提议将</w:t>
      </w:r>
      <w:r w:rsidRPr="00E05024">
        <w:rPr>
          <w:rFonts w:ascii="Times New Roman" w:hAnsi="Times New Roman" w:cs="Times New Roman"/>
          <w:b/>
        </w:rPr>
        <w:t>预算项目</w:t>
      </w:r>
      <w:r w:rsidRPr="00E05024">
        <w:rPr>
          <w:rFonts w:ascii="Times New Roman" w:hAnsi="Times New Roman" w:cs="Times New Roman"/>
          <w:b/>
        </w:rPr>
        <w:t>7</w:t>
      </w:r>
      <w:r w:rsidRPr="00E05024">
        <w:rPr>
          <w:rFonts w:ascii="Times New Roman" w:hAnsi="Times New Roman" w:cs="Times New Roman"/>
        </w:rPr>
        <w:t>从</w:t>
      </w:r>
      <w:r w:rsidRPr="00E05024">
        <w:rPr>
          <w:rFonts w:ascii="Times New Roman" w:hAnsi="Times New Roman" w:cs="Times New Roman"/>
        </w:rPr>
        <w:t>7.7%</w:t>
      </w:r>
      <w:r w:rsidRPr="00E05024">
        <w:rPr>
          <w:rFonts w:ascii="Times New Roman" w:hAnsi="Times New Roman" w:cs="Times New Roman"/>
        </w:rPr>
        <w:t>略微减少到</w:t>
      </w:r>
      <w:r w:rsidRPr="00E05024">
        <w:rPr>
          <w:rFonts w:ascii="Times New Roman" w:hAnsi="Times New Roman" w:cs="Times New Roman"/>
        </w:rPr>
        <w:t>7%</w:t>
      </w:r>
      <w:r w:rsidRPr="00E05024">
        <w:rPr>
          <w:rFonts w:ascii="Times New Roman" w:hAnsi="Times New Roman" w:cs="Times New Roman"/>
        </w:rPr>
        <w:t>，以涵盖应委员会的要求在</w:t>
      </w:r>
      <w:r w:rsidRPr="00E05024">
        <w:rPr>
          <w:rFonts w:ascii="Times New Roman" w:hAnsi="Times New Roman" w:cs="Times New Roman"/>
        </w:rPr>
        <w:t>2024</w:t>
      </w:r>
      <w:r w:rsidRPr="00E05024">
        <w:rPr>
          <w:rFonts w:ascii="Times New Roman" w:hAnsi="Times New Roman" w:cs="Times New Roman"/>
        </w:rPr>
        <w:t>年</w:t>
      </w:r>
      <w:r w:rsidRPr="00E05024">
        <w:rPr>
          <w:rFonts w:ascii="Times New Roman" w:hAnsi="Times New Roman" w:cs="Times New Roman"/>
        </w:rPr>
        <w:t>1</w:t>
      </w:r>
      <w:r w:rsidRPr="00E05024">
        <w:rPr>
          <w:rFonts w:ascii="Times New Roman" w:hAnsi="Times New Roman" w:cs="Times New Roman"/>
        </w:rPr>
        <w:t>月至</w:t>
      </w:r>
      <w:r w:rsidRPr="00E05024">
        <w:rPr>
          <w:rFonts w:ascii="Times New Roman" w:hAnsi="Times New Roman" w:cs="Times New Roman"/>
        </w:rPr>
        <w:t>2025</w:t>
      </w:r>
      <w:r w:rsidRPr="00E05024">
        <w:rPr>
          <w:rFonts w:ascii="Times New Roman" w:hAnsi="Times New Roman" w:cs="Times New Roman"/>
        </w:rPr>
        <w:t>年</w:t>
      </w:r>
      <w:r w:rsidRPr="00E05024">
        <w:rPr>
          <w:rFonts w:ascii="Times New Roman" w:hAnsi="Times New Roman" w:cs="Times New Roman"/>
        </w:rPr>
        <w:t>12</w:t>
      </w:r>
      <w:r w:rsidRPr="00E05024">
        <w:rPr>
          <w:rFonts w:ascii="Times New Roman" w:hAnsi="Times New Roman" w:cs="Times New Roman"/>
        </w:rPr>
        <w:t>月期间提供的咨询服务的费用，特别是与审查机构的工作有关的咨询服务的费用。根据</w:t>
      </w:r>
      <w:r w:rsidR="00225E94">
        <w:rPr>
          <w:rFonts w:ascii="Times New Roman" w:hAnsi="Times New Roman" w:cs="Times New Roman" w:hint="eastAsia"/>
        </w:rPr>
        <w:t>此</w:t>
      </w:r>
      <w:r w:rsidRPr="00E05024">
        <w:rPr>
          <w:rFonts w:ascii="Times New Roman" w:hAnsi="Times New Roman" w:cs="Times New Roman"/>
        </w:rPr>
        <w:t>提案，预计该项目将继续能够涵盖审查机构在</w:t>
      </w:r>
      <w:r w:rsidRPr="00E05024">
        <w:rPr>
          <w:rFonts w:ascii="Times New Roman" w:hAnsi="Times New Roman" w:cs="Times New Roman"/>
        </w:rPr>
        <w:t>2024</w:t>
      </w:r>
      <w:r w:rsidRPr="00E05024">
        <w:rPr>
          <w:rFonts w:ascii="Times New Roman" w:hAnsi="Times New Roman" w:cs="Times New Roman"/>
        </w:rPr>
        <w:t>年和</w:t>
      </w:r>
      <w:r w:rsidRPr="00E05024">
        <w:rPr>
          <w:rFonts w:ascii="Times New Roman" w:hAnsi="Times New Roman" w:cs="Times New Roman"/>
        </w:rPr>
        <w:t>2025</w:t>
      </w:r>
      <w:r w:rsidRPr="00E05024">
        <w:rPr>
          <w:rFonts w:ascii="Times New Roman" w:hAnsi="Times New Roman" w:cs="Times New Roman"/>
        </w:rPr>
        <w:t>年提供的咨询服务的费用，即使是考虑到在委员会决定处理从一个名录向另一个名录转移遗产项目的申请，两个相应周期的申报材料数量不断增加，将从急需保护名录转入代表作名录时获得的成功保护经验纳入《优秀保护实践登记册》，</w:t>
      </w:r>
      <w:r w:rsidR="00AD29AB">
        <w:rPr>
          <w:rFonts w:ascii="Times New Roman" w:hAnsi="Times New Roman" w:cs="Times New Roman" w:hint="eastAsia"/>
        </w:rPr>
        <w:t>处理</w:t>
      </w:r>
      <w:r w:rsidRPr="00E05024">
        <w:rPr>
          <w:rFonts w:ascii="Times New Roman" w:hAnsi="Times New Roman" w:cs="Times New Roman"/>
        </w:rPr>
        <w:t>在年度上限之外对已列入名录的遗产项目扩展或缩减的申请，以及对已列入名录的遗产项目的后续行动（第</w:t>
      </w:r>
      <w:hyperlink r:id="rId40" w:history="1">
        <w:r w:rsidRPr="00E05024">
          <w:rPr>
            <w:rStyle w:val="Lienhypertexte"/>
            <w:rFonts w:ascii="Times New Roman" w:hAnsi="Times New Roman" w:cs="Times New Roman"/>
          </w:rPr>
          <w:t>17.COM 15</w:t>
        </w:r>
      </w:hyperlink>
      <w:r w:rsidRPr="00E05024">
        <w:rPr>
          <w:rFonts w:ascii="Times New Roman" w:hAnsi="Times New Roman" w:cs="Times New Roman"/>
        </w:rPr>
        <w:t>号决定）。</w:t>
      </w:r>
    </w:p>
    <w:p w14:paraId="231468DD" w14:textId="51B77727" w:rsidR="00803EF3" w:rsidRPr="00E05024" w:rsidRDefault="00803EF3" w:rsidP="001478D5">
      <w:pPr>
        <w:pStyle w:val="COMPara"/>
        <w:numPr>
          <w:ilvl w:val="0"/>
          <w:numId w:val="23"/>
        </w:numPr>
        <w:ind w:left="567" w:hanging="567"/>
        <w:jc w:val="both"/>
        <w:rPr>
          <w:rFonts w:ascii="Times New Roman" w:hAnsi="Times New Roman" w:cs="Times New Roman"/>
        </w:rPr>
      </w:pPr>
      <w:r w:rsidRPr="00E05024">
        <w:rPr>
          <w:rFonts w:ascii="Times New Roman" w:hAnsi="Times New Roman" w:cs="Times New Roman"/>
        </w:rPr>
        <w:t>此外，该预算项目预计将涵盖与初步建立一个在线平台</w:t>
      </w:r>
      <w:bookmarkStart w:id="8" w:name="_Hlk149417398"/>
      <w:r w:rsidRPr="00E05024">
        <w:rPr>
          <w:rFonts w:ascii="Times New Roman" w:hAnsi="Times New Roman" w:cs="Times New Roman"/>
        </w:rPr>
        <w:t>以分享优秀保护经验的相关费用</w:t>
      </w:r>
      <w:bookmarkEnd w:id="8"/>
      <w:r w:rsidRPr="00E05024">
        <w:rPr>
          <w:rFonts w:ascii="Times New Roman" w:hAnsi="Times New Roman" w:cs="Times New Roman"/>
        </w:rPr>
        <w:t>，包括信息技术开发、内容准备和系统的初步测试，以全面执行《公约》第十八条（第</w:t>
      </w:r>
      <w:r w:rsidRPr="00E05024">
        <w:rPr>
          <w:rFonts w:ascii="Times New Roman" w:hAnsi="Times New Roman" w:cs="Times New Roman"/>
        </w:rPr>
        <w:t xml:space="preserve"> </w:t>
      </w:r>
      <w:hyperlink r:id="rId41" w:history="1">
        <w:r w:rsidRPr="00E05024">
          <w:rPr>
            <w:rStyle w:val="Lienhypertexte"/>
            <w:rFonts w:ascii="Times New Roman" w:hAnsi="Times New Roman" w:cs="Times New Roman"/>
          </w:rPr>
          <w:t>18.COM 11</w:t>
        </w:r>
      </w:hyperlink>
      <w:r w:rsidRPr="00E05024">
        <w:rPr>
          <w:rFonts w:ascii="Times New Roman" w:hAnsi="Times New Roman" w:cs="Times New Roman"/>
        </w:rPr>
        <w:t>号决定）。如果大会核准项目</w:t>
      </w:r>
      <w:r w:rsidRPr="00E05024">
        <w:rPr>
          <w:rFonts w:ascii="Times New Roman" w:hAnsi="Times New Roman" w:cs="Times New Roman"/>
        </w:rPr>
        <w:t>7</w:t>
      </w:r>
      <w:r w:rsidRPr="00E05024">
        <w:rPr>
          <w:rFonts w:ascii="Times New Roman" w:hAnsi="Times New Roman" w:cs="Times New Roman"/>
        </w:rPr>
        <w:t>下的</w:t>
      </w:r>
      <w:r w:rsidRPr="00E05024">
        <w:rPr>
          <w:rFonts w:ascii="Times New Roman" w:hAnsi="Times New Roman" w:cs="Times New Roman"/>
        </w:rPr>
        <w:t>“</w:t>
      </w:r>
      <w:r w:rsidRPr="00E05024">
        <w:rPr>
          <w:rFonts w:ascii="Times New Roman" w:hAnsi="Times New Roman" w:cs="Times New Roman"/>
        </w:rPr>
        <w:t>关于实施《公约》的业务指南的拟议修订</w:t>
      </w:r>
      <w:r w:rsidRPr="00E05024">
        <w:rPr>
          <w:rFonts w:ascii="Times New Roman" w:hAnsi="Times New Roman" w:cs="Times New Roman"/>
        </w:rPr>
        <w:t>”</w:t>
      </w:r>
      <w:r w:rsidRPr="00E05024">
        <w:rPr>
          <w:rFonts w:ascii="Times New Roman" w:hAnsi="Times New Roman" w:cs="Times New Roman"/>
        </w:rPr>
        <w:t>，拟议拨款将能让秘书处着手建立在线平台以分享优秀保护经验。</w:t>
      </w:r>
      <w:r w:rsidRPr="00E05024">
        <w:rPr>
          <w:rFonts w:ascii="Times New Roman" w:hAnsi="Times New Roman" w:cs="Times New Roman"/>
        </w:rPr>
        <w:t xml:space="preserve"> </w:t>
      </w:r>
    </w:p>
    <w:p w14:paraId="6588B349" w14:textId="73248448" w:rsidR="00BF1B48" w:rsidRPr="00E05024" w:rsidRDefault="007B13D8" w:rsidP="00BF1B48">
      <w:pPr>
        <w:pStyle w:val="COMPara"/>
        <w:numPr>
          <w:ilvl w:val="0"/>
          <w:numId w:val="23"/>
        </w:numPr>
        <w:tabs>
          <w:tab w:val="left" w:pos="567"/>
        </w:tabs>
        <w:ind w:left="567" w:hanging="567"/>
        <w:jc w:val="both"/>
        <w:rPr>
          <w:rFonts w:ascii="Times New Roman" w:hAnsi="Times New Roman" w:cs="Times New Roman"/>
          <w:bCs/>
        </w:rPr>
      </w:pPr>
      <w:r w:rsidRPr="00E05024">
        <w:rPr>
          <w:rFonts w:ascii="Times New Roman" w:hAnsi="Times New Roman" w:cs="Times New Roman"/>
        </w:rPr>
        <w:t>在第九届会议上，大会建议授权秘书处在预算项目</w:t>
      </w:r>
      <w:r w:rsidRPr="00E05024">
        <w:rPr>
          <w:rFonts w:ascii="Times New Roman" w:hAnsi="Times New Roman" w:cs="Times New Roman"/>
        </w:rPr>
        <w:t>4</w:t>
      </w:r>
      <w:r w:rsidRPr="00E05024">
        <w:rPr>
          <w:rFonts w:ascii="Times New Roman" w:hAnsi="Times New Roman" w:cs="Times New Roman"/>
        </w:rPr>
        <w:t>、</w:t>
      </w:r>
      <w:r w:rsidRPr="00E05024">
        <w:rPr>
          <w:rFonts w:ascii="Times New Roman" w:hAnsi="Times New Roman" w:cs="Times New Roman"/>
        </w:rPr>
        <w:t>5</w:t>
      </w:r>
      <w:r w:rsidRPr="00E05024">
        <w:rPr>
          <w:rFonts w:ascii="Times New Roman" w:hAnsi="Times New Roman" w:cs="Times New Roman"/>
        </w:rPr>
        <w:t>、</w:t>
      </w:r>
      <w:r w:rsidRPr="00E05024">
        <w:rPr>
          <w:rFonts w:ascii="Times New Roman" w:hAnsi="Times New Roman" w:cs="Times New Roman"/>
        </w:rPr>
        <w:t>6</w:t>
      </w:r>
      <w:r w:rsidRPr="00E05024">
        <w:rPr>
          <w:rFonts w:ascii="Times New Roman" w:hAnsi="Times New Roman" w:cs="Times New Roman"/>
        </w:rPr>
        <w:t>和</w:t>
      </w:r>
      <w:r w:rsidRPr="00E05024">
        <w:rPr>
          <w:rFonts w:ascii="Times New Roman" w:hAnsi="Times New Roman" w:cs="Times New Roman"/>
        </w:rPr>
        <w:t>7</w:t>
      </w:r>
      <w:r w:rsidRPr="00E05024">
        <w:rPr>
          <w:rFonts w:ascii="Times New Roman" w:hAnsi="Times New Roman" w:cs="Times New Roman"/>
        </w:rPr>
        <w:t>之间进行资金转移，最高可达其</w:t>
      </w:r>
      <w:proofErr w:type="gramStart"/>
      <w:r w:rsidRPr="00E05024">
        <w:rPr>
          <w:rFonts w:ascii="Times New Roman" w:hAnsi="Times New Roman" w:cs="Times New Roman"/>
        </w:rPr>
        <w:t>初始总</w:t>
      </w:r>
      <w:proofErr w:type="gramEnd"/>
      <w:r w:rsidRPr="00E05024">
        <w:rPr>
          <w:rFonts w:ascii="Times New Roman" w:hAnsi="Times New Roman" w:cs="Times New Roman"/>
        </w:rPr>
        <w:t>拨款的</w:t>
      </w:r>
      <w:r w:rsidRPr="00E05024">
        <w:rPr>
          <w:rFonts w:ascii="Times New Roman" w:hAnsi="Times New Roman" w:cs="Times New Roman"/>
        </w:rPr>
        <w:t>30%</w:t>
      </w:r>
      <w:r w:rsidRPr="00E05024">
        <w:rPr>
          <w:rFonts w:ascii="Times New Roman" w:hAnsi="Times New Roman" w:cs="Times New Roman"/>
        </w:rPr>
        <w:t>（第</w:t>
      </w:r>
      <w:hyperlink r:id="rId42" w:history="1">
        <w:r w:rsidRPr="00E05024">
          <w:rPr>
            <w:rStyle w:val="Lienhypertexte"/>
            <w:rFonts w:ascii="Times New Roman" w:hAnsi="Times New Roman" w:cs="Times New Roman"/>
          </w:rPr>
          <w:t>9.GA 10</w:t>
        </w:r>
      </w:hyperlink>
      <w:r w:rsidRPr="00E05024">
        <w:rPr>
          <w:rFonts w:ascii="Times New Roman" w:hAnsi="Times New Roman" w:cs="Times New Roman"/>
        </w:rPr>
        <w:t>号决议）。在</w:t>
      </w:r>
      <w:r w:rsidRPr="00E05024">
        <w:rPr>
          <w:rFonts w:ascii="Times New Roman" w:hAnsi="Times New Roman" w:cs="Times New Roman"/>
        </w:rPr>
        <w:t>2022-2023</w:t>
      </w:r>
      <w:r w:rsidRPr="00E05024">
        <w:rPr>
          <w:rFonts w:ascii="Times New Roman" w:hAnsi="Times New Roman" w:cs="Times New Roman"/>
        </w:rPr>
        <w:t>两年期，秘书处在这些预算项目下</w:t>
      </w:r>
      <w:r w:rsidRPr="00652AAB">
        <w:rPr>
          <w:rFonts w:ascii="Times New Roman" w:hAnsi="Times New Roman" w:cs="Times New Roman"/>
        </w:rPr>
        <w:t>进行了两次资金转移，以涵盖出席委员会第十八届会议的参与者的费用（见</w:t>
      </w:r>
      <w:hyperlink r:id="rId43" w:history="1">
        <w:r w:rsidRPr="00652AAB">
          <w:rPr>
            <w:rStyle w:val="Lienhypertexte"/>
            <w:rFonts w:ascii="Times New Roman" w:hAnsi="Times New Roman" w:cs="Times New Roman"/>
          </w:rPr>
          <w:t>LHE/24/10.GA/INF.8</w:t>
        </w:r>
      </w:hyperlink>
      <w:r w:rsidRPr="00652AAB">
        <w:rPr>
          <w:rFonts w:ascii="Times New Roman" w:hAnsi="Times New Roman" w:cs="Times New Roman"/>
        </w:rPr>
        <w:t>号</w:t>
      </w:r>
      <w:r w:rsidRPr="00E05024">
        <w:rPr>
          <w:rFonts w:ascii="Times New Roman" w:hAnsi="Times New Roman" w:cs="Times New Roman"/>
        </w:rPr>
        <w:t>文件）。为了能够继续应对不同类别参与者尽可能多的财务援助申请，委员会建议大会继续授权秘书处在预算项目</w:t>
      </w:r>
      <w:r w:rsidRPr="00E05024">
        <w:rPr>
          <w:rFonts w:ascii="Times New Roman" w:hAnsi="Times New Roman" w:cs="Times New Roman"/>
        </w:rPr>
        <w:t>4</w:t>
      </w:r>
      <w:r w:rsidRPr="00E05024">
        <w:rPr>
          <w:rFonts w:ascii="Times New Roman" w:hAnsi="Times New Roman" w:cs="Times New Roman"/>
        </w:rPr>
        <w:t>、</w:t>
      </w:r>
      <w:r w:rsidRPr="00E05024">
        <w:rPr>
          <w:rFonts w:ascii="Times New Roman" w:hAnsi="Times New Roman" w:cs="Times New Roman"/>
        </w:rPr>
        <w:t>5</w:t>
      </w:r>
      <w:r w:rsidRPr="00E05024">
        <w:rPr>
          <w:rFonts w:ascii="Times New Roman" w:hAnsi="Times New Roman" w:cs="Times New Roman"/>
        </w:rPr>
        <w:t>、</w:t>
      </w:r>
      <w:r w:rsidRPr="00E05024">
        <w:rPr>
          <w:rFonts w:ascii="Times New Roman" w:hAnsi="Times New Roman" w:cs="Times New Roman"/>
        </w:rPr>
        <w:t>6</w:t>
      </w:r>
      <w:r w:rsidRPr="00E05024">
        <w:rPr>
          <w:rFonts w:ascii="Times New Roman" w:hAnsi="Times New Roman" w:cs="Times New Roman"/>
        </w:rPr>
        <w:t>和</w:t>
      </w:r>
      <w:r w:rsidRPr="00E05024">
        <w:rPr>
          <w:rFonts w:ascii="Times New Roman" w:hAnsi="Times New Roman" w:cs="Times New Roman"/>
        </w:rPr>
        <w:t>7</w:t>
      </w:r>
      <w:r w:rsidRPr="00E05024">
        <w:rPr>
          <w:rFonts w:ascii="Times New Roman" w:hAnsi="Times New Roman" w:cs="Times New Roman"/>
        </w:rPr>
        <w:t>之间进行资金转移，金额不超过其初始总额的</w:t>
      </w:r>
      <w:r w:rsidRPr="00E05024">
        <w:rPr>
          <w:rFonts w:ascii="Times New Roman" w:hAnsi="Times New Roman" w:cs="Times New Roman"/>
        </w:rPr>
        <w:t>30%</w:t>
      </w:r>
      <w:r w:rsidRPr="00E05024">
        <w:rPr>
          <w:rFonts w:ascii="Times New Roman" w:hAnsi="Times New Roman" w:cs="Times New Roman"/>
        </w:rPr>
        <w:t>（第</w:t>
      </w:r>
      <w:hyperlink r:id="rId44" w:history="1">
        <w:r w:rsidRPr="00E05024">
          <w:rPr>
            <w:rStyle w:val="Lienhypertexte"/>
            <w:rFonts w:ascii="Times New Roman" w:hAnsi="Times New Roman" w:cs="Times New Roman"/>
          </w:rPr>
          <w:t>18.COM 14</w:t>
        </w:r>
      </w:hyperlink>
      <w:r w:rsidRPr="00E05024">
        <w:rPr>
          <w:rFonts w:ascii="Times New Roman" w:hAnsi="Times New Roman" w:cs="Times New Roman"/>
        </w:rPr>
        <w:t>号决定）。如有必要进行这种转移，秘书处将在进行此操作之后的会议上，以书面方式通知大会和委员会此类转移的详情及理由。</w:t>
      </w:r>
    </w:p>
    <w:p w14:paraId="50D3EAFF" w14:textId="3A349EC1" w:rsidR="00D95C4C" w:rsidRPr="00E05024" w:rsidRDefault="005C792B" w:rsidP="00CA4765">
      <w:pPr>
        <w:pStyle w:val="COMPara"/>
        <w:keepNext/>
        <w:numPr>
          <w:ilvl w:val="0"/>
          <w:numId w:val="23"/>
        </w:numPr>
        <w:ind w:left="567" w:hanging="567"/>
        <w:rPr>
          <w:rFonts w:ascii="Times New Roman" w:hAnsi="Times New Roman" w:cs="Times New Roman"/>
        </w:rPr>
      </w:pPr>
      <w:proofErr w:type="gramStart"/>
      <w:r w:rsidRPr="00E05024">
        <w:rPr>
          <w:rFonts w:ascii="Times New Roman" w:hAnsi="Times New Roman" w:cs="Times New Roman"/>
        </w:rPr>
        <w:t>谨建议</w:t>
      </w:r>
      <w:proofErr w:type="gramEnd"/>
      <w:r w:rsidRPr="00E05024">
        <w:rPr>
          <w:rFonts w:ascii="Times New Roman" w:hAnsi="Times New Roman" w:cs="Times New Roman"/>
        </w:rPr>
        <w:t>大会通过如下决议：</w:t>
      </w:r>
    </w:p>
    <w:p w14:paraId="6CEB1E9D" w14:textId="7E76E83C" w:rsidR="00D95C4C" w:rsidRPr="00E05024" w:rsidRDefault="004A34A0" w:rsidP="001D14FE">
      <w:pPr>
        <w:pStyle w:val="COMTitleDecision"/>
        <w:rPr>
          <w:rFonts w:ascii="Times New Roman" w:hAnsi="Times New Roman" w:cs="Times New Roman"/>
        </w:rPr>
      </w:pPr>
      <w:r w:rsidRPr="00E05024">
        <w:rPr>
          <w:rFonts w:ascii="Times New Roman" w:hAnsi="Times New Roman" w:cs="Times New Roman"/>
        </w:rPr>
        <w:t>第</w:t>
      </w:r>
      <w:r w:rsidRPr="00E05024">
        <w:rPr>
          <w:rFonts w:ascii="Times New Roman" w:hAnsi="Times New Roman" w:cs="Times New Roman"/>
        </w:rPr>
        <w:t>10.GA 8</w:t>
      </w:r>
      <w:r w:rsidRPr="00E05024">
        <w:rPr>
          <w:rFonts w:ascii="Times New Roman" w:hAnsi="Times New Roman" w:cs="Times New Roman"/>
        </w:rPr>
        <w:t>号决议草案</w:t>
      </w:r>
    </w:p>
    <w:p w14:paraId="13024F0B" w14:textId="5181E164" w:rsidR="00D95C4C" w:rsidRPr="00E05024" w:rsidRDefault="005C792B" w:rsidP="00285BB4">
      <w:pPr>
        <w:pStyle w:val="COMPreambulaDecisions"/>
        <w:rPr>
          <w:rFonts w:ascii="Times New Roman" w:hAnsi="Times New Roman" w:cs="Times New Roman"/>
        </w:rPr>
      </w:pPr>
      <w:r w:rsidRPr="00E05024">
        <w:rPr>
          <w:rFonts w:ascii="Times New Roman" w:hAnsi="Times New Roman" w:cs="Times New Roman"/>
        </w:rPr>
        <w:t>大会，</w:t>
      </w:r>
    </w:p>
    <w:p w14:paraId="5A9F22F3" w14:textId="388A66D9" w:rsidR="0057439C" w:rsidRPr="00E05024" w:rsidRDefault="00D95C4C" w:rsidP="001478D5">
      <w:pPr>
        <w:pStyle w:val="COMParaDecision"/>
        <w:ind w:left="1134" w:hanging="567"/>
        <w:rPr>
          <w:rFonts w:ascii="Times New Roman" w:hAnsi="Times New Roman" w:cs="Times New Roman"/>
        </w:rPr>
      </w:pPr>
      <w:r w:rsidRPr="00E05024">
        <w:rPr>
          <w:rFonts w:ascii="Times New Roman" w:hAnsi="Times New Roman" w:cs="Times New Roman"/>
        </w:rPr>
        <w:t>审查了</w:t>
      </w:r>
      <w:r w:rsidRPr="00E05024">
        <w:rPr>
          <w:rFonts w:ascii="Times New Roman" w:hAnsi="Times New Roman" w:cs="Times New Roman"/>
        </w:rPr>
        <w:t>LHE/24/10.GA/8</w:t>
      </w:r>
      <w:r w:rsidRPr="00E05024">
        <w:rPr>
          <w:rFonts w:ascii="Times New Roman" w:hAnsi="Times New Roman" w:cs="Times New Roman"/>
          <w:u w:val="none"/>
        </w:rPr>
        <w:t>号文件和</w:t>
      </w:r>
      <w:hyperlink r:id="rId45" w:history="1">
        <w:r w:rsidRPr="00652AAB">
          <w:rPr>
            <w:rStyle w:val="Lienhypertexte"/>
            <w:rFonts w:ascii="Times New Roman" w:hAnsi="Times New Roman" w:cs="Times New Roman"/>
          </w:rPr>
          <w:t>LHE/24/10.GA/INF.8</w:t>
        </w:r>
      </w:hyperlink>
      <w:r w:rsidRPr="00652AAB">
        <w:rPr>
          <w:rFonts w:ascii="Times New Roman" w:hAnsi="Times New Roman" w:cs="Times New Roman"/>
          <w:u w:val="none"/>
        </w:rPr>
        <w:t>号文件</w:t>
      </w:r>
      <w:r w:rsidRPr="00E05024">
        <w:rPr>
          <w:rFonts w:ascii="Times New Roman" w:hAnsi="Times New Roman" w:cs="Times New Roman"/>
          <w:u w:val="none"/>
        </w:rPr>
        <w:t>及其各自的附件，</w:t>
      </w:r>
      <w:r w:rsidRPr="00E05024">
        <w:rPr>
          <w:rFonts w:ascii="Times New Roman" w:hAnsi="Times New Roman" w:cs="Times New Roman"/>
          <w:u w:val="none"/>
        </w:rPr>
        <w:t xml:space="preserve"> </w:t>
      </w:r>
    </w:p>
    <w:p w14:paraId="384D1EF5" w14:textId="5F0EB0D7" w:rsidR="00E61198" w:rsidRPr="00E05024" w:rsidRDefault="00E61198" w:rsidP="001478D5">
      <w:pPr>
        <w:pStyle w:val="COMParaDecision"/>
        <w:ind w:left="1134" w:hanging="567"/>
        <w:rPr>
          <w:rFonts w:ascii="Times New Roman" w:hAnsi="Times New Roman" w:cs="Times New Roman"/>
        </w:rPr>
      </w:pPr>
      <w:r w:rsidRPr="00E05024">
        <w:rPr>
          <w:rFonts w:ascii="Times New Roman" w:hAnsi="Times New Roman" w:cs="Times New Roman"/>
        </w:rPr>
        <w:t>忆及</w:t>
      </w:r>
      <w:r w:rsidRPr="00E05024">
        <w:rPr>
          <w:rFonts w:ascii="Times New Roman" w:hAnsi="Times New Roman" w:cs="Times New Roman"/>
          <w:u w:val="none"/>
        </w:rPr>
        <w:t>《公约》第七条</w:t>
      </w:r>
      <w:r w:rsidRPr="00E05024">
        <w:rPr>
          <w:rFonts w:ascii="Times New Roman" w:hAnsi="Times New Roman" w:cs="Times New Roman"/>
          <w:u w:val="none"/>
        </w:rPr>
        <w:t>(c)</w:t>
      </w:r>
      <w:r w:rsidRPr="00E05024">
        <w:rPr>
          <w:rFonts w:ascii="Times New Roman" w:hAnsi="Times New Roman" w:cs="Times New Roman"/>
          <w:u w:val="none"/>
        </w:rPr>
        <w:t>款以及《业务指南》第</w:t>
      </w:r>
      <w:r w:rsidRPr="00E05024">
        <w:rPr>
          <w:rFonts w:ascii="Times New Roman" w:hAnsi="Times New Roman" w:cs="Times New Roman"/>
          <w:u w:val="none"/>
        </w:rPr>
        <w:t>II.1</w:t>
      </w:r>
      <w:r w:rsidRPr="00E05024">
        <w:rPr>
          <w:rFonts w:ascii="Times New Roman" w:hAnsi="Times New Roman" w:cs="Times New Roman"/>
          <w:u w:val="none"/>
        </w:rPr>
        <w:t>章，</w:t>
      </w:r>
    </w:p>
    <w:p w14:paraId="03C0863E" w14:textId="3D073B12" w:rsidR="00E61198" w:rsidRPr="00E05024" w:rsidRDefault="00E61198" w:rsidP="001478D5">
      <w:pPr>
        <w:pStyle w:val="COMParaDecision"/>
        <w:ind w:left="1134" w:hanging="567"/>
        <w:rPr>
          <w:rFonts w:ascii="Times New Roman" w:hAnsi="Times New Roman" w:cs="Times New Roman"/>
          <w:u w:val="none"/>
        </w:rPr>
      </w:pPr>
      <w:r w:rsidRPr="00E05024">
        <w:rPr>
          <w:rFonts w:ascii="Times New Roman" w:hAnsi="Times New Roman" w:cs="Times New Roman"/>
        </w:rPr>
        <w:t>进一步忆及</w:t>
      </w:r>
      <w:r w:rsidRPr="00E05024">
        <w:rPr>
          <w:rFonts w:ascii="Times New Roman" w:hAnsi="Times New Roman" w:cs="Times New Roman"/>
          <w:u w:val="none"/>
        </w:rPr>
        <w:t>教科文组织大会的</w:t>
      </w:r>
      <w:bookmarkStart w:id="9" w:name="_Hlk150367455"/>
      <w:r w:rsidRPr="00E05024">
        <w:rPr>
          <w:rFonts w:ascii="Times New Roman" w:hAnsi="Times New Roman" w:cs="Times New Roman"/>
          <w:u w:val="none"/>
        </w:rPr>
        <w:t>2024–</w:t>
      </w:r>
      <w:bookmarkEnd w:id="9"/>
      <w:r w:rsidRPr="00E05024">
        <w:rPr>
          <w:rFonts w:ascii="Times New Roman" w:hAnsi="Times New Roman" w:cs="Times New Roman"/>
          <w:u w:val="none"/>
        </w:rPr>
        <w:t>2025</w:t>
      </w:r>
      <w:r w:rsidRPr="00E05024">
        <w:rPr>
          <w:rFonts w:ascii="Times New Roman" w:hAnsi="Times New Roman" w:cs="Times New Roman"/>
          <w:u w:val="none"/>
        </w:rPr>
        <w:t>拨款决议</w:t>
      </w:r>
      <w:r w:rsidRPr="00E05024">
        <w:rPr>
          <w:rFonts w:ascii="Times New Roman" w:hAnsi="Times New Roman" w:cs="Times New Roman"/>
          <w:color w:val="212121"/>
          <w:u w:val="none"/>
          <w:shd w:val="clear" w:color="auto" w:fill="FFFFFF"/>
        </w:rPr>
        <w:t>（第</w:t>
      </w:r>
      <w:hyperlink r:id="rId46" w:history="1">
        <w:r w:rsidRPr="00E05024">
          <w:rPr>
            <w:rStyle w:val="Lienhypertexte"/>
            <w:rFonts w:ascii="Times New Roman" w:hAnsi="Times New Roman" w:cs="Times New Roman"/>
          </w:rPr>
          <w:t>42 C/80</w:t>
        </w:r>
      </w:hyperlink>
      <w:r w:rsidRPr="00E05024">
        <w:rPr>
          <w:rFonts w:ascii="Times New Roman" w:hAnsi="Times New Roman" w:cs="Times New Roman"/>
          <w:color w:val="212121"/>
          <w:u w:val="none"/>
          <w:shd w:val="clear" w:color="auto" w:fill="FFFFFF"/>
        </w:rPr>
        <w:t>号决议）</w:t>
      </w:r>
      <w:r w:rsidRPr="00E05024">
        <w:rPr>
          <w:rFonts w:ascii="Times New Roman" w:hAnsi="Times New Roman" w:cs="Times New Roman"/>
          <w:u w:val="none"/>
        </w:rPr>
        <w:t>，</w:t>
      </w:r>
    </w:p>
    <w:p w14:paraId="6ACBA10F" w14:textId="77777777" w:rsidR="00E61198" w:rsidRPr="00E05024" w:rsidRDefault="00E61198" w:rsidP="00E61198">
      <w:pPr>
        <w:pStyle w:val="COMParaDecision"/>
        <w:keepNext/>
        <w:keepLines/>
        <w:numPr>
          <w:ilvl w:val="0"/>
          <w:numId w:val="0"/>
        </w:numPr>
        <w:ind w:left="567"/>
        <w:rPr>
          <w:rFonts w:ascii="Times New Roman" w:hAnsi="Times New Roman" w:cs="Times New Roman"/>
          <w:b/>
          <w:bCs/>
          <w:u w:val="none"/>
        </w:rPr>
      </w:pPr>
      <w:r w:rsidRPr="00E05024">
        <w:rPr>
          <w:rFonts w:ascii="Times New Roman" w:hAnsi="Times New Roman" w:cs="Times New Roman"/>
          <w:b/>
          <w:u w:val="none"/>
        </w:rPr>
        <w:t>基金的现状和趋势</w:t>
      </w:r>
    </w:p>
    <w:p w14:paraId="20EEBB4E" w14:textId="53FD1F9E" w:rsidR="00E61198" w:rsidRPr="00E05024" w:rsidRDefault="00E61198" w:rsidP="00E61198">
      <w:pPr>
        <w:pStyle w:val="COMParaDecision"/>
        <w:ind w:left="1134" w:hanging="567"/>
        <w:rPr>
          <w:rFonts w:ascii="Times New Roman" w:hAnsi="Times New Roman" w:cs="Times New Roman"/>
        </w:rPr>
      </w:pPr>
      <w:r w:rsidRPr="00E05024">
        <w:rPr>
          <w:rFonts w:ascii="Times New Roman" w:hAnsi="Times New Roman" w:cs="Times New Roman"/>
        </w:rPr>
        <w:t>注意到</w:t>
      </w:r>
      <w:r w:rsidRPr="00E05024">
        <w:rPr>
          <w:rFonts w:ascii="Times New Roman" w:hAnsi="Times New Roman" w:cs="Times New Roman"/>
          <w:u w:val="none"/>
        </w:rPr>
        <w:t>基金</w:t>
      </w:r>
      <w:r w:rsidRPr="00E05024">
        <w:rPr>
          <w:rFonts w:ascii="Times New Roman" w:hAnsi="Times New Roman" w:cs="Times New Roman"/>
          <w:u w:val="none"/>
        </w:rPr>
        <w:t>2022-2023</w:t>
      </w:r>
      <w:r w:rsidRPr="00E05024">
        <w:rPr>
          <w:rFonts w:ascii="Times New Roman" w:hAnsi="Times New Roman" w:cs="Times New Roman"/>
          <w:u w:val="none"/>
        </w:rPr>
        <w:t>年分摊纳款报表，</w:t>
      </w:r>
      <w:r w:rsidRPr="00E05024">
        <w:rPr>
          <w:rFonts w:ascii="Times New Roman" w:hAnsi="Times New Roman" w:cs="Times New Roman"/>
        </w:rPr>
        <w:t>忆及</w:t>
      </w:r>
      <w:r w:rsidRPr="00E05024">
        <w:rPr>
          <w:rFonts w:ascii="Times New Roman" w:hAnsi="Times New Roman" w:cs="Times New Roman"/>
          <w:u w:val="none"/>
        </w:rPr>
        <w:t>按照《公约》第二十六条的规定，缴付义务纳款和自愿分摊捐款是所有已批准《公约》的缔约国的义务，</w:t>
      </w:r>
      <w:r w:rsidRPr="00E05024">
        <w:rPr>
          <w:rFonts w:ascii="Times New Roman" w:hAnsi="Times New Roman" w:cs="Times New Roman"/>
        </w:rPr>
        <w:t>吁请</w:t>
      </w:r>
      <w:r w:rsidRPr="00E05024">
        <w:rPr>
          <w:rFonts w:ascii="Times New Roman" w:hAnsi="Times New Roman" w:cs="Times New Roman"/>
          <w:u w:val="none"/>
        </w:rPr>
        <w:t>尚未全额缴付分摊纳款（包括自愿分摊捐款）的所有缔约国确保按时缴付纳款；</w:t>
      </w:r>
      <w:r w:rsidRPr="00E05024">
        <w:rPr>
          <w:rFonts w:ascii="Times New Roman" w:hAnsi="Times New Roman" w:cs="Times New Roman"/>
          <w:u w:val="none"/>
        </w:rPr>
        <w:t xml:space="preserve"> </w:t>
      </w:r>
    </w:p>
    <w:p w14:paraId="019466BF" w14:textId="59720591" w:rsidR="00E61198" w:rsidRPr="00E05024" w:rsidRDefault="00E61198" w:rsidP="00E61198">
      <w:pPr>
        <w:pStyle w:val="COMParaDecision"/>
        <w:ind w:left="1134" w:hanging="567"/>
        <w:rPr>
          <w:rFonts w:ascii="Times New Roman" w:hAnsi="Times New Roman" w:cs="Times New Roman"/>
          <w:u w:val="none"/>
        </w:rPr>
      </w:pPr>
      <w:r w:rsidRPr="00E05024">
        <w:rPr>
          <w:rFonts w:ascii="Times New Roman" w:hAnsi="Times New Roman" w:cs="Times New Roman"/>
        </w:rPr>
        <w:t>还注意到</w:t>
      </w:r>
      <w:r w:rsidRPr="00E05024">
        <w:rPr>
          <w:rFonts w:ascii="Times New Roman" w:hAnsi="Times New Roman" w:cs="Times New Roman"/>
          <w:u w:val="none"/>
        </w:rPr>
        <w:t>在</w:t>
      </w:r>
      <w:r w:rsidRPr="00E05024">
        <w:rPr>
          <w:rFonts w:ascii="Times New Roman" w:hAnsi="Times New Roman" w:cs="Times New Roman"/>
          <w:u w:val="none"/>
        </w:rPr>
        <w:t>2022-2023</w:t>
      </w:r>
      <w:r w:rsidRPr="00E05024">
        <w:rPr>
          <w:rFonts w:ascii="Times New Roman" w:hAnsi="Times New Roman" w:cs="Times New Roman"/>
          <w:u w:val="none"/>
        </w:rPr>
        <w:t>两年期（</w:t>
      </w:r>
      <w:r w:rsidRPr="00E05024">
        <w:rPr>
          <w:rFonts w:ascii="Times New Roman" w:hAnsi="Times New Roman" w:cs="Times New Roman"/>
          <w:u w:val="none"/>
        </w:rPr>
        <w:t>a</w:t>
      </w:r>
      <w:r w:rsidRPr="00E05024">
        <w:rPr>
          <w:rFonts w:ascii="Times New Roman" w:hAnsi="Times New Roman" w:cs="Times New Roman"/>
          <w:u w:val="none"/>
        </w:rPr>
        <w:t>）为委员会核准的特定活动提供了自愿补充捐款的捐助方，即荷兰和亚太地区非物质文化遗产国际信息与网络中心（</w:t>
      </w:r>
      <w:r w:rsidRPr="00E05024">
        <w:rPr>
          <w:rFonts w:ascii="Times New Roman" w:hAnsi="Times New Roman" w:cs="Times New Roman"/>
          <w:u w:val="none"/>
        </w:rPr>
        <w:t>ICHCAP</w:t>
      </w:r>
      <w:r w:rsidRPr="00E05024">
        <w:rPr>
          <w:rFonts w:ascii="Times New Roman" w:hAnsi="Times New Roman" w:cs="Times New Roman"/>
          <w:u w:val="none"/>
        </w:rPr>
        <w:t>），以及（</w:t>
      </w:r>
      <w:r w:rsidRPr="00E05024">
        <w:rPr>
          <w:rFonts w:ascii="Times New Roman" w:hAnsi="Times New Roman" w:cs="Times New Roman"/>
          <w:u w:val="none"/>
        </w:rPr>
        <w:t>b</w:t>
      </w:r>
      <w:r w:rsidRPr="00E05024">
        <w:rPr>
          <w:rFonts w:ascii="Times New Roman" w:hAnsi="Times New Roman" w:cs="Times New Roman"/>
          <w:u w:val="none"/>
        </w:rPr>
        <w:t>）对用于加强秘书处人力资源的</w:t>
      </w:r>
      <w:proofErr w:type="gramStart"/>
      <w:r w:rsidRPr="00E05024">
        <w:rPr>
          <w:rFonts w:ascii="Times New Roman" w:hAnsi="Times New Roman" w:cs="Times New Roman"/>
          <w:u w:val="none"/>
        </w:rPr>
        <w:t>子基金</w:t>
      </w:r>
      <w:proofErr w:type="gramEnd"/>
      <w:r w:rsidRPr="00E05024">
        <w:rPr>
          <w:rFonts w:ascii="Times New Roman" w:hAnsi="Times New Roman" w:cs="Times New Roman"/>
          <w:u w:val="none"/>
        </w:rPr>
        <w:t>提供自愿补充捐款的捐助方，即法国、立陶宛、摩纳哥、斯洛伐克和斯洛文尼亚；</w:t>
      </w:r>
    </w:p>
    <w:p w14:paraId="353664D6" w14:textId="064C7853" w:rsidR="00E61198" w:rsidRPr="00E05024" w:rsidRDefault="00E61198" w:rsidP="00E61198">
      <w:pPr>
        <w:pStyle w:val="COMParaDecision"/>
        <w:ind w:left="1134" w:hanging="567"/>
        <w:rPr>
          <w:rFonts w:ascii="Times New Roman" w:hAnsi="Times New Roman" w:cs="Times New Roman"/>
        </w:rPr>
      </w:pPr>
      <w:proofErr w:type="gramStart"/>
      <w:r w:rsidRPr="00E05024">
        <w:rPr>
          <w:rFonts w:ascii="Times New Roman" w:hAnsi="Times New Roman" w:cs="Times New Roman"/>
        </w:rPr>
        <w:t>感谢</w:t>
      </w:r>
      <w:r w:rsidRPr="00E05024">
        <w:rPr>
          <w:rFonts w:ascii="Times New Roman" w:hAnsi="Times New Roman" w:cs="Times New Roman"/>
          <w:u w:val="none"/>
        </w:rPr>
        <w:t>自</w:t>
      </w:r>
      <w:proofErr w:type="gramEnd"/>
      <w:r w:rsidRPr="00E05024">
        <w:rPr>
          <w:rFonts w:ascii="Times New Roman" w:hAnsi="Times New Roman" w:cs="Times New Roman"/>
          <w:u w:val="none"/>
        </w:rPr>
        <w:t>上届会议以来，所有通过不同形式（资金或实物，例如向非物质文化遗产基金或用于加强秘书处人力资源的</w:t>
      </w:r>
      <w:proofErr w:type="gramStart"/>
      <w:r w:rsidRPr="00E05024">
        <w:rPr>
          <w:rFonts w:ascii="Times New Roman" w:hAnsi="Times New Roman" w:cs="Times New Roman"/>
          <w:u w:val="none"/>
        </w:rPr>
        <w:t>子基金</w:t>
      </w:r>
      <w:proofErr w:type="gramEnd"/>
      <w:r w:rsidRPr="00E05024">
        <w:rPr>
          <w:rFonts w:ascii="Times New Roman" w:hAnsi="Times New Roman" w:cs="Times New Roman"/>
          <w:u w:val="none"/>
        </w:rPr>
        <w:t>提供的专项补充自愿捐款、信托基金或租借人员）为《公约》及其秘书处提供支持的贡献者，同时</w:t>
      </w:r>
      <w:r w:rsidRPr="00E05024">
        <w:rPr>
          <w:rFonts w:ascii="Times New Roman" w:hAnsi="Times New Roman" w:cs="Times New Roman"/>
        </w:rPr>
        <w:t>鼓励</w:t>
      </w:r>
      <w:r w:rsidRPr="00E05024">
        <w:rPr>
          <w:rFonts w:ascii="Times New Roman" w:hAnsi="Times New Roman" w:cs="Times New Roman"/>
          <w:u w:val="none"/>
        </w:rPr>
        <w:t>潜在贡献者考虑通过各自选择的方式来为《公约》提供支持的可能性；</w:t>
      </w:r>
    </w:p>
    <w:p w14:paraId="02C7291C" w14:textId="3EB0CA2A" w:rsidR="00E61198" w:rsidRPr="00E05024" w:rsidRDefault="00E61198" w:rsidP="00E61198">
      <w:pPr>
        <w:pStyle w:val="COMParaDecision"/>
        <w:ind w:left="1134" w:hanging="567"/>
        <w:rPr>
          <w:rFonts w:ascii="Times New Roman" w:hAnsi="Times New Roman" w:cs="Times New Roman"/>
        </w:rPr>
      </w:pPr>
      <w:r w:rsidRPr="00E05024">
        <w:rPr>
          <w:rFonts w:ascii="Times New Roman" w:hAnsi="Times New Roman" w:cs="Times New Roman"/>
        </w:rPr>
        <w:t>重申</w:t>
      </w:r>
      <w:r w:rsidRPr="00E05024">
        <w:rPr>
          <w:rFonts w:ascii="Times New Roman" w:hAnsi="Times New Roman" w:cs="Times New Roman"/>
          <w:u w:val="none"/>
        </w:rPr>
        <w:t>有必要长期加强秘书处的人力资源，使秘书处能够更好地响应缔约国的需求，并</w:t>
      </w:r>
      <w:r w:rsidRPr="00E05024">
        <w:rPr>
          <w:rFonts w:ascii="Times New Roman" w:hAnsi="Times New Roman" w:cs="Times New Roman"/>
        </w:rPr>
        <w:t>邀请</w:t>
      </w:r>
      <w:r w:rsidRPr="00E05024">
        <w:rPr>
          <w:rFonts w:ascii="Times New Roman" w:hAnsi="Times New Roman" w:cs="Times New Roman"/>
          <w:u w:val="none"/>
        </w:rPr>
        <w:t>缔约国向用于加强秘书处人力资源的</w:t>
      </w:r>
      <w:proofErr w:type="gramStart"/>
      <w:r w:rsidRPr="00E05024">
        <w:rPr>
          <w:rFonts w:ascii="Times New Roman" w:hAnsi="Times New Roman" w:cs="Times New Roman"/>
          <w:u w:val="none"/>
        </w:rPr>
        <w:t>子基金</w:t>
      </w:r>
      <w:proofErr w:type="gramEnd"/>
      <w:r w:rsidRPr="00E05024">
        <w:rPr>
          <w:rFonts w:ascii="Times New Roman" w:hAnsi="Times New Roman" w:cs="Times New Roman"/>
          <w:u w:val="none"/>
        </w:rPr>
        <w:t>提供自愿补充捐款；</w:t>
      </w:r>
    </w:p>
    <w:p w14:paraId="2D80BB1A" w14:textId="77777777" w:rsidR="00E61198" w:rsidRPr="00E05024" w:rsidRDefault="00E61198" w:rsidP="00E61198">
      <w:pPr>
        <w:pStyle w:val="COMParaDecision"/>
        <w:keepNext/>
        <w:keepLines/>
        <w:numPr>
          <w:ilvl w:val="0"/>
          <w:numId w:val="0"/>
        </w:numPr>
        <w:ind w:left="567"/>
        <w:rPr>
          <w:rFonts w:ascii="Times New Roman" w:hAnsi="Times New Roman" w:cs="Times New Roman"/>
          <w:b/>
          <w:bCs/>
          <w:u w:val="none"/>
        </w:rPr>
      </w:pPr>
      <w:r w:rsidRPr="00E05024">
        <w:rPr>
          <w:rFonts w:ascii="Times New Roman" w:hAnsi="Times New Roman" w:cs="Times New Roman"/>
          <w:b/>
          <w:u w:val="none"/>
        </w:rPr>
        <w:lastRenderedPageBreak/>
        <w:t>基金资源的使用计划</w:t>
      </w:r>
    </w:p>
    <w:p w14:paraId="3E969ED0" w14:textId="3C817F14" w:rsidR="00E61198" w:rsidRPr="00E05024" w:rsidRDefault="00E61198" w:rsidP="00E937BA">
      <w:pPr>
        <w:pStyle w:val="COMParaDecision"/>
        <w:ind w:left="1134" w:hanging="567"/>
        <w:rPr>
          <w:rFonts w:ascii="Times New Roman" w:hAnsi="Times New Roman" w:cs="Times New Roman"/>
          <w:u w:val="none"/>
        </w:rPr>
      </w:pPr>
      <w:r w:rsidRPr="00E05024">
        <w:rPr>
          <w:rFonts w:ascii="Times New Roman" w:hAnsi="Times New Roman" w:cs="Times New Roman"/>
        </w:rPr>
        <w:t>批准</w:t>
      </w:r>
      <w:r w:rsidRPr="00E05024">
        <w:rPr>
          <w:rFonts w:ascii="Times New Roman" w:hAnsi="Times New Roman" w:cs="Times New Roman"/>
          <w:u w:val="none"/>
        </w:rPr>
        <w:t>本决议附件中关于</w:t>
      </w:r>
      <w:r w:rsidRPr="00E05024">
        <w:rPr>
          <w:rFonts w:ascii="Times New Roman" w:hAnsi="Times New Roman" w:cs="Times New Roman"/>
          <w:u w:val="none"/>
        </w:rPr>
        <w:t>2024</w:t>
      </w:r>
      <w:r w:rsidRPr="00E05024">
        <w:rPr>
          <w:rFonts w:ascii="Times New Roman" w:hAnsi="Times New Roman" w:cs="Times New Roman"/>
          <w:u w:val="none"/>
        </w:rPr>
        <w:t>年</w:t>
      </w:r>
      <w:r w:rsidRPr="00E05024">
        <w:rPr>
          <w:rFonts w:ascii="Times New Roman" w:hAnsi="Times New Roman" w:cs="Times New Roman"/>
          <w:u w:val="none"/>
        </w:rPr>
        <w:t>1</w:t>
      </w:r>
      <w:r w:rsidRPr="00E05024">
        <w:rPr>
          <w:rFonts w:ascii="Times New Roman" w:hAnsi="Times New Roman" w:cs="Times New Roman"/>
          <w:u w:val="none"/>
        </w:rPr>
        <w:t>月</w:t>
      </w:r>
      <w:r w:rsidRPr="00E05024">
        <w:rPr>
          <w:rFonts w:ascii="Times New Roman" w:hAnsi="Times New Roman" w:cs="Times New Roman"/>
          <w:u w:val="none"/>
        </w:rPr>
        <w:t>1</w:t>
      </w:r>
      <w:r w:rsidRPr="00E05024">
        <w:rPr>
          <w:rFonts w:ascii="Times New Roman" w:hAnsi="Times New Roman" w:cs="Times New Roman"/>
          <w:u w:val="none"/>
        </w:rPr>
        <w:t>日至</w:t>
      </w:r>
      <w:r w:rsidRPr="00E05024">
        <w:rPr>
          <w:rFonts w:ascii="Times New Roman" w:hAnsi="Times New Roman" w:cs="Times New Roman"/>
          <w:u w:val="none"/>
        </w:rPr>
        <w:t>2025</w:t>
      </w:r>
      <w:r w:rsidRPr="00E05024">
        <w:rPr>
          <w:rFonts w:ascii="Times New Roman" w:hAnsi="Times New Roman" w:cs="Times New Roman"/>
          <w:u w:val="none"/>
        </w:rPr>
        <w:t>年</w:t>
      </w:r>
      <w:r w:rsidRPr="00E05024">
        <w:rPr>
          <w:rFonts w:ascii="Times New Roman" w:hAnsi="Times New Roman" w:cs="Times New Roman"/>
          <w:u w:val="none"/>
        </w:rPr>
        <w:t>12</w:t>
      </w:r>
      <w:r w:rsidRPr="00E05024">
        <w:rPr>
          <w:rFonts w:ascii="Times New Roman" w:hAnsi="Times New Roman" w:cs="Times New Roman"/>
          <w:u w:val="none"/>
        </w:rPr>
        <w:t>月</w:t>
      </w:r>
      <w:r w:rsidRPr="00E05024">
        <w:rPr>
          <w:rFonts w:ascii="Times New Roman" w:hAnsi="Times New Roman" w:cs="Times New Roman"/>
          <w:u w:val="none"/>
        </w:rPr>
        <w:t>31</w:t>
      </w:r>
      <w:r w:rsidRPr="00E05024">
        <w:rPr>
          <w:rFonts w:ascii="Times New Roman" w:hAnsi="Times New Roman" w:cs="Times New Roman"/>
          <w:u w:val="none"/>
        </w:rPr>
        <w:t>日期间以及</w:t>
      </w:r>
      <w:r w:rsidRPr="00E05024">
        <w:rPr>
          <w:rFonts w:ascii="Times New Roman" w:hAnsi="Times New Roman" w:cs="Times New Roman"/>
          <w:u w:val="none"/>
        </w:rPr>
        <w:t>2026</w:t>
      </w:r>
      <w:r w:rsidRPr="00E05024">
        <w:rPr>
          <w:rFonts w:ascii="Times New Roman" w:hAnsi="Times New Roman" w:cs="Times New Roman"/>
          <w:u w:val="none"/>
        </w:rPr>
        <w:t>年</w:t>
      </w:r>
      <w:r w:rsidRPr="00E05024">
        <w:rPr>
          <w:rFonts w:ascii="Times New Roman" w:hAnsi="Times New Roman" w:cs="Times New Roman"/>
          <w:u w:val="none"/>
        </w:rPr>
        <w:t>1</w:t>
      </w:r>
      <w:r w:rsidRPr="00E05024">
        <w:rPr>
          <w:rFonts w:ascii="Times New Roman" w:hAnsi="Times New Roman" w:cs="Times New Roman"/>
          <w:u w:val="none"/>
        </w:rPr>
        <w:t>月</w:t>
      </w:r>
      <w:r w:rsidRPr="00E05024">
        <w:rPr>
          <w:rFonts w:ascii="Times New Roman" w:hAnsi="Times New Roman" w:cs="Times New Roman"/>
          <w:u w:val="none"/>
        </w:rPr>
        <w:t>1</w:t>
      </w:r>
      <w:r w:rsidRPr="00E05024">
        <w:rPr>
          <w:rFonts w:ascii="Times New Roman" w:hAnsi="Times New Roman" w:cs="Times New Roman"/>
          <w:u w:val="none"/>
        </w:rPr>
        <w:t>日至</w:t>
      </w:r>
      <w:r w:rsidRPr="00E05024">
        <w:rPr>
          <w:rFonts w:ascii="Times New Roman" w:hAnsi="Times New Roman" w:cs="Times New Roman"/>
          <w:u w:val="none"/>
        </w:rPr>
        <w:t>2026</w:t>
      </w:r>
      <w:r w:rsidRPr="00E05024">
        <w:rPr>
          <w:rFonts w:ascii="Times New Roman" w:hAnsi="Times New Roman" w:cs="Times New Roman"/>
          <w:u w:val="none"/>
        </w:rPr>
        <w:t>年</w:t>
      </w:r>
      <w:r w:rsidRPr="00E05024">
        <w:rPr>
          <w:rFonts w:ascii="Times New Roman" w:hAnsi="Times New Roman" w:cs="Times New Roman"/>
          <w:u w:val="none"/>
        </w:rPr>
        <w:t>6</w:t>
      </w:r>
      <w:r w:rsidRPr="00E05024">
        <w:rPr>
          <w:rFonts w:ascii="Times New Roman" w:hAnsi="Times New Roman" w:cs="Times New Roman"/>
          <w:u w:val="none"/>
        </w:rPr>
        <w:t>月</w:t>
      </w:r>
      <w:r w:rsidRPr="00E05024">
        <w:rPr>
          <w:rFonts w:ascii="Times New Roman" w:hAnsi="Times New Roman" w:cs="Times New Roman"/>
          <w:u w:val="none"/>
        </w:rPr>
        <w:t>30</w:t>
      </w:r>
      <w:r w:rsidRPr="00E05024">
        <w:rPr>
          <w:rFonts w:ascii="Times New Roman" w:hAnsi="Times New Roman" w:cs="Times New Roman"/>
          <w:u w:val="none"/>
        </w:rPr>
        <w:t>日期间的基金资源使用计划；</w:t>
      </w:r>
    </w:p>
    <w:p w14:paraId="335779E7" w14:textId="091F326F" w:rsidR="00E61198" w:rsidRPr="00E05024" w:rsidRDefault="00E61198" w:rsidP="00E937BA">
      <w:pPr>
        <w:pStyle w:val="COMParaDecision"/>
        <w:ind w:left="1134" w:hanging="567"/>
        <w:rPr>
          <w:rFonts w:ascii="Times New Roman" w:hAnsi="Times New Roman" w:cs="Times New Roman"/>
          <w:u w:val="none"/>
        </w:rPr>
      </w:pPr>
      <w:r w:rsidRPr="00E05024">
        <w:rPr>
          <w:rFonts w:ascii="Times New Roman" w:hAnsi="Times New Roman" w:cs="Times New Roman"/>
        </w:rPr>
        <w:t>了解到</w:t>
      </w:r>
      <w:r w:rsidRPr="00E05024">
        <w:rPr>
          <w:rFonts w:ascii="Times New Roman" w:hAnsi="Times New Roman" w:cs="Times New Roman"/>
          <w:u w:val="none"/>
        </w:rPr>
        <w:t>在</w:t>
      </w:r>
      <w:r w:rsidRPr="00E05024">
        <w:rPr>
          <w:rFonts w:ascii="Times New Roman" w:hAnsi="Times New Roman" w:cs="Times New Roman"/>
          <w:u w:val="none"/>
        </w:rPr>
        <w:t>2026</w:t>
      </w:r>
      <w:r w:rsidRPr="00E05024">
        <w:rPr>
          <w:rFonts w:ascii="Times New Roman" w:hAnsi="Times New Roman" w:cs="Times New Roman"/>
          <w:u w:val="none"/>
        </w:rPr>
        <w:t>年第十一届会议期间，大会可能重新调整</w:t>
      </w:r>
      <w:r w:rsidRPr="00E05024">
        <w:rPr>
          <w:rFonts w:ascii="Times New Roman" w:hAnsi="Times New Roman" w:cs="Times New Roman"/>
          <w:u w:val="none"/>
        </w:rPr>
        <w:t>2026</w:t>
      </w:r>
      <w:r w:rsidRPr="00E05024">
        <w:rPr>
          <w:rFonts w:ascii="Times New Roman" w:hAnsi="Times New Roman" w:cs="Times New Roman"/>
          <w:u w:val="none"/>
        </w:rPr>
        <w:t>年</w:t>
      </w:r>
      <w:r w:rsidRPr="00E05024">
        <w:rPr>
          <w:rFonts w:ascii="Times New Roman" w:hAnsi="Times New Roman" w:cs="Times New Roman"/>
          <w:u w:val="none"/>
        </w:rPr>
        <w:t>1</w:t>
      </w:r>
      <w:r w:rsidRPr="00E05024">
        <w:rPr>
          <w:rFonts w:ascii="Times New Roman" w:hAnsi="Times New Roman" w:cs="Times New Roman"/>
          <w:u w:val="none"/>
        </w:rPr>
        <w:t>月</w:t>
      </w:r>
      <w:r w:rsidRPr="00E05024">
        <w:rPr>
          <w:rFonts w:ascii="Times New Roman" w:hAnsi="Times New Roman" w:cs="Times New Roman"/>
          <w:u w:val="none"/>
        </w:rPr>
        <w:t>1</w:t>
      </w:r>
      <w:r w:rsidRPr="00E05024">
        <w:rPr>
          <w:rFonts w:ascii="Times New Roman" w:hAnsi="Times New Roman" w:cs="Times New Roman"/>
          <w:u w:val="none"/>
        </w:rPr>
        <w:t>日至</w:t>
      </w:r>
      <w:r w:rsidRPr="00E05024">
        <w:rPr>
          <w:rFonts w:ascii="Times New Roman" w:hAnsi="Times New Roman" w:cs="Times New Roman"/>
          <w:u w:val="none"/>
        </w:rPr>
        <w:t>2026</w:t>
      </w:r>
      <w:r w:rsidRPr="00E05024">
        <w:rPr>
          <w:rFonts w:ascii="Times New Roman" w:hAnsi="Times New Roman" w:cs="Times New Roman"/>
          <w:u w:val="none"/>
        </w:rPr>
        <w:t>年</w:t>
      </w:r>
      <w:r w:rsidRPr="00E05024">
        <w:rPr>
          <w:rFonts w:ascii="Times New Roman" w:hAnsi="Times New Roman" w:cs="Times New Roman"/>
          <w:u w:val="none"/>
        </w:rPr>
        <w:t>6</w:t>
      </w:r>
      <w:r w:rsidRPr="00E05024">
        <w:rPr>
          <w:rFonts w:ascii="Times New Roman" w:hAnsi="Times New Roman" w:cs="Times New Roman"/>
          <w:u w:val="none"/>
        </w:rPr>
        <w:t>月</w:t>
      </w:r>
      <w:r w:rsidRPr="00E05024">
        <w:rPr>
          <w:rFonts w:ascii="Times New Roman" w:hAnsi="Times New Roman" w:cs="Times New Roman"/>
          <w:u w:val="none"/>
        </w:rPr>
        <w:t>30</w:t>
      </w:r>
      <w:r w:rsidRPr="00E05024">
        <w:rPr>
          <w:rFonts w:ascii="Times New Roman" w:hAnsi="Times New Roman" w:cs="Times New Roman"/>
          <w:u w:val="none"/>
        </w:rPr>
        <w:t>日的预算计划；如果大会不能在</w:t>
      </w:r>
      <w:r w:rsidRPr="00E05024">
        <w:rPr>
          <w:rFonts w:ascii="Times New Roman" w:hAnsi="Times New Roman" w:cs="Times New Roman"/>
          <w:u w:val="none"/>
        </w:rPr>
        <w:t>2026</w:t>
      </w:r>
      <w:r w:rsidRPr="00E05024">
        <w:rPr>
          <w:rFonts w:ascii="Times New Roman" w:hAnsi="Times New Roman" w:cs="Times New Roman"/>
          <w:u w:val="none"/>
        </w:rPr>
        <w:t>年</w:t>
      </w:r>
      <w:r w:rsidRPr="00E05024">
        <w:rPr>
          <w:rFonts w:ascii="Times New Roman" w:hAnsi="Times New Roman" w:cs="Times New Roman"/>
          <w:u w:val="none"/>
        </w:rPr>
        <w:t>6</w:t>
      </w:r>
      <w:r w:rsidRPr="00E05024">
        <w:rPr>
          <w:rFonts w:ascii="Times New Roman" w:hAnsi="Times New Roman" w:cs="Times New Roman"/>
          <w:u w:val="none"/>
        </w:rPr>
        <w:t>月</w:t>
      </w:r>
      <w:r w:rsidRPr="00E05024">
        <w:rPr>
          <w:rFonts w:ascii="Times New Roman" w:hAnsi="Times New Roman" w:cs="Times New Roman"/>
          <w:u w:val="none"/>
        </w:rPr>
        <w:t>30</w:t>
      </w:r>
      <w:r w:rsidRPr="00E05024">
        <w:rPr>
          <w:rFonts w:ascii="Times New Roman" w:hAnsi="Times New Roman" w:cs="Times New Roman"/>
          <w:u w:val="none"/>
        </w:rPr>
        <w:t>日之前召开会议，则授权秘书处继续运作，直到大会能够开会为止；</w:t>
      </w:r>
    </w:p>
    <w:p w14:paraId="3DEC571A" w14:textId="3C98FA13" w:rsidR="00E61198" w:rsidRPr="00E05024" w:rsidRDefault="009D3A5F" w:rsidP="00E61198">
      <w:pPr>
        <w:pStyle w:val="COMParaDecision"/>
        <w:ind w:left="1134" w:hanging="567"/>
        <w:rPr>
          <w:rFonts w:ascii="Times New Roman" w:hAnsi="Times New Roman" w:cs="Times New Roman"/>
          <w:u w:val="none"/>
        </w:rPr>
      </w:pPr>
      <w:r w:rsidRPr="00E05024">
        <w:rPr>
          <w:rFonts w:ascii="Times New Roman" w:hAnsi="Times New Roman" w:cs="Times New Roman"/>
        </w:rPr>
        <w:t>还注意到</w:t>
      </w:r>
      <w:r w:rsidRPr="00E05024">
        <w:rPr>
          <w:rFonts w:ascii="Times New Roman" w:hAnsi="Times New Roman" w:cs="Times New Roman"/>
          <w:u w:val="none"/>
        </w:rPr>
        <w:t>委员会授权秘书处，除委员会或其主席团为每个项目核准的金额外，还可试验性地使用不超过每个国际援助项目核定预算</w:t>
      </w:r>
      <w:r w:rsidRPr="00E05024">
        <w:rPr>
          <w:rFonts w:ascii="Times New Roman" w:hAnsi="Times New Roman" w:cs="Times New Roman"/>
          <w:u w:val="none"/>
        </w:rPr>
        <w:t>10%</w:t>
      </w:r>
      <w:r w:rsidRPr="00E05024">
        <w:rPr>
          <w:rFonts w:ascii="Times New Roman" w:hAnsi="Times New Roman" w:cs="Times New Roman"/>
          <w:u w:val="none"/>
        </w:rPr>
        <w:t>的金额，以监测和评估基金资助的项目的影响；</w:t>
      </w:r>
    </w:p>
    <w:p w14:paraId="2ED66586" w14:textId="7AE52D2D" w:rsidR="00E61198" w:rsidRPr="00E05024" w:rsidRDefault="00E61198" w:rsidP="00E61198">
      <w:pPr>
        <w:pStyle w:val="COMParaDecision"/>
        <w:ind w:left="1134" w:hanging="567"/>
        <w:rPr>
          <w:rFonts w:ascii="Times New Roman" w:hAnsi="Times New Roman" w:cs="Times New Roman"/>
          <w:u w:val="none"/>
        </w:rPr>
      </w:pPr>
      <w:r w:rsidRPr="00E05024">
        <w:rPr>
          <w:rFonts w:ascii="Times New Roman" w:hAnsi="Times New Roman" w:cs="Times New Roman"/>
        </w:rPr>
        <w:t>还欢迎</w:t>
      </w:r>
      <w:r w:rsidRPr="00E05024">
        <w:rPr>
          <w:rFonts w:ascii="Times New Roman" w:hAnsi="Times New Roman" w:cs="Times New Roman"/>
          <w:u w:val="none"/>
        </w:rPr>
        <w:t>为落实对</w:t>
      </w:r>
      <w:r w:rsidRPr="00E05024">
        <w:rPr>
          <w:rFonts w:ascii="Times New Roman" w:hAnsi="Times New Roman" w:cs="Times New Roman"/>
          <w:u w:val="none"/>
        </w:rPr>
        <w:t>2003</w:t>
      </w:r>
      <w:r w:rsidRPr="00E05024">
        <w:rPr>
          <w:rFonts w:ascii="Times New Roman" w:hAnsi="Times New Roman" w:cs="Times New Roman"/>
          <w:u w:val="none"/>
        </w:rPr>
        <w:t>年《公约》列名机制全球反思的成果而预计对拨款进行的调整，特别是对更广泛地执行《公约》第十八条的全球反思；</w:t>
      </w:r>
      <w:r w:rsidRPr="00E05024">
        <w:rPr>
          <w:rFonts w:ascii="Times New Roman" w:hAnsi="Times New Roman" w:cs="Times New Roman"/>
          <w:u w:val="none"/>
        </w:rPr>
        <w:t xml:space="preserve"> </w:t>
      </w:r>
    </w:p>
    <w:p w14:paraId="7201A0CA" w14:textId="77777777" w:rsidR="00E61198" w:rsidRPr="00E05024" w:rsidRDefault="00E61198" w:rsidP="00E61198">
      <w:pPr>
        <w:pStyle w:val="COMParaDecision"/>
        <w:ind w:left="1134" w:hanging="567"/>
        <w:rPr>
          <w:rFonts w:ascii="Times New Roman" w:hAnsi="Times New Roman" w:cs="Times New Roman"/>
        </w:rPr>
      </w:pPr>
      <w:r w:rsidRPr="00E05024">
        <w:rPr>
          <w:rFonts w:ascii="Times New Roman" w:hAnsi="Times New Roman" w:cs="Times New Roman"/>
        </w:rPr>
        <w:t>进一步注意到</w:t>
      </w:r>
      <w:r w:rsidRPr="00E05024">
        <w:rPr>
          <w:rFonts w:ascii="Times New Roman" w:hAnsi="Times New Roman" w:cs="Times New Roman"/>
          <w:u w:val="none"/>
        </w:rPr>
        <w:t>委员会向秘书处授权，在利用根据计划中预算项目</w:t>
      </w:r>
      <w:r w:rsidRPr="00E05024">
        <w:rPr>
          <w:rFonts w:ascii="Times New Roman" w:hAnsi="Times New Roman" w:cs="Times New Roman"/>
          <w:u w:val="none"/>
        </w:rPr>
        <w:t>3</w:t>
      </w:r>
      <w:r w:rsidRPr="00E05024">
        <w:rPr>
          <w:rFonts w:ascii="Times New Roman" w:hAnsi="Times New Roman" w:cs="Times New Roman"/>
          <w:u w:val="none"/>
        </w:rPr>
        <w:t>所分配的资金时，可以在预算项目</w:t>
      </w:r>
      <w:r w:rsidRPr="00E05024">
        <w:rPr>
          <w:rFonts w:ascii="Times New Roman" w:hAnsi="Times New Roman" w:cs="Times New Roman"/>
          <w:u w:val="none"/>
        </w:rPr>
        <w:t>3</w:t>
      </w:r>
      <w:r w:rsidRPr="00E05024">
        <w:rPr>
          <w:rFonts w:ascii="Times New Roman" w:hAnsi="Times New Roman" w:cs="Times New Roman"/>
          <w:u w:val="none"/>
        </w:rPr>
        <w:t>所包含的活动之间进行资金转移，金额累计最高为出于此目的向大会提议的初始拨款总额的</w:t>
      </w:r>
      <w:r w:rsidRPr="00E05024">
        <w:rPr>
          <w:rFonts w:ascii="Times New Roman" w:hAnsi="Times New Roman" w:cs="Times New Roman"/>
          <w:u w:val="none"/>
        </w:rPr>
        <w:t>5%</w:t>
      </w:r>
      <w:r w:rsidRPr="00E05024">
        <w:rPr>
          <w:rFonts w:ascii="Times New Roman" w:hAnsi="Times New Roman" w:cs="Times New Roman"/>
          <w:u w:val="none"/>
        </w:rPr>
        <w:t>；</w:t>
      </w:r>
    </w:p>
    <w:p w14:paraId="438260CA" w14:textId="77777777" w:rsidR="00E61198" w:rsidRPr="00E05024" w:rsidRDefault="00E61198" w:rsidP="00E61198">
      <w:pPr>
        <w:pStyle w:val="COMParaDecision"/>
        <w:ind w:left="1134" w:hanging="567"/>
        <w:rPr>
          <w:rFonts w:ascii="Times New Roman" w:hAnsi="Times New Roman" w:cs="Times New Roman"/>
          <w:u w:val="none"/>
        </w:rPr>
      </w:pPr>
      <w:r w:rsidRPr="00E05024">
        <w:rPr>
          <w:rFonts w:ascii="Times New Roman" w:hAnsi="Times New Roman" w:cs="Times New Roman"/>
        </w:rPr>
        <w:t>授权</w:t>
      </w:r>
      <w:r w:rsidRPr="00E05024">
        <w:rPr>
          <w:rFonts w:ascii="Times New Roman" w:hAnsi="Times New Roman" w:cs="Times New Roman"/>
          <w:u w:val="none"/>
        </w:rPr>
        <w:t>委员会根据《公约》第二十七的规定，按照计划所列的百分比，立即使用在这些期间内可能收到的任何自愿补充捐款；</w:t>
      </w:r>
    </w:p>
    <w:p w14:paraId="7BC80583" w14:textId="77777777" w:rsidR="00E61198" w:rsidRPr="00E05024" w:rsidRDefault="00E61198" w:rsidP="00E61198">
      <w:pPr>
        <w:pStyle w:val="COMParaDecision"/>
        <w:ind w:left="1134" w:hanging="567"/>
        <w:rPr>
          <w:rFonts w:ascii="Times New Roman" w:hAnsi="Times New Roman" w:cs="Times New Roman"/>
          <w:u w:val="none"/>
        </w:rPr>
      </w:pPr>
      <w:r w:rsidRPr="00E05024">
        <w:rPr>
          <w:rFonts w:ascii="Times New Roman" w:hAnsi="Times New Roman" w:cs="Times New Roman"/>
        </w:rPr>
        <w:t>进一步授权</w:t>
      </w:r>
      <w:r w:rsidRPr="00E05024">
        <w:rPr>
          <w:rFonts w:ascii="Times New Roman" w:hAnsi="Times New Roman" w:cs="Times New Roman"/>
          <w:u w:val="none"/>
        </w:rPr>
        <w:t>委员会在这些期间立即将其可能接受的任何捐款用于与具体项目有关的特定目的，但前提是这些项目必须根据《公约》第二十五条第</w:t>
      </w:r>
      <w:r w:rsidRPr="00E05024">
        <w:rPr>
          <w:rFonts w:ascii="Times New Roman" w:hAnsi="Times New Roman" w:cs="Times New Roman"/>
          <w:u w:val="none"/>
        </w:rPr>
        <w:t>5</w:t>
      </w:r>
      <w:r w:rsidRPr="00E05024">
        <w:rPr>
          <w:rFonts w:ascii="Times New Roman" w:hAnsi="Times New Roman" w:cs="Times New Roman"/>
          <w:u w:val="none"/>
        </w:rPr>
        <w:t>款的规定，在收到资金之前已由委员会批准；</w:t>
      </w:r>
    </w:p>
    <w:p w14:paraId="43887484" w14:textId="2B58451A" w:rsidR="00E61198" w:rsidRPr="00E05024" w:rsidRDefault="00E61198" w:rsidP="00E61198">
      <w:pPr>
        <w:pStyle w:val="COMParaDecision"/>
        <w:ind w:left="1134" w:hanging="567"/>
        <w:rPr>
          <w:rFonts w:ascii="Times New Roman" w:hAnsi="Times New Roman" w:cs="Times New Roman"/>
          <w:u w:val="none"/>
        </w:rPr>
      </w:pPr>
      <w:r w:rsidRPr="00E05024">
        <w:rPr>
          <w:rFonts w:ascii="Times New Roman" w:hAnsi="Times New Roman" w:cs="Times New Roman"/>
        </w:rPr>
        <w:t>还授权</w:t>
      </w:r>
      <w:r w:rsidRPr="00E05024">
        <w:rPr>
          <w:rFonts w:ascii="Times New Roman" w:hAnsi="Times New Roman" w:cs="Times New Roman"/>
          <w:u w:val="none"/>
        </w:rPr>
        <w:t>秘书处在预算项目</w:t>
      </w:r>
      <w:r w:rsidRPr="00E05024">
        <w:rPr>
          <w:rFonts w:ascii="Times New Roman" w:hAnsi="Times New Roman" w:cs="Times New Roman"/>
          <w:u w:val="none"/>
        </w:rPr>
        <w:t>4</w:t>
      </w:r>
      <w:r w:rsidRPr="00E05024">
        <w:rPr>
          <w:rFonts w:ascii="Times New Roman" w:hAnsi="Times New Roman" w:cs="Times New Roman"/>
          <w:u w:val="none"/>
        </w:rPr>
        <w:t>、</w:t>
      </w:r>
      <w:r w:rsidRPr="00E05024">
        <w:rPr>
          <w:rFonts w:ascii="Times New Roman" w:hAnsi="Times New Roman" w:cs="Times New Roman"/>
          <w:u w:val="none"/>
        </w:rPr>
        <w:t>5</w:t>
      </w:r>
      <w:r w:rsidRPr="00E05024">
        <w:rPr>
          <w:rFonts w:ascii="Times New Roman" w:hAnsi="Times New Roman" w:cs="Times New Roman"/>
          <w:u w:val="none"/>
        </w:rPr>
        <w:t>、</w:t>
      </w:r>
      <w:r w:rsidRPr="00E05024">
        <w:rPr>
          <w:rFonts w:ascii="Times New Roman" w:hAnsi="Times New Roman" w:cs="Times New Roman"/>
          <w:u w:val="none"/>
        </w:rPr>
        <w:t>6</w:t>
      </w:r>
      <w:r w:rsidRPr="00E05024">
        <w:rPr>
          <w:rFonts w:ascii="Times New Roman" w:hAnsi="Times New Roman" w:cs="Times New Roman"/>
          <w:u w:val="none"/>
        </w:rPr>
        <w:t>和</w:t>
      </w:r>
      <w:r w:rsidRPr="00E05024">
        <w:rPr>
          <w:rFonts w:ascii="Times New Roman" w:hAnsi="Times New Roman" w:cs="Times New Roman"/>
          <w:u w:val="none"/>
        </w:rPr>
        <w:t>7</w:t>
      </w:r>
      <w:r w:rsidRPr="00E05024">
        <w:rPr>
          <w:rFonts w:ascii="Times New Roman" w:hAnsi="Times New Roman" w:cs="Times New Roman"/>
          <w:u w:val="none"/>
        </w:rPr>
        <w:t>之间进行资金转移，金额最高相当于其初始拨款总额的</w:t>
      </w:r>
      <w:r w:rsidRPr="00E05024">
        <w:rPr>
          <w:rFonts w:ascii="Times New Roman" w:hAnsi="Times New Roman" w:cs="Times New Roman"/>
          <w:u w:val="none"/>
        </w:rPr>
        <w:t>30%</w:t>
      </w:r>
      <w:r w:rsidRPr="00E05024">
        <w:rPr>
          <w:rFonts w:ascii="Times New Roman" w:hAnsi="Times New Roman" w:cs="Times New Roman"/>
          <w:u w:val="none"/>
        </w:rPr>
        <w:t>，还</w:t>
      </w:r>
      <w:r w:rsidRPr="00E05024">
        <w:rPr>
          <w:rFonts w:ascii="Times New Roman" w:hAnsi="Times New Roman" w:cs="Times New Roman"/>
        </w:rPr>
        <w:t>要求</w:t>
      </w:r>
      <w:r w:rsidRPr="00E05024">
        <w:rPr>
          <w:rFonts w:ascii="Times New Roman" w:hAnsi="Times New Roman" w:cs="Times New Roman"/>
          <w:u w:val="none"/>
        </w:rPr>
        <w:t>秘书处在进行此类操作后的会议上以书面形式通知委员会和大会此类转移的详情及理由</w:t>
      </w:r>
      <w:r w:rsidR="009C5A44" w:rsidRPr="009644FE">
        <w:rPr>
          <w:rFonts w:ascii="Times New Roman" w:hAnsi="Times New Roman" w:cs="Times New Roman"/>
          <w:u w:val="none"/>
        </w:rPr>
        <w:t>。</w:t>
      </w:r>
    </w:p>
    <w:p w14:paraId="20BB7CB8" w14:textId="53AC54B7" w:rsidR="00863A53" w:rsidRPr="009C5A44" w:rsidRDefault="00863A53">
      <w:pPr>
        <w:rPr>
          <w:sz w:val="22"/>
          <w:szCs w:val="22"/>
          <w:lang w:val="en-GB"/>
        </w:rPr>
      </w:pPr>
      <w:r w:rsidRPr="009C5A44">
        <w:rPr>
          <w:lang w:val="en-GB"/>
        </w:rPr>
        <w:br w:type="page"/>
      </w:r>
    </w:p>
    <w:p w14:paraId="1B08DF9D" w14:textId="59BBB732" w:rsidR="00190205" w:rsidRPr="00E05024" w:rsidRDefault="00863A53" w:rsidP="00863A53">
      <w:pPr>
        <w:jc w:val="center"/>
        <w:rPr>
          <w:b/>
          <w:bCs/>
          <w:sz w:val="22"/>
          <w:szCs w:val="22"/>
          <w:u w:val="single"/>
        </w:rPr>
      </w:pPr>
      <w:r w:rsidRPr="00E05024">
        <w:rPr>
          <w:b/>
          <w:sz w:val="22"/>
          <w:u w:val="single"/>
        </w:rPr>
        <w:lastRenderedPageBreak/>
        <w:t>附件</w:t>
      </w:r>
    </w:p>
    <w:p w14:paraId="5EA2C5ED" w14:textId="77777777" w:rsidR="00863A53" w:rsidRPr="00E05024" w:rsidRDefault="00863A53" w:rsidP="00863A53">
      <w:pPr>
        <w:jc w:val="center"/>
        <w:rPr>
          <w:b/>
          <w:bCs/>
          <w:sz w:val="22"/>
          <w:szCs w:val="22"/>
          <w:u w:val="single"/>
          <w:lang w:val="en-GB"/>
        </w:rPr>
      </w:pPr>
    </w:p>
    <w:tbl>
      <w:tblPr>
        <w:tblW w:w="9706" w:type="dxa"/>
        <w:tblCellMar>
          <w:left w:w="70" w:type="dxa"/>
          <w:right w:w="70" w:type="dxa"/>
        </w:tblCellMar>
        <w:tblLook w:val="04A0" w:firstRow="1" w:lastRow="0" w:firstColumn="1" w:lastColumn="0" w:noHBand="0" w:noVBand="1"/>
      </w:tblPr>
      <w:tblGrid>
        <w:gridCol w:w="571"/>
        <w:gridCol w:w="3593"/>
        <w:gridCol w:w="1286"/>
        <w:gridCol w:w="1194"/>
        <w:gridCol w:w="1543"/>
        <w:gridCol w:w="1519"/>
      </w:tblGrid>
      <w:tr w:rsidR="00863A53" w:rsidRPr="00E05024" w14:paraId="4A780396" w14:textId="77777777" w:rsidTr="00863A53">
        <w:trPr>
          <w:trHeight w:val="315"/>
        </w:trPr>
        <w:tc>
          <w:tcPr>
            <w:tcW w:w="6644" w:type="dxa"/>
            <w:gridSpan w:val="4"/>
            <w:tcBorders>
              <w:top w:val="single" w:sz="8" w:space="0" w:color="auto"/>
              <w:left w:val="single" w:sz="8" w:space="0" w:color="auto"/>
              <w:bottom w:val="single" w:sz="8" w:space="0" w:color="auto"/>
              <w:right w:val="single" w:sz="8" w:space="0" w:color="000000"/>
            </w:tcBorders>
            <w:shd w:val="clear" w:color="000000" w:fill="D8D8D8"/>
            <w:vAlign w:val="center"/>
            <w:hideMark/>
          </w:tcPr>
          <w:p w14:paraId="2913A62A" w14:textId="77777777" w:rsidR="00863A53" w:rsidRPr="00E05024" w:rsidRDefault="00863A53">
            <w:pPr>
              <w:jc w:val="center"/>
              <w:rPr>
                <w:b/>
                <w:bCs/>
                <w:color w:val="000000"/>
                <w:sz w:val="18"/>
                <w:szCs w:val="18"/>
              </w:rPr>
            </w:pPr>
            <w:r w:rsidRPr="00E05024">
              <w:rPr>
                <w:b/>
                <w:color w:val="000000"/>
                <w:sz w:val="18"/>
              </w:rPr>
              <w:t>基金资源的使用计划草案</w:t>
            </w:r>
          </w:p>
        </w:tc>
        <w:tc>
          <w:tcPr>
            <w:tcW w:w="1543" w:type="dxa"/>
            <w:tcBorders>
              <w:top w:val="dashed" w:sz="4" w:space="0" w:color="auto"/>
              <w:left w:val="nil"/>
              <w:bottom w:val="dashed" w:sz="4" w:space="0" w:color="auto"/>
              <w:right w:val="dashed" w:sz="4" w:space="0" w:color="auto"/>
            </w:tcBorders>
            <w:shd w:val="clear" w:color="auto" w:fill="auto"/>
            <w:vAlign w:val="center"/>
            <w:hideMark/>
          </w:tcPr>
          <w:p w14:paraId="71DA6B9A" w14:textId="77777777" w:rsidR="00863A53" w:rsidRPr="00E05024" w:rsidRDefault="00863A53">
            <w:pPr>
              <w:jc w:val="center"/>
              <w:rPr>
                <w:b/>
                <w:bCs/>
                <w:color w:val="000000"/>
                <w:sz w:val="18"/>
                <w:szCs w:val="18"/>
              </w:rPr>
            </w:pPr>
            <w:r w:rsidRPr="00E05024">
              <w:rPr>
                <w:b/>
                <w:color w:val="000000"/>
                <w:sz w:val="18"/>
              </w:rPr>
              <w:t> </w:t>
            </w:r>
          </w:p>
        </w:tc>
        <w:tc>
          <w:tcPr>
            <w:tcW w:w="1519" w:type="dxa"/>
            <w:tcBorders>
              <w:top w:val="dashed" w:sz="4" w:space="0" w:color="auto"/>
              <w:left w:val="nil"/>
              <w:bottom w:val="dashed" w:sz="4" w:space="0" w:color="auto"/>
              <w:right w:val="dashed" w:sz="4" w:space="0" w:color="auto"/>
            </w:tcBorders>
            <w:shd w:val="clear" w:color="auto" w:fill="auto"/>
            <w:noWrap/>
            <w:vAlign w:val="bottom"/>
            <w:hideMark/>
          </w:tcPr>
          <w:p w14:paraId="635EE4AF" w14:textId="77777777" w:rsidR="00863A53" w:rsidRPr="00E05024" w:rsidRDefault="00863A53">
            <w:pPr>
              <w:jc w:val="center"/>
              <w:rPr>
                <w:color w:val="000000"/>
                <w:sz w:val="22"/>
                <w:szCs w:val="22"/>
              </w:rPr>
            </w:pPr>
            <w:r w:rsidRPr="00E05024">
              <w:rPr>
                <w:color w:val="000000"/>
                <w:sz w:val="22"/>
              </w:rPr>
              <w:t> </w:t>
            </w:r>
          </w:p>
        </w:tc>
      </w:tr>
      <w:tr w:rsidR="00863A53" w:rsidRPr="00E05024" w14:paraId="59674BF3" w14:textId="77777777" w:rsidTr="00027E63">
        <w:trPr>
          <w:trHeight w:val="1384"/>
        </w:trPr>
        <w:tc>
          <w:tcPr>
            <w:tcW w:w="416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792E6E8D" w14:textId="77777777" w:rsidR="00863A53" w:rsidRPr="00E05024" w:rsidRDefault="00863A53">
            <w:pPr>
              <w:rPr>
                <w:color w:val="000000"/>
                <w:sz w:val="18"/>
                <w:szCs w:val="18"/>
              </w:rPr>
            </w:pPr>
            <w:r w:rsidRPr="00E05024">
              <w:rPr>
                <w:color w:val="000000"/>
                <w:sz w:val="18"/>
              </w:rPr>
              <w:t>2024</w:t>
            </w:r>
            <w:r w:rsidRPr="00E05024">
              <w:rPr>
                <w:color w:val="000000"/>
                <w:sz w:val="18"/>
              </w:rPr>
              <w:t>年</w:t>
            </w:r>
            <w:r w:rsidRPr="00E05024">
              <w:rPr>
                <w:color w:val="000000"/>
                <w:sz w:val="18"/>
              </w:rPr>
              <w:t>1</w:t>
            </w:r>
            <w:r w:rsidRPr="00E05024">
              <w:rPr>
                <w:color w:val="000000"/>
                <w:sz w:val="18"/>
              </w:rPr>
              <w:t>月</w:t>
            </w:r>
            <w:r w:rsidRPr="00E05024">
              <w:rPr>
                <w:color w:val="000000"/>
                <w:sz w:val="18"/>
              </w:rPr>
              <w:t>1</w:t>
            </w:r>
            <w:r w:rsidRPr="00E05024">
              <w:rPr>
                <w:color w:val="000000"/>
                <w:sz w:val="18"/>
              </w:rPr>
              <w:t>日至</w:t>
            </w:r>
            <w:r w:rsidRPr="00E05024">
              <w:rPr>
                <w:color w:val="000000"/>
                <w:sz w:val="18"/>
              </w:rPr>
              <w:t>2025</w:t>
            </w:r>
            <w:r w:rsidRPr="00E05024">
              <w:rPr>
                <w:color w:val="000000"/>
                <w:sz w:val="18"/>
              </w:rPr>
              <w:t>年</w:t>
            </w:r>
            <w:r w:rsidRPr="00E05024">
              <w:rPr>
                <w:color w:val="000000"/>
                <w:sz w:val="18"/>
              </w:rPr>
              <w:t>12</w:t>
            </w:r>
            <w:r w:rsidRPr="00E05024">
              <w:rPr>
                <w:color w:val="000000"/>
                <w:sz w:val="18"/>
              </w:rPr>
              <w:t>月</w:t>
            </w:r>
            <w:r w:rsidRPr="00E05024">
              <w:rPr>
                <w:color w:val="000000"/>
                <w:sz w:val="18"/>
              </w:rPr>
              <w:t>31</w:t>
            </w:r>
            <w:r w:rsidRPr="00E05024">
              <w:rPr>
                <w:color w:val="000000"/>
                <w:sz w:val="18"/>
              </w:rPr>
              <w:t>日期间以及</w:t>
            </w:r>
            <w:r w:rsidRPr="00E05024">
              <w:rPr>
                <w:color w:val="000000"/>
                <w:sz w:val="18"/>
              </w:rPr>
              <w:t>2026</w:t>
            </w:r>
            <w:r w:rsidRPr="00E05024">
              <w:rPr>
                <w:color w:val="000000"/>
                <w:sz w:val="18"/>
              </w:rPr>
              <w:t>年</w:t>
            </w:r>
            <w:r w:rsidRPr="00E05024">
              <w:rPr>
                <w:color w:val="000000"/>
                <w:sz w:val="18"/>
              </w:rPr>
              <w:t>1</w:t>
            </w:r>
            <w:r w:rsidRPr="00E05024">
              <w:rPr>
                <w:color w:val="000000"/>
                <w:sz w:val="18"/>
              </w:rPr>
              <w:t>月</w:t>
            </w:r>
            <w:r w:rsidRPr="00E05024">
              <w:rPr>
                <w:color w:val="000000"/>
                <w:sz w:val="18"/>
              </w:rPr>
              <w:t>1</w:t>
            </w:r>
            <w:r w:rsidRPr="00E05024">
              <w:rPr>
                <w:color w:val="000000"/>
                <w:sz w:val="18"/>
              </w:rPr>
              <w:t>日至</w:t>
            </w:r>
            <w:r w:rsidRPr="00E05024">
              <w:rPr>
                <w:color w:val="000000"/>
                <w:sz w:val="18"/>
              </w:rPr>
              <w:t>6</w:t>
            </w:r>
            <w:r w:rsidRPr="00E05024">
              <w:rPr>
                <w:color w:val="000000"/>
                <w:sz w:val="18"/>
              </w:rPr>
              <w:t>月</w:t>
            </w:r>
            <w:r w:rsidRPr="00E05024">
              <w:rPr>
                <w:color w:val="000000"/>
                <w:sz w:val="18"/>
              </w:rPr>
              <w:t>30</w:t>
            </w:r>
            <w:r w:rsidRPr="00E05024">
              <w:rPr>
                <w:color w:val="000000"/>
                <w:sz w:val="18"/>
              </w:rPr>
              <w:t>日期间，非物质文化遗产基金的资源可用于以下目的：</w:t>
            </w:r>
          </w:p>
        </w:tc>
        <w:tc>
          <w:tcPr>
            <w:tcW w:w="1286" w:type="dxa"/>
            <w:tcBorders>
              <w:top w:val="nil"/>
              <w:left w:val="nil"/>
              <w:bottom w:val="single" w:sz="4" w:space="0" w:color="auto"/>
              <w:right w:val="single" w:sz="4" w:space="0" w:color="auto"/>
            </w:tcBorders>
            <w:shd w:val="clear" w:color="auto" w:fill="auto"/>
            <w:vAlign w:val="center"/>
            <w:hideMark/>
          </w:tcPr>
          <w:p w14:paraId="055407FE" w14:textId="2DC73B39" w:rsidR="00863A53" w:rsidRPr="00E05024" w:rsidRDefault="00863A53">
            <w:pPr>
              <w:jc w:val="center"/>
              <w:rPr>
                <w:color w:val="000000"/>
                <w:sz w:val="18"/>
                <w:szCs w:val="18"/>
              </w:rPr>
            </w:pPr>
            <w:r w:rsidRPr="00E05024">
              <w:rPr>
                <w:color w:val="000000"/>
                <w:sz w:val="18"/>
              </w:rPr>
              <w:t>上一两年期（</w:t>
            </w:r>
            <w:r w:rsidRPr="00E05024">
              <w:rPr>
                <w:color w:val="000000"/>
                <w:sz w:val="18"/>
              </w:rPr>
              <w:t>2022-2023</w:t>
            </w:r>
            <w:r w:rsidRPr="00E05024">
              <w:rPr>
                <w:color w:val="000000"/>
                <w:sz w:val="18"/>
              </w:rPr>
              <w:t>年）的已申请百分比（</w:t>
            </w:r>
            <w:r w:rsidRPr="00E05024">
              <w:rPr>
                <w:color w:val="000000"/>
                <w:sz w:val="18"/>
              </w:rPr>
              <w:t>%</w:t>
            </w:r>
            <w:r w:rsidRPr="00E05024">
              <w:rPr>
                <w:color w:val="000000"/>
                <w:sz w:val="18"/>
              </w:rPr>
              <w:t>）</w:t>
            </w:r>
          </w:p>
        </w:tc>
        <w:tc>
          <w:tcPr>
            <w:tcW w:w="1194" w:type="dxa"/>
            <w:tcBorders>
              <w:top w:val="nil"/>
              <w:left w:val="nil"/>
              <w:bottom w:val="single" w:sz="4" w:space="0" w:color="auto"/>
              <w:right w:val="single" w:sz="8" w:space="0" w:color="auto"/>
            </w:tcBorders>
            <w:shd w:val="clear" w:color="auto" w:fill="auto"/>
            <w:vAlign w:val="center"/>
            <w:hideMark/>
          </w:tcPr>
          <w:p w14:paraId="03C35CFD" w14:textId="2B795682" w:rsidR="00863A53" w:rsidRPr="00E05024" w:rsidRDefault="00863A53">
            <w:pPr>
              <w:jc w:val="center"/>
              <w:rPr>
                <w:color w:val="000000"/>
                <w:sz w:val="18"/>
                <w:szCs w:val="18"/>
              </w:rPr>
            </w:pPr>
            <w:r w:rsidRPr="00E05024">
              <w:rPr>
                <w:color w:val="000000"/>
                <w:sz w:val="18"/>
              </w:rPr>
              <w:t>拟议</w:t>
            </w:r>
            <w:r w:rsidRPr="00E05024">
              <w:rPr>
                <w:color w:val="000000"/>
                <w:sz w:val="18"/>
              </w:rPr>
              <w:t>2024-2025</w:t>
            </w:r>
            <w:r w:rsidRPr="00E05024">
              <w:rPr>
                <w:color w:val="000000"/>
                <w:sz w:val="18"/>
              </w:rPr>
              <w:t>年总金额的百分比（</w:t>
            </w:r>
            <w:r w:rsidRPr="00E05024">
              <w:rPr>
                <w:color w:val="000000"/>
                <w:sz w:val="18"/>
              </w:rPr>
              <w:t>%</w:t>
            </w:r>
            <w:r w:rsidRPr="00E05024">
              <w:rPr>
                <w:color w:val="000000"/>
                <w:sz w:val="18"/>
              </w:rPr>
              <w:t>）</w:t>
            </w:r>
            <w:r w:rsidRPr="00E05024">
              <w:rPr>
                <w:color w:val="000000"/>
                <w:sz w:val="18"/>
              </w:rPr>
              <w:t>[1]</w:t>
            </w:r>
          </w:p>
        </w:tc>
        <w:tc>
          <w:tcPr>
            <w:tcW w:w="1543" w:type="dxa"/>
            <w:tcBorders>
              <w:top w:val="nil"/>
              <w:left w:val="nil"/>
              <w:bottom w:val="dashed" w:sz="4" w:space="0" w:color="auto"/>
              <w:right w:val="dashed" w:sz="4" w:space="0" w:color="auto"/>
            </w:tcBorders>
            <w:shd w:val="clear" w:color="auto" w:fill="auto"/>
            <w:vAlign w:val="center"/>
            <w:hideMark/>
          </w:tcPr>
          <w:p w14:paraId="78D314D9" w14:textId="201288AC" w:rsidR="00863A53" w:rsidRPr="00E05024" w:rsidRDefault="00863A53">
            <w:pPr>
              <w:jc w:val="center"/>
              <w:rPr>
                <w:color w:val="000000"/>
                <w:sz w:val="18"/>
                <w:szCs w:val="18"/>
              </w:rPr>
            </w:pPr>
            <w:r w:rsidRPr="00E05024">
              <w:rPr>
                <w:color w:val="000000"/>
                <w:sz w:val="18"/>
              </w:rPr>
              <w:t>参考金额</w:t>
            </w:r>
            <w:r w:rsidRPr="00E05024">
              <w:rPr>
                <w:color w:val="000000"/>
                <w:sz w:val="18"/>
              </w:rPr>
              <w:br/>
              <w:t>2024-2025</w:t>
            </w:r>
            <w:r w:rsidRPr="00E05024">
              <w:rPr>
                <w:color w:val="000000"/>
                <w:sz w:val="18"/>
              </w:rPr>
              <w:t>年</w:t>
            </w:r>
          </w:p>
        </w:tc>
        <w:tc>
          <w:tcPr>
            <w:tcW w:w="1519" w:type="dxa"/>
            <w:tcBorders>
              <w:top w:val="nil"/>
              <w:left w:val="nil"/>
              <w:bottom w:val="dashed" w:sz="4" w:space="0" w:color="auto"/>
              <w:right w:val="dashed" w:sz="4" w:space="0" w:color="auto"/>
            </w:tcBorders>
            <w:shd w:val="clear" w:color="auto" w:fill="auto"/>
            <w:vAlign w:val="center"/>
            <w:hideMark/>
          </w:tcPr>
          <w:p w14:paraId="54D3B8D9" w14:textId="53BE7515" w:rsidR="00863A53" w:rsidRPr="00E05024" w:rsidRDefault="00863A53">
            <w:pPr>
              <w:jc w:val="center"/>
              <w:rPr>
                <w:color w:val="000000"/>
                <w:sz w:val="18"/>
                <w:szCs w:val="18"/>
              </w:rPr>
            </w:pPr>
            <w:r w:rsidRPr="00E05024">
              <w:rPr>
                <w:color w:val="000000"/>
                <w:sz w:val="18"/>
              </w:rPr>
              <w:t>参考金额</w:t>
            </w:r>
            <w:r w:rsidRPr="00E05024">
              <w:rPr>
                <w:color w:val="000000"/>
                <w:sz w:val="18"/>
              </w:rPr>
              <w:br/>
              <w:t>2026</w:t>
            </w:r>
            <w:r w:rsidRPr="00E05024">
              <w:rPr>
                <w:color w:val="000000"/>
                <w:sz w:val="18"/>
              </w:rPr>
              <w:t>年</w:t>
            </w:r>
            <w:r w:rsidRPr="00E05024">
              <w:rPr>
                <w:color w:val="000000"/>
                <w:sz w:val="18"/>
              </w:rPr>
              <w:t>1</w:t>
            </w:r>
            <w:r w:rsidRPr="00E05024">
              <w:rPr>
                <w:color w:val="000000"/>
                <w:sz w:val="18"/>
              </w:rPr>
              <w:t>月至</w:t>
            </w:r>
            <w:r w:rsidRPr="00E05024">
              <w:rPr>
                <w:color w:val="000000"/>
                <w:sz w:val="18"/>
              </w:rPr>
              <w:t>6</w:t>
            </w:r>
            <w:r w:rsidRPr="00E05024">
              <w:rPr>
                <w:color w:val="000000"/>
                <w:sz w:val="18"/>
              </w:rPr>
              <w:t>月</w:t>
            </w:r>
          </w:p>
        </w:tc>
      </w:tr>
      <w:tr w:rsidR="00863A53" w:rsidRPr="00E05024" w14:paraId="39735238" w14:textId="77777777" w:rsidTr="00027E63">
        <w:trPr>
          <w:trHeight w:val="1880"/>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6AD9916D" w14:textId="77777777" w:rsidR="00863A53" w:rsidRPr="00E05024" w:rsidRDefault="00863A53">
            <w:pPr>
              <w:ind w:firstLineChars="100" w:firstLine="180"/>
              <w:rPr>
                <w:color w:val="000000"/>
                <w:sz w:val="18"/>
                <w:szCs w:val="18"/>
              </w:rPr>
            </w:pPr>
            <w:r w:rsidRPr="00E05024">
              <w:rPr>
                <w:color w:val="000000"/>
                <w:sz w:val="18"/>
              </w:rPr>
              <w:t>1.</w:t>
            </w:r>
          </w:p>
        </w:tc>
        <w:tc>
          <w:tcPr>
            <w:tcW w:w="3593" w:type="dxa"/>
            <w:tcBorders>
              <w:top w:val="nil"/>
              <w:left w:val="nil"/>
              <w:bottom w:val="single" w:sz="4" w:space="0" w:color="auto"/>
              <w:right w:val="single" w:sz="4" w:space="0" w:color="auto"/>
            </w:tcBorders>
            <w:shd w:val="clear" w:color="auto" w:fill="auto"/>
            <w:vAlign w:val="center"/>
            <w:hideMark/>
          </w:tcPr>
          <w:p w14:paraId="37ACEEDF" w14:textId="77777777" w:rsidR="00863A53" w:rsidRPr="00E05024" w:rsidRDefault="00863A53" w:rsidP="00863A53">
            <w:pPr>
              <w:rPr>
                <w:color w:val="000000"/>
                <w:sz w:val="18"/>
                <w:szCs w:val="18"/>
              </w:rPr>
            </w:pPr>
            <w:r w:rsidRPr="00E05024">
              <w:rPr>
                <w:color w:val="000000"/>
                <w:sz w:val="18"/>
              </w:rPr>
              <w:t>国际援助，包括保护已列入急需保护的非物质文化遗产名录的遗产、编制清单，以及对其他保护计划、项目和活动的支持，包括监测和评估已核准的申请；</w:t>
            </w:r>
          </w:p>
        </w:tc>
        <w:tc>
          <w:tcPr>
            <w:tcW w:w="1286" w:type="dxa"/>
            <w:tcBorders>
              <w:top w:val="nil"/>
              <w:left w:val="nil"/>
              <w:bottom w:val="single" w:sz="4" w:space="0" w:color="auto"/>
              <w:right w:val="single" w:sz="4" w:space="0" w:color="auto"/>
            </w:tcBorders>
            <w:shd w:val="clear" w:color="auto" w:fill="auto"/>
            <w:vAlign w:val="center"/>
            <w:hideMark/>
          </w:tcPr>
          <w:p w14:paraId="0054A6A0" w14:textId="77777777" w:rsidR="00863A53" w:rsidRPr="00E05024" w:rsidRDefault="00863A53">
            <w:pPr>
              <w:jc w:val="center"/>
              <w:rPr>
                <w:color w:val="000000"/>
                <w:sz w:val="18"/>
                <w:szCs w:val="18"/>
              </w:rPr>
            </w:pPr>
            <w:r w:rsidRPr="00E05024">
              <w:rPr>
                <w:color w:val="000000"/>
                <w:sz w:val="18"/>
              </w:rPr>
              <w:t>50.00%</w:t>
            </w:r>
          </w:p>
        </w:tc>
        <w:tc>
          <w:tcPr>
            <w:tcW w:w="1194" w:type="dxa"/>
            <w:tcBorders>
              <w:top w:val="nil"/>
              <w:left w:val="nil"/>
              <w:bottom w:val="single" w:sz="4" w:space="0" w:color="auto"/>
              <w:right w:val="single" w:sz="8" w:space="0" w:color="auto"/>
            </w:tcBorders>
            <w:shd w:val="clear" w:color="auto" w:fill="auto"/>
            <w:vAlign w:val="center"/>
            <w:hideMark/>
          </w:tcPr>
          <w:p w14:paraId="4A88F1C9" w14:textId="77777777" w:rsidR="00863A53" w:rsidRPr="00E05024" w:rsidRDefault="00863A53">
            <w:pPr>
              <w:jc w:val="center"/>
              <w:rPr>
                <w:color w:val="000000"/>
                <w:sz w:val="18"/>
                <w:szCs w:val="18"/>
              </w:rPr>
            </w:pPr>
            <w:r w:rsidRPr="00E05024">
              <w:rPr>
                <w:color w:val="000000"/>
                <w:sz w:val="18"/>
              </w:rPr>
              <w:t>50.00%</w:t>
            </w:r>
          </w:p>
        </w:tc>
        <w:tc>
          <w:tcPr>
            <w:tcW w:w="1543" w:type="dxa"/>
            <w:tcBorders>
              <w:top w:val="nil"/>
              <w:left w:val="nil"/>
              <w:bottom w:val="dashed" w:sz="4" w:space="0" w:color="auto"/>
              <w:right w:val="dashed" w:sz="4" w:space="0" w:color="auto"/>
            </w:tcBorders>
            <w:shd w:val="clear" w:color="auto" w:fill="auto"/>
            <w:vAlign w:val="center"/>
            <w:hideMark/>
          </w:tcPr>
          <w:p w14:paraId="02B08590" w14:textId="77777777" w:rsidR="00863A53" w:rsidRPr="00E05024" w:rsidRDefault="00863A53">
            <w:pPr>
              <w:jc w:val="center"/>
              <w:rPr>
                <w:i/>
                <w:iCs/>
                <w:color w:val="000000"/>
                <w:sz w:val="18"/>
                <w:szCs w:val="18"/>
              </w:rPr>
            </w:pPr>
            <w:r w:rsidRPr="00E05024">
              <w:rPr>
                <w:i/>
                <w:color w:val="000000"/>
                <w:sz w:val="18"/>
              </w:rPr>
              <w:t>$4 094 789</w:t>
            </w:r>
          </w:p>
        </w:tc>
        <w:tc>
          <w:tcPr>
            <w:tcW w:w="1519" w:type="dxa"/>
            <w:tcBorders>
              <w:top w:val="nil"/>
              <w:left w:val="nil"/>
              <w:bottom w:val="dashed" w:sz="4" w:space="0" w:color="auto"/>
              <w:right w:val="dashed" w:sz="4" w:space="0" w:color="auto"/>
            </w:tcBorders>
            <w:shd w:val="clear" w:color="auto" w:fill="auto"/>
            <w:vAlign w:val="center"/>
            <w:hideMark/>
          </w:tcPr>
          <w:p w14:paraId="4900A97F" w14:textId="77777777" w:rsidR="00863A53" w:rsidRPr="00E05024" w:rsidRDefault="00863A53">
            <w:pPr>
              <w:jc w:val="center"/>
              <w:rPr>
                <w:i/>
                <w:iCs/>
                <w:color w:val="000000"/>
                <w:sz w:val="18"/>
                <w:szCs w:val="18"/>
              </w:rPr>
            </w:pPr>
            <w:r w:rsidRPr="00E05024">
              <w:rPr>
                <w:i/>
                <w:color w:val="000000"/>
                <w:sz w:val="18"/>
              </w:rPr>
              <w:t>$1 023 697</w:t>
            </w:r>
          </w:p>
        </w:tc>
      </w:tr>
      <w:tr w:rsidR="00863A53" w:rsidRPr="00E05024" w14:paraId="3F5DE7CC" w14:textId="77777777" w:rsidTr="00027E63">
        <w:trPr>
          <w:trHeight w:val="1068"/>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1825FA19" w14:textId="77777777" w:rsidR="00863A53" w:rsidRPr="00E05024" w:rsidRDefault="00863A53">
            <w:pPr>
              <w:ind w:firstLineChars="100" w:firstLine="180"/>
              <w:rPr>
                <w:color w:val="000000"/>
                <w:sz w:val="18"/>
                <w:szCs w:val="18"/>
              </w:rPr>
            </w:pPr>
            <w:r w:rsidRPr="00E05024">
              <w:rPr>
                <w:color w:val="000000"/>
                <w:sz w:val="18"/>
              </w:rPr>
              <w:t>1.1</w:t>
            </w:r>
          </w:p>
        </w:tc>
        <w:tc>
          <w:tcPr>
            <w:tcW w:w="3593" w:type="dxa"/>
            <w:tcBorders>
              <w:top w:val="nil"/>
              <w:left w:val="nil"/>
              <w:bottom w:val="single" w:sz="4" w:space="0" w:color="auto"/>
              <w:right w:val="single" w:sz="4" w:space="0" w:color="auto"/>
            </w:tcBorders>
            <w:shd w:val="clear" w:color="auto" w:fill="auto"/>
            <w:vAlign w:val="center"/>
            <w:hideMark/>
          </w:tcPr>
          <w:p w14:paraId="03F85D10" w14:textId="2E7FC429" w:rsidR="00863A53" w:rsidRPr="00E05024" w:rsidRDefault="00863A53" w:rsidP="00863A53">
            <w:pPr>
              <w:rPr>
                <w:color w:val="000000"/>
                <w:sz w:val="18"/>
                <w:szCs w:val="18"/>
              </w:rPr>
            </w:pPr>
            <w:r w:rsidRPr="00E05024">
              <w:rPr>
                <w:color w:val="000000"/>
                <w:sz w:val="18"/>
              </w:rPr>
              <w:t>通过设立</w:t>
            </w:r>
            <w:r w:rsidRPr="00E05024">
              <w:rPr>
                <w:color w:val="000000"/>
                <w:sz w:val="18"/>
              </w:rPr>
              <w:t>3</w:t>
            </w:r>
            <w:r w:rsidRPr="00E05024">
              <w:rPr>
                <w:color w:val="000000"/>
                <w:sz w:val="18"/>
              </w:rPr>
              <w:t>个预算外定期员额（</w:t>
            </w:r>
            <w:r w:rsidRPr="00E05024">
              <w:rPr>
                <w:color w:val="000000"/>
                <w:sz w:val="18"/>
              </w:rPr>
              <w:t>1</w:t>
            </w:r>
            <w:r w:rsidRPr="00E05024">
              <w:rPr>
                <w:color w:val="000000"/>
                <w:sz w:val="18"/>
              </w:rPr>
              <w:t>个</w:t>
            </w:r>
            <w:r w:rsidRPr="00E05024">
              <w:rPr>
                <w:color w:val="000000"/>
                <w:sz w:val="18"/>
              </w:rPr>
              <w:t>P3</w:t>
            </w:r>
            <w:r w:rsidRPr="00E05024">
              <w:rPr>
                <w:color w:val="000000"/>
                <w:sz w:val="18"/>
              </w:rPr>
              <w:t>、</w:t>
            </w:r>
            <w:r w:rsidRPr="00E05024">
              <w:rPr>
                <w:color w:val="000000"/>
                <w:sz w:val="18"/>
              </w:rPr>
              <w:t>1</w:t>
            </w:r>
            <w:r w:rsidRPr="00E05024">
              <w:rPr>
                <w:color w:val="000000"/>
                <w:sz w:val="18"/>
              </w:rPr>
              <w:t>个</w:t>
            </w:r>
            <w:r w:rsidRPr="00E05024">
              <w:rPr>
                <w:color w:val="000000"/>
                <w:sz w:val="18"/>
              </w:rPr>
              <w:t>P2</w:t>
            </w:r>
            <w:r w:rsidRPr="00E05024">
              <w:rPr>
                <w:color w:val="000000"/>
                <w:sz w:val="18"/>
              </w:rPr>
              <w:t>和</w:t>
            </w:r>
            <w:r w:rsidRPr="00E05024">
              <w:rPr>
                <w:color w:val="000000"/>
                <w:sz w:val="18"/>
              </w:rPr>
              <w:t>1</w:t>
            </w:r>
            <w:r w:rsidRPr="00E05024">
              <w:rPr>
                <w:color w:val="000000"/>
                <w:sz w:val="18"/>
              </w:rPr>
              <w:t>个</w:t>
            </w:r>
            <w:r w:rsidRPr="00E05024">
              <w:rPr>
                <w:color w:val="000000"/>
                <w:sz w:val="18"/>
              </w:rPr>
              <w:t>G5</w:t>
            </w:r>
            <w:r w:rsidRPr="00E05024">
              <w:rPr>
                <w:color w:val="000000"/>
                <w:sz w:val="18"/>
              </w:rPr>
              <w:t>），加强人力资源以改善国际援助机制的实施；</w:t>
            </w:r>
          </w:p>
        </w:tc>
        <w:tc>
          <w:tcPr>
            <w:tcW w:w="1286" w:type="dxa"/>
            <w:tcBorders>
              <w:top w:val="nil"/>
              <w:left w:val="nil"/>
              <w:bottom w:val="single" w:sz="4" w:space="0" w:color="auto"/>
              <w:right w:val="single" w:sz="4" w:space="0" w:color="auto"/>
            </w:tcBorders>
            <w:shd w:val="clear" w:color="auto" w:fill="auto"/>
            <w:vAlign w:val="center"/>
            <w:hideMark/>
          </w:tcPr>
          <w:p w14:paraId="6A16E954" w14:textId="77777777" w:rsidR="00863A53" w:rsidRPr="00E05024" w:rsidRDefault="00863A53">
            <w:pPr>
              <w:jc w:val="center"/>
              <w:rPr>
                <w:color w:val="000000"/>
                <w:sz w:val="18"/>
                <w:szCs w:val="18"/>
              </w:rPr>
            </w:pPr>
            <w:r w:rsidRPr="00E05024">
              <w:rPr>
                <w:color w:val="000000"/>
                <w:sz w:val="18"/>
              </w:rPr>
              <w:t>10.00%</w:t>
            </w:r>
          </w:p>
        </w:tc>
        <w:tc>
          <w:tcPr>
            <w:tcW w:w="1194" w:type="dxa"/>
            <w:tcBorders>
              <w:top w:val="nil"/>
              <w:left w:val="nil"/>
              <w:bottom w:val="single" w:sz="4" w:space="0" w:color="auto"/>
              <w:right w:val="single" w:sz="8" w:space="0" w:color="auto"/>
            </w:tcBorders>
            <w:shd w:val="clear" w:color="auto" w:fill="auto"/>
            <w:vAlign w:val="center"/>
            <w:hideMark/>
          </w:tcPr>
          <w:p w14:paraId="0C023667" w14:textId="77777777" w:rsidR="00863A53" w:rsidRPr="00E05024" w:rsidRDefault="00863A53">
            <w:pPr>
              <w:jc w:val="center"/>
              <w:rPr>
                <w:color w:val="000000"/>
                <w:sz w:val="18"/>
                <w:szCs w:val="18"/>
              </w:rPr>
            </w:pPr>
            <w:r w:rsidRPr="00E05024">
              <w:rPr>
                <w:color w:val="000000"/>
                <w:sz w:val="18"/>
              </w:rPr>
              <w:t>12.30%</w:t>
            </w:r>
          </w:p>
        </w:tc>
        <w:tc>
          <w:tcPr>
            <w:tcW w:w="1543" w:type="dxa"/>
            <w:tcBorders>
              <w:top w:val="nil"/>
              <w:left w:val="nil"/>
              <w:bottom w:val="dashed" w:sz="4" w:space="0" w:color="auto"/>
              <w:right w:val="dashed" w:sz="4" w:space="0" w:color="auto"/>
            </w:tcBorders>
            <w:shd w:val="clear" w:color="auto" w:fill="auto"/>
            <w:vAlign w:val="center"/>
            <w:hideMark/>
          </w:tcPr>
          <w:p w14:paraId="4BEDBCB3" w14:textId="77777777" w:rsidR="00863A53" w:rsidRPr="00E05024" w:rsidRDefault="00863A53">
            <w:pPr>
              <w:jc w:val="center"/>
              <w:rPr>
                <w:i/>
                <w:iCs/>
                <w:color w:val="000000"/>
                <w:sz w:val="18"/>
                <w:szCs w:val="18"/>
              </w:rPr>
            </w:pPr>
            <w:r w:rsidRPr="00E05024">
              <w:rPr>
                <w:i/>
                <w:color w:val="000000"/>
                <w:sz w:val="18"/>
              </w:rPr>
              <w:t>$1 007 318</w:t>
            </w:r>
          </w:p>
        </w:tc>
        <w:tc>
          <w:tcPr>
            <w:tcW w:w="1519" w:type="dxa"/>
            <w:tcBorders>
              <w:top w:val="nil"/>
              <w:left w:val="nil"/>
              <w:bottom w:val="dashed" w:sz="4" w:space="0" w:color="auto"/>
              <w:right w:val="dashed" w:sz="4" w:space="0" w:color="auto"/>
            </w:tcBorders>
            <w:shd w:val="clear" w:color="auto" w:fill="auto"/>
            <w:vAlign w:val="center"/>
            <w:hideMark/>
          </w:tcPr>
          <w:p w14:paraId="7A6CEA1A" w14:textId="4C9E79B9" w:rsidR="00863A53" w:rsidRPr="00E05024" w:rsidRDefault="00863A53">
            <w:pPr>
              <w:jc w:val="center"/>
              <w:rPr>
                <w:i/>
                <w:iCs/>
                <w:color w:val="000000"/>
                <w:sz w:val="18"/>
                <w:szCs w:val="18"/>
              </w:rPr>
            </w:pPr>
            <w:r w:rsidRPr="00E05024">
              <w:rPr>
                <w:i/>
                <w:color w:val="000000"/>
                <w:sz w:val="18"/>
              </w:rPr>
              <w:t>$251 830</w:t>
            </w:r>
          </w:p>
        </w:tc>
      </w:tr>
      <w:tr w:rsidR="00863A53" w:rsidRPr="00E05024" w14:paraId="01548207" w14:textId="77777777" w:rsidTr="00027E63">
        <w:trPr>
          <w:trHeight w:val="932"/>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10925CCC" w14:textId="77777777" w:rsidR="00863A53" w:rsidRPr="00E05024" w:rsidRDefault="00863A53">
            <w:pPr>
              <w:ind w:firstLineChars="100" w:firstLine="180"/>
              <w:rPr>
                <w:color w:val="000000"/>
                <w:sz w:val="18"/>
                <w:szCs w:val="18"/>
              </w:rPr>
            </w:pPr>
            <w:r w:rsidRPr="00E05024">
              <w:rPr>
                <w:color w:val="000000"/>
                <w:sz w:val="18"/>
              </w:rPr>
              <w:t>2.</w:t>
            </w:r>
          </w:p>
        </w:tc>
        <w:tc>
          <w:tcPr>
            <w:tcW w:w="3593" w:type="dxa"/>
            <w:tcBorders>
              <w:top w:val="nil"/>
              <w:left w:val="nil"/>
              <w:bottom w:val="single" w:sz="4" w:space="0" w:color="auto"/>
              <w:right w:val="single" w:sz="4" w:space="0" w:color="auto"/>
            </w:tcBorders>
            <w:shd w:val="clear" w:color="auto" w:fill="auto"/>
            <w:vAlign w:val="center"/>
            <w:hideMark/>
          </w:tcPr>
          <w:p w14:paraId="59FEAFDC" w14:textId="77777777" w:rsidR="00863A53" w:rsidRPr="00E05024" w:rsidRDefault="00863A53" w:rsidP="00863A53">
            <w:pPr>
              <w:rPr>
                <w:color w:val="000000"/>
                <w:sz w:val="18"/>
                <w:szCs w:val="18"/>
              </w:rPr>
            </w:pPr>
            <w:r w:rsidRPr="00E05024">
              <w:rPr>
                <w:color w:val="000000"/>
                <w:sz w:val="18"/>
              </w:rPr>
              <w:t>为《公约》名录和登记册的国际援助请求、申报材料和推荐材料提供筹备性援助</w:t>
            </w:r>
            <w:r w:rsidRPr="00E05024">
              <w:rPr>
                <w:color w:val="000000"/>
                <w:sz w:val="18"/>
              </w:rPr>
              <w:t xml:space="preserve"> </w:t>
            </w:r>
          </w:p>
        </w:tc>
        <w:tc>
          <w:tcPr>
            <w:tcW w:w="1286" w:type="dxa"/>
            <w:tcBorders>
              <w:top w:val="nil"/>
              <w:left w:val="nil"/>
              <w:bottom w:val="single" w:sz="4" w:space="0" w:color="auto"/>
              <w:right w:val="single" w:sz="4" w:space="0" w:color="auto"/>
            </w:tcBorders>
            <w:shd w:val="clear" w:color="auto" w:fill="auto"/>
            <w:vAlign w:val="center"/>
            <w:hideMark/>
          </w:tcPr>
          <w:p w14:paraId="1AAD7C24" w14:textId="77777777" w:rsidR="00863A53" w:rsidRPr="00E05024" w:rsidRDefault="00863A53">
            <w:pPr>
              <w:jc w:val="center"/>
              <w:rPr>
                <w:color w:val="000000"/>
                <w:sz w:val="18"/>
                <w:szCs w:val="18"/>
              </w:rPr>
            </w:pPr>
            <w:r w:rsidRPr="00E05024">
              <w:rPr>
                <w:color w:val="000000"/>
                <w:sz w:val="18"/>
              </w:rPr>
              <w:t>2.60%</w:t>
            </w:r>
          </w:p>
        </w:tc>
        <w:tc>
          <w:tcPr>
            <w:tcW w:w="1194" w:type="dxa"/>
            <w:tcBorders>
              <w:top w:val="nil"/>
              <w:left w:val="nil"/>
              <w:bottom w:val="single" w:sz="4" w:space="0" w:color="auto"/>
              <w:right w:val="single" w:sz="8" w:space="0" w:color="auto"/>
            </w:tcBorders>
            <w:shd w:val="clear" w:color="auto" w:fill="auto"/>
            <w:vAlign w:val="center"/>
            <w:hideMark/>
          </w:tcPr>
          <w:p w14:paraId="0C80362A" w14:textId="77777777" w:rsidR="00863A53" w:rsidRPr="00E05024" w:rsidRDefault="00863A53">
            <w:pPr>
              <w:jc w:val="center"/>
              <w:rPr>
                <w:color w:val="000000"/>
                <w:sz w:val="18"/>
                <w:szCs w:val="18"/>
              </w:rPr>
            </w:pPr>
            <w:r w:rsidRPr="00E05024">
              <w:rPr>
                <w:color w:val="000000"/>
                <w:sz w:val="18"/>
              </w:rPr>
              <w:t>2.80%</w:t>
            </w:r>
          </w:p>
        </w:tc>
        <w:tc>
          <w:tcPr>
            <w:tcW w:w="1543" w:type="dxa"/>
            <w:tcBorders>
              <w:top w:val="nil"/>
              <w:left w:val="nil"/>
              <w:bottom w:val="dashed" w:sz="4" w:space="0" w:color="auto"/>
              <w:right w:val="dashed" w:sz="4" w:space="0" w:color="auto"/>
            </w:tcBorders>
            <w:shd w:val="clear" w:color="auto" w:fill="auto"/>
            <w:vAlign w:val="center"/>
            <w:hideMark/>
          </w:tcPr>
          <w:p w14:paraId="2DAAAEDE" w14:textId="77777777" w:rsidR="00863A53" w:rsidRPr="00E05024" w:rsidRDefault="00863A53">
            <w:pPr>
              <w:jc w:val="center"/>
              <w:rPr>
                <w:i/>
                <w:iCs/>
                <w:color w:val="000000"/>
                <w:sz w:val="18"/>
                <w:szCs w:val="18"/>
              </w:rPr>
            </w:pPr>
            <w:r w:rsidRPr="00E05024">
              <w:rPr>
                <w:i/>
                <w:color w:val="000000"/>
                <w:sz w:val="18"/>
              </w:rPr>
              <w:t>$229 308</w:t>
            </w:r>
          </w:p>
        </w:tc>
        <w:tc>
          <w:tcPr>
            <w:tcW w:w="1519" w:type="dxa"/>
            <w:tcBorders>
              <w:top w:val="nil"/>
              <w:left w:val="nil"/>
              <w:bottom w:val="dashed" w:sz="4" w:space="0" w:color="auto"/>
              <w:right w:val="dashed" w:sz="4" w:space="0" w:color="auto"/>
            </w:tcBorders>
            <w:shd w:val="clear" w:color="auto" w:fill="auto"/>
            <w:vAlign w:val="center"/>
            <w:hideMark/>
          </w:tcPr>
          <w:p w14:paraId="08034AAD" w14:textId="77777777" w:rsidR="00863A53" w:rsidRPr="00E05024" w:rsidRDefault="00863A53">
            <w:pPr>
              <w:jc w:val="center"/>
              <w:rPr>
                <w:i/>
                <w:iCs/>
                <w:color w:val="000000"/>
                <w:sz w:val="18"/>
                <w:szCs w:val="18"/>
              </w:rPr>
            </w:pPr>
            <w:r w:rsidRPr="00E05024">
              <w:rPr>
                <w:i/>
                <w:color w:val="000000"/>
                <w:sz w:val="18"/>
              </w:rPr>
              <w:t>$57 327</w:t>
            </w:r>
          </w:p>
        </w:tc>
      </w:tr>
      <w:tr w:rsidR="00863A53" w:rsidRPr="00E05024" w14:paraId="0A22C291" w14:textId="77777777" w:rsidTr="00027E63">
        <w:trPr>
          <w:trHeight w:val="2557"/>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220CFC58" w14:textId="77777777" w:rsidR="00863A53" w:rsidRPr="00E05024" w:rsidRDefault="00863A53">
            <w:pPr>
              <w:ind w:firstLineChars="100" w:firstLine="180"/>
              <w:rPr>
                <w:color w:val="000000"/>
                <w:sz w:val="18"/>
                <w:szCs w:val="18"/>
              </w:rPr>
            </w:pPr>
            <w:r w:rsidRPr="00E05024">
              <w:rPr>
                <w:color w:val="000000"/>
                <w:sz w:val="18"/>
              </w:rPr>
              <w:t>3.</w:t>
            </w:r>
          </w:p>
        </w:tc>
        <w:tc>
          <w:tcPr>
            <w:tcW w:w="3593" w:type="dxa"/>
            <w:tcBorders>
              <w:top w:val="nil"/>
              <w:left w:val="nil"/>
              <w:bottom w:val="single" w:sz="4" w:space="0" w:color="auto"/>
              <w:right w:val="single" w:sz="4" w:space="0" w:color="auto"/>
            </w:tcBorders>
            <w:shd w:val="clear" w:color="auto" w:fill="auto"/>
            <w:vAlign w:val="center"/>
            <w:hideMark/>
          </w:tcPr>
          <w:p w14:paraId="67397F7A" w14:textId="77777777" w:rsidR="00863A53" w:rsidRPr="00E05024" w:rsidRDefault="00863A53" w:rsidP="00863A53">
            <w:pPr>
              <w:rPr>
                <w:color w:val="000000"/>
                <w:sz w:val="18"/>
                <w:szCs w:val="18"/>
              </w:rPr>
            </w:pPr>
            <w:r w:rsidRPr="00E05024">
              <w:rPr>
                <w:color w:val="000000"/>
                <w:sz w:val="18"/>
              </w:rPr>
              <w:t>委员会的其他职能，如《公约》第七条所述，旨在推广《公约》目标，鼓励和监督实施情况，特别是通过加强能力从而有效地保护非物质文化遗产，提高人们有关此类遗产重要性的认识，提供关于优秀保护实践的指导，更新并发布名录和《优秀保护实践登记册》：</w:t>
            </w:r>
            <w:r w:rsidRPr="00E05024">
              <w:rPr>
                <w:color w:val="000000"/>
                <w:sz w:val="18"/>
              </w:rPr>
              <w:t xml:space="preserve"> </w:t>
            </w:r>
          </w:p>
        </w:tc>
        <w:tc>
          <w:tcPr>
            <w:tcW w:w="1286" w:type="dxa"/>
            <w:tcBorders>
              <w:top w:val="nil"/>
              <w:left w:val="nil"/>
              <w:bottom w:val="single" w:sz="4" w:space="0" w:color="auto"/>
              <w:right w:val="single" w:sz="4" w:space="0" w:color="auto"/>
            </w:tcBorders>
            <w:shd w:val="clear" w:color="auto" w:fill="auto"/>
            <w:vAlign w:val="center"/>
            <w:hideMark/>
          </w:tcPr>
          <w:p w14:paraId="23DC69EA" w14:textId="77777777" w:rsidR="00863A53" w:rsidRPr="00E05024" w:rsidRDefault="00863A53">
            <w:pPr>
              <w:jc w:val="center"/>
              <w:rPr>
                <w:color w:val="000000"/>
                <w:sz w:val="18"/>
                <w:szCs w:val="18"/>
              </w:rPr>
            </w:pPr>
            <w:r w:rsidRPr="00E05024">
              <w:rPr>
                <w:color w:val="000000"/>
                <w:sz w:val="18"/>
              </w:rPr>
              <w:t>20.00%</w:t>
            </w:r>
          </w:p>
        </w:tc>
        <w:tc>
          <w:tcPr>
            <w:tcW w:w="1194" w:type="dxa"/>
            <w:tcBorders>
              <w:top w:val="nil"/>
              <w:left w:val="nil"/>
              <w:bottom w:val="single" w:sz="4" w:space="0" w:color="auto"/>
              <w:right w:val="single" w:sz="8" w:space="0" w:color="auto"/>
            </w:tcBorders>
            <w:shd w:val="clear" w:color="auto" w:fill="auto"/>
            <w:vAlign w:val="center"/>
            <w:hideMark/>
          </w:tcPr>
          <w:p w14:paraId="59D7F818" w14:textId="77777777" w:rsidR="00863A53" w:rsidRPr="00E05024" w:rsidRDefault="00863A53">
            <w:pPr>
              <w:jc w:val="center"/>
              <w:rPr>
                <w:color w:val="000000"/>
                <w:sz w:val="18"/>
                <w:szCs w:val="18"/>
              </w:rPr>
            </w:pPr>
            <w:r w:rsidRPr="00E05024">
              <w:rPr>
                <w:color w:val="000000"/>
                <w:sz w:val="18"/>
              </w:rPr>
              <w:t>20.00%</w:t>
            </w:r>
          </w:p>
        </w:tc>
        <w:tc>
          <w:tcPr>
            <w:tcW w:w="1543" w:type="dxa"/>
            <w:tcBorders>
              <w:top w:val="nil"/>
              <w:left w:val="nil"/>
              <w:bottom w:val="dashed" w:sz="4" w:space="0" w:color="auto"/>
              <w:right w:val="dashed" w:sz="4" w:space="0" w:color="auto"/>
            </w:tcBorders>
            <w:shd w:val="clear" w:color="auto" w:fill="auto"/>
            <w:vAlign w:val="center"/>
            <w:hideMark/>
          </w:tcPr>
          <w:p w14:paraId="4D559280" w14:textId="76B098E7" w:rsidR="00863A53" w:rsidRPr="00E05024" w:rsidRDefault="00863A53">
            <w:pPr>
              <w:jc w:val="center"/>
              <w:rPr>
                <w:i/>
                <w:iCs/>
                <w:color w:val="000000"/>
                <w:sz w:val="18"/>
                <w:szCs w:val="18"/>
              </w:rPr>
            </w:pPr>
            <w:r w:rsidRPr="00E05024">
              <w:rPr>
                <w:i/>
                <w:color w:val="000000"/>
                <w:sz w:val="18"/>
              </w:rPr>
              <w:t>$1 637 916</w:t>
            </w:r>
          </w:p>
        </w:tc>
        <w:tc>
          <w:tcPr>
            <w:tcW w:w="1519" w:type="dxa"/>
            <w:tcBorders>
              <w:top w:val="nil"/>
              <w:left w:val="nil"/>
              <w:bottom w:val="dashed" w:sz="4" w:space="0" w:color="auto"/>
              <w:right w:val="dashed" w:sz="4" w:space="0" w:color="auto"/>
            </w:tcBorders>
            <w:shd w:val="clear" w:color="auto" w:fill="auto"/>
            <w:vAlign w:val="center"/>
            <w:hideMark/>
          </w:tcPr>
          <w:p w14:paraId="66E213E9" w14:textId="77777777" w:rsidR="00863A53" w:rsidRPr="00E05024" w:rsidRDefault="00863A53">
            <w:pPr>
              <w:jc w:val="center"/>
              <w:rPr>
                <w:i/>
                <w:iCs/>
                <w:color w:val="000000"/>
                <w:sz w:val="18"/>
                <w:szCs w:val="18"/>
              </w:rPr>
            </w:pPr>
            <w:r w:rsidRPr="00E05024">
              <w:rPr>
                <w:i/>
                <w:color w:val="000000"/>
                <w:sz w:val="18"/>
              </w:rPr>
              <w:t>$409 479</w:t>
            </w:r>
          </w:p>
        </w:tc>
      </w:tr>
      <w:tr w:rsidR="00E426C4" w:rsidRPr="00E05024" w14:paraId="547CB677" w14:textId="77777777" w:rsidTr="00BE6B30">
        <w:trPr>
          <w:trHeight w:val="300"/>
        </w:trPr>
        <w:tc>
          <w:tcPr>
            <w:tcW w:w="571" w:type="dxa"/>
            <w:vMerge w:val="restart"/>
            <w:tcBorders>
              <w:top w:val="nil"/>
              <w:left w:val="single" w:sz="8" w:space="0" w:color="auto"/>
              <w:bottom w:val="single" w:sz="4" w:space="0" w:color="auto"/>
              <w:right w:val="single" w:sz="4" w:space="0" w:color="auto"/>
            </w:tcBorders>
            <w:shd w:val="clear" w:color="000000" w:fill="E7E6E6"/>
            <w:noWrap/>
            <w:vAlign w:val="center"/>
            <w:hideMark/>
          </w:tcPr>
          <w:p w14:paraId="728EDDE2" w14:textId="77777777" w:rsidR="00E426C4" w:rsidRPr="00E05024" w:rsidRDefault="00E426C4" w:rsidP="00E426C4">
            <w:pPr>
              <w:jc w:val="center"/>
              <w:rPr>
                <w:i/>
                <w:iCs/>
                <w:color w:val="000000"/>
                <w:sz w:val="18"/>
                <w:szCs w:val="18"/>
              </w:rPr>
            </w:pPr>
            <w:r w:rsidRPr="00E05024">
              <w:rPr>
                <w:i/>
                <w:color w:val="000000"/>
                <w:sz w:val="18"/>
              </w:rPr>
              <w:t> </w:t>
            </w:r>
          </w:p>
        </w:tc>
        <w:tc>
          <w:tcPr>
            <w:tcW w:w="3593" w:type="dxa"/>
            <w:vMerge w:val="restart"/>
            <w:tcBorders>
              <w:top w:val="nil"/>
              <w:left w:val="single" w:sz="4" w:space="0" w:color="auto"/>
              <w:bottom w:val="single" w:sz="4" w:space="0" w:color="auto"/>
              <w:right w:val="single" w:sz="4" w:space="0" w:color="auto"/>
            </w:tcBorders>
            <w:shd w:val="clear" w:color="000000" w:fill="E7E6E6"/>
            <w:vAlign w:val="center"/>
            <w:hideMark/>
          </w:tcPr>
          <w:p w14:paraId="6DE3238E" w14:textId="54B12901" w:rsidR="00E426C4" w:rsidRPr="00E05024" w:rsidRDefault="00E426C4" w:rsidP="00BE6B30">
            <w:pPr>
              <w:rPr>
                <w:b/>
                <w:bCs/>
                <w:i/>
                <w:iCs/>
                <w:color w:val="000000"/>
                <w:sz w:val="16"/>
                <w:szCs w:val="16"/>
              </w:rPr>
            </w:pPr>
            <w:r w:rsidRPr="00E05024">
              <w:rPr>
                <w:b/>
                <w:i/>
                <w:color w:val="000000"/>
                <w:sz w:val="16"/>
              </w:rPr>
              <w:t>预期结果</w:t>
            </w:r>
            <w:r w:rsidRPr="00E05024">
              <w:rPr>
                <w:b/>
                <w:i/>
                <w:color w:val="000000"/>
                <w:sz w:val="16"/>
              </w:rPr>
              <w:t>1</w:t>
            </w:r>
            <w:r w:rsidRPr="00E05024">
              <w:rPr>
                <w:b/>
                <w:i/>
                <w:color w:val="000000"/>
                <w:sz w:val="16"/>
              </w:rPr>
              <w:t>：通过加强能力建设方案和将非物质文化遗产纳入发展规划、政策和项目来鼓励执行《公约》；</w:t>
            </w:r>
          </w:p>
        </w:tc>
        <w:tc>
          <w:tcPr>
            <w:tcW w:w="1286" w:type="dxa"/>
            <w:tcBorders>
              <w:top w:val="nil"/>
              <w:left w:val="nil"/>
              <w:bottom w:val="single" w:sz="4" w:space="0" w:color="auto"/>
              <w:right w:val="single" w:sz="4" w:space="0" w:color="auto"/>
            </w:tcBorders>
            <w:shd w:val="clear" w:color="000000" w:fill="E7E6E6"/>
            <w:vAlign w:val="center"/>
            <w:hideMark/>
          </w:tcPr>
          <w:p w14:paraId="3DD7F38D" w14:textId="6FE6C8EE" w:rsidR="00E426C4" w:rsidRPr="00E05024" w:rsidRDefault="00E426C4" w:rsidP="00327AB4">
            <w:pPr>
              <w:jc w:val="center"/>
              <w:rPr>
                <w:i/>
                <w:iCs/>
                <w:color w:val="000000"/>
                <w:sz w:val="16"/>
                <w:szCs w:val="16"/>
              </w:rPr>
            </w:pPr>
            <w:r w:rsidRPr="00E05024">
              <w:rPr>
                <w:i/>
                <w:color w:val="000000"/>
                <w:sz w:val="16"/>
              </w:rPr>
              <w:t>6.60%</w:t>
            </w:r>
          </w:p>
        </w:tc>
        <w:tc>
          <w:tcPr>
            <w:tcW w:w="1194" w:type="dxa"/>
            <w:vMerge w:val="restart"/>
            <w:tcBorders>
              <w:top w:val="nil"/>
              <w:left w:val="single" w:sz="4" w:space="0" w:color="auto"/>
              <w:bottom w:val="single" w:sz="4" w:space="0" w:color="auto"/>
              <w:right w:val="single" w:sz="8" w:space="0" w:color="auto"/>
            </w:tcBorders>
            <w:shd w:val="clear" w:color="000000" w:fill="E7E6E6"/>
            <w:vAlign w:val="center"/>
            <w:hideMark/>
          </w:tcPr>
          <w:p w14:paraId="20A73088" w14:textId="77777777" w:rsidR="00E426C4" w:rsidRPr="00E05024" w:rsidRDefault="00E426C4" w:rsidP="00327AB4">
            <w:pPr>
              <w:jc w:val="center"/>
              <w:rPr>
                <w:i/>
                <w:iCs/>
                <w:color w:val="000000"/>
                <w:sz w:val="16"/>
                <w:szCs w:val="16"/>
              </w:rPr>
            </w:pPr>
            <w:r w:rsidRPr="00E05024">
              <w:rPr>
                <w:i/>
                <w:color w:val="000000"/>
                <w:sz w:val="16"/>
              </w:rPr>
              <w:t>10.4%</w:t>
            </w:r>
          </w:p>
        </w:tc>
        <w:tc>
          <w:tcPr>
            <w:tcW w:w="1543" w:type="dxa"/>
            <w:vMerge w:val="restart"/>
            <w:tcBorders>
              <w:top w:val="nil"/>
              <w:left w:val="nil"/>
              <w:bottom w:val="dashed" w:sz="4" w:space="0" w:color="auto"/>
              <w:right w:val="dashed" w:sz="4" w:space="0" w:color="auto"/>
            </w:tcBorders>
            <w:shd w:val="clear" w:color="000000" w:fill="E7E6E6"/>
            <w:vAlign w:val="center"/>
            <w:hideMark/>
          </w:tcPr>
          <w:p w14:paraId="48FD8FBF" w14:textId="77777777" w:rsidR="00E426C4" w:rsidRPr="00E05024" w:rsidRDefault="00E426C4" w:rsidP="00E426C4">
            <w:pPr>
              <w:jc w:val="center"/>
              <w:rPr>
                <w:i/>
                <w:iCs/>
                <w:color w:val="000000"/>
                <w:sz w:val="18"/>
                <w:szCs w:val="18"/>
              </w:rPr>
            </w:pPr>
            <w:r w:rsidRPr="00E05024">
              <w:rPr>
                <w:i/>
                <w:color w:val="000000"/>
                <w:sz w:val="18"/>
              </w:rPr>
              <w:t>$851 716</w:t>
            </w:r>
          </w:p>
        </w:tc>
        <w:tc>
          <w:tcPr>
            <w:tcW w:w="1519" w:type="dxa"/>
            <w:vMerge w:val="restart"/>
            <w:tcBorders>
              <w:top w:val="nil"/>
              <w:left w:val="dashed" w:sz="4" w:space="0" w:color="auto"/>
              <w:bottom w:val="dashed" w:sz="4" w:space="0" w:color="auto"/>
              <w:right w:val="dashed" w:sz="4" w:space="0" w:color="auto"/>
            </w:tcBorders>
            <w:shd w:val="clear" w:color="000000" w:fill="E7E6E6"/>
            <w:vAlign w:val="center"/>
            <w:hideMark/>
          </w:tcPr>
          <w:p w14:paraId="42807105" w14:textId="77777777" w:rsidR="00E426C4" w:rsidRPr="00E05024" w:rsidRDefault="00E426C4" w:rsidP="00E426C4">
            <w:pPr>
              <w:jc w:val="center"/>
              <w:rPr>
                <w:i/>
                <w:iCs/>
                <w:color w:val="000000"/>
                <w:sz w:val="18"/>
                <w:szCs w:val="18"/>
              </w:rPr>
            </w:pPr>
            <w:r w:rsidRPr="00E05024">
              <w:rPr>
                <w:i/>
                <w:color w:val="000000"/>
                <w:sz w:val="18"/>
              </w:rPr>
              <w:t>$212 929</w:t>
            </w:r>
          </w:p>
        </w:tc>
      </w:tr>
      <w:tr w:rsidR="00E426C4" w:rsidRPr="00E05024" w14:paraId="598337F6" w14:textId="77777777" w:rsidTr="00BE6B30">
        <w:trPr>
          <w:trHeight w:val="300"/>
        </w:trPr>
        <w:tc>
          <w:tcPr>
            <w:tcW w:w="571" w:type="dxa"/>
            <w:vMerge/>
            <w:tcBorders>
              <w:top w:val="nil"/>
              <w:left w:val="single" w:sz="8" w:space="0" w:color="auto"/>
              <w:bottom w:val="single" w:sz="4" w:space="0" w:color="auto"/>
              <w:right w:val="single" w:sz="4" w:space="0" w:color="auto"/>
            </w:tcBorders>
            <w:vAlign w:val="center"/>
            <w:hideMark/>
          </w:tcPr>
          <w:p w14:paraId="4F70D16A" w14:textId="77777777" w:rsidR="00E426C4" w:rsidRPr="00E05024" w:rsidRDefault="00E426C4" w:rsidP="00E426C4">
            <w:pPr>
              <w:rPr>
                <w:i/>
                <w:iCs/>
                <w:color w:val="000000"/>
                <w:sz w:val="18"/>
                <w:szCs w:val="18"/>
              </w:rPr>
            </w:pPr>
          </w:p>
        </w:tc>
        <w:tc>
          <w:tcPr>
            <w:tcW w:w="3593" w:type="dxa"/>
            <w:vMerge/>
            <w:tcBorders>
              <w:top w:val="nil"/>
              <w:left w:val="single" w:sz="4" w:space="0" w:color="auto"/>
              <w:bottom w:val="single" w:sz="4" w:space="0" w:color="auto"/>
              <w:right w:val="single" w:sz="4" w:space="0" w:color="auto"/>
            </w:tcBorders>
            <w:vAlign w:val="center"/>
            <w:hideMark/>
          </w:tcPr>
          <w:p w14:paraId="361EB5B6" w14:textId="77777777" w:rsidR="00E426C4" w:rsidRPr="00E05024" w:rsidRDefault="00E426C4" w:rsidP="00BE6B30">
            <w:pPr>
              <w:rPr>
                <w:b/>
                <w:bCs/>
                <w:i/>
                <w:iCs/>
                <w:color w:val="000000"/>
                <w:sz w:val="16"/>
                <w:szCs w:val="16"/>
              </w:rPr>
            </w:pPr>
          </w:p>
        </w:tc>
        <w:tc>
          <w:tcPr>
            <w:tcW w:w="1286" w:type="dxa"/>
            <w:tcBorders>
              <w:top w:val="nil"/>
              <w:left w:val="nil"/>
              <w:bottom w:val="single" w:sz="4" w:space="0" w:color="auto"/>
              <w:right w:val="single" w:sz="4" w:space="0" w:color="auto"/>
            </w:tcBorders>
            <w:shd w:val="clear" w:color="000000" w:fill="E7E6E6"/>
            <w:vAlign w:val="center"/>
            <w:hideMark/>
          </w:tcPr>
          <w:p w14:paraId="532DD7AA" w14:textId="03B74BC6" w:rsidR="00E426C4" w:rsidRPr="00E05024" w:rsidRDefault="00E426C4" w:rsidP="00327AB4">
            <w:pPr>
              <w:jc w:val="center"/>
              <w:rPr>
                <w:i/>
                <w:iCs/>
                <w:color w:val="000000"/>
                <w:sz w:val="16"/>
                <w:szCs w:val="16"/>
              </w:rPr>
            </w:pPr>
            <w:r w:rsidRPr="00E05024">
              <w:rPr>
                <w:i/>
                <w:color w:val="000000"/>
                <w:sz w:val="16"/>
              </w:rPr>
              <w:t>（预期结果</w:t>
            </w:r>
            <w:r w:rsidRPr="00E05024">
              <w:rPr>
                <w:i/>
                <w:color w:val="000000"/>
                <w:sz w:val="16"/>
              </w:rPr>
              <w:t>2</w:t>
            </w:r>
            <w:r w:rsidRPr="00E05024">
              <w:rPr>
                <w:i/>
                <w:color w:val="000000"/>
                <w:sz w:val="16"/>
              </w:rPr>
              <w:t>：（项目</w:t>
            </w:r>
            <w:r w:rsidRPr="00E05024">
              <w:rPr>
                <w:i/>
                <w:color w:val="000000"/>
                <w:sz w:val="16"/>
              </w:rPr>
              <w:t>3</w:t>
            </w:r>
            <w:r w:rsidRPr="00E05024">
              <w:rPr>
                <w:i/>
                <w:color w:val="000000"/>
                <w:sz w:val="16"/>
              </w:rPr>
              <w:t>的</w:t>
            </w:r>
            <w:r w:rsidRPr="00E05024">
              <w:rPr>
                <w:i/>
                <w:color w:val="000000"/>
                <w:sz w:val="16"/>
              </w:rPr>
              <w:t>33%</w:t>
            </w:r>
            <w:r w:rsidRPr="00E05024">
              <w:rPr>
                <w:i/>
                <w:color w:val="000000"/>
                <w:sz w:val="16"/>
              </w:rPr>
              <w:t>）</w:t>
            </w:r>
          </w:p>
        </w:tc>
        <w:tc>
          <w:tcPr>
            <w:tcW w:w="1194" w:type="dxa"/>
            <w:vMerge/>
            <w:tcBorders>
              <w:top w:val="nil"/>
              <w:left w:val="single" w:sz="4" w:space="0" w:color="auto"/>
              <w:bottom w:val="single" w:sz="4" w:space="0" w:color="auto"/>
              <w:right w:val="single" w:sz="8" w:space="0" w:color="auto"/>
            </w:tcBorders>
            <w:vAlign w:val="center"/>
            <w:hideMark/>
          </w:tcPr>
          <w:p w14:paraId="20B778B7" w14:textId="77777777" w:rsidR="00E426C4" w:rsidRPr="00E05024" w:rsidRDefault="00E426C4" w:rsidP="00CA4765">
            <w:pPr>
              <w:jc w:val="center"/>
              <w:rPr>
                <w:i/>
                <w:iCs/>
                <w:color w:val="000000"/>
                <w:sz w:val="16"/>
                <w:szCs w:val="16"/>
              </w:rPr>
            </w:pPr>
          </w:p>
        </w:tc>
        <w:tc>
          <w:tcPr>
            <w:tcW w:w="1543" w:type="dxa"/>
            <w:vMerge/>
            <w:tcBorders>
              <w:top w:val="nil"/>
              <w:left w:val="nil"/>
              <w:bottom w:val="dashed" w:sz="4" w:space="0" w:color="auto"/>
              <w:right w:val="dashed" w:sz="4" w:space="0" w:color="auto"/>
            </w:tcBorders>
            <w:vAlign w:val="center"/>
            <w:hideMark/>
          </w:tcPr>
          <w:p w14:paraId="399EC3CC" w14:textId="77777777" w:rsidR="00E426C4" w:rsidRPr="00E05024" w:rsidRDefault="00E426C4" w:rsidP="00E426C4">
            <w:pPr>
              <w:rPr>
                <w:i/>
                <w:iCs/>
                <w:color w:val="000000"/>
                <w:sz w:val="18"/>
                <w:szCs w:val="18"/>
              </w:rPr>
            </w:pPr>
          </w:p>
        </w:tc>
        <w:tc>
          <w:tcPr>
            <w:tcW w:w="1519" w:type="dxa"/>
            <w:vMerge/>
            <w:tcBorders>
              <w:top w:val="nil"/>
              <w:left w:val="dashed" w:sz="4" w:space="0" w:color="auto"/>
              <w:bottom w:val="dashed" w:sz="4" w:space="0" w:color="auto"/>
              <w:right w:val="dashed" w:sz="4" w:space="0" w:color="auto"/>
            </w:tcBorders>
            <w:vAlign w:val="center"/>
            <w:hideMark/>
          </w:tcPr>
          <w:p w14:paraId="1ACA2F3F" w14:textId="77777777" w:rsidR="00E426C4" w:rsidRPr="00E05024" w:rsidRDefault="00E426C4" w:rsidP="00E426C4">
            <w:pPr>
              <w:rPr>
                <w:i/>
                <w:iCs/>
                <w:color w:val="000000"/>
                <w:sz w:val="18"/>
                <w:szCs w:val="18"/>
              </w:rPr>
            </w:pPr>
          </w:p>
        </w:tc>
      </w:tr>
      <w:tr w:rsidR="00E426C4" w:rsidRPr="00E05024" w14:paraId="1BC6D26C" w14:textId="77777777" w:rsidTr="00BE6B30">
        <w:trPr>
          <w:trHeight w:val="300"/>
        </w:trPr>
        <w:tc>
          <w:tcPr>
            <w:tcW w:w="571" w:type="dxa"/>
            <w:vMerge/>
            <w:tcBorders>
              <w:top w:val="nil"/>
              <w:left w:val="single" w:sz="8" w:space="0" w:color="auto"/>
              <w:bottom w:val="single" w:sz="4" w:space="0" w:color="auto"/>
              <w:right w:val="single" w:sz="4" w:space="0" w:color="auto"/>
            </w:tcBorders>
            <w:vAlign w:val="center"/>
            <w:hideMark/>
          </w:tcPr>
          <w:p w14:paraId="1A06BB6D" w14:textId="77777777" w:rsidR="00E426C4" w:rsidRPr="00E05024" w:rsidRDefault="00E426C4" w:rsidP="00E426C4">
            <w:pPr>
              <w:rPr>
                <w:i/>
                <w:iCs/>
                <w:color w:val="000000"/>
                <w:sz w:val="18"/>
                <w:szCs w:val="18"/>
              </w:rPr>
            </w:pPr>
          </w:p>
        </w:tc>
        <w:tc>
          <w:tcPr>
            <w:tcW w:w="3593" w:type="dxa"/>
            <w:vMerge/>
            <w:tcBorders>
              <w:top w:val="nil"/>
              <w:left w:val="single" w:sz="4" w:space="0" w:color="auto"/>
              <w:bottom w:val="single" w:sz="4" w:space="0" w:color="auto"/>
              <w:right w:val="single" w:sz="4" w:space="0" w:color="auto"/>
            </w:tcBorders>
            <w:vAlign w:val="center"/>
            <w:hideMark/>
          </w:tcPr>
          <w:p w14:paraId="0F50FD06" w14:textId="77777777" w:rsidR="00E426C4" w:rsidRPr="00E05024" w:rsidRDefault="00E426C4" w:rsidP="00BE6B30">
            <w:pPr>
              <w:rPr>
                <w:b/>
                <w:bCs/>
                <w:i/>
                <w:iCs/>
                <w:color w:val="000000"/>
                <w:sz w:val="16"/>
                <w:szCs w:val="16"/>
              </w:rPr>
            </w:pPr>
          </w:p>
        </w:tc>
        <w:tc>
          <w:tcPr>
            <w:tcW w:w="1286" w:type="dxa"/>
            <w:tcBorders>
              <w:top w:val="nil"/>
              <w:left w:val="nil"/>
              <w:bottom w:val="single" w:sz="4" w:space="0" w:color="auto"/>
              <w:right w:val="single" w:sz="4" w:space="0" w:color="auto"/>
            </w:tcBorders>
            <w:shd w:val="clear" w:color="000000" w:fill="E7E6E6"/>
            <w:vAlign w:val="center"/>
            <w:hideMark/>
          </w:tcPr>
          <w:p w14:paraId="31077A0A" w14:textId="29E2A167" w:rsidR="00E426C4" w:rsidRPr="00E05024" w:rsidRDefault="00E426C4" w:rsidP="00327AB4">
            <w:pPr>
              <w:jc w:val="center"/>
              <w:rPr>
                <w:i/>
                <w:iCs/>
                <w:color w:val="000000"/>
                <w:sz w:val="16"/>
                <w:szCs w:val="16"/>
              </w:rPr>
            </w:pPr>
            <w:r w:rsidRPr="00E05024">
              <w:rPr>
                <w:i/>
                <w:color w:val="000000"/>
                <w:sz w:val="16"/>
              </w:rPr>
              <w:t>3.70%</w:t>
            </w:r>
          </w:p>
        </w:tc>
        <w:tc>
          <w:tcPr>
            <w:tcW w:w="1194" w:type="dxa"/>
            <w:vMerge w:val="restart"/>
            <w:tcBorders>
              <w:top w:val="nil"/>
              <w:left w:val="single" w:sz="4" w:space="0" w:color="auto"/>
              <w:bottom w:val="single" w:sz="4" w:space="0" w:color="auto"/>
              <w:right w:val="single" w:sz="8" w:space="0" w:color="auto"/>
            </w:tcBorders>
            <w:shd w:val="clear" w:color="000000" w:fill="E7E6E6"/>
            <w:vAlign w:val="center"/>
            <w:hideMark/>
          </w:tcPr>
          <w:p w14:paraId="06E1A794" w14:textId="77777777" w:rsidR="00E426C4" w:rsidRPr="00E05024" w:rsidRDefault="00E426C4" w:rsidP="00327AB4">
            <w:pPr>
              <w:jc w:val="center"/>
              <w:rPr>
                <w:i/>
                <w:iCs/>
                <w:color w:val="000000"/>
                <w:sz w:val="16"/>
                <w:szCs w:val="16"/>
              </w:rPr>
            </w:pPr>
            <w:r w:rsidRPr="00E05024">
              <w:rPr>
                <w:i/>
                <w:color w:val="000000"/>
                <w:sz w:val="16"/>
              </w:rPr>
              <w:t>（项目</w:t>
            </w:r>
            <w:r w:rsidRPr="00E05024">
              <w:rPr>
                <w:i/>
                <w:color w:val="000000"/>
                <w:sz w:val="16"/>
              </w:rPr>
              <w:t>3</w:t>
            </w:r>
            <w:r w:rsidRPr="00E05024">
              <w:rPr>
                <w:i/>
                <w:color w:val="000000"/>
                <w:sz w:val="16"/>
              </w:rPr>
              <w:t>的</w:t>
            </w:r>
            <w:r w:rsidRPr="00E05024">
              <w:rPr>
                <w:i/>
                <w:color w:val="000000"/>
                <w:sz w:val="16"/>
              </w:rPr>
              <w:t>52%</w:t>
            </w:r>
            <w:r w:rsidRPr="00E05024">
              <w:rPr>
                <w:i/>
                <w:color w:val="000000"/>
                <w:sz w:val="16"/>
              </w:rPr>
              <w:t>）</w:t>
            </w:r>
          </w:p>
        </w:tc>
        <w:tc>
          <w:tcPr>
            <w:tcW w:w="1543" w:type="dxa"/>
            <w:vMerge/>
            <w:tcBorders>
              <w:top w:val="nil"/>
              <w:left w:val="nil"/>
              <w:bottom w:val="dashed" w:sz="4" w:space="0" w:color="auto"/>
              <w:right w:val="dashed" w:sz="4" w:space="0" w:color="auto"/>
            </w:tcBorders>
            <w:vAlign w:val="center"/>
            <w:hideMark/>
          </w:tcPr>
          <w:p w14:paraId="19E6995B" w14:textId="77777777" w:rsidR="00E426C4" w:rsidRPr="00E05024" w:rsidRDefault="00E426C4" w:rsidP="00E426C4">
            <w:pPr>
              <w:rPr>
                <w:i/>
                <w:iCs/>
                <w:color w:val="000000"/>
                <w:sz w:val="18"/>
                <w:szCs w:val="18"/>
              </w:rPr>
            </w:pPr>
          </w:p>
        </w:tc>
        <w:tc>
          <w:tcPr>
            <w:tcW w:w="1519" w:type="dxa"/>
            <w:vMerge/>
            <w:tcBorders>
              <w:top w:val="nil"/>
              <w:left w:val="dashed" w:sz="4" w:space="0" w:color="auto"/>
              <w:bottom w:val="dashed" w:sz="4" w:space="0" w:color="auto"/>
              <w:right w:val="dashed" w:sz="4" w:space="0" w:color="auto"/>
            </w:tcBorders>
            <w:vAlign w:val="center"/>
            <w:hideMark/>
          </w:tcPr>
          <w:p w14:paraId="3E960190" w14:textId="77777777" w:rsidR="00E426C4" w:rsidRPr="00E05024" w:rsidRDefault="00E426C4" w:rsidP="00E426C4">
            <w:pPr>
              <w:rPr>
                <w:i/>
                <w:iCs/>
                <w:color w:val="000000"/>
                <w:sz w:val="18"/>
                <w:szCs w:val="18"/>
              </w:rPr>
            </w:pPr>
          </w:p>
        </w:tc>
      </w:tr>
      <w:tr w:rsidR="00E426C4" w:rsidRPr="00E05024" w14:paraId="3D634618" w14:textId="77777777" w:rsidTr="00BE6B30">
        <w:trPr>
          <w:trHeight w:val="300"/>
        </w:trPr>
        <w:tc>
          <w:tcPr>
            <w:tcW w:w="571" w:type="dxa"/>
            <w:vMerge/>
            <w:tcBorders>
              <w:top w:val="nil"/>
              <w:left w:val="single" w:sz="8" w:space="0" w:color="auto"/>
              <w:bottom w:val="single" w:sz="4" w:space="0" w:color="auto"/>
              <w:right w:val="single" w:sz="4" w:space="0" w:color="auto"/>
            </w:tcBorders>
            <w:vAlign w:val="center"/>
            <w:hideMark/>
          </w:tcPr>
          <w:p w14:paraId="35833C4C" w14:textId="77777777" w:rsidR="00E426C4" w:rsidRPr="00E05024" w:rsidRDefault="00E426C4" w:rsidP="00E426C4">
            <w:pPr>
              <w:rPr>
                <w:i/>
                <w:iCs/>
                <w:color w:val="000000"/>
                <w:sz w:val="18"/>
                <w:szCs w:val="18"/>
              </w:rPr>
            </w:pPr>
          </w:p>
        </w:tc>
        <w:tc>
          <w:tcPr>
            <w:tcW w:w="3593" w:type="dxa"/>
            <w:vMerge/>
            <w:tcBorders>
              <w:top w:val="nil"/>
              <w:left w:val="single" w:sz="4" w:space="0" w:color="auto"/>
              <w:bottom w:val="single" w:sz="4" w:space="0" w:color="auto"/>
              <w:right w:val="single" w:sz="4" w:space="0" w:color="auto"/>
            </w:tcBorders>
            <w:vAlign w:val="center"/>
            <w:hideMark/>
          </w:tcPr>
          <w:p w14:paraId="06ACF8E5" w14:textId="77777777" w:rsidR="00E426C4" w:rsidRPr="00E05024" w:rsidRDefault="00E426C4" w:rsidP="00BE6B30">
            <w:pPr>
              <w:rPr>
                <w:b/>
                <w:bCs/>
                <w:i/>
                <w:iCs/>
                <w:color w:val="000000"/>
                <w:sz w:val="16"/>
                <w:szCs w:val="16"/>
              </w:rPr>
            </w:pPr>
          </w:p>
        </w:tc>
        <w:tc>
          <w:tcPr>
            <w:tcW w:w="1286" w:type="dxa"/>
            <w:tcBorders>
              <w:top w:val="nil"/>
              <w:left w:val="nil"/>
              <w:bottom w:val="single" w:sz="4" w:space="0" w:color="auto"/>
              <w:right w:val="single" w:sz="4" w:space="0" w:color="auto"/>
            </w:tcBorders>
            <w:shd w:val="clear" w:color="000000" w:fill="E7E6E6"/>
            <w:vAlign w:val="center"/>
            <w:hideMark/>
          </w:tcPr>
          <w:p w14:paraId="34D50F08" w14:textId="7656C847" w:rsidR="00E426C4" w:rsidRPr="00E05024" w:rsidRDefault="00E426C4" w:rsidP="00327AB4">
            <w:pPr>
              <w:jc w:val="center"/>
              <w:rPr>
                <w:i/>
                <w:iCs/>
                <w:color w:val="000000"/>
                <w:sz w:val="16"/>
                <w:szCs w:val="16"/>
              </w:rPr>
            </w:pPr>
            <w:r w:rsidRPr="00E05024">
              <w:rPr>
                <w:i/>
                <w:color w:val="000000"/>
                <w:sz w:val="16"/>
              </w:rPr>
              <w:t>（预期结果</w:t>
            </w:r>
            <w:r w:rsidRPr="00E05024">
              <w:rPr>
                <w:i/>
                <w:color w:val="000000"/>
                <w:sz w:val="16"/>
              </w:rPr>
              <w:t>3</w:t>
            </w:r>
            <w:r w:rsidRPr="00E05024">
              <w:rPr>
                <w:i/>
                <w:color w:val="000000"/>
                <w:sz w:val="16"/>
              </w:rPr>
              <w:t>：（项目</w:t>
            </w:r>
            <w:r w:rsidRPr="00E05024">
              <w:rPr>
                <w:i/>
                <w:color w:val="000000"/>
                <w:sz w:val="16"/>
              </w:rPr>
              <w:t>3</w:t>
            </w:r>
            <w:r w:rsidRPr="00E05024">
              <w:rPr>
                <w:i/>
                <w:color w:val="000000"/>
                <w:sz w:val="16"/>
              </w:rPr>
              <w:t>的</w:t>
            </w:r>
            <w:r w:rsidRPr="00E05024">
              <w:rPr>
                <w:i/>
                <w:color w:val="000000"/>
                <w:sz w:val="16"/>
              </w:rPr>
              <w:t>19%</w:t>
            </w:r>
            <w:r w:rsidRPr="00E05024">
              <w:rPr>
                <w:i/>
                <w:color w:val="000000"/>
                <w:sz w:val="16"/>
              </w:rPr>
              <w:t>）</w:t>
            </w:r>
          </w:p>
        </w:tc>
        <w:tc>
          <w:tcPr>
            <w:tcW w:w="1194" w:type="dxa"/>
            <w:vMerge/>
            <w:tcBorders>
              <w:top w:val="nil"/>
              <w:left w:val="single" w:sz="4" w:space="0" w:color="auto"/>
              <w:bottom w:val="single" w:sz="4" w:space="0" w:color="auto"/>
              <w:right w:val="single" w:sz="8" w:space="0" w:color="auto"/>
            </w:tcBorders>
            <w:vAlign w:val="center"/>
            <w:hideMark/>
          </w:tcPr>
          <w:p w14:paraId="6CAE7554" w14:textId="77777777" w:rsidR="00E426C4" w:rsidRPr="00E05024" w:rsidRDefault="00E426C4" w:rsidP="00CA4765">
            <w:pPr>
              <w:jc w:val="center"/>
              <w:rPr>
                <w:i/>
                <w:iCs/>
                <w:color w:val="000000"/>
                <w:sz w:val="16"/>
                <w:szCs w:val="16"/>
              </w:rPr>
            </w:pPr>
          </w:p>
        </w:tc>
        <w:tc>
          <w:tcPr>
            <w:tcW w:w="1543" w:type="dxa"/>
            <w:vMerge/>
            <w:tcBorders>
              <w:top w:val="nil"/>
              <w:left w:val="nil"/>
              <w:bottom w:val="dashed" w:sz="4" w:space="0" w:color="auto"/>
              <w:right w:val="dashed" w:sz="4" w:space="0" w:color="auto"/>
            </w:tcBorders>
            <w:vAlign w:val="center"/>
            <w:hideMark/>
          </w:tcPr>
          <w:p w14:paraId="7BD80608" w14:textId="77777777" w:rsidR="00E426C4" w:rsidRPr="00E05024" w:rsidRDefault="00E426C4" w:rsidP="00E426C4">
            <w:pPr>
              <w:rPr>
                <w:i/>
                <w:iCs/>
                <w:color w:val="000000"/>
                <w:sz w:val="18"/>
                <w:szCs w:val="18"/>
              </w:rPr>
            </w:pPr>
          </w:p>
        </w:tc>
        <w:tc>
          <w:tcPr>
            <w:tcW w:w="1519" w:type="dxa"/>
            <w:vMerge/>
            <w:tcBorders>
              <w:top w:val="nil"/>
              <w:left w:val="dashed" w:sz="4" w:space="0" w:color="auto"/>
              <w:bottom w:val="dashed" w:sz="4" w:space="0" w:color="auto"/>
              <w:right w:val="dashed" w:sz="4" w:space="0" w:color="auto"/>
            </w:tcBorders>
            <w:vAlign w:val="center"/>
            <w:hideMark/>
          </w:tcPr>
          <w:p w14:paraId="296C5E1D" w14:textId="77777777" w:rsidR="00E426C4" w:rsidRPr="00E05024" w:rsidRDefault="00E426C4" w:rsidP="00E426C4">
            <w:pPr>
              <w:rPr>
                <w:i/>
                <w:iCs/>
                <w:color w:val="000000"/>
                <w:sz w:val="18"/>
                <w:szCs w:val="18"/>
              </w:rPr>
            </w:pPr>
          </w:p>
        </w:tc>
      </w:tr>
      <w:tr w:rsidR="00E426C4" w:rsidRPr="00E05024" w14:paraId="106B3C0C" w14:textId="77777777" w:rsidTr="00BE6B30">
        <w:trPr>
          <w:trHeight w:val="300"/>
        </w:trPr>
        <w:tc>
          <w:tcPr>
            <w:tcW w:w="571" w:type="dxa"/>
            <w:vMerge w:val="restart"/>
            <w:tcBorders>
              <w:top w:val="nil"/>
              <w:left w:val="single" w:sz="8" w:space="0" w:color="auto"/>
              <w:bottom w:val="single" w:sz="4" w:space="0" w:color="auto"/>
              <w:right w:val="single" w:sz="4" w:space="0" w:color="auto"/>
            </w:tcBorders>
            <w:shd w:val="clear" w:color="000000" w:fill="E7E6E6"/>
            <w:noWrap/>
            <w:vAlign w:val="center"/>
            <w:hideMark/>
          </w:tcPr>
          <w:p w14:paraId="2484CC1B" w14:textId="77777777" w:rsidR="00E426C4" w:rsidRPr="00E05024" w:rsidRDefault="00E426C4" w:rsidP="00E426C4">
            <w:pPr>
              <w:jc w:val="center"/>
              <w:rPr>
                <w:i/>
                <w:iCs/>
                <w:color w:val="000000"/>
                <w:sz w:val="18"/>
                <w:szCs w:val="18"/>
              </w:rPr>
            </w:pPr>
            <w:r w:rsidRPr="00E05024">
              <w:rPr>
                <w:i/>
                <w:color w:val="000000"/>
                <w:sz w:val="18"/>
              </w:rPr>
              <w:t> </w:t>
            </w:r>
          </w:p>
        </w:tc>
        <w:tc>
          <w:tcPr>
            <w:tcW w:w="3593" w:type="dxa"/>
            <w:vMerge w:val="restart"/>
            <w:tcBorders>
              <w:top w:val="nil"/>
              <w:left w:val="single" w:sz="4" w:space="0" w:color="auto"/>
              <w:bottom w:val="single" w:sz="4" w:space="0" w:color="auto"/>
              <w:right w:val="single" w:sz="4" w:space="0" w:color="auto"/>
            </w:tcBorders>
            <w:shd w:val="clear" w:color="000000" w:fill="E7E6E6"/>
            <w:vAlign w:val="center"/>
            <w:hideMark/>
          </w:tcPr>
          <w:p w14:paraId="1596E2EE" w14:textId="3D515764" w:rsidR="00E426C4" w:rsidRPr="00E05024" w:rsidRDefault="00E426C4" w:rsidP="00BE6B30">
            <w:pPr>
              <w:rPr>
                <w:b/>
                <w:bCs/>
                <w:i/>
                <w:iCs/>
                <w:color w:val="000000"/>
                <w:sz w:val="16"/>
                <w:szCs w:val="16"/>
              </w:rPr>
            </w:pPr>
            <w:r w:rsidRPr="00E05024">
              <w:rPr>
                <w:b/>
                <w:i/>
                <w:color w:val="000000"/>
                <w:sz w:val="16"/>
              </w:rPr>
              <w:t>预期结果</w:t>
            </w:r>
            <w:r w:rsidRPr="00E05024">
              <w:rPr>
                <w:b/>
                <w:i/>
                <w:color w:val="000000"/>
                <w:sz w:val="16"/>
              </w:rPr>
              <w:t>2</w:t>
            </w:r>
            <w:r w:rsidRPr="00E05024">
              <w:rPr>
                <w:b/>
                <w:i/>
                <w:color w:val="000000"/>
                <w:sz w:val="16"/>
              </w:rPr>
              <w:t>：通过加强与国际合作机制有关的监测、知识管理服务和意识提升促进对《公约》的健全治理</w:t>
            </w:r>
          </w:p>
        </w:tc>
        <w:tc>
          <w:tcPr>
            <w:tcW w:w="1286" w:type="dxa"/>
            <w:tcBorders>
              <w:top w:val="nil"/>
              <w:left w:val="nil"/>
              <w:bottom w:val="single" w:sz="4" w:space="0" w:color="auto"/>
              <w:right w:val="single" w:sz="4" w:space="0" w:color="auto"/>
            </w:tcBorders>
            <w:shd w:val="clear" w:color="000000" w:fill="E7E6E6"/>
            <w:vAlign w:val="center"/>
            <w:hideMark/>
          </w:tcPr>
          <w:p w14:paraId="588C8400" w14:textId="7A4E4027" w:rsidR="00E426C4" w:rsidRPr="00E05024" w:rsidRDefault="00E426C4" w:rsidP="00327AB4">
            <w:pPr>
              <w:jc w:val="center"/>
              <w:rPr>
                <w:i/>
                <w:iCs/>
                <w:color w:val="000000"/>
                <w:sz w:val="16"/>
                <w:szCs w:val="16"/>
              </w:rPr>
            </w:pPr>
            <w:r w:rsidRPr="00E05024">
              <w:rPr>
                <w:i/>
                <w:color w:val="000000"/>
                <w:sz w:val="16"/>
              </w:rPr>
              <w:t>5.00%</w:t>
            </w:r>
          </w:p>
        </w:tc>
        <w:tc>
          <w:tcPr>
            <w:tcW w:w="1194" w:type="dxa"/>
            <w:vMerge w:val="restart"/>
            <w:tcBorders>
              <w:top w:val="nil"/>
              <w:left w:val="single" w:sz="4" w:space="0" w:color="auto"/>
              <w:bottom w:val="single" w:sz="4" w:space="0" w:color="auto"/>
              <w:right w:val="single" w:sz="8" w:space="0" w:color="auto"/>
            </w:tcBorders>
            <w:shd w:val="clear" w:color="000000" w:fill="E7E6E6"/>
            <w:vAlign w:val="center"/>
            <w:hideMark/>
          </w:tcPr>
          <w:p w14:paraId="21B0CF0A" w14:textId="77777777" w:rsidR="00E426C4" w:rsidRPr="00E05024" w:rsidRDefault="00E426C4" w:rsidP="00327AB4">
            <w:pPr>
              <w:jc w:val="center"/>
              <w:rPr>
                <w:i/>
                <w:iCs/>
                <w:color w:val="000000"/>
                <w:sz w:val="16"/>
                <w:szCs w:val="16"/>
              </w:rPr>
            </w:pPr>
            <w:r w:rsidRPr="00E05024">
              <w:rPr>
                <w:i/>
                <w:color w:val="000000"/>
                <w:sz w:val="16"/>
              </w:rPr>
              <w:t>9.6%</w:t>
            </w:r>
          </w:p>
        </w:tc>
        <w:tc>
          <w:tcPr>
            <w:tcW w:w="1543" w:type="dxa"/>
            <w:vMerge w:val="restart"/>
            <w:tcBorders>
              <w:top w:val="nil"/>
              <w:left w:val="nil"/>
              <w:bottom w:val="dashed" w:sz="4" w:space="0" w:color="auto"/>
              <w:right w:val="dashed" w:sz="4" w:space="0" w:color="auto"/>
            </w:tcBorders>
            <w:shd w:val="clear" w:color="000000" w:fill="E7E6E6"/>
            <w:vAlign w:val="center"/>
            <w:hideMark/>
          </w:tcPr>
          <w:p w14:paraId="170380B6" w14:textId="77777777" w:rsidR="00E426C4" w:rsidRPr="00E05024" w:rsidRDefault="00E426C4" w:rsidP="00E426C4">
            <w:pPr>
              <w:jc w:val="center"/>
              <w:rPr>
                <w:i/>
                <w:iCs/>
                <w:color w:val="000000"/>
                <w:sz w:val="18"/>
                <w:szCs w:val="18"/>
              </w:rPr>
            </w:pPr>
            <w:r w:rsidRPr="00E05024">
              <w:rPr>
                <w:i/>
                <w:color w:val="000000"/>
                <w:sz w:val="18"/>
              </w:rPr>
              <w:t>$786 199</w:t>
            </w:r>
          </w:p>
        </w:tc>
        <w:tc>
          <w:tcPr>
            <w:tcW w:w="1519" w:type="dxa"/>
            <w:vMerge w:val="restart"/>
            <w:tcBorders>
              <w:top w:val="nil"/>
              <w:left w:val="dashed" w:sz="4" w:space="0" w:color="auto"/>
              <w:bottom w:val="dashed" w:sz="4" w:space="0" w:color="auto"/>
              <w:right w:val="dashed" w:sz="4" w:space="0" w:color="auto"/>
            </w:tcBorders>
            <w:shd w:val="clear" w:color="000000" w:fill="E7E6E6"/>
            <w:vAlign w:val="center"/>
            <w:hideMark/>
          </w:tcPr>
          <w:p w14:paraId="7C6D83EE" w14:textId="77777777" w:rsidR="00E426C4" w:rsidRPr="00E05024" w:rsidRDefault="00E426C4" w:rsidP="00E426C4">
            <w:pPr>
              <w:jc w:val="center"/>
              <w:rPr>
                <w:i/>
                <w:iCs/>
                <w:color w:val="000000"/>
                <w:sz w:val="18"/>
                <w:szCs w:val="18"/>
              </w:rPr>
            </w:pPr>
            <w:r w:rsidRPr="00E05024">
              <w:rPr>
                <w:i/>
                <w:color w:val="000000"/>
                <w:sz w:val="18"/>
              </w:rPr>
              <w:t>$196 550</w:t>
            </w:r>
          </w:p>
        </w:tc>
      </w:tr>
      <w:tr w:rsidR="00E426C4" w:rsidRPr="00E05024" w14:paraId="6AAA0BDB" w14:textId="77777777" w:rsidTr="00CA4765">
        <w:trPr>
          <w:trHeight w:val="300"/>
        </w:trPr>
        <w:tc>
          <w:tcPr>
            <w:tcW w:w="571" w:type="dxa"/>
            <w:vMerge/>
            <w:tcBorders>
              <w:top w:val="nil"/>
              <w:left w:val="single" w:sz="8" w:space="0" w:color="auto"/>
              <w:bottom w:val="single" w:sz="4" w:space="0" w:color="auto"/>
              <w:right w:val="single" w:sz="4" w:space="0" w:color="auto"/>
            </w:tcBorders>
            <w:vAlign w:val="center"/>
            <w:hideMark/>
          </w:tcPr>
          <w:p w14:paraId="7CEB5220" w14:textId="77777777" w:rsidR="00E426C4" w:rsidRPr="00E05024" w:rsidRDefault="00E426C4" w:rsidP="00E426C4">
            <w:pPr>
              <w:rPr>
                <w:i/>
                <w:iCs/>
                <w:color w:val="000000"/>
                <w:sz w:val="18"/>
                <w:szCs w:val="18"/>
              </w:rPr>
            </w:pPr>
          </w:p>
        </w:tc>
        <w:tc>
          <w:tcPr>
            <w:tcW w:w="3593" w:type="dxa"/>
            <w:vMerge/>
            <w:tcBorders>
              <w:top w:val="nil"/>
              <w:left w:val="single" w:sz="4" w:space="0" w:color="auto"/>
              <w:bottom w:val="single" w:sz="4" w:space="0" w:color="auto"/>
              <w:right w:val="single" w:sz="4" w:space="0" w:color="auto"/>
            </w:tcBorders>
            <w:vAlign w:val="center"/>
            <w:hideMark/>
          </w:tcPr>
          <w:p w14:paraId="6ABA978C" w14:textId="77777777" w:rsidR="00E426C4" w:rsidRPr="00E05024" w:rsidRDefault="00E426C4" w:rsidP="00E426C4">
            <w:pPr>
              <w:rPr>
                <w:b/>
                <w:bCs/>
                <w:i/>
                <w:iCs/>
                <w:color w:val="000000"/>
                <w:sz w:val="16"/>
                <w:szCs w:val="16"/>
              </w:rPr>
            </w:pPr>
          </w:p>
        </w:tc>
        <w:tc>
          <w:tcPr>
            <w:tcW w:w="1286" w:type="dxa"/>
            <w:tcBorders>
              <w:top w:val="nil"/>
              <w:left w:val="nil"/>
              <w:bottom w:val="single" w:sz="4" w:space="0" w:color="auto"/>
              <w:right w:val="single" w:sz="4" w:space="0" w:color="auto"/>
            </w:tcBorders>
            <w:shd w:val="clear" w:color="000000" w:fill="E7E6E6"/>
            <w:vAlign w:val="center"/>
            <w:hideMark/>
          </w:tcPr>
          <w:p w14:paraId="1354D4DE" w14:textId="27001BD2" w:rsidR="00E426C4" w:rsidRPr="00E05024" w:rsidRDefault="00E426C4" w:rsidP="00327AB4">
            <w:pPr>
              <w:jc w:val="center"/>
              <w:rPr>
                <w:i/>
                <w:iCs/>
                <w:color w:val="000000"/>
                <w:sz w:val="16"/>
                <w:szCs w:val="16"/>
              </w:rPr>
            </w:pPr>
            <w:r w:rsidRPr="00E05024">
              <w:rPr>
                <w:i/>
                <w:color w:val="000000"/>
                <w:sz w:val="16"/>
              </w:rPr>
              <w:t>（预期结果</w:t>
            </w:r>
            <w:r w:rsidRPr="00E05024">
              <w:rPr>
                <w:i/>
                <w:color w:val="000000"/>
                <w:sz w:val="16"/>
              </w:rPr>
              <w:t>1</w:t>
            </w:r>
            <w:r w:rsidRPr="00E05024">
              <w:rPr>
                <w:i/>
                <w:color w:val="000000"/>
                <w:sz w:val="16"/>
              </w:rPr>
              <w:t>：（项目</w:t>
            </w:r>
            <w:r w:rsidRPr="00E05024">
              <w:rPr>
                <w:i/>
                <w:color w:val="000000"/>
                <w:sz w:val="16"/>
              </w:rPr>
              <w:t>3</w:t>
            </w:r>
            <w:r w:rsidRPr="00E05024">
              <w:rPr>
                <w:i/>
                <w:color w:val="000000"/>
                <w:sz w:val="16"/>
              </w:rPr>
              <w:t>的</w:t>
            </w:r>
            <w:r w:rsidRPr="00E05024">
              <w:rPr>
                <w:i/>
                <w:color w:val="000000"/>
                <w:sz w:val="16"/>
              </w:rPr>
              <w:t>25%</w:t>
            </w:r>
            <w:r w:rsidRPr="00E05024">
              <w:rPr>
                <w:i/>
                <w:color w:val="000000"/>
                <w:sz w:val="16"/>
              </w:rPr>
              <w:t>）</w:t>
            </w:r>
          </w:p>
        </w:tc>
        <w:tc>
          <w:tcPr>
            <w:tcW w:w="1194" w:type="dxa"/>
            <w:vMerge/>
            <w:tcBorders>
              <w:top w:val="nil"/>
              <w:left w:val="single" w:sz="4" w:space="0" w:color="auto"/>
              <w:bottom w:val="single" w:sz="4" w:space="0" w:color="auto"/>
              <w:right w:val="single" w:sz="8" w:space="0" w:color="auto"/>
            </w:tcBorders>
            <w:vAlign w:val="center"/>
            <w:hideMark/>
          </w:tcPr>
          <w:p w14:paraId="3876F78E" w14:textId="77777777" w:rsidR="00E426C4" w:rsidRPr="00E05024" w:rsidRDefault="00E426C4" w:rsidP="00CA4765">
            <w:pPr>
              <w:jc w:val="center"/>
              <w:rPr>
                <w:i/>
                <w:iCs/>
                <w:color w:val="000000"/>
                <w:sz w:val="16"/>
                <w:szCs w:val="16"/>
              </w:rPr>
            </w:pPr>
          </w:p>
        </w:tc>
        <w:tc>
          <w:tcPr>
            <w:tcW w:w="1543" w:type="dxa"/>
            <w:vMerge/>
            <w:tcBorders>
              <w:top w:val="nil"/>
              <w:left w:val="nil"/>
              <w:bottom w:val="dashed" w:sz="4" w:space="0" w:color="auto"/>
              <w:right w:val="dashed" w:sz="4" w:space="0" w:color="auto"/>
            </w:tcBorders>
            <w:vAlign w:val="center"/>
            <w:hideMark/>
          </w:tcPr>
          <w:p w14:paraId="4703D130" w14:textId="77777777" w:rsidR="00E426C4" w:rsidRPr="00E05024" w:rsidRDefault="00E426C4" w:rsidP="00E426C4">
            <w:pPr>
              <w:rPr>
                <w:i/>
                <w:iCs/>
                <w:color w:val="000000"/>
                <w:sz w:val="18"/>
                <w:szCs w:val="18"/>
              </w:rPr>
            </w:pPr>
          </w:p>
        </w:tc>
        <w:tc>
          <w:tcPr>
            <w:tcW w:w="1519" w:type="dxa"/>
            <w:vMerge/>
            <w:tcBorders>
              <w:top w:val="nil"/>
              <w:left w:val="dashed" w:sz="4" w:space="0" w:color="auto"/>
              <w:bottom w:val="dashed" w:sz="4" w:space="0" w:color="auto"/>
              <w:right w:val="dashed" w:sz="4" w:space="0" w:color="auto"/>
            </w:tcBorders>
            <w:vAlign w:val="center"/>
            <w:hideMark/>
          </w:tcPr>
          <w:p w14:paraId="787CE6AA" w14:textId="77777777" w:rsidR="00E426C4" w:rsidRPr="00E05024" w:rsidRDefault="00E426C4" w:rsidP="00E426C4">
            <w:pPr>
              <w:rPr>
                <w:i/>
                <w:iCs/>
                <w:color w:val="000000"/>
                <w:sz w:val="18"/>
                <w:szCs w:val="18"/>
              </w:rPr>
            </w:pPr>
          </w:p>
        </w:tc>
      </w:tr>
      <w:tr w:rsidR="00E426C4" w:rsidRPr="00E05024" w14:paraId="2D9B9EBE" w14:textId="77777777" w:rsidTr="00CA4765">
        <w:trPr>
          <w:trHeight w:val="300"/>
        </w:trPr>
        <w:tc>
          <w:tcPr>
            <w:tcW w:w="571" w:type="dxa"/>
            <w:vMerge/>
            <w:tcBorders>
              <w:top w:val="nil"/>
              <w:left w:val="single" w:sz="8" w:space="0" w:color="auto"/>
              <w:bottom w:val="single" w:sz="4" w:space="0" w:color="auto"/>
              <w:right w:val="single" w:sz="4" w:space="0" w:color="auto"/>
            </w:tcBorders>
            <w:vAlign w:val="center"/>
            <w:hideMark/>
          </w:tcPr>
          <w:p w14:paraId="1895B364" w14:textId="77777777" w:rsidR="00E426C4" w:rsidRPr="00E05024" w:rsidRDefault="00E426C4" w:rsidP="00E426C4">
            <w:pPr>
              <w:rPr>
                <w:i/>
                <w:iCs/>
                <w:color w:val="000000"/>
                <w:sz w:val="18"/>
                <w:szCs w:val="18"/>
              </w:rPr>
            </w:pPr>
          </w:p>
        </w:tc>
        <w:tc>
          <w:tcPr>
            <w:tcW w:w="3593" w:type="dxa"/>
            <w:vMerge/>
            <w:tcBorders>
              <w:top w:val="nil"/>
              <w:left w:val="single" w:sz="4" w:space="0" w:color="auto"/>
              <w:bottom w:val="single" w:sz="4" w:space="0" w:color="auto"/>
              <w:right w:val="single" w:sz="4" w:space="0" w:color="auto"/>
            </w:tcBorders>
            <w:vAlign w:val="center"/>
            <w:hideMark/>
          </w:tcPr>
          <w:p w14:paraId="420FCD35" w14:textId="77777777" w:rsidR="00E426C4" w:rsidRPr="00E05024" w:rsidRDefault="00E426C4" w:rsidP="00E426C4">
            <w:pPr>
              <w:rPr>
                <w:b/>
                <w:bCs/>
                <w:i/>
                <w:iCs/>
                <w:color w:val="000000"/>
                <w:sz w:val="16"/>
                <w:szCs w:val="16"/>
              </w:rPr>
            </w:pPr>
          </w:p>
        </w:tc>
        <w:tc>
          <w:tcPr>
            <w:tcW w:w="1286" w:type="dxa"/>
            <w:tcBorders>
              <w:top w:val="nil"/>
              <w:left w:val="nil"/>
              <w:bottom w:val="single" w:sz="4" w:space="0" w:color="auto"/>
              <w:right w:val="single" w:sz="4" w:space="0" w:color="auto"/>
            </w:tcBorders>
            <w:shd w:val="clear" w:color="000000" w:fill="E7E6E6"/>
            <w:vAlign w:val="center"/>
            <w:hideMark/>
          </w:tcPr>
          <w:p w14:paraId="734047D6" w14:textId="4A38004F" w:rsidR="00E426C4" w:rsidRPr="00E05024" w:rsidRDefault="00E426C4" w:rsidP="00327AB4">
            <w:pPr>
              <w:jc w:val="center"/>
              <w:rPr>
                <w:i/>
                <w:iCs/>
                <w:color w:val="000000"/>
                <w:sz w:val="16"/>
                <w:szCs w:val="16"/>
              </w:rPr>
            </w:pPr>
            <w:r w:rsidRPr="00E05024">
              <w:rPr>
                <w:i/>
                <w:color w:val="000000"/>
                <w:sz w:val="16"/>
              </w:rPr>
              <w:t>4.70%</w:t>
            </w:r>
          </w:p>
        </w:tc>
        <w:tc>
          <w:tcPr>
            <w:tcW w:w="1194" w:type="dxa"/>
            <w:vMerge w:val="restart"/>
            <w:tcBorders>
              <w:top w:val="nil"/>
              <w:left w:val="single" w:sz="4" w:space="0" w:color="auto"/>
              <w:bottom w:val="single" w:sz="4" w:space="0" w:color="auto"/>
              <w:right w:val="single" w:sz="8" w:space="0" w:color="auto"/>
            </w:tcBorders>
            <w:shd w:val="clear" w:color="000000" w:fill="E7E6E6"/>
            <w:vAlign w:val="center"/>
            <w:hideMark/>
          </w:tcPr>
          <w:p w14:paraId="0410D7EE" w14:textId="77777777" w:rsidR="00E426C4" w:rsidRPr="00E05024" w:rsidRDefault="00E426C4" w:rsidP="00327AB4">
            <w:pPr>
              <w:jc w:val="center"/>
              <w:rPr>
                <w:i/>
                <w:iCs/>
                <w:color w:val="000000"/>
                <w:sz w:val="16"/>
                <w:szCs w:val="16"/>
              </w:rPr>
            </w:pPr>
            <w:r w:rsidRPr="00E05024">
              <w:rPr>
                <w:i/>
                <w:color w:val="000000"/>
                <w:sz w:val="16"/>
              </w:rPr>
              <w:t>（项目</w:t>
            </w:r>
            <w:r w:rsidRPr="00E05024">
              <w:rPr>
                <w:i/>
                <w:color w:val="000000"/>
                <w:sz w:val="16"/>
              </w:rPr>
              <w:t>3</w:t>
            </w:r>
            <w:r w:rsidRPr="00E05024">
              <w:rPr>
                <w:i/>
                <w:color w:val="000000"/>
                <w:sz w:val="16"/>
              </w:rPr>
              <w:t>的</w:t>
            </w:r>
            <w:r w:rsidRPr="00E05024">
              <w:rPr>
                <w:i/>
                <w:color w:val="000000"/>
                <w:sz w:val="16"/>
              </w:rPr>
              <w:t>48%</w:t>
            </w:r>
            <w:r w:rsidRPr="00E05024">
              <w:rPr>
                <w:i/>
                <w:color w:val="000000"/>
                <w:sz w:val="16"/>
              </w:rPr>
              <w:t>）</w:t>
            </w:r>
          </w:p>
        </w:tc>
        <w:tc>
          <w:tcPr>
            <w:tcW w:w="1543" w:type="dxa"/>
            <w:vMerge/>
            <w:tcBorders>
              <w:top w:val="nil"/>
              <w:left w:val="nil"/>
              <w:bottom w:val="dashed" w:sz="4" w:space="0" w:color="auto"/>
              <w:right w:val="dashed" w:sz="4" w:space="0" w:color="auto"/>
            </w:tcBorders>
            <w:vAlign w:val="center"/>
            <w:hideMark/>
          </w:tcPr>
          <w:p w14:paraId="15386A41" w14:textId="77777777" w:rsidR="00E426C4" w:rsidRPr="00E05024" w:rsidRDefault="00E426C4" w:rsidP="00E426C4">
            <w:pPr>
              <w:rPr>
                <w:i/>
                <w:iCs/>
                <w:color w:val="000000"/>
                <w:sz w:val="18"/>
                <w:szCs w:val="18"/>
              </w:rPr>
            </w:pPr>
          </w:p>
        </w:tc>
        <w:tc>
          <w:tcPr>
            <w:tcW w:w="1519" w:type="dxa"/>
            <w:vMerge/>
            <w:tcBorders>
              <w:top w:val="nil"/>
              <w:left w:val="dashed" w:sz="4" w:space="0" w:color="auto"/>
              <w:bottom w:val="dashed" w:sz="4" w:space="0" w:color="auto"/>
              <w:right w:val="dashed" w:sz="4" w:space="0" w:color="auto"/>
            </w:tcBorders>
            <w:vAlign w:val="center"/>
            <w:hideMark/>
          </w:tcPr>
          <w:p w14:paraId="3050FA35" w14:textId="77777777" w:rsidR="00E426C4" w:rsidRPr="00E05024" w:rsidRDefault="00E426C4" w:rsidP="00E426C4">
            <w:pPr>
              <w:rPr>
                <w:i/>
                <w:iCs/>
                <w:color w:val="000000"/>
                <w:sz w:val="18"/>
                <w:szCs w:val="18"/>
              </w:rPr>
            </w:pPr>
          </w:p>
        </w:tc>
      </w:tr>
      <w:tr w:rsidR="00E426C4" w:rsidRPr="00E05024" w14:paraId="748754C1" w14:textId="77777777" w:rsidTr="00027E63">
        <w:trPr>
          <w:trHeight w:val="300"/>
        </w:trPr>
        <w:tc>
          <w:tcPr>
            <w:tcW w:w="571" w:type="dxa"/>
            <w:vMerge/>
            <w:tcBorders>
              <w:top w:val="nil"/>
              <w:left w:val="single" w:sz="8" w:space="0" w:color="auto"/>
              <w:bottom w:val="single" w:sz="4" w:space="0" w:color="auto"/>
              <w:right w:val="single" w:sz="4" w:space="0" w:color="auto"/>
            </w:tcBorders>
            <w:vAlign w:val="center"/>
            <w:hideMark/>
          </w:tcPr>
          <w:p w14:paraId="4625B08C" w14:textId="77777777" w:rsidR="00E426C4" w:rsidRPr="00E05024" w:rsidRDefault="00E426C4" w:rsidP="00E426C4">
            <w:pPr>
              <w:rPr>
                <w:i/>
                <w:iCs/>
                <w:color w:val="000000"/>
                <w:sz w:val="18"/>
                <w:szCs w:val="18"/>
              </w:rPr>
            </w:pPr>
          </w:p>
        </w:tc>
        <w:tc>
          <w:tcPr>
            <w:tcW w:w="3593" w:type="dxa"/>
            <w:vMerge/>
            <w:tcBorders>
              <w:top w:val="nil"/>
              <w:left w:val="single" w:sz="4" w:space="0" w:color="auto"/>
              <w:bottom w:val="single" w:sz="4" w:space="0" w:color="auto"/>
              <w:right w:val="single" w:sz="4" w:space="0" w:color="auto"/>
            </w:tcBorders>
            <w:vAlign w:val="center"/>
            <w:hideMark/>
          </w:tcPr>
          <w:p w14:paraId="2EF2B650" w14:textId="77777777" w:rsidR="00E426C4" w:rsidRPr="00E05024" w:rsidRDefault="00E426C4" w:rsidP="00E426C4">
            <w:pPr>
              <w:rPr>
                <w:b/>
                <w:bCs/>
                <w:i/>
                <w:iCs/>
                <w:color w:val="000000"/>
                <w:sz w:val="16"/>
                <w:szCs w:val="16"/>
              </w:rPr>
            </w:pPr>
          </w:p>
        </w:tc>
        <w:tc>
          <w:tcPr>
            <w:tcW w:w="1286" w:type="dxa"/>
            <w:tcBorders>
              <w:top w:val="nil"/>
              <w:left w:val="nil"/>
              <w:bottom w:val="single" w:sz="4" w:space="0" w:color="auto"/>
              <w:right w:val="single" w:sz="4" w:space="0" w:color="auto"/>
            </w:tcBorders>
            <w:shd w:val="clear" w:color="000000" w:fill="E7E6E6"/>
            <w:hideMark/>
          </w:tcPr>
          <w:p w14:paraId="3048F188" w14:textId="6170B94E" w:rsidR="00E426C4" w:rsidRPr="00E05024" w:rsidRDefault="00E426C4" w:rsidP="00E426C4">
            <w:pPr>
              <w:jc w:val="center"/>
              <w:rPr>
                <w:i/>
                <w:iCs/>
                <w:color w:val="000000"/>
                <w:sz w:val="16"/>
                <w:szCs w:val="16"/>
              </w:rPr>
            </w:pPr>
            <w:r w:rsidRPr="00E05024">
              <w:rPr>
                <w:i/>
                <w:color w:val="000000"/>
                <w:sz w:val="16"/>
              </w:rPr>
              <w:t>（预期结果</w:t>
            </w:r>
            <w:r w:rsidRPr="00E05024">
              <w:rPr>
                <w:i/>
                <w:color w:val="000000"/>
                <w:sz w:val="16"/>
              </w:rPr>
              <w:t>4</w:t>
            </w:r>
            <w:r w:rsidRPr="00E05024">
              <w:rPr>
                <w:i/>
                <w:color w:val="000000"/>
                <w:sz w:val="16"/>
              </w:rPr>
              <w:t>：（项目</w:t>
            </w:r>
            <w:r w:rsidRPr="00E05024">
              <w:rPr>
                <w:i/>
                <w:color w:val="000000"/>
                <w:sz w:val="16"/>
              </w:rPr>
              <w:t>3</w:t>
            </w:r>
            <w:r w:rsidRPr="00E05024">
              <w:rPr>
                <w:i/>
                <w:color w:val="000000"/>
                <w:sz w:val="16"/>
              </w:rPr>
              <w:t>的</w:t>
            </w:r>
            <w:r w:rsidRPr="00E05024">
              <w:rPr>
                <w:i/>
                <w:color w:val="000000"/>
                <w:sz w:val="16"/>
              </w:rPr>
              <w:t>23%</w:t>
            </w:r>
            <w:r w:rsidRPr="00E05024">
              <w:rPr>
                <w:i/>
                <w:color w:val="000000"/>
                <w:sz w:val="16"/>
              </w:rPr>
              <w:t>）</w:t>
            </w:r>
          </w:p>
        </w:tc>
        <w:tc>
          <w:tcPr>
            <w:tcW w:w="1194" w:type="dxa"/>
            <w:vMerge/>
            <w:tcBorders>
              <w:top w:val="nil"/>
              <w:left w:val="single" w:sz="4" w:space="0" w:color="auto"/>
              <w:bottom w:val="single" w:sz="4" w:space="0" w:color="auto"/>
              <w:right w:val="single" w:sz="8" w:space="0" w:color="auto"/>
            </w:tcBorders>
            <w:vAlign w:val="center"/>
            <w:hideMark/>
          </w:tcPr>
          <w:p w14:paraId="7966B968" w14:textId="77777777" w:rsidR="00E426C4" w:rsidRPr="00E05024" w:rsidRDefault="00E426C4" w:rsidP="00E426C4">
            <w:pPr>
              <w:rPr>
                <w:i/>
                <w:iCs/>
                <w:color w:val="000000"/>
                <w:sz w:val="16"/>
                <w:szCs w:val="16"/>
              </w:rPr>
            </w:pPr>
          </w:p>
        </w:tc>
        <w:tc>
          <w:tcPr>
            <w:tcW w:w="1543" w:type="dxa"/>
            <w:vMerge/>
            <w:tcBorders>
              <w:top w:val="nil"/>
              <w:left w:val="nil"/>
              <w:bottom w:val="dashed" w:sz="4" w:space="0" w:color="auto"/>
              <w:right w:val="dashed" w:sz="4" w:space="0" w:color="auto"/>
            </w:tcBorders>
            <w:vAlign w:val="center"/>
            <w:hideMark/>
          </w:tcPr>
          <w:p w14:paraId="74E3C42A" w14:textId="77777777" w:rsidR="00E426C4" w:rsidRPr="00E05024" w:rsidRDefault="00E426C4" w:rsidP="00E426C4">
            <w:pPr>
              <w:rPr>
                <w:i/>
                <w:iCs/>
                <w:color w:val="000000"/>
                <w:sz w:val="18"/>
                <w:szCs w:val="18"/>
              </w:rPr>
            </w:pPr>
          </w:p>
        </w:tc>
        <w:tc>
          <w:tcPr>
            <w:tcW w:w="1519" w:type="dxa"/>
            <w:vMerge/>
            <w:tcBorders>
              <w:top w:val="nil"/>
              <w:left w:val="dashed" w:sz="4" w:space="0" w:color="auto"/>
              <w:bottom w:val="dashed" w:sz="4" w:space="0" w:color="auto"/>
              <w:right w:val="dashed" w:sz="4" w:space="0" w:color="auto"/>
            </w:tcBorders>
            <w:vAlign w:val="center"/>
            <w:hideMark/>
          </w:tcPr>
          <w:p w14:paraId="60E962FC" w14:textId="77777777" w:rsidR="00E426C4" w:rsidRPr="00E05024" w:rsidRDefault="00E426C4" w:rsidP="00E426C4">
            <w:pPr>
              <w:rPr>
                <w:i/>
                <w:iCs/>
                <w:color w:val="000000"/>
                <w:sz w:val="18"/>
                <w:szCs w:val="18"/>
              </w:rPr>
            </w:pPr>
          </w:p>
        </w:tc>
      </w:tr>
      <w:tr w:rsidR="00863A53" w:rsidRPr="00E05024" w14:paraId="306C9533" w14:textId="77777777" w:rsidTr="00027E63">
        <w:trPr>
          <w:trHeight w:val="1263"/>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06CB6FF2" w14:textId="77777777" w:rsidR="00863A53" w:rsidRPr="00E05024" w:rsidRDefault="00863A53">
            <w:pPr>
              <w:ind w:firstLineChars="100" w:firstLine="180"/>
              <w:rPr>
                <w:color w:val="000000"/>
                <w:sz w:val="18"/>
                <w:szCs w:val="18"/>
              </w:rPr>
            </w:pPr>
            <w:r w:rsidRPr="00E05024">
              <w:rPr>
                <w:color w:val="000000"/>
                <w:sz w:val="18"/>
              </w:rPr>
              <w:t>4.</w:t>
            </w:r>
          </w:p>
        </w:tc>
        <w:tc>
          <w:tcPr>
            <w:tcW w:w="3593" w:type="dxa"/>
            <w:tcBorders>
              <w:top w:val="nil"/>
              <w:left w:val="nil"/>
              <w:bottom w:val="single" w:sz="4" w:space="0" w:color="auto"/>
              <w:right w:val="single" w:sz="4" w:space="0" w:color="auto"/>
            </w:tcBorders>
            <w:shd w:val="clear" w:color="auto" w:fill="auto"/>
            <w:vAlign w:val="center"/>
            <w:hideMark/>
          </w:tcPr>
          <w:p w14:paraId="459245E5" w14:textId="77777777" w:rsidR="00863A53" w:rsidRPr="00E05024" w:rsidRDefault="00863A53" w:rsidP="00863A53">
            <w:pPr>
              <w:rPr>
                <w:color w:val="000000"/>
                <w:sz w:val="18"/>
                <w:szCs w:val="18"/>
              </w:rPr>
            </w:pPr>
            <w:r w:rsidRPr="00E05024">
              <w:rPr>
                <w:color w:val="000000"/>
                <w:sz w:val="18"/>
              </w:rPr>
              <w:t>代表发展中国家并且是委员会成员的非物质文化遗产专家参加委员会、其主席团和附属机构的会议；</w:t>
            </w:r>
          </w:p>
        </w:tc>
        <w:tc>
          <w:tcPr>
            <w:tcW w:w="1286" w:type="dxa"/>
            <w:tcBorders>
              <w:top w:val="nil"/>
              <w:left w:val="nil"/>
              <w:bottom w:val="single" w:sz="4" w:space="0" w:color="auto"/>
              <w:right w:val="single" w:sz="4" w:space="0" w:color="auto"/>
            </w:tcBorders>
            <w:shd w:val="clear" w:color="auto" w:fill="auto"/>
            <w:vAlign w:val="center"/>
            <w:hideMark/>
          </w:tcPr>
          <w:p w14:paraId="179037C3" w14:textId="77777777" w:rsidR="00863A53" w:rsidRPr="00E05024" w:rsidRDefault="00863A53">
            <w:pPr>
              <w:jc w:val="center"/>
              <w:rPr>
                <w:color w:val="000000"/>
                <w:sz w:val="18"/>
                <w:szCs w:val="18"/>
              </w:rPr>
            </w:pPr>
            <w:r w:rsidRPr="00E05024">
              <w:rPr>
                <w:color w:val="000000"/>
                <w:sz w:val="18"/>
              </w:rPr>
              <w:t>3.10%</w:t>
            </w:r>
          </w:p>
        </w:tc>
        <w:tc>
          <w:tcPr>
            <w:tcW w:w="1194" w:type="dxa"/>
            <w:tcBorders>
              <w:top w:val="nil"/>
              <w:left w:val="nil"/>
              <w:bottom w:val="single" w:sz="4" w:space="0" w:color="auto"/>
              <w:right w:val="single" w:sz="8" w:space="0" w:color="auto"/>
            </w:tcBorders>
            <w:shd w:val="clear" w:color="auto" w:fill="auto"/>
            <w:vAlign w:val="center"/>
            <w:hideMark/>
          </w:tcPr>
          <w:p w14:paraId="12B7F7F4" w14:textId="77777777" w:rsidR="00863A53" w:rsidRPr="00E05024" w:rsidRDefault="00863A53">
            <w:pPr>
              <w:jc w:val="center"/>
              <w:rPr>
                <w:color w:val="000000"/>
                <w:sz w:val="18"/>
                <w:szCs w:val="18"/>
              </w:rPr>
            </w:pPr>
            <w:r w:rsidRPr="00E05024">
              <w:rPr>
                <w:color w:val="000000"/>
                <w:sz w:val="18"/>
              </w:rPr>
              <w:t>2.50%</w:t>
            </w:r>
          </w:p>
        </w:tc>
        <w:tc>
          <w:tcPr>
            <w:tcW w:w="1543" w:type="dxa"/>
            <w:tcBorders>
              <w:top w:val="nil"/>
              <w:left w:val="nil"/>
              <w:bottom w:val="dashed" w:sz="4" w:space="0" w:color="auto"/>
              <w:right w:val="dashed" w:sz="4" w:space="0" w:color="auto"/>
            </w:tcBorders>
            <w:shd w:val="clear" w:color="auto" w:fill="auto"/>
            <w:vAlign w:val="center"/>
            <w:hideMark/>
          </w:tcPr>
          <w:p w14:paraId="36B00363" w14:textId="77777777" w:rsidR="00863A53" w:rsidRPr="00E05024" w:rsidRDefault="00863A53">
            <w:pPr>
              <w:jc w:val="center"/>
              <w:rPr>
                <w:i/>
                <w:iCs/>
                <w:color w:val="000000"/>
                <w:sz w:val="18"/>
                <w:szCs w:val="18"/>
              </w:rPr>
            </w:pPr>
            <w:r w:rsidRPr="00E05024">
              <w:rPr>
                <w:i/>
                <w:color w:val="000000"/>
                <w:sz w:val="18"/>
              </w:rPr>
              <w:t>$204 739</w:t>
            </w:r>
          </w:p>
        </w:tc>
        <w:tc>
          <w:tcPr>
            <w:tcW w:w="1519" w:type="dxa"/>
            <w:tcBorders>
              <w:top w:val="nil"/>
              <w:left w:val="nil"/>
              <w:bottom w:val="dashed" w:sz="4" w:space="0" w:color="auto"/>
              <w:right w:val="dashed" w:sz="4" w:space="0" w:color="auto"/>
            </w:tcBorders>
            <w:shd w:val="clear" w:color="auto" w:fill="auto"/>
            <w:vAlign w:val="center"/>
            <w:hideMark/>
          </w:tcPr>
          <w:p w14:paraId="197ECC34" w14:textId="77777777" w:rsidR="00863A53" w:rsidRPr="00E05024" w:rsidRDefault="00863A53">
            <w:pPr>
              <w:jc w:val="center"/>
              <w:rPr>
                <w:i/>
                <w:iCs/>
                <w:color w:val="000000"/>
                <w:sz w:val="18"/>
                <w:szCs w:val="18"/>
              </w:rPr>
            </w:pPr>
            <w:r w:rsidRPr="00E05024">
              <w:rPr>
                <w:i/>
                <w:color w:val="000000"/>
                <w:sz w:val="18"/>
              </w:rPr>
              <w:t>$51 185</w:t>
            </w:r>
          </w:p>
        </w:tc>
      </w:tr>
      <w:tr w:rsidR="00863A53" w:rsidRPr="00E05024" w14:paraId="58423D6C" w14:textId="77777777" w:rsidTr="00027E63">
        <w:trPr>
          <w:trHeight w:val="1248"/>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50A482BE" w14:textId="77777777" w:rsidR="00863A53" w:rsidRPr="00E05024" w:rsidRDefault="00863A53">
            <w:pPr>
              <w:ind w:firstLineChars="100" w:firstLine="180"/>
              <w:rPr>
                <w:color w:val="000000"/>
                <w:sz w:val="18"/>
                <w:szCs w:val="18"/>
              </w:rPr>
            </w:pPr>
            <w:r w:rsidRPr="00E05024">
              <w:rPr>
                <w:color w:val="000000"/>
                <w:sz w:val="18"/>
              </w:rPr>
              <w:lastRenderedPageBreak/>
              <w:t>5.</w:t>
            </w:r>
          </w:p>
        </w:tc>
        <w:tc>
          <w:tcPr>
            <w:tcW w:w="3593" w:type="dxa"/>
            <w:tcBorders>
              <w:top w:val="nil"/>
              <w:left w:val="nil"/>
              <w:bottom w:val="single" w:sz="4" w:space="0" w:color="auto"/>
              <w:right w:val="single" w:sz="4" w:space="0" w:color="auto"/>
            </w:tcBorders>
            <w:shd w:val="clear" w:color="auto" w:fill="auto"/>
            <w:vAlign w:val="center"/>
            <w:hideMark/>
          </w:tcPr>
          <w:p w14:paraId="52389C39" w14:textId="77777777" w:rsidR="00863A53" w:rsidRPr="00E05024" w:rsidRDefault="00863A53" w:rsidP="00863A53">
            <w:pPr>
              <w:rPr>
                <w:color w:val="000000"/>
                <w:sz w:val="18"/>
                <w:szCs w:val="18"/>
              </w:rPr>
            </w:pPr>
            <w:r w:rsidRPr="00E05024">
              <w:rPr>
                <w:color w:val="000000"/>
                <w:sz w:val="18"/>
              </w:rPr>
              <w:t>代表《公约》缔约国中发展中国家但不是委员会成员的非物质文化遗产专家参加委员会及其磋商机构的会议；</w:t>
            </w:r>
          </w:p>
        </w:tc>
        <w:tc>
          <w:tcPr>
            <w:tcW w:w="1286" w:type="dxa"/>
            <w:tcBorders>
              <w:top w:val="nil"/>
              <w:left w:val="nil"/>
              <w:bottom w:val="single" w:sz="4" w:space="0" w:color="auto"/>
              <w:right w:val="single" w:sz="4" w:space="0" w:color="auto"/>
            </w:tcBorders>
            <w:shd w:val="clear" w:color="auto" w:fill="auto"/>
            <w:vAlign w:val="center"/>
            <w:hideMark/>
          </w:tcPr>
          <w:p w14:paraId="60CE1172" w14:textId="77777777" w:rsidR="00863A53" w:rsidRPr="00E05024" w:rsidRDefault="00863A53">
            <w:pPr>
              <w:jc w:val="center"/>
              <w:rPr>
                <w:color w:val="000000"/>
                <w:sz w:val="18"/>
                <w:szCs w:val="18"/>
              </w:rPr>
            </w:pPr>
            <w:r w:rsidRPr="00E05024">
              <w:rPr>
                <w:color w:val="000000"/>
                <w:sz w:val="18"/>
              </w:rPr>
              <w:t>3.30%</w:t>
            </w:r>
          </w:p>
        </w:tc>
        <w:tc>
          <w:tcPr>
            <w:tcW w:w="1194" w:type="dxa"/>
            <w:tcBorders>
              <w:top w:val="nil"/>
              <w:left w:val="nil"/>
              <w:bottom w:val="single" w:sz="4" w:space="0" w:color="auto"/>
              <w:right w:val="single" w:sz="8" w:space="0" w:color="auto"/>
            </w:tcBorders>
            <w:shd w:val="clear" w:color="auto" w:fill="auto"/>
            <w:vAlign w:val="center"/>
            <w:hideMark/>
          </w:tcPr>
          <w:p w14:paraId="5C801AFA" w14:textId="77777777" w:rsidR="00863A53" w:rsidRPr="00E05024" w:rsidRDefault="00863A53">
            <w:pPr>
              <w:jc w:val="center"/>
              <w:rPr>
                <w:color w:val="000000"/>
                <w:sz w:val="18"/>
                <w:szCs w:val="18"/>
              </w:rPr>
            </w:pPr>
            <w:r w:rsidRPr="00E05024">
              <w:rPr>
                <w:color w:val="000000"/>
                <w:sz w:val="18"/>
              </w:rPr>
              <w:t>2.70%</w:t>
            </w:r>
          </w:p>
        </w:tc>
        <w:tc>
          <w:tcPr>
            <w:tcW w:w="1543" w:type="dxa"/>
            <w:tcBorders>
              <w:top w:val="nil"/>
              <w:left w:val="nil"/>
              <w:bottom w:val="dashed" w:sz="4" w:space="0" w:color="auto"/>
              <w:right w:val="dashed" w:sz="4" w:space="0" w:color="auto"/>
            </w:tcBorders>
            <w:shd w:val="clear" w:color="auto" w:fill="auto"/>
            <w:vAlign w:val="center"/>
            <w:hideMark/>
          </w:tcPr>
          <w:p w14:paraId="3997DD7C" w14:textId="77777777" w:rsidR="00863A53" w:rsidRPr="00E05024" w:rsidRDefault="00863A53">
            <w:pPr>
              <w:jc w:val="center"/>
              <w:rPr>
                <w:i/>
                <w:iCs/>
                <w:color w:val="000000"/>
                <w:sz w:val="18"/>
                <w:szCs w:val="18"/>
              </w:rPr>
            </w:pPr>
            <w:r w:rsidRPr="00E05024">
              <w:rPr>
                <w:i/>
                <w:color w:val="000000"/>
                <w:sz w:val="18"/>
              </w:rPr>
              <w:t>$221 119</w:t>
            </w:r>
          </w:p>
        </w:tc>
        <w:tc>
          <w:tcPr>
            <w:tcW w:w="1519" w:type="dxa"/>
            <w:tcBorders>
              <w:top w:val="nil"/>
              <w:left w:val="nil"/>
              <w:bottom w:val="dashed" w:sz="4" w:space="0" w:color="auto"/>
              <w:right w:val="dashed" w:sz="4" w:space="0" w:color="auto"/>
            </w:tcBorders>
            <w:shd w:val="clear" w:color="auto" w:fill="auto"/>
            <w:vAlign w:val="center"/>
            <w:hideMark/>
          </w:tcPr>
          <w:p w14:paraId="1218B0C5" w14:textId="77777777" w:rsidR="00863A53" w:rsidRPr="00E05024" w:rsidRDefault="00863A53">
            <w:pPr>
              <w:jc w:val="center"/>
              <w:rPr>
                <w:i/>
                <w:iCs/>
                <w:color w:val="000000"/>
                <w:sz w:val="18"/>
                <w:szCs w:val="18"/>
              </w:rPr>
            </w:pPr>
            <w:r w:rsidRPr="00E05024">
              <w:rPr>
                <w:i/>
                <w:color w:val="000000"/>
                <w:sz w:val="18"/>
              </w:rPr>
              <w:t>$55 280</w:t>
            </w:r>
          </w:p>
        </w:tc>
      </w:tr>
      <w:tr w:rsidR="00863A53" w:rsidRPr="00E05024" w14:paraId="046BD254" w14:textId="77777777" w:rsidTr="00027E63">
        <w:trPr>
          <w:trHeight w:val="1925"/>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003B397F" w14:textId="77777777" w:rsidR="00863A53" w:rsidRPr="00E05024" w:rsidRDefault="00863A53">
            <w:pPr>
              <w:ind w:firstLineChars="100" w:firstLine="180"/>
              <w:rPr>
                <w:color w:val="000000"/>
                <w:sz w:val="18"/>
                <w:szCs w:val="18"/>
              </w:rPr>
            </w:pPr>
            <w:r w:rsidRPr="00E05024">
              <w:rPr>
                <w:color w:val="000000"/>
                <w:sz w:val="18"/>
              </w:rPr>
              <w:t>6.</w:t>
            </w:r>
          </w:p>
        </w:tc>
        <w:tc>
          <w:tcPr>
            <w:tcW w:w="3593" w:type="dxa"/>
            <w:tcBorders>
              <w:top w:val="nil"/>
              <w:left w:val="nil"/>
              <w:bottom w:val="single" w:sz="4" w:space="0" w:color="auto"/>
              <w:right w:val="single" w:sz="4" w:space="0" w:color="auto"/>
            </w:tcBorders>
            <w:shd w:val="clear" w:color="auto" w:fill="auto"/>
            <w:vAlign w:val="center"/>
            <w:hideMark/>
          </w:tcPr>
          <w:p w14:paraId="7B1967C5" w14:textId="77777777" w:rsidR="00863A53" w:rsidRPr="00E05024" w:rsidRDefault="00863A53" w:rsidP="00863A53">
            <w:pPr>
              <w:rPr>
                <w:color w:val="000000"/>
                <w:sz w:val="18"/>
                <w:szCs w:val="18"/>
              </w:rPr>
            </w:pPr>
            <w:r w:rsidRPr="00E05024">
              <w:rPr>
                <w:color w:val="000000"/>
                <w:sz w:val="18"/>
              </w:rPr>
              <w:t>受到委员会邀请就具体事务提供建议的公共或私人机构、私人个人以及社区和团体成员，还有代表发展中国家经认证的非政府组织的非物质文化遗产专家，参加委员会、主席团和磋商机构的会议；</w:t>
            </w:r>
          </w:p>
        </w:tc>
        <w:tc>
          <w:tcPr>
            <w:tcW w:w="1286" w:type="dxa"/>
            <w:tcBorders>
              <w:top w:val="nil"/>
              <w:left w:val="nil"/>
              <w:bottom w:val="single" w:sz="4" w:space="0" w:color="auto"/>
              <w:right w:val="single" w:sz="4" w:space="0" w:color="auto"/>
            </w:tcBorders>
            <w:shd w:val="clear" w:color="auto" w:fill="auto"/>
            <w:vAlign w:val="center"/>
            <w:hideMark/>
          </w:tcPr>
          <w:p w14:paraId="18AED7F9" w14:textId="77777777" w:rsidR="00863A53" w:rsidRPr="00E05024" w:rsidRDefault="00863A53">
            <w:pPr>
              <w:jc w:val="center"/>
              <w:rPr>
                <w:color w:val="000000"/>
                <w:sz w:val="18"/>
                <w:szCs w:val="18"/>
              </w:rPr>
            </w:pPr>
            <w:r w:rsidRPr="00E05024">
              <w:rPr>
                <w:color w:val="000000"/>
                <w:sz w:val="18"/>
              </w:rPr>
              <w:t>3.30%</w:t>
            </w:r>
          </w:p>
        </w:tc>
        <w:tc>
          <w:tcPr>
            <w:tcW w:w="1194" w:type="dxa"/>
            <w:tcBorders>
              <w:top w:val="nil"/>
              <w:left w:val="nil"/>
              <w:bottom w:val="single" w:sz="4" w:space="0" w:color="auto"/>
              <w:right w:val="single" w:sz="8" w:space="0" w:color="auto"/>
            </w:tcBorders>
            <w:shd w:val="clear" w:color="auto" w:fill="auto"/>
            <w:vAlign w:val="center"/>
            <w:hideMark/>
          </w:tcPr>
          <w:p w14:paraId="06A0206F" w14:textId="77777777" w:rsidR="00863A53" w:rsidRPr="00E05024" w:rsidRDefault="00863A53">
            <w:pPr>
              <w:jc w:val="center"/>
              <w:rPr>
                <w:color w:val="000000"/>
                <w:sz w:val="18"/>
                <w:szCs w:val="18"/>
              </w:rPr>
            </w:pPr>
            <w:r w:rsidRPr="00E05024">
              <w:rPr>
                <w:color w:val="000000"/>
                <w:sz w:val="18"/>
              </w:rPr>
              <w:t>2.70%</w:t>
            </w:r>
          </w:p>
        </w:tc>
        <w:tc>
          <w:tcPr>
            <w:tcW w:w="1543" w:type="dxa"/>
            <w:tcBorders>
              <w:top w:val="nil"/>
              <w:left w:val="nil"/>
              <w:bottom w:val="dashed" w:sz="4" w:space="0" w:color="auto"/>
              <w:right w:val="dashed" w:sz="4" w:space="0" w:color="auto"/>
            </w:tcBorders>
            <w:shd w:val="clear" w:color="auto" w:fill="auto"/>
            <w:vAlign w:val="center"/>
            <w:hideMark/>
          </w:tcPr>
          <w:p w14:paraId="480905E9" w14:textId="77777777" w:rsidR="00863A53" w:rsidRPr="00E05024" w:rsidRDefault="00863A53">
            <w:pPr>
              <w:jc w:val="center"/>
              <w:rPr>
                <w:i/>
                <w:iCs/>
                <w:color w:val="000000"/>
                <w:sz w:val="18"/>
                <w:szCs w:val="18"/>
              </w:rPr>
            </w:pPr>
            <w:r w:rsidRPr="00E05024">
              <w:rPr>
                <w:i/>
                <w:color w:val="000000"/>
                <w:sz w:val="18"/>
              </w:rPr>
              <w:t>$221 119</w:t>
            </w:r>
          </w:p>
        </w:tc>
        <w:tc>
          <w:tcPr>
            <w:tcW w:w="1519" w:type="dxa"/>
            <w:tcBorders>
              <w:top w:val="nil"/>
              <w:left w:val="nil"/>
              <w:bottom w:val="dashed" w:sz="4" w:space="0" w:color="auto"/>
              <w:right w:val="dashed" w:sz="4" w:space="0" w:color="auto"/>
            </w:tcBorders>
            <w:shd w:val="clear" w:color="auto" w:fill="auto"/>
            <w:vAlign w:val="center"/>
            <w:hideMark/>
          </w:tcPr>
          <w:p w14:paraId="1D348F58" w14:textId="77777777" w:rsidR="00863A53" w:rsidRPr="00E05024" w:rsidRDefault="00863A53">
            <w:pPr>
              <w:jc w:val="center"/>
              <w:rPr>
                <w:i/>
                <w:iCs/>
                <w:color w:val="000000"/>
                <w:sz w:val="18"/>
                <w:szCs w:val="18"/>
              </w:rPr>
            </w:pPr>
            <w:r w:rsidRPr="00E05024">
              <w:rPr>
                <w:i/>
                <w:color w:val="000000"/>
                <w:sz w:val="18"/>
              </w:rPr>
              <w:t>$55 280</w:t>
            </w:r>
          </w:p>
        </w:tc>
      </w:tr>
      <w:tr w:rsidR="00863A53" w:rsidRPr="00E05024" w14:paraId="5BE41C30" w14:textId="77777777" w:rsidTr="00027E63">
        <w:trPr>
          <w:trHeight w:val="767"/>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37708C33" w14:textId="77777777" w:rsidR="00863A53" w:rsidRPr="00E05024" w:rsidRDefault="00863A53">
            <w:pPr>
              <w:ind w:firstLineChars="100" w:firstLine="180"/>
              <w:rPr>
                <w:color w:val="000000"/>
                <w:sz w:val="18"/>
                <w:szCs w:val="18"/>
              </w:rPr>
            </w:pPr>
            <w:r w:rsidRPr="00E05024">
              <w:rPr>
                <w:color w:val="000000"/>
                <w:sz w:val="18"/>
              </w:rPr>
              <w:t>7.</w:t>
            </w:r>
          </w:p>
        </w:tc>
        <w:tc>
          <w:tcPr>
            <w:tcW w:w="3593" w:type="dxa"/>
            <w:tcBorders>
              <w:top w:val="nil"/>
              <w:left w:val="nil"/>
              <w:bottom w:val="single" w:sz="4" w:space="0" w:color="auto"/>
              <w:right w:val="single" w:sz="4" w:space="0" w:color="auto"/>
            </w:tcBorders>
            <w:shd w:val="clear" w:color="auto" w:fill="auto"/>
            <w:vAlign w:val="center"/>
            <w:hideMark/>
          </w:tcPr>
          <w:p w14:paraId="73BF5664" w14:textId="77777777" w:rsidR="00863A53" w:rsidRPr="00E05024" w:rsidRDefault="00863A53" w:rsidP="00863A53">
            <w:pPr>
              <w:rPr>
                <w:color w:val="000000"/>
                <w:sz w:val="18"/>
                <w:szCs w:val="18"/>
              </w:rPr>
            </w:pPr>
            <w:r w:rsidRPr="00E05024">
              <w:rPr>
                <w:color w:val="000000"/>
                <w:sz w:val="18"/>
              </w:rPr>
              <w:t>应委员会要求提供的咨询服务的费用</w:t>
            </w:r>
          </w:p>
        </w:tc>
        <w:tc>
          <w:tcPr>
            <w:tcW w:w="1286" w:type="dxa"/>
            <w:tcBorders>
              <w:top w:val="nil"/>
              <w:left w:val="nil"/>
              <w:bottom w:val="single" w:sz="4" w:space="0" w:color="auto"/>
              <w:right w:val="single" w:sz="4" w:space="0" w:color="auto"/>
            </w:tcBorders>
            <w:shd w:val="clear" w:color="auto" w:fill="auto"/>
            <w:vAlign w:val="center"/>
            <w:hideMark/>
          </w:tcPr>
          <w:p w14:paraId="0E6240AE" w14:textId="77777777" w:rsidR="00863A53" w:rsidRPr="00E05024" w:rsidRDefault="00863A53">
            <w:pPr>
              <w:jc w:val="center"/>
              <w:rPr>
                <w:color w:val="000000"/>
                <w:sz w:val="18"/>
                <w:szCs w:val="18"/>
              </w:rPr>
            </w:pPr>
            <w:r w:rsidRPr="00E05024">
              <w:rPr>
                <w:color w:val="000000"/>
                <w:sz w:val="18"/>
              </w:rPr>
              <w:t>7.70%</w:t>
            </w:r>
          </w:p>
        </w:tc>
        <w:tc>
          <w:tcPr>
            <w:tcW w:w="1194" w:type="dxa"/>
            <w:tcBorders>
              <w:top w:val="nil"/>
              <w:left w:val="nil"/>
              <w:bottom w:val="single" w:sz="4" w:space="0" w:color="auto"/>
              <w:right w:val="single" w:sz="8" w:space="0" w:color="auto"/>
            </w:tcBorders>
            <w:shd w:val="clear" w:color="auto" w:fill="auto"/>
            <w:vAlign w:val="center"/>
            <w:hideMark/>
          </w:tcPr>
          <w:p w14:paraId="6A57FA8C" w14:textId="77777777" w:rsidR="00863A53" w:rsidRPr="00E05024" w:rsidRDefault="00863A53">
            <w:pPr>
              <w:jc w:val="center"/>
              <w:rPr>
                <w:color w:val="000000"/>
                <w:sz w:val="18"/>
                <w:szCs w:val="18"/>
              </w:rPr>
            </w:pPr>
            <w:r w:rsidRPr="00E05024">
              <w:rPr>
                <w:color w:val="000000"/>
                <w:sz w:val="18"/>
              </w:rPr>
              <w:t>7.00%</w:t>
            </w:r>
          </w:p>
        </w:tc>
        <w:tc>
          <w:tcPr>
            <w:tcW w:w="1543" w:type="dxa"/>
            <w:tcBorders>
              <w:top w:val="nil"/>
              <w:left w:val="nil"/>
              <w:bottom w:val="dashed" w:sz="4" w:space="0" w:color="auto"/>
              <w:right w:val="dashed" w:sz="4" w:space="0" w:color="auto"/>
            </w:tcBorders>
            <w:shd w:val="clear" w:color="auto" w:fill="auto"/>
            <w:vAlign w:val="center"/>
            <w:hideMark/>
          </w:tcPr>
          <w:p w14:paraId="4C33B48F" w14:textId="77777777" w:rsidR="00863A53" w:rsidRPr="00E05024" w:rsidRDefault="00863A53">
            <w:pPr>
              <w:jc w:val="center"/>
              <w:rPr>
                <w:i/>
                <w:iCs/>
                <w:color w:val="000000"/>
                <w:sz w:val="18"/>
                <w:szCs w:val="18"/>
              </w:rPr>
            </w:pPr>
            <w:r w:rsidRPr="00E05024">
              <w:rPr>
                <w:i/>
                <w:color w:val="000000"/>
                <w:sz w:val="18"/>
              </w:rPr>
              <w:t>$573 270</w:t>
            </w:r>
          </w:p>
        </w:tc>
        <w:tc>
          <w:tcPr>
            <w:tcW w:w="1519" w:type="dxa"/>
            <w:tcBorders>
              <w:top w:val="nil"/>
              <w:left w:val="nil"/>
              <w:bottom w:val="dashed" w:sz="4" w:space="0" w:color="auto"/>
              <w:right w:val="dashed" w:sz="4" w:space="0" w:color="auto"/>
            </w:tcBorders>
            <w:shd w:val="clear" w:color="auto" w:fill="auto"/>
            <w:vAlign w:val="center"/>
            <w:hideMark/>
          </w:tcPr>
          <w:p w14:paraId="76A2BAC5" w14:textId="77777777" w:rsidR="00863A53" w:rsidRPr="00E05024" w:rsidRDefault="00863A53">
            <w:pPr>
              <w:jc w:val="center"/>
              <w:rPr>
                <w:i/>
                <w:iCs/>
                <w:color w:val="000000"/>
                <w:sz w:val="18"/>
                <w:szCs w:val="18"/>
              </w:rPr>
            </w:pPr>
            <w:r w:rsidRPr="00E05024">
              <w:rPr>
                <w:i/>
                <w:color w:val="000000"/>
                <w:sz w:val="18"/>
              </w:rPr>
              <w:t>$143 318</w:t>
            </w:r>
          </w:p>
        </w:tc>
      </w:tr>
      <w:tr w:rsidR="00863A53" w:rsidRPr="00E05024" w14:paraId="79424656" w14:textId="77777777" w:rsidTr="00027E63">
        <w:trPr>
          <w:trHeight w:val="300"/>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591A4AC2" w14:textId="77777777" w:rsidR="00863A53" w:rsidRPr="00E05024" w:rsidRDefault="00863A53">
            <w:pPr>
              <w:ind w:firstLineChars="100" w:firstLine="201"/>
              <w:rPr>
                <w:b/>
                <w:bCs/>
                <w:color w:val="000000"/>
                <w:sz w:val="20"/>
                <w:szCs w:val="20"/>
              </w:rPr>
            </w:pPr>
            <w:r w:rsidRPr="00E05024">
              <w:rPr>
                <w:b/>
                <w:color w:val="000000"/>
                <w:sz w:val="20"/>
              </w:rPr>
              <w:t> </w:t>
            </w:r>
          </w:p>
        </w:tc>
        <w:tc>
          <w:tcPr>
            <w:tcW w:w="3593" w:type="dxa"/>
            <w:tcBorders>
              <w:top w:val="nil"/>
              <w:left w:val="nil"/>
              <w:bottom w:val="single" w:sz="4" w:space="0" w:color="auto"/>
              <w:right w:val="single" w:sz="4" w:space="0" w:color="auto"/>
            </w:tcBorders>
            <w:shd w:val="clear" w:color="auto" w:fill="auto"/>
            <w:vAlign w:val="center"/>
            <w:hideMark/>
          </w:tcPr>
          <w:p w14:paraId="60B2CED7" w14:textId="77777777" w:rsidR="00863A53" w:rsidRPr="00E05024" w:rsidRDefault="00863A53">
            <w:pPr>
              <w:jc w:val="both"/>
              <w:rPr>
                <w:b/>
                <w:bCs/>
                <w:color w:val="000000"/>
                <w:sz w:val="18"/>
                <w:szCs w:val="18"/>
              </w:rPr>
            </w:pPr>
            <w:r w:rsidRPr="00E05024">
              <w:rPr>
                <w:b/>
                <w:color w:val="000000"/>
                <w:sz w:val="18"/>
              </w:rPr>
              <w:t>总计</w:t>
            </w:r>
          </w:p>
        </w:tc>
        <w:tc>
          <w:tcPr>
            <w:tcW w:w="1286" w:type="dxa"/>
            <w:tcBorders>
              <w:top w:val="nil"/>
              <w:left w:val="nil"/>
              <w:bottom w:val="single" w:sz="4" w:space="0" w:color="auto"/>
              <w:right w:val="single" w:sz="4" w:space="0" w:color="auto"/>
            </w:tcBorders>
            <w:shd w:val="clear" w:color="auto" w:fill="auto"/>
            <w:vAlign w:val="center"/>
            <w:hideMark/>
          </w:tcPr>
          <w:p w14:paraId="46B5EA31" w14:textId="77777777" w:rsidR="00863A53" w:rsidRPr="00E05024" w:rsidRDefault="00863A53">
            <w:pPr>
              <w:jc w:val="center"/>
              <w:rPr>
                <w:b/>
                <w:bCs/>
                <w:color w:val="000000"/>
                <w:sz w:val="18"/>
                <w:szCs w:val="18"/>
              </w:rPr>
            </w:pPr>
            <w:r w:rsidRPr="00E05024">
              <w:rPr>
                <w:b/>
                <w:color w:val="000000"/>
                <w:sz w:val="18"/>
              </w:rPr>
              <w:t>100.00%</w:t>
            </w:r>
          </w:p>
        </w:tc>
        <w:tc>
          <w:tcPr>
            <w:tcW w:w="1194" w:type="dxa"/>
            <w:tcBorders>
              <w:top w:val="nil"/>
              <w:left w:val="nil"/>
              <w:bottom w:val="single" w:sz="4" w:space="0" w:color="auto"/>
              <w:right w:val="single" w:sz="8" w:space="0" w:color="auto"/>
            </w:tcBorders>
            <w:shd w:val="clear" w:color="auto" w:fill="auto"/>
            <w:vAlign w:val="center"/>
            <w:hideMark/>
          </w:tcPr>
          <w:p w14:paraId="4BE63CB5" w14:textId="77777777" w:rsidR="00863A53" w:rsidRPr="00E05024" w:rsidRDefault="00863A53">
            <w:pPr>
              <w:jc w:val="center"/>
              <w:rPr>
                <w:b/>
                <w:bCs/>
                <w:color w:val="000000"/>
                <w:sz w:val="18"/>
                <w:szCs w:val="18"/>
              </w:rPr>
            </w:pPr>
            <w:r w:rsidRPr="00E05024">
              <w:rPr>
                <w:b/>
                <w:color w:val="000000"/>
                <w:sz w:val="18"/>
              </w:rPr>
              <w:t>100.00%</w:t>
            </w:r>
          </w:p>
        </w:tc>
        <w:tc>
          <w:tcPr>
            <w:tcW w:w="1543" w:type="dxa"/>
            <w:tcBorders>
              <w:top w:val="nil"/>
              <w:left w:val="nil"/>
              <w:bottom w:val="dashed" w:sz="4" w:space="0" w:color="auto"/>
              <w:right w:val="dashed" w:sz="4" w:space="0" w:color="auto"/>
            </w:tcBorders>
            <w:shd w:val="clear" w:color="auto" w:fill="auto"/>
            <w:vAlign w:val="center"/>
            <w:hideMark/>
          </w:tcPr>
          <w:p w14:paraId="5AB3BC9A" w14:textId="3C81C0AD" w:rsidR="00863A53" w:rsidRPr="00E05024" w:rsidRDefault="00863A53">
            <w:pPr>
              <w:jc w:val="center"/>
              <w:rPr>
                <w:b/>
                <w:bCs/>
                <w:i/>
                <w:iCs/>
                <w:color w:val="000000"/>
                <w:sz w:val="18"/>
                <w:szCs w:val="18"/>
              </w:rPr>
            </w:pPr>
            <w:r w:rsidRPr="00E05024">
              <w:rPr>
                <w:b/>
                <w:i/>
                <w:color w:val="000000"/>
                <w:sz w:val="18"/>
              </w:rPr>
              <w:t>$8 189 578</w:t>
            </w:r>
          </w:p>
        </w:tc>
        <w:tc>
          <w:tcPr>
            <w:tcW w:w="1519" w:type="dxa"/>
            <w:tcBorders>
              <w:top w:val="nil"/>
              <w:left w:val="nil"/>
              <w:bottom w:val="dashed" w:sz="4" w:space="0" w:color="auto"/>
              <w:right w:val="dashed" w:sz="4" w:space="0" w:color="auto"/>
            </w:tcBorders>
            <w:shd w:val="clear" w:color="auto" w:fill="auto"/>
            <w:vAlign w:val="center"/>
            <w:hideMark/>
          </w:tcPr>
          <w:p w14:paraId="3C573969" w14:textId="58C9706F" w:rsidR="00863A53" w:rsidRPr="00E05024" w:rsidRDefault="00863A53">
            <w:pPr>
              <w:jc w:val="center"/>
              <w:rPr>
                <w:b/>
                <w:bCs/>
                <w:i/>
                <w:iCs/>
                <w:color w:val="000000"/>
                <w:sz w:val="18"/>
                <w:szCs w:val="18"/>
              </w:rPr>
            </w:pPr>
            <w:r w:rsidRPr="00E05024">
              <w:rPr>
                <w:b/>
                <w:i/>
                <w:color w:val="000000"/>
                <w:sz w:val="18"/>
              </w:rPr>
              <w:t>$2 047 394</w:t>
            </w:r>
          </w:p>
        </w:tc>
      </w:tr>
      <w:tr w:rsidR="00027E63" w:rsidRPr="00E05024" w14:paraId="2E2DA16D" w14:textId="77777777" w:rsidTr="0015229A">
        <w:trPr>
          <w:trHeight w:val="812"/>
        </w:trPr>
        <w:tc>
          <w:tcPr>
            <w:tcW w:w="9706" w:type="dxa"/>
            <w:gridSpan w:val="6"/>
            <w:tcBorders>
              <w:top w:val="nil"/>
              <w:left w:val="single" w:sz="8" w:space="0" w:color="auto"/>
              <w:bottom w:val="single" w:sz="8" w:space="0" w:color="auto"/>
              <w:right w:val="single" w:sz="8" w:space="0" w:color="000000"/>
            </w:tcBorders>
            <w:shd w:val="clear" w:color="auto" w:fill="auto"/>
            <w:vAlign w:val="center"/>
            <w:hideMark/>
          </w:tcPr>
          <w:p w14:paraId="50462606" w14:textId="266DBED2" w:rsidR="00027E63" w:rsidRPr="00E05024" w:rsidRDefault="00027E63" w:rsidP="00027E63">
            <w:pPr>
              <w:rPr>
                <w:sz w:val="18"/>
                <w:szCs w:val="18"/>
              </w:rPr>
            </w:pPr>
            <w:r w:rsidRPr="00E05024">
              <w:rPr>
                <w:color w:val="000000"/>
                <w:sz w:val="18"/>
                <w:szCs w:val="18"/>
              </w:rPr>
              <w:t xml:space="preserve">[1] </w:t>
            </w:r>
            <w:r w:rsidRPr="00E05024">
              <w:rPr>
                <w:color w:val="000000"/>
                <w:sz w:val="18"/>
                <w:szCs w:val="18"/>
              </w:rPr>
              <w:t>百分比适用于截至</w:t>
            </w:r>
            <w:r w:rsidRPr="00E05024">
              <w:rPr>
                <w:color w:val="000000"/>
                <w:sz w:val="18"/>
                <w:szCs w:val="18"/>
              </w:rPr>
              <w:t>2023</w:t>
            </w:r>
            <w:r w:rsidRPr="00E05024">
              <w:rPr>
                <w:color w:val="000000"/>
                <w:sz w:val="18"/>
                <w:szCs w:val="18"/>
              </w:rPr>
              <w:t>年</w:t>
            </w:r>
            <w:r w:rsidRPr="00E05024">
              <w:rPr>
                <w:color w:val="000000"/>
                <w:sz w:val="18"/>
                <w:szCs w:val="18"/>
              </w:rPr>
              <w:t>12</w:t>
            </w:r>
            <w:r w:rsidRPr="00E05024">
              <w:rPr>
                <w:color w:val="000000"/>
                <w:sz w:val="18"/>
                <w:szCs w:val="18"/>
              </w:rPr>
              <w:t>月</w:t>
            </w:r>
            <w:r w:rsidRPr="00E05024">
              <w:rPr>
                <w:color w:val="000000"/>
                <w:sz w:val="18"/>
                <w:szCs w:val="18"/>
              </w:rPr>
              <w:t>31</w:t>
            </w:r>
            <w:r w:rsidRPr="00E05024">
              <w:rPr>
                <w:color w:val="000000"/>
                <w:sz w:val="18"/>
                <w:szCs w:val="18"/>
              </w:rPr>
              <w:t>日的基金余额。此余额不包括储备金（</w:t>
            </w:r>
            <w:r w:rsidRPr="00E05024">
              <w:rPr>
                <w:color w:val="000000"/>
                <w:sz w:val="18"/>
                <w:szCs w:val="18"/>
              </w:rPr>
              <w:t>100</w:t>
            </w:r>
            <w:r w:rsidRPr="00E05024">
              <w:rPr>
                <w:color w:val="000000"/>
                <w:sz w:val="18"/>
                <w:szCs w:val="18"/>
              </w:rPr>
              <w:t>万美元）。</w:t>
            </w:r>
          </w:p>
        </w:tc>
      </w:tr>
      <w:tr w:rsidR="00027E63" w:rsidRPr="00E05024" w14:paraId="1783285A" w14:textId="77777777" w:rsidTr="00D37288">
        <w:trPr>
          <w:trHeight w:val="812"/>
        </w:trPr>
        <w:tc>
          <w:tcPr>
            <w:tcW w:w="970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4590E36" w14:textId="2053204F" w:rsidR="00027E63" w:rsidRPr="00E05024" w:rsidRDefault="00027E63" w:rsidP="00027E63">
            <w:pPr>
              <w:rPr>
                <w:sz w:val="18"/>
                <w:szCs w:val="18"/>
              </w:rPr>
            </w:pPr>
            <w:r w:rsidRPr="00E05024">
              <w:rPr>
                <w:color w:val="000000"/>
                <w:sz w:val="18"/>
                <w:szCs w:val="18"/>
              </w:rPr>
              <w:t>在本计划期间结束时尚未承付的资金将结转到下一个财务期，并应按照大会届时核可的计划进行分配。</w:t>
            </w:r>
          </w:p>
        </w:tc>
      </w:tr>
      <w:tr w:rsidR="00027E63" w:rsidRPr="00E05024" w14:paraId="0FD76BB1" w14:textId="77777777" w:rsidTr="00130841">
        <w:trPr>
          <w:trHeight w:val="887"/>
        </w:trPr>
        <w:tc>
          <w:tcPr>
            <w:tcW w:w="970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F6925AE" w14:textId="47B1E329" w:rsidR="00027E63" w:rsidRPr="00E05024" w:rsidRDefault="00027E63" w:rsidP="00027E63">
            <w:pPr>
              <w:rPr>
                <w:sz w:val="18"/>
                <w:szCs w:val="18"/>
              </w:rPr>
            </w:pPr>
            <w:r w:rsidRPr="00E05024">
              <w:rPr>
                <w:sz w:val="18"/>
                <w:szCs w:val="18"/>
              </w:rPr>
              <w:t>对于</w:t>
            </w:r>
            <w:r w:rsidRPr="00E05024">
              <w:rPr>
                <w:sz w:val="18"/>
                <w:szCs w:val="18"/>
              </w:rPr>
              <w:t>2026</w:t>
            </w:r>
            <w:r w:rsidRPr="00E05024">
              <w:rPr>
                <w:sz w:val="18"/>
                <w:szCs w:val="18"/>
              </w:rPr>
              <w:t>年</w:t>
            </w:r>
            <w:r w:rsidRPr="00E05024">
              <w:rPr>
                <w:sz w:val="18"/>
                <w:szCs w:val="18"/>
              </w:rPr>
              <w:t>1</w:t>
            </w:r>
            <w:r w:rsidRPr="00E05024">
              <w:rPr>
                <w:sz w:val="18"/>
                <w:szCs w:val="18"/>
              </w:rPr>
              <w:t>月</w:t>
            </w:r>
            <w:r w:rsidRPr="00E05024">
              <w:rPr>
                <w:sz w:val="18"/>
                <w:szCs w:val="18"/>
              </w:rPr>
              <w:t>1</w:t>
            </w:r>
            <w:r w:rsidRPr="00E05024">
              <w:rPr>
                <w:sz w:val="18"/>
                <w:szCs w:val="18"/>
              </w:rPr>
              <w:t>日至</w:t>
            </w:r>
            <w:r w:rsidRPr="00E05024">
              <w:rPr>
                <w:sz w:val="18"/>
                <w:szCs w:val="18"/>
              </w:rPr>
              <w:t>2026</w:t>
            </w:r>
            <w:r w:rsidRPr="00E05024">
              <w:rPr>
                <w:sz w:val="18"/>
                <w:szCs w:val="18"/>
              </w:rPr>
              <w:t>年</w:t>
            </w:r>
            <w:r w:rsidRPr="00E05024">
              <w:rPr>
                <w:sz w:val="18"/>
                <w:szCs w:val="18"/>
              </w:rPr>
              <w:t>6</w:t>
            </w:r>
            <w:r w:rsidRPr="00E05024">
              <w:rPr>
                <w:sz w:val="18"/>
                <w:szCs w:val="18"/>
              </w:rPr>
              <w:t>月</w:t>
            </w:r>
            <w:r w:rsidRPr="00E05024">
              <w:rPr>
                <w:sz w:val="18"/>
                <w:szCs w:val="18"/>
              </w:rPr>
              <w:t>30</w:t>
            </w:r>
            <w:r w:rsidRPr="00E05024">
              <w:rPr>
                <w:sz w:val="18"/>
                <w:szCs w:val="18"/>
              </w:rPr>
              <w:t>日期间，除储备金外（其数额由委员会确定为</w:t>
            </w:r>
            <w:r w:rsidRPr="00E05024">
              <w:rPr>
                <w:sz w:val="18"/>
                <w:szCs w:val="18"/>
              </w:rPr>
              <w:t>100</w:t>
            </w:r>
            <w:r w:rsidRPr="00E05024">
              <w:rPr>
                <w:sz w:val="18"/>
                <w:szCs w:val="18"/>
              </w:rPr>
              <w:t>万美元），应临时拨出</w:t>
            </w:r>
            <w:r w:rsidRPr="00E05024">
              <w:rPr>
                <w:sz w:val="18"/>
                <w:szCs w:val="18"/>
              </w:rPr>
              <w:t>2024-2025</w:t>
            </w:r>
            <w:r w:rsidRPr="00E05024">
              <w:rPr>
                <w:sz w:val="18"/>
                <w:szCs w:val="18"/>
              </w:rPr>
              <w:t>年财务期</w:t>
            </w:r>
            <w:r w:rsidRPr="00E05024">
              <w:rPr>
                <w:sz w:val="18"/>
                <w:szCs w:val="18"/>
              </w:rPr>
              <w:t>24</w:t>
            </w:r>
            <w:r w:rsidRPr="00E05024">
              <w:rPr>
                <w:sz w:val="18"/>
                <w:szCs w:val="18"/>
              </w:rPr>
              <w:t>个月的规定数额的四分之一（第</w:t>
            </w:r>
            <w:hyperlink r:id="rId47" w:history="1">
              <w:r w:rsidRPr="00E05024">
                <w:rPr>
                  <w:rStyle w:val="Lienhypertexte"/>
                  <w:sz w:val="18"/>
                  <w:szCs w:val="18"/>
                </w:rPr>
                <w:t>10.COM 8</w:t>
              </w:r>
            </w:hyperlink>
            <w:r w:rsidRPr="00E05024">
              <w:rPr>
                <w:sz w:val="18"/>
                <w:szCs w:val="18"/>
              </w:rPr>
              <w:t>号决定）。</w:t>
            </w:r>
          </w:p>
        </w:tc>
      </w:tr>
    </w:tbl>
    <w:p w14:paraId="210FD95B" w14:textId="77777777" w:rsidR="00863A53" w:rsidRPr="009C5A44" w:rsidRDefault="00863A53" w:rsidP="00863A53">
      <w:pPr>
        <w:jc w:val="center"/>
        <w:rPr>
          <w:b/>
          <w:bCs/>
          <w:sz w:val="22"/>
          <w:szCs w:val="22"/>
          <w:u w:val="single"/>
        </w:rPr>
      </w:pPr>
    </w:p>
    <w:sectPr w:rsidR="00863A53" w:rsidRPr="009C5A44" w:rsidSect="00655736">
      <w:headerReference w:type="even" r:id="rId48"/>
      <w:headerReference w:type="default" r:id="rId49"/>
      <w:headerReference w:type="first" r:id="rId5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0D34" w14:textId="77777777" w:rsidR="00447DFF" w:rsidRDefault="00447DFF" w:rsidP="00655736">
      <w:r>
        <w:separator/>
      </w:r>
    </w:p>
  </w:endnote>
  <w:endnote w:type="continuationSeparator" w:id="0">
    <w:p w14:paraId="070838FB" w14:textId="77777777" w:rsidR="00447DFF" w:rsidRDefault="00447DF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EB73" w14:textId="77777777" w:rsidR="00447DFF" w:rsidRDefault="00447DFF" w:rsidP="00655736">
      <w:r>
        <w:separator/>
      </w:r>
    </w:p>
  </w:footnote>
  <w:footnote w:type="continuationSeparator" w:id="0">
    <w:p w14:paraId="2668588B" w14:textId="77777777" w:rsidR="00447DFF" w:rsidRDefault="00447DFF" w:rsidP="00655736">
      <w:r>
        <w:continuationSeparator/>
      </w:r>
    </w:p>
  </w:footnote>
  <w:footnote w:id="1">
    <w:p w14:paraId="2ADC33B3" w14:textId="232BD88B" w:rsidR="00DC47E6" w:rsidRPr="00DC47E6" w:rsidRDefault="00DC47E6">
      <w:pPr>
        <w:pStyle w:val="Notedebasdepage"/>
      </w:pPr>
      <w:r>
        <w:rPr>
          <w:rStyle w:val="Appelnotedebasdep"/>
        </w:rPr>
        <w:footnoteRef/>
      </w:r>
      <w:r>
        <w:t xml:space="preserve"> </w:t>
      </w:r>
      <w:proofErr w:type="gramStart"/>
      <w:r w:rsidRPr="00DC47E6">
        <w:rPr>
          <w:rFonts w:hint="eastAsia"/>
        </w:rPr>
        <w:t>除</w:t>
      </w:r>
      <w:r>
        <w:rPr>
          <w:rFonts w:hint="eastAsia"/>
          <w:lang w:val="en-US"/>
        </w:rPr>
        <w:t>义务</w:t>
      </w:r>
      <w:proofErr w:type="gramEnd"/>
      <w:r>
        <w:rPr>
          <w:rFonts w:hint="eastAsia"/>
        </w:rPr>
        <w:t>纳款</w:t>
      </w:r>
      <w:r w:rsidRPr="00DC47E6">
        <w:rPr>
          <w:rFonts w:hint="eastAsia"/>
        </w:rPr>
        <w:t>外，《公约》在</w:t>
      </w:r>
      <w:r w:rsidRPr="00DC47E6">
        <w:rPr>
          <w:rFonts w:hint="eastAsia"/>
        </w:rPr>
        <w:t xml:space="preserve"> 2022-2023 </w:t>
      </w:r>
      <w:r w:rsidRPr="00DC47E6">
        <w:rPr>
          <w:rFonts w:hint="eastAsia"/>
        </w:rPr>
        <w:t>年期间还收到了</w:t>
      </w:r>
      <w:r w:rsidRPr="00DC47E6">
        <w:rPr>
          <w:rFonts w:hint="eastAsia"/>
        </w:rPr>
        <w:t xml:space="preserve"> 50 </w:t>
      </w:r>
      <w:r w:rsidRPr="00DC47E6">
        <w:rPr>
          <w:rFonts w:hint="eastAsia"/>
        </w:rPr>
        <w:t>万美元的自愿</w:t>
      </w:r>
      <w:r>
        <w:rPr>
          <w:rFonts w:hint="eastAsia"/>
        </w:rPr>
        <w:t>纳款</w:t>
      </w:r>
      <w:r w:rsidRPr="00DC47E6">
        <w:rPr>
          <w:rFonts w:hint="eastAsia"/>
        </w:rPr>
        <w:t>。</w:t>
      </w:r>
    </w:p>
  </w:footnote>
  <w:footnote w:id="2">
    <w:p w14:paraId="049362FC" w14:textId="40C580FE" w:rsidR="00987497" w:rsidRPr="008F6A8E" w:rsidRDefault="00987497">
      <w:pPr>
        <w:pStyle w:val="Notedebasdepage"/>
        <w:rPr>
          <w:rFonts w:asciiTheme="majorEastAsia" w:eastAsiaTheme="majorEastAsia" w:hAnsiTheme="majorEastAsia"/>
        </w:rPr>
      </w:pPr>
      <w:r w:rsidRPr="008F6A8E">
        <w:rPr>
          <w:rStyle w:val="Appelnotedebasdep"/>
          <w:rFonts w:asciiTheme="majorEastAsia" w:eastAsiaTheme="majorEastAsia" w:hAnsiTheme="majorEastAsia"/>
          <w:sz w:val="18"/>
          <w:szCs w:val="18"/>
        </w:rPr>
        <w:footnoteRef/>
      </w:r>
      <w:r w:rsidRPr="008F6A8E">
        <w:rPr>
          <w:rFonts w:asciiTheme="majorEastAsia" w:eastAsiaTheme="majorEastAsia" w:hAnsiTheme="majorEastAsia"/>
          <w:sz w:val="18"/>
          <w:szCs w:val="18"/>
        </w:rPr>
        <w:t xml:space="preserve"> </w:t>
      </w:r>
      <w:r w:rsidRPr="008F6A8E">
        <w:rPr>
          <w:rFonts w:asciiTheme="majorEastAsia" w:eastAsiaTheme="majorEastAsia" w:hAnsiTheme="majorEastAsia" w:hint="eastAsia"/>
          <w:sz w:val="18"/>
          <w:szCs w:val="18"/>
        </w:rPr>
        <w:t>还有一个未列入</w:t>
      </w:r>
      <w:r w:rsidRPr="008F6A8E">
        <w:rPr>
          <w:rFonts w:asciiTheme="majorEastAsia" w:eastAsiaTheme="majorEastAsia" w:hAnsiTheme="majorEastAsia"/>
          <w:sz w:val="18"/>
          <w:szCs w:val="18"/>
        </w:rPr>
        <w:t xml:space="preserve"> 2022 </w:t>
      </w:r>
      <w:r w:rsidRPr="008F6A8E">
        <w:rPr>
          <w:rFonts w:asciiTheme="majorEastAsia" w:eastAsiaTheme="majorEastAsia" w:hAnsiTheme="majorEastAsia" w:hint="eastAsia"/>
          <w:sz w:val="18"/>
          <w:szCs w:val="18"/>
        </w:rPr>
        <w:t>年</w:t>
      </w:r>
      <w:r w:rsidRPr="008F6A8E">
        <w:rPr>
          <w:rFonts w:asciiTheme="majorEastAsia" w:eastAsiaTheme="majorEastAsia" w:hAnsiTheme="majorEastAsia"/>
          <w:sz w:val="18"/>
          <w:szCs w:val="18"/>
        </w:rPr>
        <w:t xml:space="preserve"> 1 </w:t>
      </w:r>
      <w:r w:rsidRPr="008F6A8E">
        <w:rPr>
          <w:rFonts w:asciiTheme="majorEastAsia" w:eastAsiaTheme="majorEastAsia" w:hAnsiTheme="majorEastAsia" w:hint="eastAsia"/>
          <w:sz w:val="18"/>
          <w:szCs w:val="18"/>
        </w:rPr>
        <w:t>月</w:t>
      </w:r>
      <w:r w:rsidRPr="008F6A8E">
        <w:rPr>
          <w:rFonts w:asciiTheme="majorEastAsia" w:eastAsiaTheme="majorEastAsia" w:hAnsiTheme="majorEastAsia"/>
          <w:sz w:val="18"/>
          <w:szCs w:val="18"/>
        </w:rPr>
        <w:t xml:space="preserve"> 1 </w:t>
      </w:r>
      <w:r w:rsidRPr="008F6A8E">
        <w:rPr>
          <w:rFonts w:asciiTheme="majorEastAsia" w:eastAsiaTheme="majorEastAsia" w:hAnsiTheme="majorEastAsia" w:hint="eastAsia"/>
          <w:sz w:val="18"/>
          <w:szCs w:val="18"/>
        </w:rPr>
        <w:t>日至</w:t>
      </w:r>
      <w:r w:rsidRPr="008F6A8E">
        <w:rPr>
          <w:rFonts w:asciiTheme="majorEastAsia" w:eastAsiaTheme="majorEastAsia" w:hAnsiTheme="majorEastAsia"/>
          <w:sz w:val="18"/>
          <w:szCs w:val="18"/>
        </w:rPr>
        <w:t xml:space="preserve"> 2023 </w:t>
      </w:r>
      <w:r w:rsidRPr="008F6A8E">
        <w:rPr>
          <w:rFonts w:asciiTheme="majorEastAsia" w:eastAsiaTheme="majorEastAsia" w:hAnsiTheme="majorEastAsia" w:hint="eastAsia"/>
          <w:sz w:val="18"/>
          <w:szCs w:val="18"/>
        </w:rPr>
        <w:t>年</w:t>
      </w:r>
      <w:r w:rsidRPr="008F6A8E">
        <w:rPr>
          <w:rFonts w:asciiTheme="majorEastAsia" w:eastAsiaTheme="majorEastAsia" w:hAnsiTheme="majorEastAsia"/>
          <w:sz w:val="18"/>
          <w:szCs w:val="18"/>
        </w:rPr>
        <w:t xml:space="preserve"> 12 </w:t>
      </w:r>
      <w:r w:rsidRPr="008F6A8E">
        <w:rPr>
          <w:rFonts w:asciiTheme="majorEastAsia" w:eastAsiaTheme="majorEastAsia" w:hAnsiTheme="majorEastAsia" w:hint="eastAsia"/>
          <w:sz w:val="18"/>
          <w:szCs w:val="18"/>
        </w:rPr>
        <w:t>月</w:t>
      </w:r>
      <w:r w:rsidRPr="008F6A8E">
        <w:rPr>
          <w:rFonts w:asciiTheme="majorEastAsia" w:eastAsiaTheme="majorEastAsia" w:hAnsiTheme="majorEastAsia"/>
          <w:sz w:val="18"/>
          <w:szCs w:val="18"/>
        </w:rPr>
        <w:t xml:space="preserve"> 31 </w:t>
      </w:r>
      <w:r w:rsidRPr="008F6A8E">
        <w:rPr>
          <w:rFonts w:asciiTheme="majorEastAsia" w:eastAsiaTheme="majorEastAsia" w:hAnsiTheme="majorEastAsia" w:hint="eastAsia"/>
          <w:sz w:val="18"/>
          <w:szCs w:val="18"/>
        </w:rPr>
        <w:t>日分摊会费报表的缔约国也未</w:t>
      </w:r>
      <w:r w:rsidR="00DC47E6">
        <w:rPr>
          <w:rFonts w:asciiTheme="majorEastAsia" w:eastAsiaTheme="majorEastAsia" w:hAnsiTheme="majorEastAsia" w:hint="eastAsia"/>
          <w:sz w:val="18"/>
          <w:szCs w:val="18"/>
        </w:rPr>
        <w:t>按比例</w:t>
      </w:r>
      <w:r w:rsidRPr="008F6A8E">
        <w:rPr>
          <w:rFonts w:asciiTheme="majorEastAsia" w:eastAsiaTheme="majorEastAsia" w:hAnsiTheme="majorEastAsia" w:hint="eastAsia"/>
          <w:sz w:val="18"/>
          <w:szCs w:val="18"/>
        </w:rPr>
        <w:t>缴纳</w:t>
      </w:r>
      <w:r w:rsidRPr="008F6A8E">
        <w:rPr>
          <w:rFonts w:asciiTheme="majorEastAsia" w:eastAsiaTheme="majorEastAsia" w:hAnsiTheme="majorEastAsia"/>
          <w:sz w:val="18"/>
          <w:szCs w:val="18"/>
        </w:rPr>
        <w:t xml:space="preserve"> 2023 </w:t>
      </w:r>
      <w:r w:rsidRPr="008F6A8E">
        <w:rPr>
          <w:rFonts w:asciiTheme="majorEastAsia" w:eastAsiaTheme="majorEastAsia" w:hAnsiTheme="majorEastAsia" w:hint="eastAsia"/>
          <w:sz w:val="18"/>
          <w:szCs w:val="18"/>
        </w:rPr>
        <w:t>年的会费</w:t>
      </w:r>
      <w:r w:rsidR="00DC47E6">
        <w:rPr>
          <w:rFonts w:asciiTheme="majorEastAsia" w:eastAsiaTheme="majorEastAsia" w:hAnsiTheme="majorEastAsia" w:hint="eastAsia"/>
          <w:sz w:val="18"/>
          <w:szCs w:val="18"/>
        </w:rPr>
        <w:t>（70美元）</w:t>
      </w:r>
      <w:r w:rsidRPr="008F6A8E">
        <w:rPr>
          <w:rFonts w:asciiTheme="majorEastAsia" w:eastAsiaTheme="majorEastAsia" w:hAnsiTheme="majorEastAsia" w:hint="eastAsia"/>
          <w:sz w:val="18"/>
          <w:szCs w:val="18"/>
        </w:rPr>
        <w:t>。</w:t>
      </w:r>
      <w:r w:rsidR="00DC47E6" w:rsidRPr="00DC47E6">
        <w:rPr>
          <w:rFonts w:asciiTheme="majorEastAsia" w:eastAsiaTheme="majorEastAsia" w:hAnsiTheme="majorEastAsia" w:hint="eastAsia"/>
          <w:sz w:val="18"/>
          <w:szCs w:val="18"/>
        </w:rPr>
        <w:t>在成员国门户网站上公布的分摊</w:t>
      </w:r>
      <w:proofErr w:type="gramStart"/>
      <w:r w:rsidR="00DC47E6" w:rsidRPr="00DC47E6">
        <w:rPr>
          <w:rFonts w:asciiTheme="majorEastAsia" w:eastAsiaTheme="majorEastAsia" w:hAnsiTheme="majorEastAsia" w:hint="eastAsia"/>
          <w:sz w:val="18"/>
          <w:szCs w:val="18"/>
        </w:rPr>
        <w:t>会费月</w:t>
      </w:r>
      <w:proofErr w:type="gramEnd"/>
      <w:r w:rsidR="00DC47E6" w:rsidRPr="00DC47E6">
        <w:rPr>
          <w:rFonts w:asciiTheme="majorEastAsia" w:eastAsiaTheme="majorEastAsia" w:hAnsiTheme="majorEastAsia" w:hint="eastAsia"/>
          <w:sz w:val="18"/>
          <w:szCs w:val="18"/>
        </w:rPr>
        <w:t>报表中已经</w:t>
      </w:r>
      <w:r w:rsidR="00DC47E6">
        <w:rPr>
          <w:rFonts w:asciiTheme="majorEastAsia" w:eastAsiaTheme="majorEastAsia" w:hAnsiTheme="majorEastAsia" w:hint="eastAsia"/>
          <w:sz w:val="18"/>
          <w:szCs w:val="18"/>
        </w:rPr>
        <w:t>记录</w:t>
      </w:r>
      <w:r w:rsidR="00DC47E6" w:rsidRPr="00DC47E6">
        <w:rPr>
          <w:rFonts w:asciiTheme="majorEastAsia" w:eastAsiaTheme="majorEastAsia" w:hAnsiTheme="majorEastAsia" w:hint="eastAsia"/>
          <w:sz w:val="18"/>
          <w:szCs w:val="18"/>
        </w:rPr>
        <w:t>到这一情况，链接如下：</w:t>
      </w:r>
      <w:hyperlink r:id="rId1" w:history="1">
        <w:r w:rsidR="00DC47E6" w:rsidRPr="00DC47E6">
          <w:rPr>
            <w:rStyle w:val="Lienhypertexte"/>
            <w:rFonts w:asciiTheme="majorEastAsia" w:eastAsiaTheme="majorEastAsia" w:hAnsiTheme="majorEastAsia"/>
            <w:sz w:val="18"/>
            <w:szCs w:val="18"/>
          </w:rPr>
          <w:t>ICH-</w:t>
        </w:r>
        <w:proofErr w:type="spellStart"/>
        <w:r w:rsidR="00DC47E6" w:rsidRPr="00DC47E6">
          <w:rPr>
            <w:rStyle w:val="Lienhypertexte"/>
            <w:rFonts w:asciiTheme="majorEastAsia" w:eastAsiaTheme="majorEastAsia" w:hAnsiTheme="majorEastAsia"/>
            <w:sz w:val="18"/>
            <w:szCs w:val="18"/>
          </w:rPr>
          <w:t>Status</w:t>
        </w:r>
        <w:proofErr w:type="spellEnd"/>
        <w:r w:rsidR="00DC47E6" w:rsidRPr="00DC47E6">
          <w:rPr>
            <w:rStyle w:val="Lienhypertexte"/>
            <w:rFonts w:asciiTheme="majorEastAsia" w:eastAsiaTheme="majorEastAsia" w:hAnsiTheme="majorEastAsia"/>
            <w:sz w:val="18"/>
            <w:szCs w:val="18"/>
          </w:rPr>
          <w:t>-of-Contributions</w:t>
        </w:r>
      </w:hyperlink>
    </w:p>
  </w:footnote>
  <w:footnote w:id="3">
    <w:p w14:paraId="0D4ED6A0" w14:textId="0521C79C" w:rsidR="0027170F" w:rsidRPr="008F6A8E" w:rsidRDefault="0027170F">
      <w:pPr>
        <w:pStyle w:val="Notedebasdepage"/>
        <w:rPr>
          <w:rFonts w:asciiTheme="minorEastAsia" w:eastAsiaTheme="minorEastAsia" w:hAnsiTheme="minorEastAsia"/>
          <w:sz w:val="18"/>
          <w:szCs w:val="18"/>
        </w:rPr>
      </w:pPr>
      <w:r w:rsidRPr="008F6A8E">
        <w:rPr>
          <w:rStyle w:val="Appelnotedebasdep"/>
          <w:rFonts w:asciiTheme="minorEastAsia" w:eastAsiaTheme="minorEastAsia" w:hAnsiTheme="minorEastAsia"/>
          <w:sz w:val="18"/>
          <w:szCs w:val="18"/>
        </w:rPr>
        <w:footnoteRef/>
      </w:r>
      <w:r w:rsidRPr="008F6A8E">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w:t>
      </w:r>
      <w:r w:rsidRPr="008F6A8E">
        <w:rPr>
          <w:rFonts w:asciiTheme="minorEastAsia" w:eastAsiaTheme="minorEastAsia" w:hAnsiTheme="minorEastAsia" w:hint="eastAsia"/>
          <w:sz w:val="18"/>
          <w:szCs w:val="18"/>
        </w:rPr>
        <w:t>筹备性援助</w:t>
      </w:r>
      <w:r>
        <w:rPr>
          <w:rFonts w:asciiTheme="minorEastAsia" w:eastAsiaTheme="minorEastAsia" w:hAnsiTheme="minorEastAsia" w:hint="eastAsia"/>
          <w:sz w:val="18"/>
          <w:szCs w:val="18"/>
        </w:rPr>
        <w:t>”</w:t>
      </w:r>
      <w:r w:rsidRPr="008F6A8E">
        <w:rPr>
          <w:rFonts w:asciiTheme="minorEastAsia" w:eastAsiaTheme="minorEastAsia" w:hAnsiTheme="minorEastAsia" w:hint="eastAsia"/>
          <w:sz w:val="18"/>
          <w:szCs w:val="18"/>
        </w:rPr>
        <w:t>是指缔约国可以申请援助，以编制《急需保护的非物质文化遗产名录》申报材料或《</w:t>
      </w:r>
      <w:r>
        <w:rPr>
          <w:rFonts w:asciiTheme="minorEastAsia" w:eastAsiaTheme="minorEastAsia" w:hAnsiTheme="minorEastAsia" w:hint="eastAsia"/>
          <w:sz w:val="18"/>
          <w:szCs w:val="18"/>
        </w:rPr>
        <w:t>优秀保护实践</w:t>
      </w:r>
      <w:r w:rsidRPr="008F6A8E">
        <w:rPr>
          <w:rFonts w:asciiTheme="minorEastAsia" w:eastAsiaTheme="minorEastAsia" w:hAnsiTheme="minorEastAsia" w:hint="eastAsia"/>
          <w:sz w:val="18"/>
          <w:szCs w:val="18"/>
        </w:rPr>
        <w:t>登记册》提案，在《公约》名录和登记册之间转移遗产，以及扩大或缩小遗产入选范围（《</w:t>
      </w:r>
      <w:hyperlink r:id="rId2" w:history="1">
        <w:r w:rsidRPr="008F6A8E">
          <w:rPr>
            <w:rStyle w:val="Lienhypertexte"/>
            <w:rFonts w:asciiTheme="minorEastAsia" w:eastAsiaTheme="minorEastAsia" w:hAnsiTheme="minorEastAsia" w:hint="eastAsia"/>
            <w:sz w:val="18"/>
            <w:szCs w:val="18"/>
          </w:rPr>
          <w:t>业务指南</w:t>
        </w:r>
      </w:hyperlink>
      <w:r w:rsidRPr="008F6A8E">
        <w:rPr>
          <w:rFonts w:asciiTheme="minorEastAsia" w:eastAsiaTheme="minorEastAsia" w:hAnsiTheme="minorEastAsia" w:hint="eastAsia"/>
          <w:sz w:val="18"/>
          <w:szCs w:val="18"/>
        </w:rPr>
        <w:t>》第</w:t>
      </w:r>
      <w:r w:rsidRPr="008F6A8E">
        <w:rPr>
          <w:rFonts w:asciiTheme="minorEastAsia" w:eastAsiaTheme="minorEastAsia" w:hAnsiTheme="minorEastAsia"/>
          <w:sz w:val="18"/>
          <w:szCs w:val="18"/>
        </w:rPr>
        <w:t xml:space="preserve"> 21 </w:t>
      </w:r>
      <w:r w:rsidRPr="008F6A8E">
        <w:rPr>
          <w:rFonts w:asciiTheme="minorEastAsia" w:eastAsiaTheme="minorEastAsia" w:hAnsiTheme="minorEastAsia" w:hint="eastAsia"/>
          <w:sz w:val="18"/>
          <w:szCs w:val="18"/>
        </w:rPr>
        <w:t>段）。</w:t>
      </w:r>
      <w:r>
        <w:rPr>
          <w:rFonts w:asciiTheme="minorEastAsia" w:eastAsiaTheme="minorEastAsia" w:hAnsiTheme="minorEastAsia" w:hint="eastAsia"/>
          <w:sz w:val="18"/>
          <w:szCs w:val="18"/>
        </w:rPr>
        <w:t>“</w:t>
      </w:r>
      <w:r w:rsidRPr="008F6A8E">
        <w:rPr>
          <w:rFonts w:asciiTheme="minorEastAsia" w:eastAsiaTheme="minorEastAsia" w:hAnsiTheme="minorEastAsia" w:hint="eastAsia"/>
          <w:sz w:val="18"/>
          <w:szCs w:val="18"/>
        </w:rPr>
        <w:t>技术援助</w:t>
      </w:r>
      <w:r>
        <w:rPr>
          <w:rFonts w:asciiTheme="minorEastAsia" w:eastAsiaTheme="minorEastAsia" w:hAnsiTheme="minorEastAsia" w:hint="eastAsia"/>
          <w:sz w:val="18"/>
          <w:szCs w:val="18"/>
        </w:rPr>
        <w:t>”</w:t>
      </w:r>
      <w:r w:rsidRPr="008F6A8E">
        <w:rPr>
          <w:rFonts w:asciiTheme="minorEastAsia" w:eastAsiaTheme="minorEastAsia" w:hAnsiTheme="minorEastAsia" w:hint="eastAsia"/>
          <w:sz w:val="18"/>
          <w:szCs w:val="18"/>
        </w:rPr>
        <w:t>是指《公约》第</w:t>
      </w:r>
      <w:r w:rsidRPr="008F6A8E">
        <w:rPr>
          <w:rFonts w:asciiTheme="minorEastAsia" w:eastAsiaTheme="minorEastAsia" w:hAnsiTheme="minorEastAsia"/>
          <w:sz w:val="18"/>
          <w:szCs w:val="18"/>
        </w:rPr>
        <w:t xml:space="preserve"> 21 </w:t>
      </w:r>
      <w:r w:rsidRPr="008F6A8E">
        <w:rPr>
          <w:rFonts w:asciiTheme="minorEastAsia" w:eastAsiaTheme="minorEastAsia" w:hAnsiTheme="minorEastAsia" w:hint="eastAsia"/>
          <w:sz w:val="18"/>
          <w:szCs w:val="18"/>
        </w:rPr>
        <w:t>条所述的向希望提出国际援助申请的缔约国提供专家</w:t>
      </w:r>
      <w:r>
        <w:rPr>
          <w:rFonts w:asciiTheme="minorEastAsia" w:eastAsiaTheme="minorEastAsia" w:hAnsiTheme="minorEastAsia" w:hint="eastAsia"/>
          <w:sz w:val="18"/>
          <w:szCs w:val="18"/>
        </w:rPr>
        <w:t>支持</w:t>
      </w:r>
      <w:r w:rsidRPr="008F6A8E">
        <w:rPr>
          <w:rFonts w:asciiTheme="minorEastAsia" w:eastAsiaTheme="minorEastAsia" w:hAnsiTheme="minorEastAsia" w:hint="eastAsia"/>
          <w:sz w:val="18"/>
          <w:szCs w:val="18"/>
        </w:rPr>
        <w:t>（第</w:t>
      </w:r>
      <w:r w:rsidRPr="008F6A8E">
        <w:rPr>
          <w:rFonts w:asciiTheme="minorEastAsia" w:eastAsiaTheme="minorEastAsia" w:hAnsiTheme="minorEastAsia"/>
          <w:sz w:val="18"/>
          <w:szCs w:val="18"/>
        </w:rPr>
        <w:t xml:space="preserve"> </w:t>
      </w:r>
      <w:hyperlink r:id="rId3" w:history="1">
        <w:r w:rsidRPr="008F6A8E">
          <w:rPr>
            <w:rStyle w:val="Lienhypertexte"/>
            <w:rFonts w:asciiTheme="minorEastAsia" w:eastAsiaTheme="minorEastAsia" w:hAnsiTheme="minorEastAsia"/>
            <w:sz w:val="18"/>
            <w:szCs w:val="18"/>
          </w:rPr>
          <w:t>8.COM 7.c</w:t>
        </w:r>
      </w:hyperlink>
      <w:r w:rsidRPr="008F6A8E">
        <w:rPr>
          <w:rFonts w:asciiTheme="minorEastAsia" w:eastAsiaTheme="minorEastAsia" w:hAnsiTheme="minorEastAsia" w:hint="eastAsia"/>
          <w:sz w:val="18"/>
          <w:szCs w:val="18"/>
        </w:rPr>
        <w:t>号决定）。</w:t>
      </w:r>
    </w:p>
  </w:footnote>
  <w:footnote w:id="4">
    <w:p w14:paraId="5015B54C" w14:textId="1FEFB7E9" w:rsidR="00243628" w:rsidRPr="008F6A8E" w:rsidRDefault="00243628">
      <w:pPr>
        <w:pStyle w:val="Notedebasdepage"/>
        <w:rPr>
          <w:rFonts w:asciiTheme="majorEastAsia" w:eastAsiaTheme="majorEastAsia" w:hAnsiTheme="majorEastAsia"/>
          <w:sz w:val="18"/>
          <w:szCs w:val="18"/>
        </w:rPr>
      </w:pPr>
      <w:r w:rsidRPr="008F6A8E">
        <w:rPr>
          <w:rStyle w:val="Appelnotedebasdep"/>
          <w:rFonts w:asciiTheme="majorEastAsia" w:eastAsiaTheme="majorEastAsia" w:hAnsiTheme="majorEastAsia"/>
          <w:sz w:val="18"/>
          <w:szCs w:val="18"/>
        </w:rPr>
        <w:footnoteRef/>
      </w:r>
      <w:r w:rsidRPr="008F6A8E">
        <w:rPr>
          <w:rFonts w:asciiTheme="majorEastAsia" w:eastAsiaTheme="majorEastAsia" w:hAnsiTheme="majorEastAsia"/>
          <w:sz w:val="18"/>
          <w:szCs w:val="18"/>
        </w:rPr>
        <w:t xml:space="preserve"> </w:t>
      </w:r>
      <w:r w:rsidRPr="008F6A8E">
        <w:rPr>
          <w:rFonts w:asciiTheme="majorEastAsia" w:eastAsiaTheme="majorEastAsia" w:hAnsiTheme="majorEastAsia" w:hint="eastAsia"/>
          <w:sz w:val="18"/>
          <w:szCs w:val="18"/>
        </w:rPr>
        <w:t>拟议的预期成果</w:t>
      </w:r>
      <w:r w:rsidRPr="008F6A8E">
        <w:rPr>
          <w:rFonts w:asciiTheme="majorEastAsia" w:eastAsiaTheme="majorEastAsia" w:hAnsiTheme="majorEastAsia"/>
          <w:sz w:val="18"/>
          <w:szCs w:val="18"/>
        </w:rPr>
        <w:t>1</w:t>
      </w:r>
      <w:r w:rsidRPr="008F6A8E">
        <w:rPr>
          <w:rFonts w:asciiTheme="majorEastAsia" w:eastAsiaTheme="majorEastAsia" w:hAnsiTheme="majorEastAsia" w:hint="eastAsia"/>
          <w:sz w:val="18"/>
          <w:szCs w:val="18"/>
        </w:rPr>
        <w:t>与</w:t>
      </w:r>
      <w:r w:rsidRPr="008F6A8E">
        <w:rPr>
          <w:rFonts w:asciiTheme="majorEastAsia" w:eastAsiaTheme="majorEastAsia" w:hAnsiTheme="majorEastAsia"/>
          <w:sz w:val="18"/>
          <w:szCs w:val="18"/>
        </w:rPr>
        <w:t>42 C/5</w:t>
      </w:r>
      <w:r w:rsidRPr="008F6A8E">
        <w:rPr>
          <w:rFonts w:asciiTheme="majorEastAsia" w:eastAsiaTheme="majorEastAsia" w:hAnsiTheme="majorEastAsia" w:hint="eastAsia"/>
          <w:sz w:val="18"/>
          <w:szCs w:val="18"/>
        </w:rPr>
        <w:t>产出</w:t>
      </w:r>
      <w:r w:rsidRPr="008F6A8E">
        <w:rPr>
          <w:rFonts w:asciiTheme="majorEastAsia" w:eastAsiaTheme="majorEastAsia" w:hAnsiTheme="majorEastAsia"/>
          <w:sz w:val="18"/>
          <w:szCs w:val="18"/>
        </w:rPr>
        <w:t>5.CLT4</w:t>
      </w:r>
      <w:r w:rsidRPr="008F6A8E">
        <w:rPr>
          <w:rFonts w:asciiTheme="majorEastAsia" w:eastAsiaTheme="majorEastAsia" w:hAnsiTheme="majorEastAsia" w:hint="eastAsia"/>
          <w:sz w:val="18"/>
          <w:szCs w:val="18"/>
        </w:rPr>
        <w:t>的绩效指标</w:t>
      </w:r>
      <w:r w:rsidRPr="008F6A8E">
        <w:rPr>
          <w:rFonts w:asciiTheme="majorEastAsia" w:eastAsiaTheme="majorEastAsia" w:hAnsiTheme="majorEastAsia"/>
          <w:sz w:val="18"/>
          <w:szCs w:val="18"/>
        </w:rPr>
        <w:t>1</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根据</w:t>
      </w:r>
      <w:r w:rsidRPr="008F6A8E">
        <w:rPr>
          <w:rFonts w:asciiTheme="majorEastAsia" w:eastAsiaTheme="majorEastAsia" w:hAnsiTheme="majorEastAsia"/>
          <w:sz w:val="18"/>
          <w:szCs w:val="18"/>
        </w:rPr>
        <w:t xml:space="preserve"> 2003 </w:t>
      </w:r>
      <w:r w:rsidRPr="008F6A8E">
        <w:rPr>
          <w:rFonts w:asciiTheme="majorEastAsia" w:eastAsiaTheme="majorEastAsia" w:hAnsiTheme="majorEastAsia" w:hint="eastAsia"/>
          <w:sz w:val="18"/>
          <w:szCs w:val="18"/>
        </w:rPr>
        <w:t>年《保护非物质文化遗产公约》，制定新的或修订的保护活的遗产的政策、战略和计划，包括在可持续发展计划和框架内的政策、战略和计划的会员国数量</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相一致。它合并了</w:t>
      </w:r>
      <w:r w:rsidRPr="008F6A8E">
        <w:rPr>
          <w:rFonts w:asciiTheme="majorEastAsia" w:eastAsiaTheme="majorEastAsia" w:hAnsiTheme="majorEastAsia"/>
          <w:sz w:val="18"/>
          <w:szCs w:val="18"/>
        </w:rPr>
        <w:t xml:space="preserve"> 2022--2023 </w:t>
      </w:r>
      <w:r w:rsidRPr="008F6A8E">
        <w:rPr>
          <w:rFonts w:asciiTheme="majorEastAsia" w:eastAsiaTheme="majorEastAsia" w:hAnsiTheme="majorEastAsia" w:hint="eastAsia"/>
          <w:sz w:val="18"/>
          <w:szCs w:val="18"/>
        </w:rPr>
        <w:t>年计划中原有的预期成果</w:t>
      </w:r>
      <w:r w:rsidRPr="008F6A8E">
        <w:rPr>
          <w:rFonts w:asciiTheme="majorEastAsia" w:eastAsiaTheme="majorEastAsia" w:hAnsiTheme="majorEastAsia"/>
          <w:sz w:val="18"/>
          <w:szCs w:val="18"/>
        </w:rPr>
        <w:t xml:space="preserve"> 2</w:t>
      </w:r>
      <w:r w:rsidRPr="008F6A8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通过加强能力建设计划，鼓励会员国实施《公约》</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）和预期成果</w:t>
      </w:r>
      <w:r w:rsidRPr="008F6A8E">
        <w:rPr>
          <w:rFonts w:asciiTheme="majorEastAsia" w:eastAsiaTheme="majorEastAsia" w:hAnsiTheme="majorEastAsia"/>
          <w:sz w:val="18"/>
          <w:szCs w:val="18"/>
        </w:rPr>
        <w:t xml:space="preserve"> 3</w:t>
      </w:r>
      <w:r w:rsidRPr="008F6A8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支持将非物质文化遗产纳入发展规划、政策和计划</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w:t>
      </w:r>
    </w:p>
  </w:footnote>
  <w:footnote w:id="5">
    <w:p w14:paraId="77392BC1" w14:textId="632ADC90" w:rsidR="009C3A55" w:rsidRDefault="009C3A55">
      <w:pPr>
        <w:pStyle w:val="Notedebasdepage"/>
      </w:pPr>
      <w:r>
        <w:rPr>
          <w:rStyle w:val="Appelnotedebasdep"/>
        </w:rPr>
        <w:footnoteRef/>
      </w:r>
      <w:r>
        <w:t xml:space="preserve"> </w:t>
      </w:r>
      <w:r w:rsidRPr="008F6A8E">
        <w:rPr>
          <w:rFonts w:asciiTheme="majorEastAsia" w:eastAsiaTheme="majorEastAsia" w:hAnsiTheme="majorEastAsia" w:hint="eastAsia"/>
          <w:sz w:val="18"/>
          <w:szCs w:val="18"/>
        </w:rPr>
        <w:t>拟议的预期成果</w:t>
      </w:r>
      <w:r w:rsidRPr="008F6A8E">
        <w:rPr>
          <w:rFonts w:asciiTheme="majorEastAsia" w:eastAsiaTheme="majorEastAsia" w:hAnsiTheme="majorEastAsia"/>
          <w:sz w:val="18"/>
          <w:szCs w:val="18"/>
        </w:rPr>
        <w:t xml:space="preserve"> 2</w:t>
      </w:r>
      <w:r w:rsidRPr="008F6A8E">
        <w:rPr>
          <w:rFonts w:asciiTheme="majorEastAsia" w:eastAsiaTheme="majorEastAsia" w:hAnsiTheme="majorEastAsia" w:hint="eastAsia"/>
          <w:sz w:val="18"/>
          <w:szCs w:val="18"/>
        </w:rPr>
        <w:t>与</w:t>
      </w:r>
      <w:r w:rsidRPr="008F6A8E">
        <w:rPr>
          <w:rFonts w:asciiTheme="majorEastAsia" w:eastAsiaTheme="majorEastAsia" w:hAnsiTheme="majorEastAsia"/>
          <w:sz w:val="18"/>
          <w:szCs w:val="18"/>
        </w:rPr>
        <w:t xml:space="preserve"> 42 C/5</w:t>
      </w:r>
      <w:r w:rsidRPr="008F6A8E">
        <w:rPr>
          <w:rFonts w:asciiTheme="majorEastAsia" w:eastAsiaTheme="majorEastAsia" w:hAnsiTheme="majorEastAsia" w:hint="eastAsia"/>
          <w:sz w:val="18"/>
          <w:szCs w:val="18"/>
        </w:rPr>
        <w:t>产出</w:t>
      </w:r>
      <w:r w:rsidRPr="008F6A8E">
        <w:rPr>
          <w:rFonts w:asciiTheme="majorEastAsia" w:eastAsiaTheme="majorEastAsia" w:hAnsiTheme="majorEastAsia"/>
          <w:sz w:val="18"/>
          <w:szCs w:val="18"/>
        </w:rPr>
        <w:t xml:space="preserve"> 5.CLT4 </w:t>
      </w:r>
      <w:r w:rsidRPr="008F6A8E">
        <w:rPr>
          <w:rFonts w:asciiTheme="majorEastAsia" w:eastAsiaTheme="majorEastAsia" w:hAnsiTheme="majorEastAsia" w:hint="eastAsia"/>
          <w:sz w:val="18"/>
          <w:szCs w:val="18"/>
        </w:rPr>
        <w:t>中的绩效指标</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通过加强</w:t>
      </w:r>
      <w:r w:rsidRPr="008F6A8E">
        <w:rPr>
          <w:rFonts w:asciiTheme="majorEastAsia" w:eastAsiaTheme="majorEastAsia" w:hAnsiTheme="majorEastAsia"/>
          <w:sz w:val="18"/>
          <w:szCs w:val="18"/>
        </w:rPr>
        <w:t xml:space="preserve"> 2003 </w:t>
      </w:r>
      <w:r w:rsidRPr="008F6A8E">
        <w:rPr>
          <w:rFonts w:asciiTheme="majorEastAsia" w:eastAsiaTheme="majorEastAsia" w:hAnsiTheme="majorEastAsia" w:hint="eastAsia"/>
          <w:sz w:val="18"/>
          <w:szCs w:val="18"/>
        </w:rPr>
        <w:t>年《保护非物质文化遗产公约》的国际合作和援助机制，可持续地保护活的遗产的会员国数量</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相一致。它合并了</w:t>
      </w:r>
      <w:r w:rsidRPr="008F6A8E">
        <w:rPr>
          <w:rFonts w:asciiTheme="majorEastAsia" w:eastAsiaTheme="majorEastAsia" w:hAnsiTheme="majorEastAsia"/>
          <w:sz w:val="18"/>
          <w:szCs w:val="18"/>
        </w:rPr>
        <w:t xml:space="preserve"> 2022--2023 </w:t>
      </w:r>
      <w:r w:rsidRPr="008F6A8E">
        <w:rPr>
          <w:rFonts w:asciiTheme="majorEastAsia" w:eastAsiaTheme="majorEastAsia" w:hAnsiTheme="majorEastAsia" w:hint="eastAsia"/>
          <w:sz w:val="18"/>
          <w:szCs w:val="18"/>
        </w:rPr>
        <w:t>年计划中原有的预期成果</w:t>
      </w:r>
      <w:r w:rsidRPr="008F6A8E">
        <w:rPr>
          <w:rFonts w:asciiTheme="majorEastAsia" w:eastAsiaTheme="majorEastAsia" w:hAnsiTheme="majorEastAsia"/>
          <w:sz w:val="18"/>
          <w:szCs w:val="18"/>
        </w:rPr>
        <w:t xml:space="preserve"> 1</w:t>
      </w:r>
      <w:r w:rsidRPr="008F6A8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通过加强监测和知识管理服务促进《</w:t>
      </w:r>
      <w:r w:rsidRPr="008F6A8E">
        <w:rPr>
          <w:rFonts w:asciiTheme="majorEastAsia" w:eastAsiaTheme="majorEastAsia" w:hAnsiTheme="majorEastAsia"/>
          <w:sz w:val="18"/>
          <w:szCs w:val="18"/>
        </w:rPr>
        <w:t xml:space="preserve">2003 </w:t>
      </w:r>
      <w:r w:rsidRPr="008F6A8E">
        <w:rPr>
          <w:rFonts w:asciiTheme="majorEastAsia" w:eastAsiaTheme="majorEastAsia" w:hAnsiTheme="majorEastAsia" w:hint="eastAsia"/>
          <w:sz w:val="18"/>
          <w:szCs w:val="18"/>
        </w:rPr>
        <w:t>年公约》的健全管理</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）和预期成果</w:t>
      </w:r>
      <w:r w:rsidRPr="008F6A8E">
        <w:rPr>
          <w:rFonts w:asciiTheme="majorEastAsia" w:eastAsiaTheme="majorEastAsia" w:hAnsiTheme="majorEastAsia"/>
          <w:sz w:val="18"/>
          <w:szCs w:val="18"/>
        </w:rPr>
        <w:t xml:space="preserve"> 4</w:t>
      </w:r>
      <w:r w:rsidRPr="008F6A8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通过提高认识和宣传促进《公约》目标的实现</w:t>
      </w:r>
      <w:r>
        <w:rPr>
          <w:rFonts w:asciiTheme="majorEastAsia" w:eastAsiaTheme="majorEastAsia" w:hAnsiTheme="majorEastAsia" w:hint="eastAsia"/>
          <w:sz w:val="18"/>
          <w:szCs w:val="18"/>
        </w:rPr>
        <w:t>”</w:t>
      </w:r>
      <w:r w:rsidRPr="008F6A8E">
        <w:rPr>
          <w:rFonts w:asciiTheme="majorEastAsia" w:eastAsiaTheme="majorEastAsia" w:hAnsiTheme="majorEastAsia"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2184035B" w:rsidR="00D95C4C" w:rsidRPr="00C23A97" w:rsidRDefault="00C5776D" w:rsidP="00C5776D">
    <w:pPr>
      <w:pStyle w:val="En-tte"/>
      <w:rPr>
        <w:rFonts w:ascii="Arial" w:hAnsi="Arial" w:cs="Arial"/>
      </w:rPr>
    </w:pPr>
    <w:r>
      <w:rPr>
        <w:rFonts w:ascii="Arial" w:hAnsi="Arial" w:hint="eastAsia"/>
        <w:sz w:val="20"/>
      </w:rPr>
      <w:t xml:space="preserve">LHE/24/10.GA/8 </w:t>
    </w:r>
    <w:r>
      <w:rPr>
        <w:rFonts w:ascii="Arial" w:hAnsi="Arial" w:hint="eastAsia"/>
        <w:sz w:val="20"/>
      </w:rPr>
      <w:t>–</w:t>
    </w:r>
    <w:r>
      <w:rPr>
        <w:rFonts w:ascii="Arial" w:hAnsi="Arial" w:hint="eastAsia"/>
        <w:sz w:val="20"/>
      </w:rPr>
      <w:t xml:space="preserve"> </w:t>
    </w:r>
    <w:r>
      <w:rPr>
        <w:rFonts w:ascii="Arial" w:hAnsi="Arial" w:hint="eastAsia"/>
        <w:sz w:val="20"/>
      </w:rPr>
      <w:t>第</w:t>
    </w:r>
    <w:r w:rsidR="00D95C4C" w:rsidRPr="00C23A97">
      <w:rPr>
        <w:rStyle w:val="Numrodepage"/>
        <w:rFonts w:ascii="Arial" w:hAnsi="Arial" w:cs="Arial" w:hint="eastAsia"/>
        <w:sz w:val="20"/>
        <w:szCs w:val="20"/>
      </w:rPr>
      <w:fldChar w:fldCharType="begin"/>
    </w:r>
    <w:r w:rsidR="00D95C4C" w:rsidRPr="00C23A97">
      <w:rPr>
        <w:rStyle w:val="Numrodepage"/>
        <w:rFonts w:ascii="Arial" w:hAnsi="Arial" w:cs="Arial" w:hint="eastAsia"/>
        <w:sz w:val="20"/>
        <w:szCs w:val="20"/>
      </w:rPr>
      <w:instrText xml:space="preserve"> PAGE </w:instrText>
    </w:r>
    <w:r w:rsidR="00D95C4C" w:rsidRPr="00C23A97">
      <w:rPr>
        <w:rStyle w:val="Numrodepage"/>
        <w:rFonts w:ascii="Arial" w:hAnsi="Arial" w:cs="Arial" w:hint="eastAsia"/>
        <w:sz w:val="20"/>
        <w:szCs w:val="20"/>
      </w:rPr>
      <w:fldChar w:fldCharType="separate"/>
    </w:r>
    <w:r w:rsidR="00E05024">
      <w:rPr>
        <w:rStyle w:val="Numrodepage"/>
        <w:rFonts w:ascii="Arial" w:hAnsi="Arial" w:cs="Arial"/>
        <w:noProof/>
        <w:sz w:val="20"/>
        <w:szCs w:val="20"/>
      </w:rPr>
      <w:t>10</w:t>
    </w:r>
    <w:r w:rsidR="00D95C4C" w:rsidRPr="00C23A97">
      <w:rPr>
        <w:rStyle w:val="Numrodepage"/>
        <w:rFonts w:ascii="Arial" w:hAnsi="Arial" w:cs="Arial" w:hint="eastAsia"/>
        <w:sz w:val="20"/>
        <w:szCs w:val="20"/>
      </w:rPr>
      <w:fldChar w:fldCharType="end"/>
    </w:r>
    <w:r>
      <w:rPr>
        <w:rFonts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6495616D" w:rsidR="00D95C4C" w:rsidRPr="0063300C" w:rsidRDefault="00C5776D" w:rsidP="00C5776D">
    <w:pPr>
      <w:pStyle w:val="En-tte"/>
      <w:jc w:val="right"/>
      <w:rPr>
        <w:rFonts w:ascii="Arial" w:hAnsi="Arial" w:cs="Arial"/>
      </w:rPr>
    </w:pPr>
    <w:bookmarkStart w:id="10" w:name="_Hlk161650733"/>
    <w:r>
      <w:rPr>
        <w:rFonts w:ascii="Arial" w:hAnsi="Arial" w:hint="eastAsia"/>
        <w:sz w:val="20"/>
      </w:rPr>
      <w:t xml:space="preserve">LHE/24/10.GA/8 </w:t>
    </w:r>
    <w:bookmarkEnd w:id="10"/>
    <w:r>
      <w:rPr>
        <w:rFonts w:ascii="Arial" w:hAnsi="Arial" w:hint="eastAsia"/>
        <w:sz w:val="20"/>
      </w:rPr>
      <w:t>–</w:t>
    </w:r>
    <w:r>
      <w:rPr>
        <w:rFonts w:ascii="Arial" w:hAnsi="Arial" w:hint="eastAsia"/>
        <w:sz w:val="20"/>
      </w:rPr>
      <w:t xml:space="preserve"> </w:t>
    </w:r>
    <w:r>
      <w:rPr>
        <w:rFonts w:ascii="Arial" w:hAnsi="Arial" w:hint="eastAsia"/>
        <w:sz w:val="20"/>
      </w:rPr>
      <w:t>第</w:t>
    </w:r>
    <w:r w:rsidR="004A34A0" w:rsidRPr="0063300C">
      <w:rPr>
        <w:rStyle w:val="Numrodepage"/>
        <w:rFonts w:ascii="Arial" w:hAnsi="Arial" w:cs="Arial" w:hint="eastAsia"/>
        <w:sz w:val="20"/>
        <w:szCs w:val="20"/>
      </w:rPr>
      <w:fldChar w:fldCharType="begin"/>
    </w:r>
    <w:r w:rsidR="004A34A0" w:rsidRPr="0063300C">
      <w:rPr>
        <w:rStyle w:val="Numrodepage"/>
        <w:rFonts w:ascii="Arial" w:hAnsi="Arial" w:cs="Arial" w:hint="eastAsia"/>
        <w:sz w:val="20"/>
        <w:szCs w:val="20"/>
      </w:rPr>
      <w:instrText xml:space="preserve"> PAGE </w:instrText>
    </w:r>
    <w:r w:rsidR="004A34A0" w:rsidRPr="0063300C">
      <w:rPr>
        <w:rStyle w:val="Numrodepage"/>
        <w:rFonts w:ascii="Arial" w:hAnsi="Arial" w:cs="Arial" w:hint="eastAsia"/>
        <w:sz w:val="20"/>
        <w:szCs w:val="20"/>
      </w:rPr>
      <w:fldChar w:fldCharType="separate"/>
    </w:r>
    <w:r w:rsidR="00E05024">
      <w:rPr>
        <w:rStyle w:val="Numrodepage"/>
        <w:rFonts w:ascii="Arial" w:hAnsi="Arial" w:cs="Arial"/>
        <w:noProof/>
        <w:sz w:val="20"/>
        <w:szCs w:val="20"/>
      </w:rPr>
      <w:t>9</w:t>
    </w:r>
    <w:r w:rsidR="004A34A0" w:rsidRPr="0063300C">
      <w:rPr>
        <w:rStyle w:val="Numrodepage"/>
        <w:rFonts w:ascii="Arial" w:hAnsi="Arial" w:cs="Arial" w:hint="eastAsia"/>
        <w:sz w:val="20"/>
        <w:szCs w:val="20"/>
      </w:rPr>
      <w:fldChar w:fldCharType="end"/>
    </w:r>
    <w:r>
      <w:rPr>
        <w:rFonts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5B304EC4" w:rsidR="00D95C4C" w:rsidRPr="00E95AE2" w:rsidRDefault="00A10132">
    <w:pPr>
      <w:pStyle w:val="En-tte"/>
      <w:rPr>
        <w:sz w:val="22"/>
        <w:szCs w:val="22"/>
      </w:rPr>
    </w:pPr>
    <w:r>
      <w:rPr>
        <w:noProof/>
      </w:rPr>
      <w:drawing>
        <wp:anchor distT="0" distB="0" distL="114300" distR="114300" simplePos="0" relativeHeight="251658240" behindDoc="0" locked="0" layoutInCell="1" allowOverlap="1" wp14:anchorId="674A99FB" wp14:editId="1BFF7A0C">
          <wp:simplePos x="0" y="0"/>
          <wp:positionH relativeFrom="column">
            <wp:posOffset>568</wp:posOffset>
          </wp:positionH>
          <wp:positionV relativeFrom="paragraph">
            <wp:posOffset>66675</wp:posOffset>
          </wp:positionV>
          <wp:extent cx="1893600" cy="1440000"/>
          <wp:effectExtent l="0" t="0" r="0" b="8255"/>
          <wp:wrapSquare wrapText="bothSides"/>
          <wp:docPr id="2"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482825F8" w:rsidR="00D95C4C" w:rsidRPr="00A10132" w:rsidRDefault="005C792B" w:rsidP="00C5776D">
    <w:pPr>
      <w:pStyle w:val="En-tte"/>
      <w:spacing w:after="520"/>
      <w:jc w:val="right"/>
      <w:rPr>
        <w:rFonts w:ascii="Arial" w:hAnsi="Arial" w:cs="Arial"/>
        <w:b/>
        <w:sz w:val="44"/>
        <w:szCs w:val="44"/>
        <w:lang w:val="nl-NL"/>
      </w:rPr>
    </w:pPr>
    <w:r w:rsidRPr="00A10132">
      <w:rPr>
        <w:rFonts w:ascii="Arial" w:hAnsi="Arial" w:hint="eastAsia"/>
        <w:b/>
        <w:sz w:val="44"/>
        <w:lang w:val="nl-NL"/>
      </w:rPr>
      <w:t>10 GA</w:t>
    </w:r>
  </w:p>
  <w:p w14:paraId="306484B8" w14:textId="723523A8" w:rsidR="00D95C4C" w:rsidRPr="00A10132" w:rsidRDefault="00C5776D" w:rsidP="00C5776D">
    <w:pPr>
      <w:jc w:val="right"/>
      <w:rPr>
        <w:rFonts w:ascii="Arial" w:hAnsi="Arial" w:cs="Arial"/>
        <w:b/>
        <w:sz w:val="22"/>
        <w:szCs w:val="22"/>
        <w:lang w:val="nl-NL"/>
      </w:rPr>
    </w:pPr>
    <w:r w:rsidRPr="00A10132">
      <w:rPr>
        <w:rFonts w:ascii="Arial" w:hAnsi="Arial" w:hint="eastAsia"/>
        <w:b/>
        <w:sz w:val="22"/>
        <w:lang w:val="nl-NL"/>
      </w:rPr>
      <w:t>LHE/24/10.GA/8</w:t>
    </w:r>
  </w:p>
  <w:p w14:paraId="1B4446C3" w14:textId="1C58153E" w:rsidR="00D95C4C" w:rsidRPr="00A10132" w:rsidRDefault="00D95C4C" w:rsidP="00655736">
    <w:pPr>
      <w:jc w:val="right"/>
      <w:rPr>
        <w:rFonts w:ascii="Arial" w:eastAsiaTheme="minorEastAsia" w:hAnsi="Arial" w:cs="Arial"/>
        <w:b/>
        <w:sz w:val="22"/>
        <w:szCs w:val="22"/>
        <w:lang w:val="nl-NL"/>
      </w:rPr>
    </w:pPr>
    <w:r>
      <w:rPr>
        <w:rFonts w:ascii="Arial" w:hAnsi="Arial" w:hint="eastAsia"/>
        <w:b/>
        <w:sz w:val="22"/>
      </w:rPr>
      <w:t>巴黎</w:t>
    </w:r>
    <w:r w:rsidRPr="00A10132">
      <w:rPr>
        <w:rFonts w:ascii="Arial" w:hAnsi="Arial" w:hint="eastAsia"/>
        <w:b/>
        <w:sz w:val="22"/>
        <w:lang w:val="nl-NL"/>
      </w:rPr>
      <w:t>，</w:t>
    </w:r>
    <w:r w:rsidRPr="00A10132">
      <w:rPr>
        <w:rFonts w:ascii="Arial" w:hAnsi="Arial" w:hint="eastAsia"/>
        <w:b/>
        <w:sz w:val="22"/>
        <w:lang w:val="nl-NL"/>
      </w:rPr>
      <w:t>2024</w:t>
    </w:r>
    <w:r w:rsidRPr="00652AAB">
      <w:rPr>
        <w:rFonts w:ascii="Arial" w:hAnsi="Arial" w:hint="eastAsia"/>
        <w:b/>
        <w:sz w:val="22"/>
      </w:rPr>
      <w:t>年</w:t>
    </w:r>
    <w:r w:rsidRPr="00652AAB">
      <w:rPr>
        <w:rFonts w:ascii="Arial" w:hAnsi="Arial" w:hint="eastAsia"/>
        <w:b/>
        <w:sz w:val="22"/>
        <w:lang w:val="nl-NL"/>
      </w:rPr>
      <w:t>5</w:t>
    </w:r>
    <w:r w:rsidRPr="00652AAB">
      <w:rPr>
        <w:rFonts w:ascii="Arial" w:hAnsi="Arial" w:hint="eastAsia"/>
        <w:b/>
        <w:sz w:val="22"/>
      </w:rPr>
      <w:t>月</w:t>
    </w:r>
    <w:r w:rsidR="00150F45" w:rsidRPr="00652AAB">
      <w:rPr>
        <w:rFonts w:ascii="Arial" w:hAnsi="Arial"/>
        <w:b/>
        <w:sz w:val="22"/>
        <w:lang w:val="nl-NL"/>
      </w:rPr>
      <w:t>2</w:t>
    </w:r>
    <w:r w:rsidR="004704FE" w:rsidRPr="00652AAB">
      <w:rPr>
        <w:rFonts w:ascii="Arial" w:hAnsi="Arial"/>
        <w:b/>
        <w:sz w:val="22"/>
        <w:lang w:val="nl-NL"/>
      </w:rPr>
      <w:t>4</w:t>
    </w:r>
    <w:r w:rsidRPr="00652AAB">
      <w:rPr>
        <w:rFonts w:ascii="Arial" w:hAnsi="Arial" w:hint="eastAsia"/>
        <w:b/>
        <w:sz w:val="22"/>
      </w:rPr>
      <w:t>日</w:t>
    </w:r>
  </w:p>
  <w:p w14:paraId="255B57FF" w14:textId="440FA501" w:rsidR="00D95C4C" w:rsidRPr="00F32C23" w:rsidRDefault="00D95C4C" w:rsidP="00962034">
    <w:pPr>
      <w:spacing w:after="120"/>
      <w:jc w:val="right"/>
      <w:rPr>
        <w:rFonts w:ascii="Arial" w:hAnsi="Arial" w:cs="Arial"/>
        <w:b/>
        <w:sz w:val="22"/>
        <w:szCs w:val="22"/>
      </w:rPr>
    </w:pPr>
    <w:r>
      <w:rPr>
        <w:rFonts w:ascii="Arial" w:hAnsi="Arial" w:hint="eastAsia"/>
        <w:b/>
        <w:sz w:val="22"/>
      </w:rPr>
      <w:t>原文：英文</w:t>
    </w:r>
  </w:p>
  <w:p w14:paraId="3C4B8B1B" w14:textId="77777777" w:rsidR="00D95C4C" w:rsidRPr="008F6A8E" w:rsidRDefault="00D95C4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5F0A7196"/>
    <w:lvl w:ilvl="0" w:tplc="4A669414">
      <w:start w:val="1"/>
      <w:numFmt w:val="decimal"/>
      <w:lvlText w:val="%1."/>
      <w:lvlJc w:val="left"/>
      <w:pPr>
        <w:ind w:left="644" w:hanging="360"/>
      </w:pPr>
      <w:rPr>
        <w:rFonts w:hint="default"/>
        <w:b w:val="0"/>
        <w:bCs w:val="0"/>
      </w:rPr>
    </w:lvl>
    <w:lvl w:ilvl="1" w:tplc="04090019">
      <w:start w:val="1"/>
      <w:numFmt w:val="lowerLetter"/>
      <w:lvlText w:val="%2."/>
      <w:lvlJc w:val="left"/>
      <w:pPr>
        <w:ind w:left="1454" w:hanging="360"/>
      </w:pPr>
    </w:lvl>
    <w:lvl w:ilvl="2" w:tplc="2550F786">
      <w:start w:val="1"/>
      <w:numFmt w:val="lowerLetter"/>
      <w:lvlText w:val="%3)"/>
      <w:lvlJc w:val="left"/>
      <w:pPr>
        <w:ind w:left="2354" w:hanging="360"/>
      </w:pPr>
      <w:rPr>
        <w:rFonts w:hint="default"/>
      </w:r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C23678"/>
    <w:multiLevelType w:val="hybridMultilevel"/>
    <w:tmpl w:val="0818CF1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0C0017">
      <w:start w:val="1"/>
      <w:numFmt w:val="lowerLetter"/>
      <w:lvlText w:val="%3)"/>
      <w:lvlJc w:val="left"/>
      <w:pPr>
        <w:ind w:left="3049"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06BFA"/>
    <w:multiLevelType w:val="hybridMultilevel"/>
    <w:tmpl w:val="51B87C28"/>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15996998">
    <w:abstractNumId w:val="14"/>
  </w:num>
  <w:num w:numId="2" w16cid:durableId="726298188">
    <w:abstractNumId w:val="8"/>
  </w:num>
  <w:num w:numId="3" w16cid:durableId="154104886">
    <w:abstractNumId w:val="3"/>
  </w:num>
  <w:num w:numId="4" w16cid:durableId="301349410">
    <w:abstractNumId w:val="16"/>
  </w:num>
  <w:num w:numId="5" w16cid:durableId="1375350564">
    <w:abstractNumId w:val="15"/>
  </w:num>
  <w:num w:numId="6" w16cid:durableId="1586180969">
    <w:abstractNumId w:val="1"/>
  </w:num>
  <w:num w:numId="7" w16cid:durableId="935091862">
    <w:abstractNumId w:val="4"/>
  </w:num>
  <w:num w:numId="8" w16cid:durableId="397828017">
    <w:abstractNumId w:val="13"/>
  </w:num>
  <w:num w:numId="9" w16cid:durableId="616913699">
    <w:abstractNumId w:val="7"/>
  </w:num>
  <w:num w:numId="10" w16cid:durableId="309987256">
    <w:abstractNumId w:val="9"/>
  </w:num>
  <w:num w:numId="11" w16cid:durableId="703285211">
    <w:abstractNumId w:val="12"/>
  </w:num>
  <w:num w:numId="12" w16cid:durableId="41559167">
    <w:abstractNumId w:val="10"/>
  </w:num>
  <w:num w:numId="13" w16cid:durableId="1734238241">
    <w:abstractNumId w:val="17"/>
  </w:num>
  <w:num w:numId="14" w16cid:durableId="1973096991">
    <w:abstractNumId w:val="5"/>
  </w:num>
  <w:num w:numId="15" w16cid:durableId="218789144">
    <w:abstractNumId w:val="7"/>
  </w:num>
  <w:num w:numId="16" w16cid:durableId="1142696822">
    <w:abstractNumId w:val="7"/>
  </w:num>
  <w:num w:numId="17" w16cid:durableId="320356180">
    <w:abstractNumId w:val="7"/>
  </w:num>
  <w:num w:numId="18" w16cid:durableId="1874884793">
    <w:abstractNumId w:val="7"/>
  </w:num>
  <w:num w:numId="19" w16cid:durableId="879048426">
    <w:abstractNumId w:val="7"/>
  </w:num>
  <w:num w:numId="20" w16cid:durableId="1052188850">
    <w:abstractNumId w:val="7"/>
  </w:num>
  <w:num w:numId="21" w16cid:durableId="1558515068">
    <w:abstractNumId w:val="2"/>
  </w:num>
  <w:num w:numId="22" w16cid:durableId="236285696">
    <w:abstractNumId w:val="7"/>
  </w:num>
  <w:num w:numId="23" w16cid:durableId="1279995458">
    <w:abstractNumId w:val="0"/>
  </w:num>
  <w:num w:numId="24" w16cid:durableId="442505982">
    <w:abstractNumId w:val="9"/>
  </w:num>
  <w:num w:numId="25" w16cid:durableId="1426070138">
    <w:abstractNumId w:val="11"/>
  </w:num>
  <w:num w:numId="26" w16cid:durableId="203182702">
    <w:abstractNumId w:val="6"/>
  </w:num>
  <w:num w:numId="27" w16cid:durableId="1603420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42"/>
    <w:rsid w:val="000048ED"/>
    <w:rsid w:val="00005B4A"/>
    <w:rsid w:val="0001467E"/>
    <w:rsid w:val="00014915"/>
    <w:rsid w:val="000210C0"/>
    <w:rsid w:val="00027E63"/>
    <w:rsid w:val="00041A66"/>
    <w:rsid w:val="00042D88"/>
    <w:rsid w:val="0005176E"/>
    <w:rsid w:val="000765F7"/>
    <w:rsid w:val="0007725F"/>
    <w:rsid w:val="00077AB7"/>
    <w:rsid w:val="00081CD8"/>
    <w:rsid w:val="000A7F0E"/>
    <w:rsid w:val="000B1C8F"/>
    <w:rsid w:val="000C0D61"/>
    <w:rsid w:val="000E7BA6"/>
    <w:rsid w:val="000F2A9F"/>
    <w:rsid w:val="000F3A3F"/>
    <w:rsid w:val="00102557"/>
    <w:rsid w:val="0010555E"/>
    <w:rsid w:val="0011616B"/>
    <w:rsid w:val="00125C5B"/>
    <w:rsid w:val="001478D5"/>
    <w:rsid w:val="00147A38"/>
    <w:rsid w:val="00150F45"/>
    <w:rsid w:val="00164D56"/>
    <w:rsid w:val="00164E64"/>
    <w:rsid w:val="00167B10"/>
    <w:rsid w:val="0017402F"/>
    <w:rsid w:val="0018502C"/>
    <w:rsid w:val="00190205"/>
    <w:rsid w:val="00196C1B"/>
    <w:rsid w:val="001A1264"/>
    <w:rsid w:val="001B0F73"/>
    <w:rsid w:val="001C2DB7"/>
    <w:rsid w:val="001D14FE"/>
    <w:rsid w:val="001D5C04"/>
    <w:rsid w:val="001D6CA0"/>
    <w:rsid w:val="001F25C2"/>
    <w:rsid w:val="001F26CF"/>
    <w:rsid w:val="00212BAE"/>
    <w:rsid w:val="00212ED7"/>
    <w:rsid w:val="00216446"/>
    <w:rsid w:val="00222A2D"/>
    <w:rsid w:val="00223029"/>
    <w:rsid w:val="00225E94"/>
    <w:rsid w:val="0022728C"/>
    <w:rsid w:val="00230ED0"/>
    <w:rsid w:val="00234745"/>
    <w:rsid w:val="002351A6"/>
    <w:rsid w:val="002407AF"/>
    <w:rsid w:val="00243628"/>
    <w:rsid w:val="00245501"/>
    <w:rsid w:val="002466A5"/>
    <w:rsid w:val="00254B26"/>
    <w:rsid w:val="00255FB2"/>
    <w:rsid w:val="0026221A"/>
    <w:rsid w:val="0027170F"/>
    <w:rsid w:val="0027466B"/>
    <w:rsid w:val="002814F6"/>
    <w:rsid w:val="002838A5"/>
    <w:rsid w:val="00285BB4"/>
    <w:rsid w:val="00297834"/>
    <w:rsid w:val="002A20C5"/>
    <w:rsid w:val="002A2A28"/>
    <w:rsid w:val="002A5DF7"/>
    <w:rsid w:val="002A7A01"/>
    <w:rsid w:val="002B0749"/>
    <w:rsid w:val="002B1655"/>
    <w:rsid w:val="002B2264"/>
    <w:rsid w:val="002C09E3"/>
    <w:rsid w:val="002C6A2C"/>
    <w:rsid w:val="002D1244"/>
    <w:rsid w:val="002D140B"/>
    <w:rsid w:val="002D1CF2"/>
    <w:rsid w:val="00305796"/>
    <w:rsid w:val="00327AB4"/>
    <w:rsid w:val="00337CEB"/>
    <w:rsid w:val="00344B58"/>
    <w:rsid w:val="0034539A"/>
    <w:rsid w:val="00345CB4"/>
    <w:rsid w:val="00353518"/>
    <w:rsid w:val="00375D42"/>
    <w:rsid w:val="003A1683"/>
    <w:rsid w:val="003B3CB9"/>
    <w:rsid w:val="003C7091"/>
    <w:rsid w:val="003D069C"/>
    <w:rsid w:val="003D7646"/>
    <w:rsid w:val="003E51DD"/>
    <w:rsid w:val="003E6CE1"/>
    <w:rsid w:val="003F113A"/>
    <w:rsid w:val="003F2F0B"/>
    <w:rsid w:val="003F3E63"/>
    <w:rsid w:val="00407480"/>
    <w:rsid w:val="00414643"/>
    <w:rsid w:val="00424BAE"/>
    <w:rsid w:val="004313C4"/>
    <w:rsid w:val="00434995"/>
    <w:rsid w:val="004421E5"/>
    <w:rsid w:val="00442447"/>
    <w:rsid w:val="00447DFF"/>
    <w:rsid w:val="00452284"/>
    <w:rsid w:val="00457C8E"/>
    <w:rsid w:val="004704FE"/>
    <w:rsid w:val="00472169"/>
    <w:rsid w:val="00475E86"/>
    <w:rsid w:val="00480175"/>
    <w:rsid w:val="0048288E"/>
    <w:rsid w:val="004856CA"/>
    <w:rsid w:val="00486688"/>
    <w:rsid w:val="00487E67"/>
    <w:rsid w:val="004906B7"/>
    <w:rsid w:val="0049705E"/>
    <w:rsid w:val="004A2875"/>
    <w:rsid w:val="004A34A0"/>
    <w:rsid w:val="004B159A"/>
    <w:rsid w:val="004B3D04"/>
    <w:rsid w:val="004C1543"/>
    <w:rsid w:val="004C77F0"/>
    <w:rsid w:val="004C7C82"/>
    <w:rsid w:val="004F01A2"/>
    <w:rsid w:val="005008A8"/>
    <w:rsid w:val="00502AAE"/>
    <w:rsid w:val="005045C4"/>
    <w:rsid w:val="00510EED"/>
    <w:rsid w:val="0051121D"/>
    <w:rsid w:val="00517FD8"/>
    <w:rsid w:val="00526B7B"/>
    <w:rsid w:val="005274D2"/>
    <w:rsid w:val="005308CE"/>
    <w:rsid w:val="0053318C"/>
    <w:rsid w:val="0054535F"/>
    <w:rsid w:val="00573329"/>
    <w:rsid w:val="0057439C"/>
    <w:rsid w:val="005912DF"/>
    <w:rsid w:val="005960FA"/>
    <w:rsid w:val="005B0127"/>
    <w:rsid w:val="005B7A35"/>
    <w:rsid w:val="005C10E6"/>
    <w:rsid w:val="005C4B73"/>
    <w:rsid w:val="005C792B"/>
    <w:rsid w:val="005D2606"/>
    <w:rsid w:val="005E1D2B"/>
    <w:rsid w:val="005E7074"/>
    <w:rsid w:val="005F2BAF"/>
    <w:rsid w:val="005F6407"/>
    <w:rsid w:val="005F6747"/>
    <w:rsid w:val="00600D93"/>
    <w:rsid w:val="00601777"/>
    <w:rsid w:val="006155B5"/>
    <w:rsid w:val="00626BEA"/>
    <w:rsid w:val="0063300C"/>
    <w:rsid w:val="006467F5"/>
    <w:rsid w:val="006516ED"/>
    <w:rsid w:val="00651A5B"/>
    <w:rsid w:val="0065292B"/>
    <w:rsid w:val="00652AAB"/>
    <w:rsid w:val="00655736"/>
    <w:rsid w:val="00663B8D"/>
    <w:rsid w:val="00681BEE"/>
    <w:rsid w:val="00696C8D"/>
    <w:rsid w:val="006A2AC2"/>
    <w:rsid w:val="006A3617"/>
    <w:rsid w:val="006B4452"/>
    <w:rsid w:val="006B4B76"/>
    <w:rsid w:val="006C3678"/>
    <w:rsid w:val="006C4FC1"/>
    <w:rsid w:val="006E46E4"/>
    <w:rsid w:val="006E75EB"/>
    <w:rsid w:val="00717DA5"/>
    <w:rsid w:val="007333D0"/>
    <w:rsid w:val="00744484"/>
    <w:rsid w:val="00747566"/>
    <w:rsid w:val="0075506D"/>
    <w:rsid w:val="007617CB"/>
    <w:rsid w:val="00773188"/>
    <w:rsid w:val="00783782"/>
    <w:rsid w:val="00784B8C"/>
    <w:rsid w:val="007879E1"/>
    <w:rsid w:val="007B08F9"/>
    <w:rsid w:val="007B13D8"/>
    <w:rsid w:val="007B2FCB"/>
    <w:rsid w:val="007B7492"/>
    <w:rsid w:val="007C4992"/>
    <w:rsid w:val="007E1B1C"/>
    <w:rsid w:val="007E57AA"/>
    <w:rsid w:val="007F4D77"/>
    <w:rsid w:val="00803EF3"/>
    <w:rsid w:val="008043BD"/>
    <w:rsid w:val="00821407"/>
    <w:rsid w:val="00823A11"/>
    <w:rsid w:val="0085405E"/>
    <w:rsid w:val="0085414A"/>
    <w:rsid w:val="00857EB9"/>
    <w:rsid w:val="0086269D"/>
    <w:rsid w:val="00863A53"/>
    <w:rsid w:val="0086543A"/>
    <w:rsid w:val="008723C7"/>
    <w:rsid w:val="008724E5"/>
    <w:rsid w:val="008765C9"/>
    <w:rsid w:val="00884A9D"/>
    <w:rsid w:val="0088512B"/>
    <w:rsid w:val="008A2B2D"/>
    <w:rsid w:val="008A4E1E"/>
    <w:rsid w:val="008A6458"/>
    <w:rsid w:val="008B21DE"/>
    <w:rsid w:val="008C296C"/>
    <w:rsid w:val="008D4305"/>
    <w:rsid w:val="008E1A85"/>
    <w:rsid w:val="008E344F"/>
    <w:rsid w:val="008F6A8E"/>
    <w:rsid w:val="00912587"/>
    <w:rsid w:val="009163A7"/>
    <w:rsid w:val="0091798E"/>
    <w:rsid w:val="00922DA1"/>
    <w:rsid w:val="00937D53"/>
    <w:rsid w:val="00946D0B"/>
    <w:rsid w:val="00955877"/>
    <w:rsid w:val="00957D8E"/>
    <w:rsid w:val="00962034"/>
    <w:rsid w:val="009644FE"/>
    <w:rsid w:val="00986AF0"/>
    <w:rsid w:val="00987497"/>
    <w:rsid w:val="00994671"/>
    <w:rsid w:val="009A18CD"/>
    <w:rsid w:val="009C3A55"/>
    <w:rsid w:val="009C5A44"/>
    <w:rsid w:val="009D3A5F"/>
    <w:rsid w:val="009D5428"/>
    <w:rsid w:val="009E0577"/>
    <w:rsid w:val="009E2937"/>
    <w:rsid w:val="00A10132"/>
    <w:rsid w:val="00A12558"/>
    <w:rsid w:val="00A132C4"/>
    <w:rsid w:val="00A13903"/>
    <w:rsid w:val="00A1770C"/>
    <w:rsid w:val="00A34ED5"/>
    <w:rsid w:val="00A454EB"/>
    <w:rsid w:val="00A45DBF"/>
    <w:rsid w:val="00A55919"/>
    <w:rsid w:val="00A60F7E"/>
    <w:rsid w:val="00A725CF"/>
    <w:rsid w:val="00A755A2"/>
    <w:rsid w:val="00A91430"/>
    <w:rsid w:val="00AA2D7A"/>
    <w:rsid w:val="00AA4914"/>
    <w:rsid w:val="00AA590D"/>
    <w:rsid w:val="00AA6660"/>
    <w:rsid w:val="00AB257B"/>
    <w:rsid w:val="00AB2C36"/>
    <w:rsid w:val="00AB6DDE"/>
    <w:rsid w:val="00AB70B6"/>
    <w:rsid w:val="00AC18C1"/>
    <w:rsid w:val="00AC6FB7"/>
    <w:rsid w:val="00AD1A86"/>
    <w:rsid w:val="00AD29AB"/>
    <w:rsid w:val="00AD336E"/>
    <w:rsid w:val="00AD5C46"/>
    <w:rsid w:val="00AE103E"/>
    <w:rsid w:val="00AF0A07"/>
    <w:rsid w:val="00AF4AEC"/>
    <w:rsid w:val="00AF625E"/>
    <w:rsid w:val="00B0416F"/>
    <w:rsid w:val="00B04DA5"/>
    <w:rsid w:val="00B139BE"/>
    <w:rsid w:val="00B2172B"/>
    <w:rsid w:val="00B34428"/>
    <w:rsid w:val="00B713BE"/>
    <w:rsid w:val="00B81BB0"/>
    <w:rsid w:val="00B87E19"/>
    <w:rsid w:val="00B917D2"/>
    <w:rsid w:val="00B97EB3"/>
    <w:rsid w:val="00BA241A"/>
    <w:rsid w:val="00BB04AF"/>
    <w:rsid w:val="00BB6EEC"/>
    <w:rsid w:val="00BC652F"/>
    <w:rsid w:val="00BD52C9"/>
    <w:rsid w:val="00BE5714"/>
    <w:rsid w:val="00BE6354"/>
    <w:rsid w:val="00BE6B30"/>
    <w:rsid w:val="00BF1B48"/>
    <w:rsid w:val="00C138D1"/>
    <w:rsid w:val="00C23A97"/>
    <w:rsid w:val="00C52EBE"/>
    <w:rsid w:val="00C5776D"/>
    <w:rsid w:val="00C64855"/>
    <w:rsid w:val="00C706D1"/>
    <w:rsid w:val="00C70EA7"/>
    <w:rsid w:val="00C7433F"/>
    <w:rsid w:val="00C7516E"/>
    <w:rsid w:val="00C75770"/>
    <w:rsid w:val="00C76B27"/>
    <w:rsid w:val="00CA352E"/>
    <w:rsid w:val="00CA4765"/>
    <w:rsid w:val="00CA56BB"/>
    <w:rsid w:val="00CB0542"/>
    <w:rsid w:val="00CD2851"/>
    <w:rsid w:val="00CD610C"/>
    <w:rsid w:val="00CF5668"/>
    <w:rsid w:val="00D00997"/>
    <w:rsid w:val="00D00B2B"/>
    <w:rsid w:val="00D24877"/>
    <w:rsid w:val="00D60C46"/>
    <w:rsid w:val="00D63318"/>
    <w:rsid w:val="00D7105A"/>
    <w:rsid w:val="00D8250F"/>
    <w:rsid w:val="00D86BB3"/>
    <w:rsid w:val="00D94BF0"/>
    <w:rsid w:val="00D95C4C"/>
    <w:rsid w:val="00DA36ED"/>
    <w:rsid w:val="00DC47E6"/>
    <w:rsid w:val="00DC49CB"/>
    <w:rsid w:val="00DD1A4C"/>
    <w:rsid w:val="00DD47D8"/>
    <w:rsid w:val="00DE25DF"/>
    <w:rsid w:val="00DE34F1"/>
    <w:rsid w:val="00DE57E5"/>
    <w:rsid w:val="00DE6160"/>
    <w:rsid w:val="00DF4942"/>
    <w:rsid w:val="00E05024"/>
    <w:rsid w:val="00E2125F"/>
    <w:rsid w:val="00E244E1"/>
    <w:rsid w:val="00E4150C"/>
    <w:rsid w:val="00E426C4"/>
    <w:rsid w:val="00E61198"/>
    <w:rsid w:val="00E627B1"/>
    <w:rsid w:val="00E63241"/>
    <w:rsid w:val="00E672F7"/>
    <w:rsid w:val="00E70169"/>
    <w:rsid w:val="00E9376C"/>
    <w:rsid w:val="00E937BA"/>
    <w:rsid w:val="00E95AE2"/>
    <w:rsid w:val="00E97A74"/>
    <w:rsid w:val="00EA335E"/>
    <w:rsid w:val="00EA528C"/>
    <w:rsid w:val="00EA580C"/>
    <w:rsid w:val="00EB0759"/>
    <w:rsid w:val="00EC1A6A"/>
    <w:rsid w:val="00EC6F8D"/>
    <w:rsid w:val="00ED39B2"/>
    <w:rsid w:val="00ED53AC"/>
    <w:rsid w:val="00EE49F4"/>
    <w:rsid w:val="00EF34E2"/>
    <w:rsid w:val="00F14A14"/>
    <w:rsid w:val="00F30DC6"/>
    <w:rsid w:val="00F31F96"/>
    <w:rsid w:val="00F32C23"/>
    <w:rsid w:val="00F3402B"/>
    <w:rsid w:val="00F34916"/>
    <w:rsid w:val="00F40E3D"/>
    <w:rsid w:val="00F502F6"/>
    <w:rsid w:val="00F53DE9"/>
    <w:rsid w:val="00F560D9"/>
    <w:rsid w:val="00F576CB"/>
    <w:rsid w:val="00F7035D"/>
    <w:rsid w:val="00F70CC5"/>
    <w:rsid w:val="00F71A02"/>
    <w:rsid w:val="00F91E1F"/>
    <w:rsid w:val="00F92288"/>
    <w:rsid w:val="00F96047"/>
    <w:rsid w:val="00FA0D63"/>
    <w:rsid w:val="00FC339A"/>
    <w:rsid w:val="00FD1226"/>
    <w:rsid w:val="00FD4BC8"/>
    <w:rsid w:val="00FF4830"/>
    <w:rsid w:val="00FF626E"/>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F6C37C"/>
  <w15:docId w15:val="{89B58EE9-1B41-4C54-A8E5-207D588C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eastAsia="SimSun" w:hAnsi="Tahoma" w:cs="Tahoma"/>
      <w:sz w:val="16"/>
      <w:szCs w:val="16"/>
      <w:lang w:val="en-GB"/>
    </w:rPr>
  </w:style>
  <w:style w:type="paragraph" w:customStyle="1" w:styleId="Sansinterligne2">
    <w:name w:val="Sans interligne2"/>
    <w:uiPriority w:val="1"/>
    <w:rsid w:val="006C3FFC"/>
    <w:rPr>
      <w:rFonts w:ascii="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SimSun" w:hAnsi="Arial"/>
      <w:b/>
      <w:bCs/>
      <w:snapToGrid w:val="0"/>
      <w:sz w:val="22"/>
      <w:szCs w:val="24"/>
      <w:lang w:eastAsia="zh-CN"/>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SimSu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hAnsi="Arial"/>
      <w:snapToGrid w:val="0"/>
      <w:sz w:val="22"/>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hAnsi="Times New Roman"/>
      <w:sz w:val="24"/>
      <w:szCs w:val="24"/>
    </w:rPr>
  </w:style>
  <w:style w:type="paragraph" w:customStyle="1" w:styleId="COMPara">
    <w:name w:val="COM Para"/>
    <w:qFormat/>
    <w:rsid w:val="00345CB4"/>
    <w:pPr>
      <w:numPr>
        <w:numId w:val="9"/>
      </w:numPr>
      <w:spacing w:after="120"/>
    </w:pPr>
    <w:rPr>
      <w:rFonts w:ascii="Arial" w:hAnsi="Arial" w:cs="Arial"/>
      <w:snapToGrid w:val="0"/>
      <w:sz w:val="22"/>
      <w:szCs w:val="22"/>
      <w:lang w:val="en-GB"/>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paragraph" w:styleId="Notedebasdepage">
    <w:name w:val="footnote text"/>
    <w:basedOn w:val="Normal"/>
    <w:link w:val="NotedebasdepageCar"/>
    <w:uiPriority w:val="99"/>
    <w:unhideWhenUsed/>
    <w:rsid w:val="004313C4"/>
    <w:rPr>
      <w:sz w:val="20"/>
      <w:szCs w:val="20"/>
    </w:rPr>
  </w:style>
  <w:style w:type="character" w:customStyle="1" w:styleId="NotedebasdepageCar">
    <w:name w:val="Note de bas de page Car"/>
    <w:basedOn w:val="Policepardfaut"/>
    <w:link w:val="Notedebasdepage"/>
    <w:uiPriority w:val="99"/>
    <w:rsid w:val="004313C4"/>
    <w:rPr>
      <w:rFonts w:ascii="Times New Roman" w:eastAsia="SimSun" w:hAnsi="Times New Roman"/>
    </w:rPr>
  </w:style>
  <w:style w:type="character" w:styleId="Appelnotedebasdep">
    <w:name w:val="footnote reference"/>
    <w:basedOn w:val="Policepardfaut"/>
    <w:uiPriority w:val="99"/>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hAnsi="Arial" w:cs="Arial"/>
      <w:sz w:val="22"/>
      <w:szCs w:val="22"/>
      <w:u w:val="single"/>
      <w:lang w:val="en-GB"/>
    </w:rPr>
  </w:style>
  <w:style w:type="paragraph" w:customStyle="1" w:styleId="GAPara">
    <w:name w:val="GA Para"/>
    <w:qFormat/>
    <w:rsid w:val="00A60F7E"/>
    <w:pPr>
      <w:spacing w:after="120"/>
      <w:ind w:left="720" w:hanging="360"/>
    </w:pPr>
    <w:rPr>
      <w:rFonts w:ascii="Arial" w:hAnsi="Arial" w:cs="Arial"/>
      <w:snapToGrid w:val="0"/>
      <w:sz w:val="22"/>
      <w:szCs w:val="22"/>
      <w:lang w:val="en-GB"/>
    </w:rPr>
  </w:style>
  <w:style w:type="character" w:styleId="Lienhypertexte">
    <w:name w:val="Hyperlink"/>
    <w:unhideWhenUsed/>
    <w:rsid w:val="00A60F7E"/>
    <w:rPr>
      <w:color w:val="0000FF"/>
      <w:u w:val="single"/>
    </w:rPr>
  </w:style>
  <w:style w:type="character" w:customStyle="1" w:styleId="UnresolvedMention1">
    <w:name w:val="Unresolved Mention1"/>
    <w:basedOn w:val="Policepardfaut"/>
    <w:uiPriority w:val="99"/>
    <w:semiHidden/>
    <w:unhideWhenUsed/>
    <w:rsid w:val="00A60F7E"/>
    <w:rPr>
      <w:color w:val="605E5C"/>
      <w:shd w:val="clear" w:color="auto" w:fill="E1DFDD"/>
    </w:rPr>
  </w:style>
  <w:style w:type="character" w:styleId="Lienhypertextesuivivisit">
    <w:name w:val="FollowedHyperlink"/>
    <w:basedOn w:val="Policepardfaut"/>
    <w:uiPriority w:val="99"/>
    <w:semiHidden/>
    <w:unhideWhenUsed/>
    <w:rsid w:val="00AA2D7A"/>
    <w:rPr>
      <w:color w:val="800080" w:themeColor="followedHyperlink"/>
      <w:u w:val="single"/>
    </w:rPr>
  </w:style>
  <w:style w:type="character" w:styleId="Marquedecommentaire">
    <w:name w:val="annotation reference"/>
    <w:basedOn w:val="Policepardfaut"/>
    <w:uiPriority w:val="99"/>
    <w:semiHidden/>
    <w:unhideWhenUsed/>
    <w:rsid w:val="0075506D"/>
    <w:rPr>
      <w:sz w:val="16"/>
      <w:szCs w:val="16"/>
    </w:rPr>
  </w:style>
  <w:style w:type="paragraph" w:styleId="Commentaire">
    <w:name w:val="annotation text"/>
    <w:basedOn w:val="Normal"/>
    <w:link w:val="CommentaireCar"/>
    <w:uiPriority w:val="99"/>
    <w:unhideWhenUsed/>
    <w:rsid w:val="0075506D"/>
    <w:rPr>
      <w:sz w:val="20"/>
      <w:szCs w:val="20"/>
    </w:rPr>
  </w:style>
  <w:style w:type="character" w:customStyle="1" w:styleId="CommentaireCar">
    <w:name w:val="Commentaire Car"/>
    <w:basedOn w:val="Policepardfaut"/>
    <w:link w:val="Commentaire"/>
    <w:uiPriority w:val="99"/>
    <w:rsid w:val="0075506D"/>
    <w:rPr>
      <w:rFonts w:ascii="Times New Roman" w:eastAsia="SimSun" w:hAnsi="Times New Roman"/>
    </w:rPr>
  </w:style>
  <w:style w:type="paragraph" w:styleId="Objetducommentaire">
    <w:name w:val="annotation subject"/>
    <w:basedOn w:val="Commentaire"/>
    <w:next w:val="Commentaire"/>
    <w:link w:val="ObjetducommentaireCar"/>
    <w:uiPriority w:val="99"/>
    <w:semiHidden/>
    <w:unhideWhenUsed/>
    <w:rsid w:val="0075506D"/>
    <w:rPr>
      <w:b/>
      <w:bCs/>
    </w:rPr>
  </w:style>
  <w:style w:type="character" w:customStyle="1" w:styleId="ObjetducommentaireCar">
    <w:name w:val="Objet du commentaire Car"/>
    <w:basedOn w:val="CommentaireCar"/>
    <w:link w:val="Objetducommentaire"/>
    <w:uiPriority w:val="99"/>
    <w:semiHidden/>
    <w:rsid w:val="0075506D"/>
    <w:rPr>
      <w:rFonts w:ascii="Times New Roman" w:eastAsia="SimSun" w:hAnsi="Times New Roman"/>
      <w:b/>
      <w:bCs/>
    </w:rPr>
  </w:style>
  <w:style w:type="paragraph" w:customStyle="1" w:styleId="COMParabodytext">
    <w:name w:val="COM Para body text"/>
    <w:basedOn w:val="Normal"/>
    <w:qFormat/>
    <w:rsid w:val="005912DF"/>
    <w:pPr>
      <w:tabs>
        <w:tab w:val="left" w:pos="567"/>
      </w:tabs>
      <w:snapToGrid w:val="0"/>
      <w:spacing w:after="120"/>
      <w:jc w:val="both"/>
    </w:pPr>
    <w:rPr>
      <w:rFonts w:ascii="Arial" w:hAnsi="Arial" w:cs="Arial"/>
      <w:snapToGrid w:val="0"/>
      <w:sz w:val="22"/>
      <w:szCs w:val="22"/>
      <w:lang w:val="en-US"/>
    </w:rPr>
  </w:style>
  <w:style w:type="paragraph" w:styleId="Rvision">
    <w:name w:val="Revision"/>
    <w:hidden/>
    <w:uiPriority w:val="99"/>
    <w:semiHidden/>
    <w:rsid w:val="007B2FCB"/>
    <w:rPr>
      <w:rFonts w:ascii="Times New Roman" w:hAnsi="Times New Roman"/>
      <w:sz w:val="24"/>
      <w:szCs w:val="24"/>
    </w:rPr>
  </w:style>
  <w:style w:type="character" w:styleId="Mentionnonrsolue">
    <w:name w:val="Unresolved Mention"/>
    <w:basedOn w:val="Policepardfaut"/>
    <w:uiPriority w:val="99"/>
    <w:semiHidden/>
    <w:unhideWhenUsed/>
    <w:rsid w:val="0065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95907319">
      <w:bodyDiv w:val="1"/>
      <w:marLeft w:val="0"/>
      <w:marRight w:val="0"/>
      <w:marTop w:val="0"/>
      <w:marBottom w:val="0"/>
      <w:divBdr>
        <w:top w:val="none" w:sz="0" w:space="0" w:color="auto"/>
        <w:left w:val="none" w:sz="0" w:space="0" w:color="auto"/>
        <w:bottom w:val="none" w:sz="0" w:space="0" w:color="auto"/>
        <w:right w:val="none" w:sz="0" w:space="0" w:color="auto"/>
      </w:divBdr>
    </w:div>
    <w:div w:id="119133720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63471-EN.pdf" TargetMode="External"/><Relationship Id="rId18" Type="http://schemas.openxmlformats.org/officeDocument/2006/relationships/hyperlink" Target="http://ich.unesco.org/en/Decisions/16.COM/13" TargetMode="External"/><Relationship Id="rId26" Type="http://schemas.openxmlformats.org/officeDocument/2006/relationships/hyperlink" Target="https://ich.unesco.org/en/decisions/18.COM/14" TargetMode="External"/><Relationship Id="rId39" Type="http://schemas.openxmlformats.org/officeDocument/2006/relationships/hyperlink" Target="https://ich.unesco.org/en/dive" TargetMode="External"/><Relationship Id="rId3" Type="http://schemas.openxmlformats.org/officeDocument/2006/relationships/styles" Target="styles.xml"/><Relationship Id="rId21" Type="http://schemas.openxmlformats.org/officeDocument/2006/relationships/hyperlink" Target="https://ich.unesco.org/doc/src/ITH-18-7.GA-Resolutions-ZH.docx" TargetMode="External"/><Relationship Id="rId34" Type="http://schemas.openxmlformats.org/officeDocument/2006/relationships/hyperlink" Target="https://ich.unesco.org/en/education-01017" TargetMode="External"/><Relationship Id="rId42" Type="http://schemas.openxmlformats.org/officeDocument/2006/relationships/hyperlink" Target="https://ich.unesco.org/doc/src/LHE-22-9.GA-Resolutions-ZH.docx" TargetMode="External"/><Relationship Id="rId47" Type="http://schemas.openxmlformats.org/officeDocument/2006/relationships/hyperlink" Target="https://ich.unesco.org/en/decisions/10.COM/8" TargetMode="Externa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ich.unesco.org/doc/src/LHE-22-9.GA-Resolutions-ZH.docx" TargetMode="External"/><Relationship Id="rId25" Type="http://schemas.openxmlformats.org/officeDocument/2006/relationships/hyperlink" Target="https://unesdoc.unesco.org/ark:/48223/pf0000388394/PDF/388394eng.pdf.multi" TargetMode="External"/><Relationship Id="rId33" Type="http://schemas.openxmlformats.org/officeDocument/2006/relationships/hyperlink" Target="https://ich.unesco.org/en/emergency-situations-01117" TargetMode="External"/><Relationship Id="rId38" Type="http://schemas.openxmlformats.org/officeDocument/2006/relationships/hyperlink" Target="https://ich.unesco.org/en/anniversary" TargetMode="External"/><Relationship Id="rId46" Type="http://schemas.openxmlformats.org/officeDocument/2006/relationships/hyperlink" Target="https://unesdoc.unesco.org/ark:/48223/pf0000388394" TargetMode="External"/><Relationship Id="rId2" Type="http://schemas.openxmlformats.org/officeDocument/2006/relationships/numbering" Target="numbering.xml"/><Relationship Id="rId16" Type="http://schemas.openxmlformats.org/officeDocument/2006/relationships/hyperlink" Target="https://ich.unesco.org/doc/src/LHE-21-16.COM-INF.10_Rev.-EN.pdf" TargetMode="External"/><Relationship Id="rId20" Type="http://schemas.openxmlformats.org/officeDocument/2006/relationships/hyperlink" Target="https://ich.unesco.org/doc/src/LHE-23-18.COM-10_EN.docx" TargetMode="External"/><Relationship Id="rId29" Type="http://schemas.openxmlformats.org/officeDocument/2006/relationships/hyperlink" Target="https://ich.unesco.org/doc/src/LHE-21-16.COM-INF.10_Rev.-EN.pdf" TargetMode="External"/><Relationship Id="rId41" Type="http://schemas.openxmlformats.org/officeDocument/2006/relationships/hyperlink" Target="https://ich.unesco.org/en/decisions/18.COM/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3-18.COM-10_EN.docx" TargetMode="External"/><Relationship Id="rId24" Type="http://schemas.openxmlformats.org/officeDocument/2006/relationships/hyperlink" Target="https://unesdoc.unesco.org/in/documentViewer.xhtml?v=2.1.196&amp;id=p::usmarcdef_0000388394&amp;file=/in/rest/annotationSVC/DownloadWatermarkedAttachment/attach_import_acf5fe7c-5678-4b8c-8aa2-0efe82cf5256%3F_%3D388394eng.pdf&amp;updateUrl=updateUrl6226&amp;ark=/ark:/48223/pf0000388394/PDF/388394eng.pdf.multi&amp;fullScreen=true&amp;locale=en" TargetMode="External"/><Relationship Id="rId32" Type="http://schemas.openxmlformats.org/officeDocument/2006/relationships/hyperlink" Target="https://ich.unesco.org/en/livelihoods-01315" TargetMode="External"/><Relationship Id="rId37" Type="http://schemas.openxmlformats.org/officeDocument/2006/relationships/hyperlink" Target="https://ich.unesco.org/doc/src/LHE-21-16.COM-INF.10_Rev.-EN.pdf" TargetMode="External"/><Relationship Id="rId40" Type="http://schemas.openxmlformats.org/officeDocument/2006/relationships/hyperlink" Target="https://ich.unesco.org/en/Decisions/17.COM/15" TargetMode="External"/><Relationship Id="rId45" Type="http://schemas.openxmlformats.org/officeDocument/2006/relationships/hyperlink" Target="https://ich.unesco.org/doc/src/LHE-22-9.GA-Resolutions-ZH.docx" TargetMode="External"/><Relationship Id="rId5" Type="http://schemas.openxmlformats.org/officeDocument/2006/relationships/webSettings" Target="webSettings.xml"/><Relationship Id="rId15" Type="http://schemas.openxmlformats.org/officeDocument/2006/relationships/hyperlink" Target="https://ich.unesco.org/doc/src/LHE-20-8.GA-Resolutions-ZH.docx" TargetMode="External"/><Relationship Id="rId23" Type="http://schemas.openxmlformats.org/officeDocument/2006/relationships/hyperlink" Target="https://ich.unesco.org/en/Decisions/14.COM/7" TargetMode="External"/><Relationship Id="rId28" Type="http://schemas.openxmlformats.org/officeDocument/2006/relationships/hyperlink" Target="https://www.unesco.org/en/articles/unesco-world-conference-cultural-policies-and-sustainable-development-mondiacult-2022" TargetMode="External"/><Relationship Id="rId36" Type="http://schemas.openxmlformats.org/officeDocument/2006/relationships/hyperlink" Target="https://ich.unesco.org/doc/src/LHE-24-10.GA-7_ZH.docx" TargetMode="External"/><Relationship Id="rId49"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ich.unesco.org/en/decisions/18.COM/14" TargetMode="External"/><Relationship Id="rId31" Type="http://schemas.openxmlformats.org/officeDocument/2006/relationships/hyperlink" Target="https://ich.unesco.org/doc/src/LHE-23-18.COM-12_EN_Rev..docx" TargetMode="External"/><Relationship Id="rId44" Type="http://schemas.openxmlformats.org/officeDocument/2006/relationships/hyperlink" Target="https://ich.unesco.org/en/decisions/18.COM/14"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4-10.GA-INF.8_EN.docx" TargetMode="External"/><Relationship Id="rId14" Type="http://schemas.openxmlformats.org/officeDocument/2006/relationships/hyperlink" Target="https://ich.unesco.org/doc/src/07003-ZH.doc" TargetMode="External"/><Relationship Id="rId22" Type="http://schemas.openxmlformats.org/officeDocument/2006/relationships/hyperlink" Target="https://ich.unesco.org/en/decisions/18.COM/10" TargetMode="External"/><Relationship Id="rId27" Type="http://schemas.openxmlformats.org/officeDocument/2006/relationships/hyperlink" Target="https://ich.unesco.org/doc/src/61291-EN.pdf" TargetMode="External"/><Relationship Id="rId30" Type="http://schemas.openxmlformats.org/officeDocument/2006/relationships/hyperlink" Target="https://ich.unesco.org/doc/src/LHE-21-16.COM-INF.10_Rev.-EN.pdf" TargetMode="External"/><Relationship Id="rId35" Type="http://schemas.openxmlformats.org/officeDocument/2006/relationships/hyperlink" Target="https://ich.unesco.org/doc/src/LHE-21-16.COM-INF.10_Rev.-EN.pdf" TargetMode="External"/><Relationship Id="rId43" Type="http://schemas.openxmlformats.org/officeDocument/2006/relationships/hyperlink" Target="https://ich.unesco.org/doc/src/LHE-24-10.GA-INF.8_EN.docx" TargetMode="External"/><Relationship Id="rId48" Type="http://schemas.openxmlformats.org/officeDocument/2006/relationships/header" Target="header1.xml"/><Relationship Id="rId8" Type="http://schemas.openxmlformats.org/officeDocument/2006/relationships/hyperlink" Target="https://ich.unesco.org/doc/src/LHE-24-10.GA-INF.8_EN.docx"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Decisions/8.COM/7.c" TargetMode="External"/><Relationship Id="rId2" Type="http://schemas.openxmlformats.org/officeDocument/2006/relationships/hyperlink" Target="https://ich.unesco.org/doc/src/2003_Convention_Basic_Texts-_2022_version-ZH.pdf" TargetMode="External"/><Relationship Id="rId1" Type="http://schemas.openxmlformats.org/officeDocument/2006/relationships/hyperlink" Target="https://unesco.sharepoint.com/sites/ms/en-US/Shared%20Documents/Forms/AllItems.aspx?id=%2Fsites%2Fms%2Fen%2DUS%2FShared%20Documents%2FMember%20States%20Assessed%20Contributions%2FICH%2DStatus%2Dof%2DContributions%2Epdf&amp;parent=%2Fsites%2Fms%2Fen%2DUS%2FShared%20Documents%2FMember%20States%20Assessed%20Contribut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24\2024-06%2010.GA_Paris\Documents\08_10GA_Use%20of%20the%20resources%20of%20the%20ICH%20Fund\Background%20documents\8_Trends%20on%20the%20use%20of%20the%20ICH%20Fund_Z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796339511880176E-2"/>
          <c:y val="6.0913681920911629E-2"/>
          <c:w val="0.89390480199696487"/>
          <c:h val="0.79428696412948385"/>
        </c:manualLayout>
      </c:layout>
      <c:lineChart>
        <c:grouping val="standard"/>
        <c:varyColors val="0"/>
        <c:ser>
          <c:idx val="0"/>
          <c:order val="0"/>
          <c:tx>
            <c:strRef>
              <c:f>Expenditures!$C$4</c:f>
              <c:strCache>
                <c:ptCount val="1"/>
                <c:pt idx="0">
                  <c:v>已核定两年期预算</c:v>
                </c:pt>
              </c:strCache>
            </c:strRef>
          </c:tx>
          <c:spPr>
            <a:ln w="34925" cap="rnd">
              <a:solidFill>
                <a:schemeClr val="accent1"/>
              </a:solidFill>
              <a:prstDash val="dash"/>
              <a:round/>
            </a:ln>
            <a:effectLst>
              <a:outerShdw blurRad="57150" dist="19050" dir="5400000" algn="ctr" rotWithShape="0">
                <a:srgbClr val="000000">
                  <a:alpha val="63000"/>
                </a:srgbClr>
              </a:outerShdw>
            </a:effectLst>
          </c:spPr>
          <c:marker>
            <c:symbol val="none"/>
          </c:marker>
          <c:dLbls>
            <c:delete val="1"/>
          </c:dLbls>
          <c:cat>
            <c:strRef>
              <c:f>Expenditures!$B$5:$B$10</c:f>
              <c:strCache>
                <c:ptCount val="6"/>
                <c:pt idx="0">
                  <c:v>36 C/5两年期
（12-13年）</c:v>
                </c:pt>
                <c:pt idx="1">
                  <c:v>37 C/5两年期
（14-15年）</c:v>
                </c:pt>
                <c:pt idx="2">
                  <c:v>38 C/5两年期
（16-17年）</c:v>
                </c:pt>
                <c:pt idx="3">
                  <c:v>39 C/5两年期
（18-19年）</c:v>
                </c:pt>
                <c:pt idx="4">
                  <c:v>40 C/5两年期
（20-21年）</c:v>
                </c:pt>
                <c:pt idx="5">
                  <c:v>41 C/5两年期
（22-23年）</c:v>
                </c:pt>
              </c:strCache>
            </c:strRef>
          </c:cat>
          <c:val>
            <c:numRef>
              <c:f>Expenditures!$C$5:$C$10</c:f>
              <c:numCache>
                <c:formatCode>#,##0</c:formatCode>
                <c:ptCount val="6"/>
                <c:pt idx="0">
                  <c:v>5846780</c:v>
                </c:pt>
                <c:pt idx="1">
                  <c:v>6755438</c:v>
                </c:pt>
                <c:pt idx="2">
                  <c:v>7977920</c:v>
                </c:pt>
                <c:pt idx="3">
                  <c:v>8590922</c:v>
                </c:pt>
                <c:pt idx="4">
                  <c:v>7840379</c:v>
                </c:pt>
                <c:pt idx="5">
                  <c:v>8732653</c:v>
                </c:pt>
              </c:numCache>
            </c:numRef>
          </c:val>
          <c:smooth val="0"/>
          <c:extLst xmlns:c15="http://schemas.microsoft.com/office/drawing/2012/chart">
            <c:ext xmlns:c16="http://schemas.microsoft.com/office/drawing/2014/chart" uri="{C3380CC4-5D6E-409C-BE32-E72D297353CC}">
              <c16:uniqueId val="{00000000-C328-4F49-A164-D862D718D910}"/>
            </c:ext>
          </c:extLst>
        </c:ser>
        <c:ser>
          <c:idx val="1"/>
          <c:order val="1"/>
          <c:tx>
            <c:strRef>
              <c:f>Expenditures!$D$4</c:f>
              <c:strCache>
                <c:ptCount val="1"/>
                <c:pt idx="0">
                  <c:v>支出</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elete val="1"/>
          </c:dLbls>
          <c:cat>
            <c:strRef>
              <c:f>Expenditures!$B$5:$B$10</c:f>
              <c:strCache>
                <c:ptCount val="6"/>
                <c:pt idx="0">
                  <c:v>36 C/5两年期
（12-13年）</c:v>
                </c:pt>
                <c:pt idx="1">
                  <c:v>37 C/5两年期
（14-15年）</c:v>
                </c:pt>
                <c:pt idx="2">
                  <c:v>38 C/5两年期
（16-17年）</c:v>
                </c:pt>
                <c:pt idx="3">
                  <c:v>39 C/5两年期
（18-19年）</c:v>
                </c:pt>
                <c:pt idx="4">
                  <c:v>40 C/5两年期
（20-21年）</c:v>
                </c:pt>
                <c:pt idx="5">
                  <c:v>41 C/5两年期
（22-23年）</c:v>
                </c:pt>
              </c:strCache>
            </c:strRef>
          </c:cat>
          <c:val>
            <c:numRef>
              <c:f>Expenditures!$D$5:$D$10</c:f>
              <c:numCache>
                <c:formatCode>_-* #,##0\ _€_-;\-* #,##0\ _€_-;_-* "-"??\ _€_-;_-@_-</c:formatCode>
                <c:ptCount val="6"/>
                <c:pt idx="0">
                  <c:v>2919571.91</c:v>
                </c:pt>
                <c:pt idx="1">
                  <c:v>2441884.11</c:v>
                </c:pt>
                <c:pt idx="2">
                  <c:v>3609487.97</c:v>
                </c:pt>
                <c:pt idx="3">
                  <c:v>5400185.3399999999</c:v>
                </c:pt>
                <c:pt idx="4">
                  <c:v>3614061.1</c:v>
                </c:pt>
                <c:pt idx="5">
                  <c:v>6394727.79</c:v>
                </c:pt>
              </c:numCache>
            </c:numRef>
          </c:val>
          <c:smooth val="0"/>
          <c:extLst>
            <c:ext xmlns:c16="http://schemas.microsoft.com/office/drawing/2014/chart" uri="{C3380CC4-5D6E-409C-BE32-E72D297353CC}">
              <c16:uniqueId val="{00000001-C328-4F49-A164-D862D718D910}"/>
            </c:ext>
          </c:extLst>
        </c:ser>
        <c:ser>
          <c:idx val="5"/>
          <c:order val="5"/>
          <c:tx>
            <c:strRef>
              <c:f>Expenditures!$H$4</c:f>
              <c:strCache>
                <c:ptCount val="1"/>
                <c:pt idx="0">
                  <c:v>2022-2023年期间的义务纳款</c:v>
                </c:pt>
              </c:strCache>
            </c:strRef>
          </c:tx>
          <c:spPr>
            <a:ln w="34925" cap="rnd">
              <a:solidFill>
                <a:schemeClr val="accent6"/>
              </a:solidFill>
              <a:prstDash val="sysDot"/>
              <a:round/>
            </a:ln>
            <a:effectLst>
              <a:outerShdw blurRad="57150" dist="19050" dir="5400000" algn="ctr" rotWithShape="0">
                <a:srgbClr val="000000">
                  <a:alpha val="63000"/>
                </a:srgbClr>
              </a:outerShdw>
            </a:effectLst>
          </c:spPr>
          <c:marker>
            <c:symbol val="none"/>
          </c:marker>
          <c:dPt>
            <c:idx val="1"/>
            <c:marker>
              <c:symbol val="none"/>
            </c:marker>
            <c:bubble3D val="0"/>
            <c:spPr>
              <a:ln w="34925" cap="rnd">
                <a:solidFill>
                  <a:sysClr val="windowText" lastClr="000000"/>
                </a:solidFill>
                <a:prstDash val="sysDot"/>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328-4F49-A164-D862D718D910}"/>
              </c:ext>
            </c:extLst>
          </c:dPt>
          <c:dPt>
            <c:idx val="2"/>
            <c:marker>
              <c:symbol val="none"/>
            </c:marker>
            <c:bubble3D val="0"/>
            <c:spPr>
              <a:ln w="34925" cap="rnd">
                <a:solidFill>
                  <a:sysClr val="windowText" lastClr="000000"/>
                </a:solidFill>
                <a:prstDash val="sysDot"/>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328-4F49-A164-D862D718D910}"/>
              </c:ext>
            </c:extLst>
          </c:dPt>
          <c:dPt>
            <c:idx val="3"/>
            <c:marker>
              <c:symbol val="none"/>
            </c:marker>
            <c:bubble3D val="0"/>
            <c:spPr>
              <a:ln w="34925" cap="rnd">
                <a:solidFill>
                  <a:sysClr val="windowText" lastClr="000000"/>
                </a:solidFill>
                <a:prstDash val="sysDot"/>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328-4F49-A164-D862D718D910}"/>
              </c:ext>
            </c:extLst>
          </c:dPt>
          <c:dPt>
            <c:idx val="4"/>
            <c:marker>
              <c:symbol val="none"/>
            </c:marker>
            <c:bubble3D val="0"/>
            <c:spPr>
              <a:ln w="34925" cap="rnd">
                <a:solidFill>
                  <a:sysClr val="windowText" lastClr="000000"/>
                </a:solidFill>
                <a:prstDash val="sysDot"/>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C328-4F49-A164-D862D718D910}"/>
              </c:ext>
            </c:extLst>
          </c:dPt>
          <c:dPt>
            <c:idx val="5"/>
            <c:marker>
              <c:symbol val="none"/>
            </c:marker>
            <c:bubble3D val="0"/>
            <c:spPr>
              <a:ln w="34925" cap="rnd">
                <a:solidFill>
                  <a:sysClr val="windowText" lastClr="000000"/>
                </a:solidFill>
                <a:prstDash val="sysDot"/>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C328-4F49-A164-D862D718D910}"/>
              </c:ext>
            </c:extLst>
          </c:dPt>
          <c:dLbls>
            <c:delete val="1"/>
          </c:dLbls>
          <c:cat>
            <c:strRef>
              <c:f>Expenditures!$B$5:$B$10</c:f>
              <c:strCache>
                <c:ptCount val="6"/>
                <c:pt idx="0">
                  <c:v>36 C/5两年期
（12-13年）</c:v>
                </c:pt>
                <c:pt idx="1">
                  <c:v>37 C/5两年期
（14-15年）</c:v>
                </c:pt>
                <c:pt idx="2">
                  <c:v>38 C/5两年期
（16-17年）</c:v>
                </c:pt>
                <c:pt idx="3">
                  <c:v>39 C/5两年期
（18-19年）</c:v>
                </c:pt>
                <c:pt idx="4">
                  <c:v>40 C/5两年期
（20-21年）</c:v>
                </c:pt>
                <c:pt idx="5">
                  <c:v>41 C/5两年期
（22-23年）</c:v>
                </c:pt>
              </c:strCache>
            </c:strRef>
          </c:cat>
          <c:val>
            <c:numRef>
              <c:f>Expenditures!$H$5:$H$10</c:f>
              <c:numCache>
                <c:formatCode>_-* #,##0.00\ _€_-;\-* #,##0.00\ _€_-;_-* "-"??\ _€_-;_-@_-</c:formatCode>
                <c:ptCount val="6"/>
                <c:pt idx="0">
                  <c:v>3956410</c:v>
                </c:pt>
                <c:pt idx="1">
                  <c:v>3956410</c:v>
                </c:pt>
                <c:pt idx="2">
                  <c:v>3956410</c:v>
                </c:pt>
                <c:pt idx="3">
                  <c:v>3956410</c:v>
                </c:pt>
                <c:pt idx="4">
                  <c:v>3956410</c:v>
                </c:pt>
                <c:pt idx="5">
                  <c:v>3956410</c:v>
                </c:pt>
              </c:numCache>
            </c:numRef>
          </c:val>
          <c:smooth val="0"/>
          <c:extLst>
            <c:ext xmlns:c16="http://schemas.microsoft.com/office/drawing/2014/chart" uri="{C3380CC4-5D6E-409C-BE32-E72D297353CC}">
              <c16:uniqueId val="{0000000C-C328-4F49-A164-D862D718D910}"/>
            </c:ext>
          </c:extLst>
        </c:ser>
        <c:dLbls>
          <c:dLblPos val="ctr"/>
          <c:showLegendKey val="0"/>
          <c:showVal val="1"/>
          <c:showCatName val="0"/>
          <c:showSerName val="0"/>
          <c:showPercent val="0"/>
          <c:showBubbleSize val="0"/>
        </c:dLbls>
        <c:smooth val="0"/>
        <c:axId val="502461904"/>
        <c:axId val="502462232"/>
        <c:extLst>
          <c:ext xmlns:c15="http://schemas.microsoft.com/office/drawing/2012/chart" uri="{02D57815-91ED-43cb-92C2-25804820EDAC}">
            <c15:filteredLineSeries>
              <c15:ser>
                <c:idx val="2"/>
                <c:order val="2"/>
                <c:tx>
                  <c:strRef>
                    <c:extLst>
                      <c:ext uri="{02D57815-91ED-43cb-92C2-25804820EDAC}">
                        <c15:formulaRef>
                          <c15:sqref>Expenditures!$E$4</c15:sqref>
                        </c15:formulaRef>
                      </c:ext>
                    </c:extLst>
                    <c:strCache>
                      <c:ptCount val="1"/>
                      <c:pt idx="0">
                        <c:v>未用余额</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elete val="1"/>
                </c:dLbls>
                <c:cat>
                  <c:strRef>
                    <c:extLst>
                      <c:ext uri="{02D57815-91ED-43cb-92C2-25804820EDAC}">
                        <c15:formulaRef>
                          <c15:sqref>Expenditures!$B$5:$B$10</c15:sqref>
                        </c15:formulaRef>
                      </c:ext>
                    </c:extLst>
                    <c:strCache>
                      <c:ptCount val="6"/>
                      <c:pt idx="0">
                        <c:v>36 C/5两年期
（12-13年）</c:v>
                      </c:pt>
                      <c:pt idx="1">
                        <c:v>37 C/5两年期
（14-15年）</c:v>
                      </c:pt>
                      <c:pt idx="2">
                        <c:v>38 C/5两年期
（16-17年）</c:v>
                      </c:pt>
                      <c:pt idx="3">
                        <c:v>39 C/5两年期
（18-19年）</c:v>
                      </c:pt>
                      <c:pt idx="4">
                        <c:v>40 C/5两年期
（20-21年）</c:v>
                      </c:pt>
                      <c:pt idx="5">
                        <c:v>41 C/5两年期
（22-23年）</c:v>
                      </c:pt>
                    </c:strCache>
                  </c:strRef>
                </c:cat>
                <c:val>
                  <c:numRef>
                    <c:extLst>
                      <c:ext uri="{02D57815-91ED-43cb-92C2-25804820EDAC}">
                        <c15:formulaRef>
                          <c15:sqref>Expenditures!$E$5:$E$10</c15:sqref>
                        </c15:formulaRef>
                      </c:ext>
                    </c:extLst>
                    <c:numCache>
                      <c:formatCode>_-* #,##0\ _€_-;\-* #,##0\ _€_-;_-* "-"??\ _€_-;_-@_-</c:formatCode>
                      <c:ptCount val="6"/>
                      <c:pt idx="0">
                        <c:v>2927208.09</c:v>
                      </c:pt>
                      <c:pt idx="1">
                        <c:v>4313553.8900000006</c:v>
                      </c:pt>
                      <c:pt idx="2">
                        <c:v>4368432.0299999993</c:v>
                      </c:pt>
                      <c:pt idx="3">
                        <c:v>3190736.66</c:v>
                      </c:pt>
                      <c:pt idx="4">
                        <c:v>4226317.9000000004</c:v>
                      </c:pt>
                      <c:pt idx="5">
                        <c:v>2337925.21</c:v>
                      </c:pt>
                    </c:numCache>
                  </c:numRef>
                </c:val>
                <c:smooth val="0"/>
                <c:extLst>
                  <c:ext xmlns:c16="http://schemas.microsoft.com/office/drawing/2014/chart" uri="{C3380CC4-5D6E-409C-BE32-E72D297353CC}">
                    <c16:uniqueId val="{0000000D-C328-4F49-A164-D862D718D910}"/>
                  </c:ext>
                </c:extLst>
              </c15:ser>
            </c15:filteredLineSeries>
            <c15:filteredLineSeries>
              <c15:ser>
                <c:idx val="4"/>
                <c:order val="3"/>
                <c:tx>
                  <c:strRef>
                    <c:extLst xmlns:c15="http://schemas.microsoft.com/office/drawing/2012/chart">
                      <c:ext xmlns:c15="http://schemas.microsoft.com/office/drawing/2012/chart" uri="{02D57815-91ED-43cb-92C2-25804820EDAC}">
                        <c15:formulaRef>
                          <c15:sqref>Expenditures!$F$4</c15:sqref>
                        </c15:formulaRef>
                      </c:ext>
                    </c:extLst>
                    <c:strCache>
                      <c:ptCount val="1"/>
                      <c:pt idx="0">
                        <c:v>实施率 </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dLbls>
                  <c:delete val="1"/>
                </c:dLbls>
                <c:cat>
                  <c:strRef>
                    <c:extLst xmlns:c15="http://schemas.microsoft.com/office/drawing/2012/chart">
                      <c:ext xmlns:c15="http://schemas.microsoft.com/office/drawing/2012/chart" uri="{02D57815-91ED-43cb-92C2-25804820EDAC}">
                        <c15:formulaRef>
                          <c15:sqref>Expenditures!$B$5:$B$10</c15:sqref>
                        </c15:formulaRef>
                      </c:ext>
                    </c:extLst>
                    <c:strCache>
                      <c:ptCount val="6"/>
                      <c:pt idx="0">
                        <c:v>36 C/5两年期
（12-13年）</c:v>
                      </c:pt>
                      <c:pt idx="1">
                        <c:v>37 C/5两年期
（14-15年）</c:v>
                      </c:pt>
                      <c:pt idx="2">
                        <c:v>38 C/5两年期
（16-17年）</c:v>
                      </c:pt>
                      <c:pt idx="3">
                        <c:v>39 C/5两年期
（18-19年）</c:v>
                      </c:pt>
                      <c:pt idx="4">
                        <c:v>40 C/5两年期
（20-21年）</c:v>
                      </c:pt>
                      <c:pt idx="5">
                        <c:v>41 C/5两年期
（22-23年）</c:v>
                      </c:pt>
                    </c:strCache>
                  </c:strRef>
                </c:cat>
                <c:val>
                  <c:numRef>
                    <c:extLst xmlns:c15="http://schemas.microsoft.com/office/drawing/2012/chart">
                      <c:ext xmlns:c15="http://schemas.microsoft.com/office/drawing/2012/chart" uri="{02D57815-91ED-43cb-92C2-25804820EDAC}">
                        <c15:formulaRef>
                          <c15:sqref>Expenditures!$F$5:$F$10</c15:sqref>
                        </c15:formulaRef>
                      </c:ext>
                    </c:extLst>
                    <c:numCache>
                      <c:formatCode>0%</c:formatCode>
                      <c:ptCount val="6"/>
                      <c:pt idx="0">
                        <c:v>0.49934697560024494</c:v>
                      </c:pt>
                      <c:pt idx="1">
                        <c:v>0.36099999999999999</c:v>
                      </c:pt>
                      <c:pt idx="2">
                        <c:v>0.45243471606634311</c:v>
                      </c:pt>
                      <c:pt idx="3">
                        <c:v>0.62859205798865359</c:v>
                      </c:pt>
                      <c:pt idx="4">
                        <c:v>0.46095489771604153</c:v>
                      </c:pt>
                      <c:pt idx="5">
                        <c:v>0.73227778431136559</c:v>
                      </c:pt>
                    </c:numCache>
                  </c:numRef>
                </c:val>
                <c:smooth val="0"/>
                <c:extLst xmlns:c15="http://schemas.microsoft.com/office/drawing/2012/chart">
                  <c:ext xmlns:c16="http://schemas.microsoft.com/office/drawing/2014/chart" uri="{C3380CC4-5D6E-409C-BE32-E72D297353CC}">
                    <c16:uniqueId val="{0000000E-C328-4F49-A164-D862D718D910}"/>
                  </c:ext>
                </c:extLst>
              </c15:ser>
            </c15:filteredLineSeries>
            <c15:filteredLineSeries>
              <c15:ser>
                <c:idx val="3"/>
                <c:order val="4"/>
                <c:tx>
                  <c:strRef>
                    <c:extLst xmlns:c15="http://schemas.microsoft.com/office/drawing/2012/chart">
                      <c:ext xmlns:c15="http://schemas.microsoft.com/office/drawing/2012/chart" uri="{02D57815-91ED-43cb-92C2-25804820EDAC}">
                        <c15:formulaRef>
                          <c15:sqref>Expenditures!$G$4</c15:sqref>
                        </c15:formulaRef>
                      </c:ext>
                    </c:extLst>
                    <c:strCache>
                      <c:ptCount val="1"/>
                      <c:pt idx="0">
                        <c:v>Total Assessed contributions per biennium</c:v>
                      </c:pt>
                    </c:strCache>
                  </c:strRef>
                </c:tx>
                <c:spPr>
                  <a:ln w="34925" cap="rnd">
                    <a:solidFill>
                      <a:schemeClr val="tx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Expenditures!$B$5:$B$10</c15:sqref>
                        </c15:formulaRef>
                      </c:ext>
                    </c:extLst>
                    <c:strCache>
                      <c:ptCount val="6"/>
                      <c:pt idx="0">
                        <c:v>36 C/5两年期
（12-13年）</c:v>
                      </c:pt>
                      <c:pt idx="1">
                        <c:v>37 C/5两年期
（14-15年）</c:v>
                      </c:pt>
                      <c:pt idx="2">
                        <c:v>38 C/5两年期
（16-17年）</c:v>
                      </c:pt>
                      <c:pt idx="3">
                        <c:v>39 C/5两年期
（18-19年）</c:v>
                      </c:pt>
                      <c:pt idx="4">
                        <c:v>40 C/5两年期
（20-21年）</c:v>
                      </c:pt>
                      <c:pt idx="5">
                        <c:v>41 C/5两年期
（22-23年）</c:v>
                      </c:pt>
                    </c:strCache>
                  </c:strRef>
                </c:cat>
                <c:val>
                  <c:numRef>
                    <c:extLst xmlns:c15="http://schemas.microsoft.com/office/drawing/2012/chart">
                      <c:ext xmlns:c15="http://schemas.microsoft.com/office/drawing/2012/chart" uri="{02D57815-91ED-43cb-92C2-25804820EDAC}">
                        <c15:formulaRef>
                          <c15:sqref>Expenditures!$G$5:$G$10</c15:sqref>
                        </c15:formulaRef>
                      </c:ext>
                    </c:extLst>
                    <c:numCache>
                      <c:formatCode>_-* #,##0\ _€_-;\-* #,##0\ _€_-;_-* "-"??\ _€_-;_-@_-</c:formatCode>
                      <c:ptCount val="6"/>
                      <c:pt idx="0">
                        <c:v>3683016</c:v>
                      </c:pt>
                      <c:pt idx="1">
                        <c:v>3865558</c:v>
                      </c:pt>
                      <c:pt idx="2">
                        <c:v>3863049</c:v>
                      </c:pt>
                      <c:pt idx="3">
                        <c:v>4076169.25</c:v>
                      </c:pt>
                      <c:pt idx="4">
                        <c:v>4249054</c:v>
                      </c:pt>
                      <c:pt idx="5">
                        <c:v>4498093.92</c:v>
                      </c:pt>
                    </c:numCache>
                  </c:numRef>
                </c:val>
                <c:smooth val="0"/>
                <c:extLst xmlns:c15="http://schemas.microsoft.com/office/drawing/2012/chart">
                  <c:ext xmlns:c16="http://schemas.microsoft.com/office/drawing/2014/chart" uri="{C3380CC4-5D6E-409C-BE32-E72D297353CC}">
                    <c16:uniqueId val="{0000000F-C328-4F49-A164-D862D718D910}"/>
                  </c:ext>
                </c:extLst>
              </c15:ser>
            </c15:filteredLineSeries>
          </c:ext>
        </c:extLst>
      </c:lineChart>
      <c:catAx>
        <c:axId val="502461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2462232"/>
        <c:crosses val="autoZero"/>
        <c:auto val="1"/>
        <c:lblAlgn val="ctr"/>
        <c:lblOffset val="100"/>
        <c:noMultiLvlLbl val="0"/>
      </c:catAx>
      <c:valAx>
        <c:axId val="502462232"/>
        <c:scaling>
          <c:orientation val="minMax"/>
          <c:max val="9600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246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BFA0A-0134-4D31-9946-BCB01D4293B3}">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175</TotalTime>
  <Pages>11</Pages>
  <Words>2271</Words>
  <Characters>12496</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29</cp:revision>
  <cp:lastPrinted>2024-04-22T11:12:00Z</cp:lastPrinted>
  <dcterms:created xsi:type="dcterms:W3CDTF">2024-04-30T14:30:00Z</dcterms:created>
  <dcterms:modified xsi:type="dcterms:W3CDTF">2024-05-24T18:10:00Z</dcterms:modified>
</cp:coreProperties>
</file>