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Times New Roman" w:cs="Times New Roman" w:eastAsia="Times New Roman" w:hAnsi="Times New Roman"/>
          <w:b/>
          <w:bCs/>
          <w:sz w:val="32"/>
          <w:szCs w:val="32"/>
        </w:rPr>
        <w:t xml:space="preserve">When Coercion Becomes Constitutive:</w:t>
      </w:r>
    </w:p>
    <w:p>
      <w:pPr>
        <w:spacing w:after="480"/>
        <w:jc w:val="center"/>
      </w:pPr>
      <w:r>
        <w:rPr>
          <w:rFonts w:ascii="Times New Roman" w:cs="Times New Roman" w:eastAsia="Times New Roman" w:hAnsi="Times New Roman"/>
          <w:b/>
          <w:bCs/>
          <w:sz w:val="32"/>
          <w:szCs w:val="32"/>
        </w:rPr>
        <w:t xml:space="preserve">Normative Addressability and the Limits of Institutional Justification</w:t>
      </w:r>
    </w:p>
    <w:p>
      <w:pPr>
        <w:spacing w:after="720"/>
        <w:jc w:val="center"/>
      </w:pPr>
      <w:r>
        <w:rPr>
          <w:rFonts w:ascii="Times New Roman" w:cs="Times New Roman" w:eastAsia="Times New Roman" w:hAnsi="Times New Roman"/>
          <w:i/>
          <w:iCs/>
          <w:sz w:val="24"/>
          <w:szCs w:val="24"/>
        </w:rPr>
        <w:t xml:space="preserve">[Author information removed for blind review]</w:t>
      </w:r>
    </w:p>
    <w:p>
      <w:pPr>
        <w:spacing w:before="240" w:after="240"/>
        <w:jc w:val="center"/>
      </w:pPr>
      <w:r>
        <w:rPr>
          <w:rFonts w:ascii="Times New Roman" w:cs="Times New Roman" w:eastAsia="Times New Roman" w:hAnsi="Times New Roman"/>
          <w:b/>
          <w:bCs/>
          <w:sz w:val="24"/>
          <w:szCs w:val="24"/>
        </w:rPr>
        <w:t xml:space="preserve">Abstract</w:t>
      </w:r>
    </w:p>
    <w:p>
      <w:pPr>
        <w:spacing w:after="240" w:line="360"/>
        <w:ind w:left="720" w:right="720"/>
        <w:jc w:val="both"/>
      </w:pPr>
      <w:r>
        <w:rPr>
          <w:rFonts w:ascii="Times New Roman" w:cs="Times New Roman" w:eastAsia="Times New Roman" w:hAnsi="Times New Roman"/>
          <w:sz w:val="22"/>
          <w:szCs w:val="22"/>
        </w:rPr>
        <w:t xml:space="preserve">This paper does not argue that particular institutions are unjust. It argues that the concept of moral justification itself presupposes conditions that some institutional structures negate. I develop an analysis of justification as a relational normative practice that requires addressees capable of standing in the space of reasons. I distinguish instrumental coercion, which is counterfactually dispensable relative to an institution's aims, from constitutive coercion, which is a necessary condition of ordinary institutional functioning. I introduce the concept of non-refusable harm—harm whose avoidance would require the agent to incur loss sufficient to destroy the conditions of agency—and argue that where refusal predictably results in such destruction, the addressee is removed from the normative relation that justification requires. The central thesis concerns the grammar of justification: without normative addressability, the concept of justification loses application. Institutional structures whose ordinary functioning depends on the standing possibility of imposing non-refusable harm therefore operate outside the domain in which justificatory discourse retains meaning. Policing serves as an illustrative case of a broader structural problem concerning institutional reliance on agency-destroying threats. The argument identifies a structural boundary of justification; whether existing institutions can be redesigned to avoid crossing it is an open question.</w:t>
      </w:r>
    </w:p>
    <w:p>
      <w:pPr>
        <w:spacing w:after="480"/>
        <w:ind w:left="720" w:right="720"/>
      </w:pPr>
      <w:r>
        <w:rPr>
          <w:rFonts w:ascii="Times New Roman" w:cs="Times New Roman" w:eastAsia="Times New Roman" w:hAnsi="Times New Roman"/>
          <w:b/>
          <w:bCs/>
          <w:sz w:val="22"/>
          <w:szCs w:val="22"/>
        </w:rPr>
        <w:t xml:space="preserve">Keywords: </w:t>
      </w:r>
      <w:r>
        <w:rPr>
          <w:rFonts w:ascii="Times New Roman" w:cs="Times New Roman" w:eastAsia="Times New Roman" w:hAnsi="Times New Roman"/>
          <w:sz w:val="22"/>
          <w:szCs w:val="22"/>
        </w:rPr>
        <w:t xml:space="preserve">justification, normative addressability, coercion, grammar of justification, non-refusable harm, constitutive coercion</w:t>
      </w:r>
    </w:p>
    <w:p>
      <w:pPr>
        <w:pStyle w:val="Heading2"/>
      </w:pPr>
      <w:r>
        <w:t xml:space="preserve">1. Introduction: A Question About Justification</w:t>
      </w:r>
    </w:p>
    <w:p>
      <w:pPr>
        <w:spacing w:after="200" w:line="360"/>
        <w:jc w:val="both"/>
      </w:pPr>
      <w:r>
        <w:t xml:space="preserve">This paper does not argue that particular institutions are unjust. It argues that the concept of moral justification itself presupposes conditions that some institutional structures negate. The question is not whether certain practices violate moral standards but whether they fall within the domain where moral standards apply at all.</w:t>
      </w:r>
    </w:p>
    <w:p>
      <w:pPr>
        <w:spacing w:after="200" w:line="360"/>
        <w:jc w:val="both"/>
      </w:pPr>
      <w:r>
        <w:t xml:space="preserve">Debates about coercive institutions typically proceed by asking whether coercion is used proportionally, necessarily, or abusively. Critics point to excess; defenders invoke necessity. Both sides assume that the evaluative framework applies—that the question is how coercion measures against standards of legitimacy.</w:t>
      </w:r>
    </w:p>
    <w:p>
      <w:pPr>
        <w:spacing w:after="200" w:line="360"/>
        <w:jc w:val="both"/>
      </w:pPr>
      <w:r>
        <w:t xml:space="preserve">This paper challenges that assumption at a deeper level. I argue that there exists a class of institutional arrangements—those I call </w:t>
      </w:r>
      <w:r>
        <w:rPr>
          <w:i/>
          <w:iCs/>
        </w:rPr>
        <w:t xml:space="preserve">constitutively coercive</w:t>
      </w:r>
      <w:r>
        <w:t xml:space="preserve">—for which the very concept of justification loses application. The moral problem is not that these institutions fail to meet justificatory standards but that they operate outside the conditions under which justificatory discourse has meaning.</w:t>
      </w:r>
    </w:p>
    <w:p>
      <w:pPr>
        <w:pStyle w:val="Heading2"/>
      </w:pPr>
      <w:r>
        <w:t xml:space="preserve">2. The Conceptual Structure of Justification</w:t>
      </w:r>
    </w:p>
    <w:p>
      <w:pPr>
        <w:spacing w:after="200" w:line="360"/>
        <w:jc w:val="both"/>
      </w:pPr>
      <w:r>
        <w:t xml:space="preserve">Before examining coercion, it is necessary to clarify what justification requires as a conceptual matter.</w:t>
      </w:r>
    </w:p>
    <w:p>
      <w:pPr>
        <w:pStyle w:val="Heading3"/>
      </w:pPr>
      <w:r>
        <w:t xml:space="preserve">2.1 Justification as Relational Practice</w:t>
      </w:r>
    </w:p>
    <w:p>
      <w:pPr>
        <w:spacing w:after="200" w:line="360"/>
        <w:jc w:val="both"/>
      </w:pPr>
      <w:r>
        <w:t xml:space="preserve">Justification is not merely the possession of sufficient reasons. It is a </w:t>
      </w:r>
      <w:r>
        <w:rPr>
          <w:i/>
          <w:iCs/>
        </w:rPr>
        <w:t xml:space="preserve">relational normative practice</w:t>
      </w:r>
      <w:r>
        <w:t xml:space="preserve"> addressed to agents </w:t>
      </w:r>
      <w:r>
        <w:rPr>
          <w:i/>
          <w:iCs/>
        </w:rPr>
        <w:t xml:space="preserve">qua</w:t>
      </w:r>
      <w:r>
        <w:t xml:space="preserve"> agents. To justify an action, policy, or institution is to offer considerations to someone who can, in principle, receive those considerations as reasons—who can assess them, weigh them, and respond to them as a rational agent.</w:t>
      </w:r>
    </w:p>
    <w:p>
      <w:pPr>
        <w:spacing w:after="200" w:line="360"/>
        <w:jc w:val="both"/>
      </w:pPr>
      <w:r>
        <w:t xml:space="preserve">This relational structure is not incidental to justification; it is constitutive of it. A practice cannot count as justificatory if it systematically removes the addressee from the space of reasons. Where there is no one to whom reasons can be addressed—no agent capable of standing in the appropriate normative relation—justification does not fail; it has no application.</w:t>
      </w:r>
    </w:p>
    <w:p>
      <w:pPr>
        <w:pStyle w:val="Heading3"/>
      </w:pPr>
      <w:r>
        <w:t xml:space="preserve">2.2 Normative Addressability</w:t>
      </w:r>
    </w:p>
    <w:p>
      <w:pPr>
        <w:spacing w:after="200" w:line="360"/>
        <w:jc w:val="both"/>
      </w:pPr>
      <w:r>
        <w:t xml:space="preserve">I call the condition that makes justification possible </w:t>
      </w:r>
      <w:r>
        <w:rPr>
          <w:i/>
          <w:iCs/>
        </w:rPr>
        <w:t xml:space="preserve">normative addressability</w:t>
      </w:r>
      <w:r>
        <w:t xml:space="preserve">. An agent is normatively addressable when they are capable of receiving reasons as reasons—when they can deliberate, form plans, and exercise the capacities that constitute rational agency.</w:t>
      </w:r>
    </w:p>
    <w:p>
      <w:pPr>
        <w:spacing w:after="200" w:line="360"/>
        <w:jc w:val="both"/>
      </w:pPr>
      <w:r>
        <w:t xml:space="preserve">A clarification is essential. The argument does not presuppose consent, agreement, or endorsement. It presupposes only that the addressee remains capable of standing in the normative relation that justification requires. One can be normatively addressable without consenting to what is justified; one can reject a justification while remaining within the space of reasons. What matters is capacity, not agreement.</w:t>
      </w:r>
    </w:p>
    <w:p>
      <w:pPr>
        <w:pStyle w:val="Heading3"/>
      </w:pPr>
      <w:r>
        <w:t xml:space="preserve">2.3 The Grammar of Justification</w:t>
      </w:r>
    </w:p>
    <w:p>
      <w:pPr>
        <w:spacing w:after="200" w:line="360"/>
        <w:jc w:val="both"/>
      </w:pPr>
      <w:r>
        <w:t xml:space="preserve">The claim can be stated precisely: </w:t>
      </w:r>
      <w:r>
        <w:rPr>
          <w:i/>
          <w:iCs/>
        </w:rPr>
        <w:t xml:space="preserve">without normative addressability, the concept of justification loses application</w:t>
      </w:r>
      <w:r>
        <w:t xml:space="preserve">. This is not a claim about justification failing or being undermined. It is a claim about the </w:t>
      </w:r>
      <w:r>
        <w:rPr>
          <w:i/>
          <w:iCs/>
        </w:rPr>
        <w:t xml:space="preserve">grammar</w:t>
      </w:r>
      <w:r>
        <w:t xml:space="preserve"> of justification—about the conditions under which justificatory discourse has meaning.</w:t>
      </w:r>
    </w:p>
    <w:p>
      <w:pPr>
        <w:spacing w:after="200" w:line="360"/>
        <w:jc w:val="both"/>
      </w:pPr>
      <w:r>
        <w:t xml:space="preserve">Consider an analogy. One cannot play chess with an entity incapable of moving pieces according to rules. This is not because such play would be bad chess; it is because the concept of chess has no application absent the relevant capacities. Similarly, one cannot justify to an entity incapable of receiving reasons as reasons. The question of whether the justification succeeds or fails does not arise.</w:t>
      </w:r>
    </w:p>
    <w:p>
      <w:pPr>
        <w:pStyle w:val="Heading2"/>
      </w:pPr>
      <w:r>
        <w:t xml:space="preserve">3. Instrumental and Constitutive Coercion</w:t>
      </w:r>
    </w:p>
    <w:p>
      <w:pPr>
        <w:spacing w:after="200" w:line="360"/>
        <w:jc w:val="both"/>
      </w:pPr>
      <w:r>
        <w:t xml:space="preserve">With the conceptual structure of justification clarified, I turn to coercion.</w:t>
      </w:r>
    </w:p>
    <w:p>
      <w:pPr>
        <w:pStyle w:val="Heading3"/>
      </w:pPr>
      <w:r>
        <w:t xml:space="preserve">3.1 The Instrumental Model</w:t>
      </w:r>
    </w:p>
    <w:p>
      <w:pPr>
        <w:spacing w:after="200" w:line="360"/>
        <w:jc w:val="both"/>
      </w:pPr>
      <w:r>
        <w:t xml:space="preserve">Philosophical treatments of coercion typically proceed from what I call the </w:t>
      </w:r>
      <w:r>
        <w:rPr>
          <w:i/>
          <w:iCs/>
        </w:rPr>
        <w:t xml:space="preserve">instrumental model</w:t>
      </w:r>
      <w:r>
        <w:t xml:space="preserve">: coercion is a tool that institutions employ to secure compliance with independently justified norms. The coercive element is a means to an end, evaluable relative to a non-coercive baseline.</w:t>
      </w:r>
    </w:p>
    <w:p>
      <w:pPr>
        <w:spacing w:after="200" w:line="360"/>
        <w:jc w:val="both"/>
      </w:pPr>
      <w:r>
        <w:t xml:space="preserve">This model underwrites familiar justificatory standards: necessity, proportionality, procedural fairness. One can ask whether coercion is proportionate because one can imagine the institution functioning without it. The coercive element is counterfactually dispensable.</w:t>
      </w:r>
    </w:p>
    <w:p>
      <w:pPr>
        <w:pStyle w:val="Heading3"/>
      </w:pPr>
      <w:r>
        <w:t xml:space="preserve">3.2 Constitutive Coercion</w:t>
      </w:r>
    </w:p>
    <w:p>
      <w:pPr>
        <w:spacing w:after="200" w:line="360"/>
        <w:jc w:val="both"/>
      </w:pPr>
      <w:r>
        <w:t xml:space="preserve">By contrast, coercion is </w:t>
      </w:r>
      <w:r>
        <w:rPr>
          <w:i/>
          <w:iCs/>
        </w:rPr>
        <w:t xml:space="preserve">constitutive</w:t>
      </w:r>
      <w:r>
        <w:t xml:space="preserve"> when the standing possibility of coercive harm is a necessary condition of the institution's ordinary functioning. Removing the coercive element would not merely reduce efficiency; it would transform the institution into something else.</w:t>
      </w:r>
    </w:p>
    <w:p>
      <w:pPr>
        <w:spacing w:after="200" w:line="360"/>
        <w:jc w:val="both"/>
      </w:pPr>
      <w:r>
        <w:t xml:space="preserve">Where coercion is constitutive, the instrumental model's baseline is unavailable. There is no non-coercive version of the institution against which to measure proportionality. The question is not whether coercion is used appropriately but whether justificatory standards apply at all.</w:t>
      </w:r>
    </w:p>
    <w:p>
      <w:pPr>
        <w:pStyle w:val="Heading2"/>
      </w:pPr>
      <w:r>
        <w:t xml:space="preserve">4. Non-Refusable Harm and the Destruction of Addressability</w:t>
      </w:r>
    </w:p>
    <w:p>
      <w:pPr>
        <w:spacing w:after="200" w:line="360"/>
        <w:jc w:val="both"/>
      </w:pPr>
      <w:r>
        <w:t xml:space="preserve">The connection between constitutive coercion and the grammar of justification runs through the concept of </w:t>
      </w:r>
      <w:r>
        <w:rPr>
          <w:i/>
          <w:iCs/>
        </w:rPr>
        <w:t xml:space="preserve">non-refusable harm</w:t>
      </w:r>
      <w:r>
        <w:t xml:space="preserve">.</w:t>
      </w:r>
    </w:p>
    <w:p>
      <w:pPr>
        <w:pStyle w:val="Heading3"/>
      </w:pPr>
      <w:r>
        <w:t xml:space="preserve">4.1 Definition</w:t>
      </w:r>
    </w:p>
    <w:p>
      <w:pPr>
        <w:spacing w:after="200" w:line="360"/>
        <w:jc w:val="both"/>
      </w:pPr>
      <w:r>
        <w:t xml:space="preserve">A harm is </w:t>
      </w:r>
      <w:r>
        <w:rPr>
          <w:i/>
          <w:iCs/>
        </w:rPr>
        <w:t xml:space="preserve">non-refusable</w:t>
      </w:r>
      <w:r>
        <w:t xml:space="preserve"> when avoiding it would require the agent to incur loss sufficient to destroy the conditions of agency—the capacities for deliberation, plan formation, and sustained self-authorship that make normative addressability possible.</w:t>
      </w:r>
    </w:p>
    <w:p>
      <w:pPr>
        <w:spacing w:after="200" w:line="360"/>
        <w:jc w:val="both"/>
      </w:pPr>
      <w:r>
        <w:t xml:space="preserve">I distinguish three levels. </w:t>
      </w:r>
      <w:r>
        <w:rPr>
          <w:i/>
          <w:iCs/>
        </w:rPr>
        <w:t xml:space="preserve">Catastrophic harm</w:t>
      </w:r>
      <w:r>
        <w:t xml:space="preserve"> renders agency capacities permanently non-exercisable (death, permanent incapacitation). </w:t>
      </w:r>
      <w:r>
        <w:rPr>
          <w:i/>
          <w:iCs/>
        </w:rPr>
        <w:t xml:space="preserve">Debilitating harm</w:t>
      </w:r>
      <w:r>
        <w:t xml:space="preserve"> renders them non-exercisable for a period incompatible with the maintenance of a coherent life project. </w:t>
      </w:r>
      <w:r>
        <w:rPr>
          <w:i/>
          <w:iCs/>
        </w:rPr>
        <w:t xml:space="preserve">Punitive harm</w:t>
      </w:r>
      <w:r>
        <w:t xml:space="preserve"> imposes costs without interrupting agency. Non-refusability occurs at the debilitating and catastrophic levels.</w:t>
      </w:r>
    </w:p>
    <w:p>
      <w:pPr>
        <w:pStyle w:val="Heading3"/>
      </w:pPr>
      <w:r>
        <w:t xml:space="preserve">4.2 Refusal and Survival</w:t>
      </w:r>
    </w:p>
    <w:p>
      <w:pPr>
        <w:spacing w:after="200" w:line="360"/>
        <w:jc w:val="both"/>
      </w:pPr>
      <w:r>
        <w:t xml:space="preserve">A refusal that predictably results in the destruction of the conditions of agency is not a normative refusal but a survival response. The agent is not exercising rational agency in declining; they are reacting to threat in a way that forecloses the very capacities that make refusal meaningful.</w:t>
      </w:r>
    </w:p>
    <w:p>
      <w:pPr>
        <w:spacing w:after="200" w:line="360"/>
        <w:jc w:val="both"/>
      </w:pPr>
      <w:r>
        <w:t xml:space="preserve">Justification cannot be addressed to survival responses. Where compliance is secured by threats that make refusal tantamount to agency-destruction, the relation between institution and subject is not one of justification. Reasons function not as reasons but as conditions—as features of the environment to which the agent adapts for survival.</w:t>
      </w:r>
    </w:p>
    <w:p>
      <w:pPr>
        <w:pStyle w:val="Heading3"/>
      </w:pPr>
      <w:r>
        <w:t xml:space="preserve">4.3 Structural Pressure Toward Escalation</w:t>
      </w:r>
    </w:p>
    <w:p>
      <w:pPr>
        <w:spacing w:after="200" w:line="360"/>
        <w:jc w:val="both"/>
      </w:pPr>
      <w:r>
        <w:t xml:space="preserve">Constitutive coercion, to function as an ordinary compliance mechanism, must be credible for all subjects, including the most resistant. This creates structural pressure toward escalation: threats must be severe enough to compel even those who would otherwise refuse. But escalation sufficient for the most resistant reaches non-refusable levels for the most vulnerable.</w:t>
      </w:r>
    </w:p>
    <w:p>
      <w:pPr>
        <w:spacing w:after="200" w:line="360"/>
        <w:jc w:val="both"/>
      </w:pPr>
      <w:r>
        <w:t xml:space="preserve">The claim is not empirical overreach. It concerns </w:t>
      </w:r>
      <w:r>
        <w:rPr>
          <w:i/>
          <w:iCs/>
        </w:rPr>
        <w:t xml:space="preserve">structural availability</w:t>
      </w:r>
      <w:r>
        <w:t xml:space="preserve">, not frequency of activation. The question is whether non-refusable harm is part of the ordinary compliance toolkit—whether the institution incorporates the </w:t>
      </w:r>
      <w:r>
        <w:rPr>
          <w:i/>
          <w:iCs/>
        </w:rPr>
        <w:t xml:space="preserve">standing possibility</w:t>
      </w:r>
      <w:r>
        <w:t xml:space="preserve"> of agency-destroying threat as a routine feature of its operation.</w:t>
      </w:r>
    </w:p>
    <w:p>
      <w:pPr>
        <w:pStyle w:val="Heading2"/>
      </w:pPr>
      <w:r>
        <w:t xml:space="preserve">5. The Structural Boundary Thesis</w:t>
      </w:r>
    </w:p>
    <w:p>
      <w:pPr>
        <w:spacing w:after="200" w:line="360"/>
        <w:jc w:val="both"/>
      </w:pPr>
      <w:r>
        <w:t xml:space="preserve">The argument can now be formalized:</w:t>
      </w:r>
    </w:p>
    <w:p>
      <w:pPr>
        <w:spacing w:after="160" w:line="360"/>
        <w:ind w:left="720"/>
        <w:jc w:val="both"/>
      </w:pPr>
      <w:r>
        <w:t xml:space="preserve">(P1) Justification is a relational practice that presupposes normative addressability.</w:t>
      </w:r>
    </w:p>
    <w:p>
      <w:pPr>
        <w:spacing w:after="160" w:line="360"/>
        <w:ind w:left="720"/>
        <w:jc w:val="both"/>
      </w:pPr>
      <w:r>
        <w:t xml:space="preserve">(P2) Without normative addressability, the concept of justification loses application.</w:t>
      </w:r>
    </w:p>
    <w:p>
      <w:pPr>
        <w:spacing w:after="160" w:line="360"/>
        <w:ind w:left="720"/>
        <w:jc w:val="both"/>
      </w:pPr>
      <w:r>
        <w:t xml:space="preserve">(P3) Non-refusable harm destroys the conditions of agency that constitute normative addressability.</w:t>
      </w:r>
    </w:p>
    <w:p>
      <w:pPr>
        <w:spacing w:after="160" w:line="360"/>
        <w:ind w:left="720"/>
        <w:jc w:val="both"/>
      </w:pPr>
      <w:r>
        <w:t xml:space="preserve">(P4) Constitutive coercion incorporates the standing possibility of non-refusable harm as an ordinary compliance mechanism.</w:t>
      </w:r>
    </w:p>
    <w:p>
      <w:pPr>
        <w:spacing w:after="160" w:line="360"/>
        <w:ind w:left="720"/>
        <w:jc w:val="both"/>
      </w:pPr>
      <w:r>
        <w:t xml:space="preserve">(C) Therefore, institutional structures employing constitutive coercion with standing non-refusable possibility operate outside the domain in which justificatory discourse retains meaning.</w:t>
      </w:r>
    </w:p>
    <w:p>
      <w:pPr>
        <w:spacing w:after="200" w:line="360"/>
        <w:jc w:val="both"/>
      </w:pPr>
      <w:r>
        <w:t xml:space="preserve">The conclusion is not that such institutions are illegitimate or unjust. It is that they </w:t>
      </w:r>
      <w:r>
        <w:rPr>
          <w:i/>
          <w:iCs/>
        </w:rPr>
        <w:t xml:space="preserve">operate outside the domain in which justificatory discourse retains meaning</w:t>
      </w:r>
      <w:r>
        <w:t xml:space="preserve">. The question of legitimacy presupposes that justificatory standards apply; the present argument concerns the prior question of whether they do.</w:t>
      </w:r>
    </w:p>
    <w:p>
      <w:pPr>
        <w:pStyle w:val="Heading2"/>
      </w:pPr>
      <w:r>
        <w:t xml:space="preserve">6. Scope and Limits of the Thesis</w:t>
      </w:r>
    </w:p>
    <w:p>
      <w:pPr>
        <w:spacing w:after="200" w:line="360"/>
        <w:jc w:val="both"/>
      </w:pPr>
      <w:r>
        <w:t xml:space="preserve">Several clarifications are necessary to prevent misunderstanding.</w:t>
      </w:r>
    </w:p>
    <w:p>
      <w:pPr>
        <w:spacing w:after="200" w:line="360"/>
        <w:jc w:val="both"/>
      </w:pPr>
      <w:r>
        <w:rPr>
          <w:i/>
          <w:iCs/>
        </w:rPr>
        <w:t xml:space="preserve">The thesis does not claim that all coercion falls outside justificatory bounds.</w:t>
      </w:r>
      <w:r>
        <w:t xml:space="preserve"> Instrumental coercion—coercion that is counterfactually dispensable—remains subject to standard justificatory evaluation. The thesis concerns only constitutive coercion that incorporates standing non-refusable threat.</w:t>
      </w:r>
    </w:p>
    <w:p>
      <w:pPr>
        <w:spacing w:after="200" w:line="360"/>
        <w:jc w:val="both"/>
      </w:pPr>
      <w:r>
        <w:rPr>
          <w:i/>
          <w:iCs/>
        </w:rPr>
        <w:t xml:space="preserve">The thesis does not claim that the state as such is unjustifiable.</w:t>
      </w:r>
      <w:r>
        <w:t xml:space="preserve"> The state is a complex of functions, some of which may satisfy justificatory conditions and some of which may not. The thesis identifies a structural feature that places certain institutional arrangements outside justificatory bounds; it does not condemn all state action.</w:t>
      </w:r>
    </w:p>
    <w:p>
      <w:pPr>
        <w:spacing w:after="200" w:line="360"/>
        <w:jc w:val="both"/>
      </w:pPr>
      <w:r>
        <w:rPr>
          <w:i/>
          <w:iCs/>
        </w:rPr>
        <w:t xml:space="preserve">The thesis concerns structural conditions, not empirical frequency.</w:t>
      </w:r>
      <w:r>
        <w:t xml:space="preserve"> An institution that rarely activates non-refusable harm but retains it as a standing option falls under the thesis. The question is structural availability, not statistical prevalence.</w:t>
      </w:r>
    </w:p>
    <w:p>
      <w:pPr>
        <w:pStyle w:val="Heading2"/>
      </w:pPr>
      <w:r>
        <w:t xml:space="preserve">7. Illustrative Application: Policing</w:t>
      </w:r>
    </w:p>
    <w:p>
      <w:pPr>
        <w:spacing w:after="200" w:line="360"/>
        <w:jc w:val="both"/>
      </w:pPr>
      <w:r>
        <w:t xml:space="preserve">Policing serves here as an illustrative case of a broader structural problem concerning institutional reliance on agency-destroying threats. The analysis is not specifically 'about policing' but uses policing to demonstrate how the thesis applies to concrete institutional arrangements.</w:t>
      </w:r>
    </w:p>
    <w:p>
      <w:pPr>
        <w:pStyle w:val="Heading3"/>
      </w:pPr>
      <w:r>
        <w:t xml:space="preserve">7.1 High-Intensity Policing</w:t>
      </w:r>
    </w:p>
    <w:p>
      <w:pPr>
        <w:spacing w:after="200" w:line="360"/>
        <w:jc w:val="both"/>
      </w:pPr>
      <w:r>
        <w:t xml:space="preserve">High-intensity policing is characterized by routine access to lethal force, powers of preventive detention, and authority to use physical coercion as a first-line compliance mechanism. The standing possibility of catastrophic harm—death, severe injury, prolonged incarceration—is built into ordinary functioning.</w:t>
      </w:r>
    </w:p>
    <w:p>
      <w:pPr>
        <w:spacing w:after="200" w:line="360"/>
        <w:jc w:val="both"/>
      </w:pPr>
      <w:r>
        <w:t xml:space="preserve">Consider the structure of a routine encounter. Compliance is secured not through persuasion but through background knowledge—shared by both parties—that refusal may trigger escalation to force. The subject's 'choice' to comply is not an exercise of rational agency but a survival adaptation to threat.</w:t>
      </w:r>
    </w:p>
    <w:p>
      <w:pPr>
        <w:spacing w:after="200" w:line="360"/>
        <w:jc w:val="both"/>
      </w:pPr>
      <w:r>
        <w:t xml:space="preserve">On the present analysis, high-intensity policing incorporates the standing possibility of non-refusable harm as part of its ordinary toolkit. It therefore operates outside the domain in which justificatory discourse retains meaning for those subject to it.</w:t>
      </w:r>
    </w:p>
    <w:p>
      <w:pPr>
        <w:pStyle w:val="Heading3"/>
      </w:pPr>
      <w:r>
        <w:t xml:space="preserve">7.2 Differential Vulnerability</w:t>
      </w:r>
    </w:p>
    <w:p>
      <w:pPr>
        <w:spacing w:after="200" w:line="360"/>
        <w:jc w:val="both"/>
      </w:pPr>
      <w:r>
        <w:t xml:space="preserve">A crucial feature is that the non-refusable character of policing is differentially distributed. The same institution operates at punitive levels for some and at debilitating or catastrophic levels for others. An institution that </w:t>
      </w:r>
      <w:r>
        <w:rPr>
          <w:i/>
          <w:iCs/>
        </w:rPr>
        <w:t xml:space="preserve">can be</w:t>
      </w:r>
      <w:r>
        <w:t xml:space="preserve"> non-refusable for anyone cannot be justified </w:t>
      </w:r>
      <w:r>
        <w:rPr>
          <w:i/>
          <w:iCs/>
        </w:rPr>
        <w:t xml:space="preserve">to everyone</w:t>
      </w:r>
      <w:r>
        <w:t xml:space="preserve">—and justification to all is what public justification requires.</w:t>
      </w:r>
    </w:p>
    <w:p>
      <w:pPr>
        <w:pStyle w:val="Heading2"/>
      </w:pPr>
      <w:r>
        <w:t xml:space="preserve">8. Objections</w:t>
      </w:r>
    </w:p>
    <w:p>
      <w:pPr>
        <w:pStyle w:val="Heading3"/>
      </w:pPr>
      <w:r>
        <w:t xml:space="preserve">8.1 The Surgery Objection</w:t>
      </w:r>
    </w:p>
    <w:p>
      <w:pPr>
        <w:spacing w:after="200" w:line="360"/>
        <w:jc w:val="both"/>
      </w:pPr>
      <w:r>
        <w:t xml:space="preserve">The surgeon imposes non-refusable harm on the anesthetized patient. Yet surgery appears within justificatory bounds. The difference is </w:t>
      </w:r>
      <w:r>
        <w:rPr>
          <w:i/>
          <w:iCs/>
        </w:rPr>
        <w:t xml:space="preserve">prior consent</w:t>
      </w:r>
      <w:r>
        <w:t xml:space="preserve">: the patient authorizes intervention while normatively addressable. Policing operates on subjects who have not authorized the standing threat of force.</w:t>
      </w:r>
    </w:p>
    <w:p>
      <w:pPr>
        <w:pStyle w:val="Heading3"/>
      </w:pPr>
      <w:r>
        <w:t xml:space="preserve">8.2 The Emergency Necessity Objection</w:t>
      </w:r>
    </w:p>
    <w:p>
      <w:pPr>
        <w:spacing w:after="200" w:line="360"/>
        <w:jc w:val="both"/>
      </w:pPr>
      <w:r>
        <w:t xml:space="preserve">Emergency defensive force may fall outside the thesis because it responds to exceptional breakdown in normative relations caused by the aggressor. The thesis concerns </w:t>
      </w:r>
      <w:r>
        <w:rPr>
          <w:i/>
          <w:iCs/>
        </w:rPr>
        <w:t xml:space="preserve">standing institutional reliance</w:t>
      </w:r>
      <w:r>
        <w:t xml:space="preserve"> on non-refusable harm as an </w:t>
      </w:r>
      <w:r>
        <w:rPr>
          <w:i/>
          <w:iCs/>
        </w:rPr>
        <w:t xml:space="preserve">ordinary</w:t>
      </w:r>
      <w:r>
        <w:t xml:space="preserve"> compliance mechanism, not exceptional response to exceptional circumstances.</w:t>
      </w:r>
    </w:p>
    <w:p>
      <w:pPr>
        <w:pStyle w:val="Heading3"/>
      </w:pPr>
      <w:r>
        <w:t xml:space="preserve">8.3 The Tragic Necessity Objection</w:t>
      </w:r>
    </w:p>
    <w:p>
      <w:pPr>
        <w:spacing w:after="200" w:line="360"/>
        <w:jc w:val="both"/>
      </w:pPr>
      <w:r>
        <w:t xml:space="preserve">'Tragic necessity' names situations where justificatory frameworks are suspended, not satisfied. It requires: (i) imminent collective survival at stake; (ii) no practicable alternatives; (iii) strict temporal limitation; (iv) inviolable limits on catastrophic harm. Ordinary policing satisfies none of these criteria.</w:t>
      </w:r>
    </w:p>
    <w:p>
      <w:pPr>
        <w:pStyle w:val="Heading2"/>
      </w:pPr>
      <w:r>
        <w:t xml:space="preserve">9. Presuppositions in Existing Frameworks</w:t>
      </w:r>
    </w:p>
    <w:p>
      <w:pPr>
        <w:spacing w:after="200" w:line="360"/>
        <w:jc w:val="both"/>
      </w:pPr>
      <w:r>
        <w:t xml:space="preserve">The thesis articulates a presupposition already embedded in dominant frameworks of political justification.</w:t>
      </w:r>
    </w:p>
    <w:p>
      <w:pPr>
        <w:spacing w:after="200" w:line="360"/>
        <w:jc w:val="both"/>
      </w:pPr>
      <w:r>
        <w:rPr>
          <w:i/>
          <w:iCs/>
        </w:rPr>
        <w:t xml:space="preserve">Rawlsian justification</w:t>
      </w:r>
      <w:r>
        <w:t xml:space="preserve"> requires that principles be justifiable to each person as free and equal. If some positions involve non-refusable harm as a standing condition, their occupants cannot be addressed as the methodology requires.</w:t>
      </w:r>
    </w:p>
    <w:p>
      <w:pPr>
        <w:spacing w:after="200" w:line="360"/>
        <w:jc w:val="both"/>
      </w:pPr>
      <w:r>
        <w:rPr>
          <w:i/>
          <w:iCs/>
        </w:rPr>
        <w:t xml:space="preserve">Scanlonian contractualism</w:t>
      </w:r>
      <w:r>
        <w:t xml:space="preserve"> requires that principles be non-rejectable by anyone. Reasonable rejection is an exercise of agency; where refusal destroys agency, the capacity for rejection is destroyed.</w:t>
      </w:r>
    </w:p>
    <w:p>
      <w:pPr>
        <w:spacing w:after="200" w:line="360"/>
        <w:jc w:val="both"/>
      </w:pPr>
      <w:r>
        <w:rPr>
          <w:i/>
          <w:iCs/>
        </w:rPr>
        <w:t xml:space="preserve">Pettitian non-domination</w:t>
      </w:r>
      <w:r>
        <w:t xml:space="preserve"> requires contestability. Non-refusable harm forecloses contestation by making challenge tantamount to destruction.</w:t>
      </w:r>
    </w:p>
    <w:p>
      <w:pPr>
        <w:pStyle w:val="Heading2"/>
      </w:pPr>
      <w:r>
        <w:t xml:space="preserve">10. Conclusion</w:t>
      </w:r>
    </w:p>
    <w:p>
      <w:pPr>
        <w:spacing w:after="200" w:line="360"/>
        <w:jc w:val="both"/>
      </w:pPr>
      <w:r>
        <w:t xml:space="preserve">This paper has argued for a structural boundary on the application of justificatory concepts. The argument proceeds from the grammar of justification: justification is a relational practice addressed to agents qua agents; without normative addressability, the concept loses application. Non-refusable harm destroys normative addressability. Institutional structures that incorporate the standing possibility of such harm as an ordinary compliance mechanism therefore operate outside the domain in which justificatory discourse retains meaning.</w:t>
      </w:r>
    </w:p>
    <w:p>
      <w:pPr>
        <w:spacing w:after="200" w:line="360"/>
        <w:jc w:val="both"/>
      </w:pPr>
      <w:r>
        <w:t xml:space="preserve">The argument identifies a structural boundary of justification. Whether existing institutions can be redesigned to avoid crossing it is an open question. What is not open is the conceptual limit itself.</w:t>
      </w:r>
    </w:p>
    <w:p>
      <w:pPr>
        <w:spacing w:after="200" w:line="360"/>
        <w:jc w:val="both"/>
      </w:pPr>
      <w:r>
        <w:t xml:space="preserve">The conclusion is not a political program but a conceptual clarification. It specifies conditions under which justificatory discourse has application. That certain institutional arrangements fall outside these conditions is a finding about the grammar of justification, not an ideological commitment. The implications for institutional design remain to be worked out; what the argument establishes is the constraint that any acceptable design must satisfy.</w:t>
      </w:r>
    </w:p>
    <w:p>
      <w:pPr>
        <w:pStyle w:val="Heading2"/>
        <w:spacing w:before="480"/>
      </w:pPr>
      <w:r>
        <w:t xml:space="preserve">References</w:t>
      </w:r>
    </w:p>
    <w:p>
      <w:pPr>
        <w:spacing w:after="160" w:line="360"/>
        <w:ind w:left="720" w:hanging="720"/>
      </w:pPr>
      <w:r>
        <w:t xml:space="preserve">Duff, R.A. (2018). </w:t>
      </w:r>
      <w:r>
        <w:rPr>
          <w:i/>
          <w:iCs/>
        </w:rPr>
        <w:t xml:space="preserve">The Realm of Criminal Law</w:t>
      </w:r>
      <w:r>
        <w:t xml:space="preserve">. Oxford University Press.</w:t>
      </w:r>
    </w:p>
    <w:p>
      <w:pPr>
        <w:spacing w:after="160" w:line="360"/>
        <w:ind w:left="720" w:hanging="720"/>
      </w:pPr>
      <w:r>
        <w:t xml:space="preserve">Nozick, R. (1969). Coercion. In S. Morgenbesser et al. (Eds.), </w:t>
      </w:r>
      <w:r>
        <w:rPr>
          <w:i/>
          <w:iCs/>
        </w:rPr>
        <w:t xml:space="preserve">Philosophy, Science and Method</w:t>
      </w:r>
      <w:r>
        <w:t xml:space="preserve">. St. Martin's Press.</w:t>
      </w:r>
    </w:p>
    <w:p>
      <w:pPr>
        <w:spacing w:after="160" w:line="360"/>
        <w:ind w:left="720" w:hanging="720"/>
      </w:pPr>
      <w:r>
        <w:t xml:space="preserve">Pettit, P. (1997). </w:t>
      </w:r>
      <w:r>
        <w:rPr>
          <w:i/>
          <w:iCs/>
        </w:rPr>
        <w:t xml:space="preserve">Republicanism: A Theory of Freedom and Government</w:t>
      </w:r>
      <w:r>
        <w:t xml:space="preserve">. Oxford University Press.</w:t>
      </w:r>
    </w:p>
    <w:p>
      <w:pPr>
        <w:spacing w:after="160" w:line="360"/>
        <w:ind w:left="720" w:hanging="720"/>
      </w:pPr>
      <w:r>
        <w:t xml:space="preserve">Rawls, J. (1971). </w:t>
      </w:r>
      <w:r>
        <w:rPr>
          <w:i/>
          <w:iCs/>
        </w:rPr>
        <w:t xml:space="preserve">A Theory of Justice</w:t>
      </w:r>
      <w:r>
        <w:t xml:space="preserve">. Harvard University Press.</w:t>
      </w:r>
    </w:p>
    <w:p>
      <w:pPr>
        <w:spacing w:after="160" w:line="360"/>
        <w:ind w:left="720" w:hanging="720"/>
      </w:pPr>
      <w:r>
        <w:t xml:space="preserve">Renzo, M. (2012). Duties to the Agent. </w:t>
      </w:r>
      <w:r>
        <w:rPr>
          <w:i/>
          <w:iCs/>
        </w:rPr>
        <w:t xml:space="preserve">Oxford Studies in Metaethics</w:t>
      </w:r>
      <w:r>
        <w:t xml:space="preserve">, 7, 210-238.</w:t>
      </w:r>
    </w:p>
    <w:p>
      <w:pPr>
        <w:spacing w:after="160" w:line="360"/>
        <w:ind w:left="720" w:hanging="720"/>
      </w:pPr>
      <w:r>
        <w:t xml:space="preserve">Ripstein, A. (2009). </w:t>
      </w:r>
      <w:r>
        <w:rPr>
          <w:i/>
          <w:iCs/>
        </w:rPr>
        <w:t xml:space="preserve">Force and Freedom: Kant's Legal and Political Philosophy</w:t>
      </w:r>
      <w:r>
        <w:t xml:space="preserve">. Harvard University Press.</w:t>
      </w:r>
    </w:p>
    <w:p>
      <w:pPr>
        <w:spacing w:after="160" w:line="360"/>
        <w:ind w:left="720" w:hanging="720"/>
      </w:pPr>
      <w:r>
        <w:t xml:space="preserve">Scanlon, T.M. (1998). </w:t>
      </w:r>
      <w:r>
        <w:rPr>
          <w:i/>
          <w:iCs/>
        </w:rPr>
        <w:t xml:space="preserve">What We Owe to Each Other</w:t>
      </w:r>
      <w:r>
        <w:t xml:space="preserve">. Harvard University Press.</w:t>
      </w:r>
    </w:p>
    <w:p>
      <w:pPr>
        <w:spacing w:after="160" w:line="360"/>
        <w:ind w:left="720" w:hanging="720"/>
      </w:pPr>
      <w:r>
        <w:t xml:space="preserve">Tadros, V. (2011). </w:t>
      </w:r>
      <w:r>
        <w:rPr>
          <w:i/>
          <w:iCs/>
        </w:rPr>
        <w:t xml:space="preserve">The Ends of Harm: The Moral Foundations of Criminal Law</w:t>
      </w:r>
      <w:r>
        <w:t xml:space="preserve">. Oxford University Press.</w:t>
      </w:r>
    </w:p>
    <w:p>
      <w:pPr>
        <w:spacing w:after="160" w:line="360"/>
        <w:ind w:left="720" w:hanging="720"/>
      </w:pPr>
      <w:r>
        <w:t xml:space="preserve">Wertheimer, A. (1987). </w:t>
      </w:r>
      <w:r>
        <w:rPr>
          <w:i/>
          <w:iCs/>
        </w:rPr>
        <w:t xml:space="preserve">Coercion</w:t>
      </w:r>
      <w:r>
        <w:t xml:space="preserve">. Princeton University Press.</w:t>
      </w: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40"/>
    </w:pPr>
    <w:rPr>
      <w:rFonts w:ascii="Times New Roman" w:cs="Times New Roman" w:eastAsia="Times New Roman" w:hAnsi="Times New Roman"/>
      <w:b/>
      <w:bCs/>
      <w:sz w:val="24"/>
      <w:szCs w:val="24"/>
    </w:rPr>
  </w:style>
  <w:style w:type="paragraph" w:styleId="Heading3">
    <w:name w:val="Heading 3"/>
    <w:basedOn w:val="Normal"/>
    <w:next w:val="Normal"/>
    <w:qFormat/>
    <w:pPr>
      <w:spacing w:before="240" w:after="120"/>
    </w:pPr>
    <w:rPr>
      <w:rFonts w:ascii="Times New Roman" w:cs="Times New Roman" w:eastAsia="Times New Roman" w:hAnsi="Times New Roman"/>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2026-02-13T11:09:59.316Z</dcterms:created>
  <dcterms:modified xsi:type="dcterms:W3CDTF">2026-02-13T11:09:59.317Z</dcterms:modified>
</cp:coreProperties>
</file>

<file path=docProps/custom.xml><?xml version="1.0" encoding="utf-8"?>
<Properties xmlns="http://schemas.openxmlformats.org/officeDocument/2006/custom-properties" xmlns:vt="http://schemas.openxmlformats.org/officeDocument/2006/docPropsVTypes"/>
</file>