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6"/>
          <w:szCs w:val="26"/>
          <w:highlight w:val="white"/>
          <w:rtl w:val="0"/>
        </w:rPr>
        <w:t xml:space="preserve">Searching for a Universal in the Particularity of the Soul:</w:t>
      </w:r>
      <w:r w:rsidDel="00000000" w:rsidR="00000000" w:rsidRPr="00000000">
        <w:rPr>
          <w:rFonts w:ascii="Times New Roman" w:cs="Times New Roman" w:eastAsia="Times New Roman" w:hAnsi="Times New Roman"/>
          <w:b w:val="1"/>
          <w:sz w:val="24"/>
          <w:szCs w:val="24"/>
          <w:highlight w:val="white"/>
          <w:rtl w:val="0"/>
        </w:rPr>
        <w:t xml:space="preserve"> </w:t>
      </w:r>
    </w:p>
    <w:p w:rsidR="00000000" w:rsidDel="00000000" w:rsidP="00000000" w:rsidRDefault="00000000" w:rsidRPr="00000000" w14:paraId="00000002">
      <w:pPr>
        <w:spacing w:line="360" w:lineRule="auto"/>
        <w:jc w:val="cente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How Simmias succeeds against Socrates’ ‘immortal soul’ in the </w:t>
      </w:r>
      <w:r w:rsidDel="00000000" w:rsidR="00000000" w:rsidRPr="00000000">
        <w:rPr>
          <w:rFonts w:ascii="Times New Roman" w:cs="Times New Roman" w:eastAsia="Times New Roman" w:hAnsi="Times New Roman"/>
          <w:b w:val="1"/>
          <w:i w:val="1"/>
          <w:sz w:val="24"/>
          <w:szCs w:val="24"/>
          <w:highlight w:val="white"/>
          <w:rtl w:val="0"/>
        </w:rPr>
        <w:t xml:space="preserve">Phaedo</w:t>
      </w:r>
      <w:r w:rsidDel="00000000" w:rsidR="00000000" w:rsidRPr="00000000">
        <w:rPr>
          <w:rFonts w:ascii="Times New Roman" w:cs="Times New Roman" w:eastAsia="Times New Roman" w:hAnsi="Times New Roman"/>
          <w:b w:val="1"/>
          <w:sz w:val="24"/>
          <w:szCs w:val="24"/>
          <w:highlight w:val="white"/>
          <w:rtl w:val="0"/>
        </w:rPr>
        <w:t xml:space="preserve">.</w:t>
      </w:r>
      <w:r w:rsidDel="00000000" w:rsidR="00000000" w:rsidRPr="00000000">
        <w:rPr>
          <w:rtl w:val="0"/>
        </w:rPr>
      </w:r>
    </w:p>
    <w:p w:rsidR="00000000" w:rsidDel="00000000" w:rsidP="00000000" w:rsidRDefault="00000000" w:rsidRPr="00000000" w14:paraId="00000003">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4">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 Plato’s </w:t>
      </w:r>
      <w:r w:rsidDel="00000000" w:rsidR="00000000" w:rsidRPr="00000000">
        <w:rPr>
          <w:rFonts w:ascii="Times New Roman" w:cs="Times New Roman" w:eastAsia="Times New Roman" w:hAnsi="Times New Roman"/>
          <w:i w:val="1"/>
          <w:sz w:val="24"/>
          <w:szCs w:val="24"/>
          <w:highlight w:val="white"/>
          <w:rtl w:val="0"/>
        </w:rPr>
        <w:t xml:space="preserve">Phaedo</w:t>
      </w:r>
      <w:r w:rsidDel="00000000" w:rsidR="00000000" w:rsidRPr="00000000">
        <w:rPr>
          <w:rFonts w:ascii="Times New Roman" w:cs="Times New Roman" w:eastAsia="Times New Roman" w:hAnsi="Times New Roman"/>
          <w:sz w:val="24"/>
          <w:szCs w:val="24"/>
          <w:highlight w:val="white"/>
          <w:rtl w:val="0"/>
        </w:rPr>
        <w:t xml:space="preserve">, Socrates’ argument for the immortality of the soul fails due to his insufficient explanation for how the soul, as a particular, could partake in an immortality that belongs only to universals. Simmias' objection brings this to light by providing an analogy of a particular. This particular is exemplified by the specific harmony belonging to one instrument, and its relationship to that instrument itself. The soul, having an analogous relation to the body, remains separated from Socrates’ establishment of universals as eternal.</w:t>
      </w:r>
    </w:p>
    <w:p w:rsidR="00000000" w:rsidDel="00000000" w:rsidP="00000000" w:rsidRDefault="00000000" w:rsidRPr="00000000" w14:paraId="00000005">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6">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 universal (or idea) is a metaphysical existence that individualised particular things partake in. In the </w:t>
      </w:r>
      <w:r w:rsidDel="00000000" w:rsidR="00000000" w:rsidRPr="00000000">
        <w:rPr>
          <w:rFonts w:ascii="Times New Roman" w:cs="Times New Roman" w:eastAsia="Times New Roman" w:hAnsi="Times New Roman"/>
          <w:i w:val="1"/>
          <w:sz w:val="24"/>
          <w:szCs w:val="24"/>
          <w:highlight w:val="white"/>
          <w:rtl w:val="0"/>
        </w:rPr>
        <w:t xml:space="preserve">Phaedo</w:t>
      </w:r>
      <w:r w:rsidDel="00000000" w:rsidR="00000000" w:rsidRPr="00000000">
        <w:rPr>
          <w:rFonts w:ascii="Times New Roman" w:cs="Times New Roman" w:eastAsia="Times New Roman" w:hAnsi="Times New Roman"/>
          <w:sz w:val="24"/>
          <w:szCs w:val="24"/>
          <w:highlight w:val="white"/>
          <w:rtl w:val="0"/>
        </w:rPr>
        <w:t xml:space="preserve">, this is exemplified in discussions of beauty, justice, goodness and largeness among others.</w:t>
      </w:r>
      <w:r w:rsidDel="00000000" w:rsidR="00000000" w:rsidRPr="00000000">
        <w:rPr>
          <w:rFonts w:ascii="Times New Roman" w:cs="Times New Roman" w:eastAsia="Times New Roman" w:hAnsi="Times New Roman"/>
          <w:sz w:val="24"/>
          <w:szCs w:val="24"/>
          <w:highlight w:val="white"/>
          <w:vertAlign w:val="superscript"/>
        </w:rPr>
        <w:footnoteReference w:customMarkFollows="0" w:id="0"/>
      </w:r>
      <w:r w:rsidDel="00000000" w:rsidR="00000000" w:rsidRPr="00000000">
        <w:rPr>
          <w:rFonts w:ascii="Times New Roman" w:cs="Times New Roman" w:eastAsia="Times New Roman" w:hAnsi="Times New Roman"/>
          <w:sz w:val="24"/>
          <w:szCs w:val="24"/>
          <w:highlight w:val="white"/>
          <w:rtl w:val="0"/>
        </w:rPr>
        <w:t xml:space="preserve"> Beauty in its purest form, takes the role of a universal and correspondingly, any individual beautiful thing is a particular that partakes in that universal. The same follows for other universals like goodness and the particulars of a good person or good object. It is particulars that possess a beginning and an end, whereas universals are eternal. I propose that Simmias’ objection to Socrates succeeds in its binding of the harmony to the instrument and thus the soul to the body. It succeeds because Simmias shows that both the soul and the body are particulars, Socrates’ assumption that the soul is closer to a universal existence remains unjustified in his explanations.</w:t>
      </w:r>
    </w:p>
    <w:p w:rsidR="00000000" w:rsidDel="00000000" w:rsidP="00000000" w:rsidRDefault="00000000" w:rsidRPr="00000000" w14:paraId="00000007">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Socrates initially poses his argument for the immortal soul in three ways. He begins with the argument from opposites, this is followed by his argument from recollection and the section comes to a close with his argument from affinity. After this third one, the objections from Simmias and Cebes arise. The argument from opposites puts forth that opposites emerge from opposites.</w:t>
      </w:r>
      <w:r w:rsidDel="00000000" w:rsidR="00000000" w:rsidRPr="00000000">
        <w:rPr>
          <w:rFonts w:ascii="Times New Roman" w:cs="Times New Roman" w:eastAsia="Times New Roman" w:hAnsi="Times New Roman"/>
          <w:sz w:val="24"/>
          <w:szCs w:val="24"/>
          <w:vertAlign w:val="superscript"/>
        </w:rPr>
        <w:footnoteReference w:customMarkFollows="0" w:id="1"/>
      </w:r>
      <w:r w:rsidDel="00000000" w:rsidR="00000000" w:rsidRPr="00000000">
        <w:rPr>
          <w:rFonts w:ascii="Times New Roman" w:cs="Times New Roman" w:eastAsia="Times New Roman" w:hAnsi="Times New Roman"/>
          <w:sz w:val="24"/>
          <w:szCs w:val="24"/>
          <w:rtl w:val="0"/>
        </w:rPr>
        <w:t xml:space="preserve"> However, Simmias’ objection is not explicitly directed to this argument as opposed to the latter two arguments.</w:t>
      </w:r>
    </w:p>
    <w:p w:rsidR="00000000" w:rsidDel="00000000" w:rsidP="00000000" w:rsidRDefault="00000000" w:rsidRPr="00000000" w14:paraId="00000009">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Socrates’ recollection argument centres around the soul’s possibility to exist independently from the body.</w:t>
      </w:r>
      <w:r w:rsidDel="00000000" w:rsidR="00000000" w:rsidRPr="00000000">
        <w:rPr>
          <w:rFonts w:ascii="Times New Roman" w:cs="Times New Roman" w:eastAsia="Times New Roman" w:hAnsi="Times New Roman"/>
          <w:sz w:val="24"/>
          <w:szCs w:val="24"/>
          <w:vertAlign w:val="superscript"/>
        </w:rPr>
        <w:footnoteReference w:customMarkFollows="0" w:id="2"/>
      </w:r>
      <w:r w:rsidDel="00000000" w:rsidR="00000000" w:rsidRPr="00000000">
        <w:rPr>
          <w:rFonts w:ascii="Times New Roman" w:cs="Times New Roman" w:eastAsia="Times New Roman" w:hAnsi="Times New Roman"/>
          <w:sz w:val="24"/>
          <w:szCs w:val="24"/>
          <w:rtl w:val="0"/>
        </w:rPr>
        <w:t xml:space="preserve"> Here, Socrates begins to focus on universals. He explains our ability to ‘recollect’ universal truths, such as ‘absolute equality’, from a time prior to bodily distractions.</w:t>
      </w:r>
      <w:r w:rsidDel="00000000" w:rsidR="00000000" w:rsidRPr="00000000">
        <w:rPr>
          <w:rFonts w:ascii="Times New Roman" w:cs="Times New Roman" w:eastAsia="Times New Roman" w:hAnsi="Times New Roman"/>
          <w:sz w:val="24"/>
          <w:szCs w:val="24"/>
          <w:vertAlign w:val="superscript"/>
        </w:rPr>
        <w:footnoteReference w:customMarkFollows="0" w:id="3"/>
      </w:r>
      <w:r w:rsidDel="00000000" w:rsidR="00000000" w:rsidRPr="00000000">
        <w:rPr>
          <w:rFonts w:ascii="Times New Roman" w:cs="Times New Roman" w:eastAsia="Times New Roman" w:hAnsi="Times New Roman"/>
          <w:sz w:val="24"/>
          <w:szCs w:val="24"/>
          <w:rtl w:val="0"/>
        </w:rPr>
        <w:t xml:space="preserve"> Cognising absolute concepts like equality, itself in its pure self (</w:t>
      </w:r>
      <w:r w:rsidDel="00000000" w:rsidR="00000000" w:rsidRPr="00000000">
        <w:rPr>
          <w:rFonts w:ascii="Times New Roman" w:cs="Times New Roman" w:eastAsia="Times New Roman" w:hAnsi="Times New Roman"/>
          <w:i w:val="1"/>
          <w:sz w:val="24"/>
          <w:szCs w:val="24"/>
          <w:rtl w:val="0"/>
        </w:rPr>
        <w:t xml:space="preserve">auto kath’ auto),</w:t>
      </w:r>
      <w:r w:rsidDel="00000000" w:rsidR="00000000" w:rsidRPr="00000000">
        <w:rPr>
          <w:rFonts w:ascii="Times New Roman" w:cs="Times New Roman" w:eastAsia="Times New Roman" w:hAnsi="Times New Roman"/>
          <w:sz w:val="24"/>
          <w:szCs w:val="24"/>
          <w:rtl w:val="0"/>
        </w:rPr>
        <w:t xml:space="preserve"> demonstrates a unique ability for our soul.</w:t>
      </w:r>
      <w:r w:rsidDel="00000000" w:rsidR="00000000" w:rsidRPr="00000000">
        <w:rPr>
          <w:rFonts w:ascii="Times New Roman" w:cs="Times New Roman" w:eastAsia="Times New Roman" w:hAnsi="Times New Roman"/>
          <w:sz w:val="24"/>
          <w:szCs w:val="24"/>
          <w:vertAlign w:val="superscript"/>
        </w:rPr>
        <w:footnoteReference w:customMarkFollows="0" w:id="4"/>
      </w:r>
      <w:r w:rsidDel="00000000" w:rsidR="00000000" w:rsidRPr="00000000">
        <w:rPr>
          <w:rFonts w:ascii="Times New Roman" w:cs="Times New Roman" w:eastAsia="Times New Roman" w:hAnsi="Times New Roman"/>
          <w:sz w:val="24"/>
          <w:szCs w:val="24"/>
          <w:rtl w:val="0"/>
        </w:rPr>
        <w:t xml:space="preserve"> Socrates argues that our ability to reach </w:t>
      </w:r>
      <w:r w:rsidDel="00000000" w:rsidR="00000000" w:rsidRPr="00000000">
        <w:rPr>
          <w:rFonts w:ascii="Times New Roman" w:cs="Times New Roman" w:eastAsia="Times New Roman" w:hAnsi="Times New Roman"/>
          <w:i w:val="1"/>
          <w:sz w:val="24"/>
          <w:szCs w:val="24"/>
          <w:rtl w:val="0"/>
        </w:rPr>
        <w:t xml:space="preserve">auto kath’ auto </w:t>
      </w:r>
      <w:r w:rsidDel="00000000" w:rsidR="00000000" w:rsidRPr="00000000">
        <w:rPr>
          <w:rFonts w:ascii="Times New Roman" w:cs="Times New Roman" w:eastAsia="Times New Roman" w:hAnsi="Times New Roman"/>
          <w:sz w:val="24"/>
          <w:szCs w:val="24"/>
          <w:rtl w:val="0"/>
        </w:rPr>
        <w:t xml:space="preserve">understandings necessitates a time when these </w:t>
      </w:r>
      <w:r w:rsidDel="00000000" w:rsidR="00000000" w:rsidRPr="00000000">
        <w:rPr>
          <w:rFonts w:ascii="Times New Roman" w:cs="Times New Roman" w:eastAsia="Times New Roman" w:hAnsi="Times New Roman"/>
          <w:i w:val="1"/>
          <w:sz w:val="24"/>
          <w:szCs w:val="24"/>
          <w:rtl w:val="0"/>
        </w:rPr>
        <w:t xml:space="preserve">auto kath’ auto </w:t>
      </w:r>
      <w:r w:rsidDel="00000000" w:rsidR="00000000" w:rsidRPr="00000000">
        <w:rPr>
          <w:rFonts w:ascii="Times New Roman" w:cs="Times New Roman" w:eastAsia="Times New Roman" w:hAnsi="Times New Roman"/>
          <w:sz w:val="24"/>
          <w:szCs w:val="24"/>
          <w:rtl w:val="0"/>
        </w:rPr>
        <w:t xml:space="preserve">forms were more accessible to us.</w:t>
      </w:r>
      <w:r w:rsidDel="00000000" w:rsidR="00000000" w:rsidRPr="00000000">
        <w:rPr>
          <w:rFonts w:ascii="Times New Roman" w:cs="Times New Roman" w:eastAsia="Times New Roman" w:hAnsi="Times New Roman"/>
          <w:sz w:val="24"/>
          <w:szCs w:val="24"/>
          <w:vertAlign w:val="superscript"/>
        </w:rPr>
        <w:footnoteReference w:customMarkFollows="0" w:id="5"/>
      </w:r>
      <w:r w:rsidDel="00000000" w:rsidR="00000000" w:rsidRPr="00000000">
        <w:rPr>
          <w:rFonts w:ascii="Times New Roman" w:cs="Times New Roman" w:eastAsia="Times New Roman" w:hAnsi="Times New Roman"/>
          <w:sz w:val="24"/>
          <w:szCs w:val="24"/>
          <w:rtl w:val="0"/>
        </w:rPr>
        <w:t xml:space="preserve"> Here, we see some indistinct interaction between universals (</w:t>
      </w:r>
      <w:r w:rsidDel="00000000" w:rsidR="00000000" w:rsidRPr="00000000">
        <w:rPr>
          <w:rFonts w:ascii="Times New Roman" w:cs="Times New Roman" w:eastAsia="Times New Roman" w:hAnsi="Times New Roman"/>
          <w:i w:val="1"/>
          <w:sz w:val="24"/>
          <w:szCs w:val="24"/>
          <w:rtl w:val="0"/>
        </w:rPr>
        <w:t xml:space="preserve">auto kath’ auto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the soul. Since Socrates upholds that bodies hinder understanding, it is intuitive for him that the soul must have existed prior to the body in order that </w:t>
      </w:r>
      <w:r w:rsidDel="00000000" w:rsidR="00000000" w:rsidRPr="00000000">
        <w:rPr>
          <w:rFonts w:ascii="Times New Roman" w:cs="Times New Roman" w:eastAsia="Times New Roman" w:hAnsi="Times New Roman"/>
          <w:i w:val="1"/>
          <w:sz w:val="24"/>
          <w:szCs w:val="24"/>
          <w:rtl w:val="0"/>
        </w:rPr>
        <w:t xml:space="preserve">auto kath’ auto </w:t>
      </w:r>
      <w:r w:rsidDel="00000000" w:rsidR="00000000" w:rsidRPr="00000000">
        <w:rPr>
          <w:rFonts w:ascii="Times New Roman" w:cs="Times New Roman" w:eastAsia="Times New Roman" w:hAnsi="Times New Roman"/>
          <w:sz w:val="24"/>
          <w:szCs w:val="24"/>
          <w:rtl w:val="0"/>
        </w:rPr>
        <w:t xml:space="preserve">understandings could later be remembered.</w:t>
      </w:r>
      <w:r w:rsidDel="00000000" w:rsidR="00000000" w:rsidRPr="00000000">
        <w:rPr>
          <w:rFonts w:ascii="Times New Roman" w:cs="Times New Roman" w:eastAsia="Times New Roman" w:hAnsi="Times New Roman"/>
          <w:sz w:val="24"/>
          <w:szCs w:val="24"/>
          <w:vertAlign w:val="superscript"/>
        </w:rPr>
        <w:footnoteReference w:customMarkFollows="0" w:id="6"/>
      </w:r>
      <w:r w:rsidDel="00000000" w:rsidR="00000000" w:rsidRPr="00000000">
        <w:rPr>
          <w:rFonts w:ascii="Times New Roman" w:cs="Times New Roman" w:eastAsia="Times New Roman" w:hAnsi="Times New Roman"/>
          <w:sz w:val="24"/>
          <w:szCs w:val="24"/>
          <w:rtl w:val="0"/>
        </w:rPr>
        <w:t xml:space="preserve"> This establishes that the soul can exist independent from the body.</w:t>
      </w:r>
      <w:r w:rsidDel="00000000" w:rsidR="00000000" w:rsidRPr="00000000">
        <w:rPr>
          <w:rFonts w:ascii="Times New Roman" w:cs="Times New Roman" w:eastAsia="Times New Roman" w:hAnsi="Times New Roman"/>
          <w:sz w:val="24"/>
          <w:szCs w:val="24"/>
          <w:highlight w:val="white"/>
          <w:vertAlign w:val="superscript"/>
        </w:rPr>
        <w:footnoteReference w:customMarkFollows="0" w:id="7"/>
      </w:r>
      <w:r w:rsidDel="00000000" w:rsidR="00000000" w:rsidRPr="00000000">
        <w:rPr>
          <w:rFonts w:ascii="Times New Roman" w:cs="Times New Roman" w:eastAsia="Times New Roman" w:hAnsi="Times New Roman"/>
          <w:sz w:val="24"/>
          <w:szCs w:val="24"/>
          <w:rtl w:val="0"/>
        </w:rPr>
        <w:t xml:space="preserve"> Consequently, there is no causal necessity for the soul to die when the body does. It is more plausible to understand the soul to continue living as it did previously.</w:t>
      </w:r>
      <w:r w:rsidDel="00000000" w:rsidR="00000000" w:rsidRPr="00000000">
        <w:rPr>
          <w:rtl w:val="0"/>
        </w:rPr>
      </w:r>
    </w:p>
    <w:p w:rsidR="00000000" w:rsidDel="00000000" w:rsidP="00000000" w:rsidRDefault="00000000" w:rsidRPr="00000000" w14:paraId="0000000B">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C">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 third argument is the most relevant in understanding Simmias’ objection, because it attempts to illustrate an explicit relationship between the soul and universals. Socrates explains that when the soul investigates “by itself, it passes into the realm of the pure and… deathless…”</w:t>
      </w:r>
      <w:r w:rsidDel="00000000" w:rsidR="00000000" w:rsidRPr="00000000">
        <w:rPr>
          <w:rFonts w:ascii="Times New Roman" w:cs="Times New Roman" w:eastAsia="Times New Roman" w:hAnsi="Times New Roman"/>
          <w:sz w:val="24"/>
          <w:szCs w:val="24"/>
          <w:highlight w:val="white"/>
          <w:vertAlign w:val="superscript"/>
        </w:rPr>
        <w:footnoteReference w:customMarkFollows="0" w:id="8"/>
      </w:r>
      <w:r w:rsidDel="00000000" w:rsidR="00000000" w:rsidRPr="00000000">
        <w:rPr>
          <w:rFonts w:ascii="Times New Roman" w:cs="Times New Roman" w:eastAsia="Times New Roman" w:hAnsi="Times New Roman"/>
          <w:sz w:val="24"/>
          <w:szCs w:val="24"/>
          <w:highlight w:val="white"/>
          <w:rtl w:val="0"/>
        </w:rPr>
        <w:t xml:space="preserve"> What he means by the pure and deathless, applies to universal concepts, not particulars. Here, he refers to “wisdom”, a universal, that does not possess a beginning or end.</w:t>
      </w:r>
      <w:r w:rsidDel="00000000" w:rsidR="00000000" w:rsidRPr="00000000">
        <w:rPr>
          <w:rFonts w:ascii="Times New Roman" w:cs="Times New Roman" w:eastAsia="Times New Roman" w:hAnsi="Times New Roman"/>
          <w:sz w:val="24"/>
          <w:szCs w:val="24"/>
          <w:highlight w:val="white"/>
          <w:vertAlign w:val="superscript"/>
        </w:rPr>
        <w:footnoteReference w:customMarkFollows="0" w:id="9"/>
      </w:r>
      <w:r w:rsidDel="00000000" w:rsidR="00000000" w:rsidRPr="00000000">
        <w:rPr>
          <w:rFonts w:ascii="Times New Roman" w:cs="Times New Roman" w:eastAsia="Times New Roman" w:hAnsi="Times New Roman"/>
          <w:sz w:val="24"/>
          <w:szCs w:val="24"/>
          <w:highlight w:val="white"/>
          <w:rtl w:val="0"/>
        </w:rPr>
        <w:t xml:space="preserve"> So it is clear that he is attempting to make some special correlation between the soul and universals. After death, Socrates declares that the soul travels “to a place that is, like itself… pure, and invisible…”</w:t>
      </w:r>
      <w:r w:rsidDel="00000000" w:rsidR="00000000" w:rsidRPr="00000000">
        <w:rPr>
          <w:rFonts w:ascii="Times New Roman" w:cs="Times New Roman" w:eastAsia="Times New Roman" w:hAnsi="Times New Roman"/>
          <w:sz w:val="24"/>
          <w:szCs w:val="24"/>
          <w:highlight w:val="white"/>
          <w:vertAlign w:val="superscript"/>
        </w:rPr>
        <w:footnoteReference w:customMarkFollows="0" w:id="10"/>
      </w:r>
      <w:r w:rsidDel="00000000" w:rsidR="00000000" w:rsidRPr="00000000">
        <w:rPr>
          <w:rFonts w:ascii="Times New Roman" w:cs="Times New Roman" w:eastAsia="Times New Roman" w:hAnsi="Times New Roman"/>
          <w:sz w:val="24"/>
          <w:szCs w:val="24"/>
          <w:highlight w:val="white"/>
          <w:rtl w:val="0"/>
        </w:rPr>
        <w:t xml:space="preserve"> It is for this reason that the argument is named “affinity.” Socrates intends to prove that the soul has a unique likeness to the things that are imperishable and even eternal, namely universals.</w:t>
      </w:r>
    </w:p>
    <w:p w:rsidR="00000000" w:rsidDel="00000000" w:rsidP="00000000" w:rsidRDefault="00000000" w:rsidRPr="00000000" w14:paraId="0000000D">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0E">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 propose that Socrates’ efforts in likening the soul to universals cause his argument for the immortal soul to fail. Socrates asserts in the quote above that the soul will arrive at a place “like itself” ; however, what the soul is “like” in this specific context is insufficiently explained. The list of features that follow in the sentence (“pure, and invisible”), in a Socratic context, seems to refer chiefly to universals. This is seen in his earlier exposition of </w:t>
      </w:r>
      <w:r w:rsidDel="00000000" w:rsidR="00000000" w:rsidRPr="00000000">
        <w:rPr>
          <w:rFonts w:ascii="Times New Roman" w:cs="Times New Roman" w:eastAsia="Times New Roman" w:hAnsi="Times New Roman"/>
          <w:i w:val="1"/>
          <w:sz w:val="24"/>
          <w:szCs w:val="24"/>
          <w:highlight w:val="white"/>
          <w:rtl w:val="0"/>
        </w:rPr>
        <w:t xml:space="preserve">auto kath’ auto</w:t>
      </w:r>
      <w:r w:rsidDel="00000000" w:rsidR="00000000" w:rsidRPr="00000000">
        <w:rPr>
          <w:rFonts w:ascii="Times New Roman" w:cs="Times New Roman" w:eastAsia="Times New Roman" w:hAnsi="Times New Roman"/>
          <w:sz w:val="24"/>
          <w:szCs w:val="24"/>
          <w:highlight w:val="white"/>
          <w:rtl w:val="0"/>
        </w:rPr>
        <w:t xml:space="preserve"> existences.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1"/>
      </w:r>
      <w:r w:rsidDel="00000000" w:rsidR="00000000" w:rsidRPr="00000000">
        <w:rPr>
          <w:rtl w:val="0"/>
        </w:rPr>
      </w:r>
    </w:p>
    <w:p w:rsidR="00000000" w:rsidDel="00000000" w:rsidP="00000000" w:rsidRDefault="00000000" w:rsidRPr="00000000" w14:paraId="0000000F">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0">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1">
      <w:pPr>
        <w:spacing w:line="36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How exactly the soul would become closer to universals remains unspecified, other than the weak association that it is invisible like them. Socrates’ other named examples of invisible, deathless things consist in: equality, beauty and justice among others.</w:t>
      </w:r>
      <w:r w:rsidDel="00000000" w:rsidR="00000000" w:rsidRPr="00000000">
        <w:rPr>
          <w:rFonts w:ascii="Times New Roman" w:cs="Times New Roman" w:eastAsia="Times New Roman" w:hAnsi="Times New Roman"/>
          <w:sz w:val="24"/>
          <w:szCs w:val="24"/>
          <w:highlight w:val="white"/>
          <w:vertAlign w:val="superscript"/>
        </w:rPr>
        <w:footnoteReference w:customMarkFollows="0" w:id="12"/>
      </w:r>
      <w:r w:rsidDel="00000000" w:rsidR="00000000" w:rsidRPr="00000000">
        <w:rPr>
          <w:rFonts w:ascii="Times New Roman" w:cs="Times New Roman" w:eastAsia="Times New Roman" w:hAnsi="Times New Roman"/>
          <w:sz w:val="24"/>
          <w:szCs w:val="24"/>
          <w:highlight w:val="white"/>
          <w:rtl w:val="0"/>
        </w:rPr>
        <w:t xml:space="preserve"> However, it is evident that the Socratic ‘soul’ differs greatly from these examples in one specific way and this is what Simmias picks up on in his objection. </w:t>
      </w:r>
    </w:p>
    <w:p w:rsidR="00000000" w:rsidDel="00000000" w:rsidP="00000000" w:rsidRDefault="00000000" w:rsidRPr="00000000" w14:paraId="00000012">
      <w:pPr>
        <w:spacing w:line="360" w:lineRule="auto"/>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3">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Equality, beauty and justice are all universals and they are not particularised in Socrates’ explanations. By contrast, the soul is consistently used by Socrates in order to denote particularity. This is especially the case when acknowledging how souls differ in inferiority or superiority according to the passage that follows the affinity argument.</w:t>
      </w:r>
      <w:r w:rsidDel="00000000" w:rsidR="00000000" w:rsidRPr="00000000">
        <w:rPr>
          <w:rFonts w:ascii="Times New Roman" w:cs="Times New Roman" w:eastAsia="Times New Roman" w:hAnsi="Times New Roman"/>
          <w:sz w:val="24"/>
          <w:szCs w:val="24"/>
          <w:highlight w:val="white"/>
          <w:vertAlign w:val="superscript"/>
        </w:rPr>
        <w:footnoteReference w:customMarkFollows="0" w:id="13"/>
      </w:r>
      <w:r w:rsidDel="00000000" w:rsidR="00000000" w:rsidRPr="00000000">
        <w:rPr>
          <w:rFonts w:ascii="Times New Roman" w:cs="Times New Roman" w:eastAsia="Times New Roman" w:hAnsi="Times New Roman"/>
          <w:sz w:val="24"/>
          <w:szCs w:val="24"/>
          <w:highlight w:val="white"/>
          <w:rtl w:val="0"/>
        </w:rPr>
        <w:t xml:space="preserve"> Christopher Shields recognises this argument against immortal souls effectively in explaining that one’s identity, and with it their soul, is “qualitatively distinct” from their neighbour’s. Therefore, the disembodied soul, holding one’s personal identity, must be a particular.</w:t>
      </w:r>
      <w:r w:rsidDel="00000000" w:rsidR="00000000" w:rsidRPr="00000000">
        <w:rPr>
          <w:rFonts w:ascii="Times New Roman" w:cs="Times New Roman" w:eastAsia="Times New Roman" w:hAnsi="Times New Roman"/>
          <w:sz w:val="24"/>
          <w:szCs w:val="24"/>
          <w:vertAlign w:val="superscript"/>
        </w:rPr>
        <w:footnoteReference w:customMarkFollows="0" w:id="14"/>
      </w:r>
      <w:r w:rsidDel="00000000" w:rsidR="00000000" w:rsidRPr="00000000">
        <w:rPr>
          <w:rFonts w:ascii="Times New Roman" w:cs="Times New Roman" w:eastAsia="Times New Roman" w:hAnsi="Times New Roman"/>
          <w:sz w:val="24"/>
          <w:szCs w:val="24"/>
          <w:rtl w:val="0"/>
        </w:rPr>
        <w:t xml:space="preserve"> Socrates provides no reasoning to suggest why the particular soul of one person would continue to exist after death in the same way that a universal exists eternally.</w:t>
      </w:r>
    </w:p>
    <w:p w:rsidR="00000000" w:rsidDel="00000000" w:rsidP="00000000" w:rsidRDefault="00000000" w:rsidRPr="00000000" w14:paraId="00000014">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5">
      <w:pPr>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Therefore, Simmias is right to object to Socrates’ understanding of the soul as immortal because the soul is not a universal. Simmias’ objection revolves around his analogy of a musical instrument (lyre) and this instrument’s attunement (harmony.) In applying Socrates’ immortality theory, the analogy follows that if an instrument breaks, its harmony or attunement would still exist independent of its corporeal composition.</w:t>
      </w:r>
      <w:r w:rsidDel="00000000" w:rsidR="00000000" w:rsidRPr="00000000">
        <w:rPr>
          <w:rFonts w:ascii="Times New Roman" w:cs="Times New Roman" w:eastAsia="Times New Roman" w:hAnsi="Times New Roman"/>
          <w:sz w:val="24"/>
          <w:szCs w:val="24"/>
          <w:highlight w:val="white"/>
          <w:vertAlign w:val="superscript"/>
        </w:rPr>
        <w:footnoteReference w:customMarkFollows="0" w:id="15"/>
      </w:r>
      <w:r w:rsidDel="00000000" w:rsidR="00000000" w:rsidRPr="00000000">
        <w:rPr>
          <w:rFonts w:ascii="Times New Roman" w:cs="Times New Roman" w:eastAsia="Times New Roman" w:hAnsi="Times New Roman"/>
          <w:sz w:val="24"/>
          <w:szCs w:val="24"/>
          <w:highlight w:val="white"/>
          <w:rtl w:val="0"/>
        </w:rPr>
        <w:t xml:space="preserve"> Here, Simmias addresses the integral issue that I highlighted earlier. In this example, the harmony that “shares the nature… and characteristics of the divine and immortal” belongs particularly to the physical instrument that broke.</w:t>
      </w:r>
      <w:r w:rsidDel="00000000" w:rsidR="00000000" w:rsidRPr="00000000">
        <w:rPr>
          <w:rFonts w:ascii="Times New Roman" w:cs="Times New Roman" w:eastAsia="Times New Roman" w:hAnsi="Times New Roman"/>
          <w:sz w:val="24"/>
          <w:szCs w:val="24"/>
          <w:highlight w:val="white"/>
          <w:vertAlign w:val="superscript"/>
        </w:rPr>
        <w:footnoteReference w:customMarkFollows="0" w:id="16"/>
      </w:r>
      <w:r w:rsidDel="00000000" w:rsidR="00000000" w:rsidRPr="00000000">
        <w:rPr>
          <w:rFonts w:ascii="Times New Roman" w:cs="Times New Roman" w:eastAsia="Times New Roman" w:hAnsi="Times New Roman"/>
          <w:sz w:val="24"/>
          <w:szCs w:val="24"/>
          <w:highlight w:val="white"/>
          <w:rtl w:val="0"/>
        </w:rPr>
        <w:t xml:space="preserve"> He explains that if the soul, as Socrates acknowledges, is the principle that animates the living human, then the harmony of the soul would belong to that body in a particular way.</w:t>
      </w:r>
      <w:r w:rsidDel="00000000" w:rsidR="00000000" w:rsidRPr="00000000">
        <w:rPr>
          <w:rFonts w:ascii="Times New Roman" w:cs="Times New Roman" w:eastAsia="Times New Roman" w:hAnsi="Times New Roman"/>
          <w:sz w:val="24"/>
          <w:szCs w:val="24"/>
          <w:highlight w:val="white"/>
          <w:vertAlign w:val="superscript"/>
        </w:rPr>
        <w:footnoteReference w:customMarkFollows="0" w:id="17"/>
      </w:r>
      <w:r w:rsidDel="00000000" w:rsidR="00000000" w:rsidRPr="00000000">
        <w:rPr>
          <w:rFonts w:ascii="Times New Roman" w:cs="Times New Roman" w:eastAsia="Times New Roman" w:hAnsi="Times New Roman"/>
          <w:sz w:val="24"/>
          <w:szCs w:val="24"/>
          <w:highlight w:val="white"/>
          <w:rtl w:val="0"/>
        </w:rPr>
        <w:t xml:space="preserve"> Objecting against Socrates with a harmonic understanding is intuitive because in Simmias’ analogy, the harmony is individualised to the instrument just as the soul is particularised to the human identity. A harmonic theory suggests that both the harmony and the instrument are dependent on each other and thus are both particular to each other. The one melody is unique to that specific lyre. This cannot occur in the world of eternal universals because there are no particulars attached to the metaphysical principles.</w:t>
      </w:r>
    </w:p>
    <w:p w:rsidR="00000000" w:rsidDel="00000000" w:rsidP="00000000" w:rsidRDefault="00000000" w:rsidRPr="00000000" w14:paraId="00000016">
      <w:pPr>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7">
      <w:pPr>
        <w:spacing w:line="360" w:lineRule="auto"/>
        <w:ind w:left="0" w:firstLine="0"/>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Socrates advocates for some relationship between the soul and universals, while maintaining that the soul is also a particular. Others have also objected to this weakness in Socrates’ argumentation. F.C. White identifies another problem that arises from the soul being used as a particular and likened to a universal. He tracks how Socrates swings from understanding the soul as a particular in acknowledging the grief of friends, then, to understanding the soul as akin to universals in recognising how close it is to reaching universals like wisdom.</w:t>
      </w:r>
      <w:r w:rsidDel="00000000" w:rsidR="00000000" w:rsidRPr="00000000">
        <w:rPr>
          <w:rFonts w:ascii="Times New Roman" w:cs="Times New Roman" w:eastAsia="Times New Roman" w:hAnsi="Times New Roman"/>
          <w:sz w:val="24"/>
          <w:szCs w:val="24"/>
          <w:highlight w:val="white"/>
          <w:vertAlign w:val="superscript"/>
        </w:rPr>
        <w:footnoteReference w:customMarkFollows="0" w:id="18"/>
      </w:r>
      <w:r w:rsidDel="00000000" w:rsidR="00000000" w:rsidRPr="00000000">
        <w:rPr>
          <w:rFonts w:ascii="Times New Roman" w:cs="Times New Roman" w:eastAsia="Times New Roman" w:hAnsi="Times New Roman"/>
          <w:sz w:val="24"/>
          <w:szCs w:val="24"/>
          <w:highlight w:val="white"/>
          <w:rtl w:val="0"/>
        </w:rPr>
        <w:t xml:space="preserve"> Simmias rejects this, revealing that the soul’s particularity does not change simply due to its metaphysical nature. This is made manifest in his articulation of the harmony that belongs to the instrument. </w:t>
      </w:r>
    </w:p>
    <w:p w:rsidR="00000000" w:rsidDel="00000000" w:rsidP="00000000" w:rsidRDefault="00000000" w:rsidRPr="00000000" w14:paraId="00000018">
      <w:pPr>
        <w:spacing w:line="360" w:lineRule="auto"/>
        <w:ind w:left="0" w:firstLine="0"/>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019">
      <w:pPr>
        <w:spacing w:line="36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real success of Simmias' objection is his recognition of a fundamental gap in the relationship between the particularity of the soul and universals. It is this relationship that Socrates fails to explain in the</w:t>
      </w:r>
      <w:r w:rsidDel="00000000" w:rsidR="00000000" w:rsidRPr="00000000">
        <w:rPr>
          <w:rFonts w:ascii="Times New Roman" w:cs="Times New Roman" w:eastAsia="Times New Roman" w:hAnsi="Times New Roman"/>
          <w:i w:val="1"/>
          <w:sz w:val="24"/>
          <w:szCs w:val="24"/>
          <w:highlight w:val="white"/>
          <w:rtl w:val="0"/>
        </w:rPr>
        <w:t xml:space="preserve"> Phaedo</w:t>
      </w:r>
      <w:r w:rsidDel="00000000" w:rsidR="00000000" w:rsidRPr="00000000">
        <w:rPr>
          <w:rFonts w:ascii="Times New Roman" w:cs="Times New Roman" w:eastAsia="Times New Roman" w:hAnsi="Times New Roman"/>
          <w:sz w:val="24"/>
          <w:szCs w:val="24"/>
          <w:highlight w:val="white"/>
          <w:rtl w:val="0"/>
        </w:rPr>
        <w:t xml:space="preserve">. Specifically, Simmias brings light to the disparity between harmony as one, immortal universal, contrary to particular harmonies. In this, he demonstrates that the soul is particular, and does not possess the immortality that universals possess.</w:t>
      </w:r>
      <w:r w:rsidDel="00000000" w:rsidR="00000000" w:rsidRPr="00000000">
        <w:rPr>
          <w:rtl w:val="0"/>
        </w:rPr>
      </w:r>
    </w:p>
    <w:p w:rsidR="00000000" w:rsidDel="00000000" w:rsidP="00000000" w:rsidRDefault="00000000" w:rsidRPr="00000000" w14:paraId="0000001A">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E">
      <w:pPr>
        <w:spacing w:line="360" w:lineRule="auto"/>
        <w:ind w:left="720"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*Disclaimer: This essay forms to criticise Socrates’ conception of an immortal soul, on the grounds of a category error, it does not make any remarks on an impossibility for the existence of immortal souls.</w:t>
      </w:r>
    </w:p>
    <w:p w:rsidR="00000000" w:rsidDel="00000000" w:rsidP="00000000" w:rsidRDefault="00000000" w:rsidRPr="00000000" w14:paraId="0000001F">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Bibliography</w:t>
      </w:r>
    </w:p>
    <w:p w:rsidR="00000000" w:rsidDel="00000000" w:rsidP="00000000" w:rsidRDefault="00000000" w:rsidRPr="00000000" w14:paraId="00000025">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6">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Corrigan, Kevin. “Simmias’ Objection to Socrates in the Phaedo: Harmony, Symphony and Some Later Platonic/ Patristic Responses to the Mind/Soul-Body Question.” </w:t>
      </w:r>
      <w:r w:rsidDel="00000000" w:rsidR="00000000" w:rsidRPr="00000000">
        <w:rPr>
          <w:rFonts w:ascii="Times New Roman" w:cs="Times New Roman" w:eastAsia="Times New Roman" w:hAnsi="Times New Roman"/>
          <w:i w:val="1"/>
          <w:sz w:val="20"/>
          <w:szCs w:val="20"/>
          <w:highlight w:val="white"/>
          <w:rtl w:val="0"/>
        </w:rPr>
        <w:t xml:space="preserve">International journal of the Platonic tradition</w:t>
      </w:r>
      <w:r w:rsidDel="00000000" w:rsidR="00000000" w:rsidRPr="00000000">
        <w:rPr>
          <w:rFonts w:ascii="Times New Roman" w:cs="Times New Roman" w:eastAsia="Times New Roman" w:hAnsi="Times New Roman"/>
          <w:sz w:val="20"/>
          <w:szCs w:val="20"/>
          <w:highlight w:val="white"/>
          <w:rtl w:val="0"/>
        </w:rPr>
        <w:t xml:space="preserve"> 4.2 (2010): 147–162. Web.</w:t>
      </w:r>
    </w:p>
    <w:p w:rsidR="00000000" w:rsidDel="00000000" w:rsidP="00000000" w:rsidRDefault="00000000" w:rsidRPr="00000000" w14:paraId="00000027">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Jeremiah, Edward. “The Development, Logic, and Legacy of Reflexive Concepts in Greek Philosophy.” </w:t>
      </w:r>
      <w:r w:rsidDel="00000000" w:rsidR="00000000" w:rsidRPr="00000000">
        <w:rPr>
          <w:rFonts w:ascii="Times New Roman" w:cs="Times New Roman" w:eastAsia="Times New Roman" w:hAnsi="Times New Roman"/>
          <w:i w:val="1"/>
          <w:sz w:val="20"/>
          <w:szCs w:val="20"/>
          <w:highlight w:val="white"/>
          <w:rtl w:val="0"/>
        </w:rPr>
        <w:t xml:space="preserve">Journal of the History of Ideas</w:t>
      </w:r>
      <w:r w:rsidDel="00000000" w:rsidR="00000000" w:rsidRPr="00000000">
        <w:rPr>
          <w:rFonts w:ascii="Times New Roman" w:cs="Times New Roman" w:eastAsia="Times New Roman" w:hAnsi="Times New Roman"/>
          <w:sz w:val="20"/>
          <w:szCs w:val="20"/>
          <w:highlight w:val="white"/>
          <w:rtl w:val="0"/>
        </w:rPr>
        <w:t xml:space="preserve">, vol. 74, no. 4, 2013, pp. 507–29. Web.</w:t>
      </w:r>
    </w:p>
    <w:p w:rsidR="00000000" w:rsidDel="00000000" w:rsidP="00000000" w:rsidRDefault="00000000" w:rsidRPr="00000000" w14:paraId="00000029">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A">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Lopez-Astorga, Miguel. “REMINISCENCE THEORY AND IMMORTALITY OF THE SOUL: SOME MENTAL REPRESENTATIONS IN PLATO’S PHAEDO.” </w:t>
      </w:r>
      <w:r w:rsidDel="00000000" w:rsidR="00000000" w:rsidRPr="00000000">
        <w:rPr>
          <w:rFonts w:ascii="Times New Roman" w:cs="Times New Roman" w:eastAsia="Times New Roman" w:hAnsi="Times New Roman"/>
          <w:i w:val="1"/>
          <w:sz w:val="20"/>
          <w:szCs w:val="20"/>
          <w:highlight w:val="white"/>
          <w:rtl w:val="0"/>
        </w:rPr>
        <w:t xml:space="preserve">Analele Universităţii din Craiova. Filosofie</w:t>
      </w:r>
      <w:r w:rsidDel="00000000" w:rsidR="00000000" w:rsidRPr="00000000">
        <w:rPr>
          <w:rFonts w:ascii="Times New Roman" w:cs="Times New Roman" w:eastAsia="Times New Roman" w:hAnsi="Times New Roman"/>
          <w:sz w:val="20"/>
          <w:szCs w:val="20"/>
          <w:highlight w:val="white"/>
          <w:rtl w:val="0"/>
        </w:rPr>
        <w:t xml:space="preserve"> 48 (2023): 5-14. Web.</w:t>
      </w:r>
    </w:p>
    <w:p w:rsidR="00000000" w:rsidDel="00000000" w:rsidP="00000000" w:rsidRDefault="00000000" w:rsidRPr="00000000" w14:paraId="0000002B">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C">
      <w:pPr>
        <w:spacing w:line="360" w:lineRule="auto"/>
        <w:rPr>
          <w:rFonts w:ascii="Times New Roman" w:cs="Times New Roman" w:eastAsia="Times New Roman" w:hAnsi="Times New Roman"/>
          <w:sz w:val="20"/>
          <w:szCs w:val="20"/>
        </w:rPr>
      </w:pPr>
      <w:r w:rsidDel="00000000" w:rsidR="00000000" w:rsidRPr="00000000">
        <w:rPr>
          <w:rFonts w:ascii="Times New Roman" w:cs="Times New Roman" w:eastAsia="Times New Roman" w:hAnsi="Times New Roman"/>
          <w:sz w:val="20"/>
          <w:szCs w:val="20"/>
          <w:rtl w:val="0"/>
        </w:rPr>
        <w:t xml:space="preserve">Plato, Tredennick, H. and Tarrant, H.  </w:t>
      </w:r>
      <w:r w:rsidDel="00000000" w:rsidR="00000000" w:rsidRPr="00000000">
        <w:rPr>
          <w:rFonts w:ascii="Times New Roman" w:cs="Times New Roman" w:eastAsia="Times New Roman" w:hAnsi="Times New Roman"/>
          <w:i w:val="1"/>
          <w:sz w:val="20"/>
          <w:szCs w:val="20"/>
          <w:rtl w:val="0"/>
        </w:rPr>
        <w:t xml:space="preserve">The last days of Socrates : Euthyphro, the Apology, Crito, Phaedo</w:t>
      </w:r>
      <w:r w:rsidDel="00000000" w:rsidR="00000000" w:rsidRPr="00000000">
        <w:rPr>
          <w:rFonts w:ascii="Times New Roman" w:cs="Times New Roman" w:eastAsia="Times New Roman" w:hAnsi="Times New Roman"/>
          <w:sz w:val="20"/>
          <w:szCs w:val="20"/>
          <w:rtl w:val="0"/>
        </w:rPr>
        <w:t xml:space="preserve">. Harmondsworth: Penguin. (1993). Print.</w:t>
      </w:r>
    </w:p>
    <w:p w:rsidR="00000000" w:rsidDel="00000000" w:rsidP="00000000" w:rsidRDefault="00000000" w:rsidRPr="00000000" w14:paraId="0000002D">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2E">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Shields, Christopher. “Hoc Aliquid: Aquinas’ Soul Is This Something.” </w:t>
      </w:r>
      <w:r w:rsidDel="00000000" w:rsidR="00000000" w:rsidRPr="00000000">
        <w:rPr>
          <w:rFonts w:ascii="Times New Roman" w:cs="Times New Roman" w:eastAsia="Times New Roman" w:hAnsi="Times New Roman"/>
          <w:i w:val="1"/>
          <w:sz w:val="20"/>
          <w:szCs w:val="20"/>
          <w:highlight w:val="white"/>
          <w:rtl w:val="0"/>
        </w:rPr>
        <w:t xml:space="preserve">The History of Hylomorphism</w:t>
      </w:r>
      <w:r w:rsidDel="00000000" w:rsidR="00000000" w:rsidRPr="00000000">
        <w:rPr>
          <w:rFonts w:ascii="Times New Roman" w:cs="Times New Roman" w:eastAsia="Times New Roman" w:hAnsi="Times New Roman"/>
          <w:sz w:val="20"/>
          <w:szCs w:val="20"/>
          <w:highlight w:val="white"/>
          <w:rtl w:val="0"/>
        </w:rPr>
        <w:t xml:space="preserve">. United Kingdom: Oxford University Press, Incorporated, 2023. Print.</w:t>
      </w:r>
    </w:p>
    <w:p w:rsidR="00000000" w:rsidDel="00000000" w:rsidP="00000000" w:rsidRDefault="00000000" w:rsidRPr="00000000" w14:paraId="0000002F">
      <w:pPr>
        <w:spacing w:line="360" w:lineRule="auto"/>
        <w:rPr>
          <w:rFonts w:ascii="Times New Roman" w:cs="Times New Roman" w:eastAsia="Times New Roman" w:hAnsi="Times New Roman"/>
          <w:sz w:val="20"/>
          <w:szCs w:val="20"/>
          <w:highlight w:val="white"/>
        </w:rPr>
      </w:pPr>
      <w:r w:rsidDel="00000000" w:rsidR="00000000" w:rsidRPr="00000000">
        <w:rPr>
          <w:rtl w:val="0"/>
        </w:rPr>
      </w:r>
    </w:p>
    <w:p w:rsidR="00000000" w:rsidDel="00000000" w:rsidP="00000000" w:rsidRDefault="00000000" w:rsidRPr="00000000" w14:paraId="00000030">
      <w:pPr>
        <w:spacing w:line="360" w:lineRule="auto"/>
        <w:rPr>
          <w:rFonts w:ascii="Times New Roman" w:cs="Times New Roman" w:eastAsia="Times New Roman" w:hAnsi="Times New Roman"/>
          <w:sz w:val="20"/>
          <w:szCs w:val="20"/>
          <w:highlight w:val="white"/>
        </w:rPr>
      </w:pPr>
      <w:r w:rsidDel="00000000" w:rsidR="00000000" w:rsidRPr="00000000">
        <w:rPr>
          <w:rFonts w:ascii="Times New Roman" w:cs="Times New Roman" w:eastAsia="Times New Roman" w:hAnsi="Times New Roman"/>
          <w:sz w:val="20"/>
          <w:szCs w:val="20"/>
          <w:highlight w:val="white"/>
          <w:rtl w:val="0"/>
        </w:rPr>
        <w:t xml:space="preserve">White, F. C. “SOCRATES, PHILOSOPHERS AND DEATH: TWO CONTRASTING ARGUMENTS IN PLATO’S PHAEDO.” </w:t>
      </w:r>
      <w:r w:rsidDel="00000000" w:rsidR="00000000" w:rsidRPr="00000000">
        <w:rPr>
          <w:rFonts w:ascii="Times New Roman" w:cs="Times New Roman" w:eastAsia="Times New Roman" w:hAnsi="Times New Roman"/>
          <w:i w:val="1"/>
          <w:sz w:val="20"/>
          <w:szCs w:val="20"/>
          <w:highlight w:val="white"/>
          <w:rtl w:val="0"/>
        </w:rPr>
        <w:t xml:space="preserve">Classical quarterly</w:t>
      </w:r>
      <w:r w:rsidDel="00000000" w:rsidR="00000000" w:rsidRPr="00000000">
        <w:rPr>
          <w:rFonts w:ascii="Times New Roman" w:cs="Times New Roman" w:eastAsia="Times New Roman" w:hAnsi="Times New Roman"/>
          <w:sz w:val="20"/>
          <w:szCs w:val="20"/>
          <w:highlight w:val="white"/>
          <w:rtl w:val="0"/>
        </w:rPr>
        <w:t xml:space="preserve"> 56.2 (2006): 445–458. Web.</w:t>
      </w:r>
    </w:p>
    <w:p w:rsidR="00000000" w:rsidDel="00000000" w:rsidP="00000000" w:rsidRDefault="00000000" w:rsidRPr="00000000" w14:paraId="00000031">
      <w:pPr>
        <w:spacing w:line="360" w:lineRule="auto"/>
        <w:rPr>
          <w:rFonts w:ascii="Times New Roman" w:cs="Times New Roman" w:eastAsia="Times New Roman" w:hAnsi="Times New Roman"/>
          <w:sz w:val="24"/>
          <w:szCs w:val="24"/>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2">
    <w:p w:rsidR="00000000" w:rsidDel="00000000" w:rsidP="00000000" w:rsidRDefault="00000000" w:rsidRPr="00000000" w14:paraId="00000032">
      <w:pPr>
        <w:spacing w:line="240" w:lineRule="auto"/>
        <w:rPr>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Lopez-Astorga, p. 6</w:t>
      </w:r>
      <w:r w:rsidDel="00000000" w:rsidR="00000000" w:rsidRPr="00000000">
        <w:rPr>
          <w:rtl w:val="0"/>
        </w:rPr>
      </w:r>
    </w:p>
  </w:footnote>
  <w:footnote w:id="1">
    <w:p w:rsidR="00000000" w:rsidDel="00000000" w:rsidP="00000000" w:rsidRDefault="00000000" w:rsidRPr="00000000" w14:paraId="0000003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w:t>
      </w:r>
      <w:r w:rsidDel="00000000" w:rsidR="00000000" w:rsidRPr="00000000">
        <w:rPr>
          <w:rFonts w:ascii="Times New Roman" w:cs="Times New Roman" w:eastAsia="Times New Roman" w:hAnsi="Times New Roman"/>
          <w:highlight w:val="white"/>
          <w:rtl w:val="0"/>
        </w:rPr>
        <w:t xml:space="preserve">70d-72e</w:t>
      </w:r>
      <w:r w:rsidDel="00000000" w:rsidR="00000000" w:rsidRPr="00000000">
        <w:rPr>
          <w:rtl w:val="0"/>
        </w:rPr>
      </w:r>
    </w:p>
  </w:footnote>
  <w:footnote w:id="4">
    <w:p w:rsidR="00000000" w:rsidDel="00000000" w:rsidP="00000000" w:rsidRDefault="00000000" w:rsidRPr="00000000" w14:paraId="0000003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Jeremiah, p.509</w:t>
      </w:r>
    </w:p>
  </w:footnote>
  <w:footnote w:id="6">
    <w:p w:rsidR="00000000" w:rsidDel="00000000" w:rsidP="00000000" w:rsidRDefault="00000000" w:rsidRPr="00000000" w14:paraId="00000035">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75a and 76c</w:t>
      </w:r>
    </w:p>
  </w:footnote>
  <w:footnote w:id="3">
    <w:p w:rsidR="00000000" w:rsidDel="00000000" w:rsidP="00000000" w:rsidRDefault="00000000" w:rsidRPr="00000000" w14:paraId="00000036">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74c</w:t>
      </w:r>
    </w:p>
  </w:footnote>
  <w:footnote w:id="7">
    <w:p w:rsidR="00000000" w:rsidDel="00000000" w:rsidP="00000000" w:rsidRDefault="00000000" w:rsidRPr="00000000" w14:paraId="00000037">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Lopez-Astorga, p. 6</w:t>
      </w:r>
    </w:p>
  </w:footnote>
  <w:footnote w:id="8">
    <w:p w:rsidR="00000000" w:rsidDel="00000000" w:rsidP="00000000" w:rsidRDefault="00000000" w:rsidRPr="00000000" w14:paraId="00000038">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79d</w:t>
      </w:r>
    </w:p>
  </w:footnote>
  <w:footnote w:id="10">
    <w:p w:rsidR="00000000" w:rsidDel="00000000" w:rsidP="00000000" w:rsidRDefault="00000000" w:rsidRPr="00000000" w14:paraId="00000039">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80d</w:t>
      </w:r>
    </w:p>
  </w:footnote>
  <w:footnote w:id="5">
    <w:p w:rsidR="00000000" w:rsidDel="00000000" w:rsidP="00000000" w:rsidRDefault="00000000" w:rsidRPr="00000000" w14:paraId="0000003A">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Melichar, p. 15</w:t>
      </w:r>
    </w:p>
  </w:footnote>
  <w:footnote w:id="12">
    <w:p w:rsidR="00000000" w:rsidDel="00000000" w:rsidP="00000000" w:rsidRDefault="00000000" w:rsidRPr="00000000" w14:paraId="0000003B">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75d and 78d</w:t>
      </w:r>
    </w:p>
  </w:footnote>
  <w:footnote w:id="13">
    <w:p w:rsidR="00000000" w:rsidDel="00000000" w:rsidP="00000000" w:rsidRDefault="00000000" w:rsidRPr="00000000" w14:paraId="0000003C">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81d-e</w:t>
      </w:r>
    </w:p>
  </w:footnote>
  <w:footnote w:id="14">
    <w:p w:rsidR="00000000" w:rsidDel="00000000" w:rsidP="00000000" w:rsidRDefault="00000000" w:rsidRPr="00000000" w14:paraId="0000003D">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Shields, p. 331</w:t>
      </w:r>
    </w:p>
  </w:footnote>
  <w:footnote w:id="15">
    <w:p w:rsidR="00000000" w:rsidDel="00000000" w:rsidP="00000000" w:rsidRDefault="00000000" w:rsidRPr="00000000" w14:paraId="0000003E">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86a</w:t>
      </w:r>
    </w:p>
  </w:footnote>
  <w:footnote w:id="16">
    <w:p w:rsidR="00000000" w:rsidDel="00000000" w:rsidP="00000000" w:rsidRDefault="00000000" w:rsidRPr="00000000" w14:paraId="0000003F">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7">
    <w:p w:rsidR="00000000" w:rsidDel="00000000" w:rsidP="00000000" w:rsidRDefault="00000000" w:rsidRPr="00000000" w14:paraId="00000040">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86b-c</w:t>
      </w:r>
    </w:p>
  </w:footnote>
  <w:footnote w:id="0">
    <w:p w:rsidR="00000000" w:rsidDel="00000000" w:rsidP="00000000" w:rsidRDefault="00000000" w:rsidRPr="00000000" w14:paraId="00000041">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Plato, 100b</w:t>
      </w:r>
    </w:p>
  </w:footnote>
  <w:footnote w:id="9">
    <w:p w:rsidR="00000000" w:rsidDel="00000000" w:rsidP="00000000" w:rsidRDefault="00000000" w:rsidRPr="00000000" w14:paraId="00000042">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w:t>
      </w:r>
    </w:p>
  </w:footnote>
  <w:footnote w:id="18">
    <w:p w:rsidR="00000000" w:rsidDel="00000000" w:rsidP="00000000" w:rsidRDefault="00000000" w:rsidRPr="00000000" w14:paraId="00000043">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White, p. 457</w:t>
      </w:r>
    </w:p>
  </w:footnote>
  <w:footnote w:id="11">
    <w:p w:rsidR="00000000" w:rsidDel="00000000" w:rsidP="00000000" w:rsidRDefault="00000000" w:rsidRPr="00000000" w14:paraId="00000044">
      <w:pPr>
        <w:spacing w:line="240" w:lineRule="auto"/>
        <w:rPr>
          <w:rFonts w:ascii="Times New Roman" w:cs="Times New Roman" w:eastAsia="Times New Roman" w:hAnsi="Times New Roman"/>
          <w:sz w:val="20"/>
          <w:szCs w:val="20"/>
        </w:rPr>
      </w:pPr>
      <w:r w:rsidDel="00000000" w:rsidR="00000000" w:rsidRPr="00000000">
        <w:rPr>
          <w:rStyle w:val="FootnoteReference"/>
          <w:vertAlign w:val="superscript"/>
        </w:rPr>
        <w:footnoteRef/>
      </w:r>
      <w:r w:rsidDel="00000000" w:rsidR="00000000" w:rsidRPr="00000000">
        <w:rPr>
          <w:rFonts w:ascii="Times New Roman" w:cs="Times New Roman" w:eastAsia="Times New Roman" w:hAnsi="Times New Roman"/>
          <w:sz w:val="20"/>
          <w:szCs w:val="20"/>
          <w:rtl w:val="0"/>
        </w:rPr>
        <w:t xml:space="preserve"> Ibid. 75d</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_GB"/>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