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0CBC1" w14:textId="77777777" w:rsidR="00B066D4" w:rsidRDefault="00B066D4" w:rsidP="00B066D4">
      <w:pPr>
        <w:spacing w:line="360" w:lineRule="auto"/>
        <w:rPr>
          <w:rFonts w:ascii="Times New Roman" w:hAnsi="Times New Roman" w:cs="Times New Roman"/>
          <w:b/>
          <w:bCs/>
        </w:rPr>
      </w:pPr>
      <w:r w:rsidRPr="00C97F1A">
        <w:rPr>
          <w:rFonts w:ascii="Times New Roman" w:hAnsi="Times New Roman" w:cs="Times New Roman"/>
          <w:b/>
          <w:bCs/>
        </w:rPr>
        <w:t>Artificial Intelligence as Cognitive Infrastructure: European Governance and Strategic Autonomy in the Agentic Economy</w:t>
      </w:r>
    </w:p>
    <w:p w14:paraId="57712457" w14:textId="77777777" w:rsidR="00B23006" w:rsidRDefault="00B23006" w:rsidP="00AF72C7">
      <w:pPr>
        <w:spacing w:line="360" w:lineRule="auto"/>
        <w:rPr>
          <w:rFonts w:ascii="Times New Roman" w:hAnsi="Times New Roman" w:cs="Times New Roman"/>
        </w:rPr>
      </w:pPr>
    </w:p>
    <w:p w14:paraId="06DB7FC0" w14:textId="29A29DA8" w:rsidR="00B066D4" w:rsidRDefault="00B066D4" w:rsidP="00AF72C7">
      <w:pPr>
        <w:spacing w:line="360" w:lineRule="auto"/>
        <w:rPr>
          <w:rFonts w:ascii="Times New Roman" w:hAnsi="Times New Roman" w:cs="Times New Roman"/>
        </w:rPr>
      </w:pPr>
      <w:r>
        <w:rPr>
          <w:rFonts w:ascii="Times New Roman" w:hAnsi="Times New Roman" w:cs="Times New Roman"/>
        </w:rPr>
        <w:t>By Philipp Humm</w:t>
      </w:r>
    </w:p>
    <w:p w14:paraId="53979FD3" w14:textId="142BD900" w:rsidR="00514733" w:rsidRPr="00AD5CC0" w:rsidRDefault="00514733" w:rsidP="00AF72C7">
      <w:pPr>
        <w:spacing w:line="360" w:lineRule="auto"/>
        <w:rPr>
          <w:rFonts w:ascii="Times New Roman" w:hAnsi="Times New Roman" w:cs="Times New Roman"/>
          <w:lang w:val="it-IT"/>
        </w:rPr>
      </w:pPr>
      <w:r w:rsidRPr="00AD5CC0">
        <w:rPr>
          <w:rFonts w:ascii="Times New Roman" w:hAnsi="Times New Roman" w:cs="Times New Roman"/>
          <w:lang w:val="it-IT"/>
        </w:rPr>
        <w:t>Milan, Italy</w:t>
      </w:r>
    </w:p>
    <w:p w14:paraId="79936811" w14:textId="433AFEFE" w:rsidR="00B066D4" w:rsidRDefault="00514733" w:rsidP="00AF72C7">
      <w:pPr>
        <w:spacing w:line="360" w:lineRule="auto"/>
        <w:rPr>
          <w:rFonts w:ascii="Times New Roman" w:hAnsi="Times New Roman" w:cs="Times New Roman"/>
        </w:rPr>
      </w:pPr>
      <w:r>
        <w:rPr>
          <w:rFonts w:ascii="Times New Roman" w:hAnsi="Times New Roman" w:cs="Times New Roman"/>
        </w:rPr>
        <w:br/>
      </w:r>
      <w:r>
        <w:rPr>
          <w:rFonts w:ascii="Times New Roman" w:hAnsi="Times New Roman" w:cs="Times New Roman"/>
        </w:rPr>
        <w:br/>
      </w:r>
    </w:p>
    <w:p w14:paraId="17C29DE7" w14:textId="6A6B654B" w:rsidR="00B066D4" w:rsidRPr="00525EBC" w:rsidRDefault="00B066D4" w:rsidP="00AF72C7">
      <w:pPr>
        <w:spacing w:line="360" w:lineRule="auto"/>
        <w:rPr>
          <w:rFonts w:ascii="Times New Roman" w:hAnsi="Times New Roman" w:cs="Times New Roman"/>
        </w:rPr>
      </w:pPr>
    </w:p>
    <w:p w14:paraId="2A8C1112" w14:textId="77777777" w:rsidR="00B23006" w:rsidRPr="00DA65D3" w:rsidRDefault="00B23006" w:rsidP="00335D30">
      <w:pPr>
        <w:spacing w:line="360" w:lineRule="auto"/>
        <w:rPr>
          <w:rFonts w:ascii="Times New Roman" w:hAnsi="Times New Roman" w:cs="Times New Roman"/>
          <w:b/>
          <w:bCs/>
        </w:rPr>
      </w:pPr>
      <w:r w:rsidRPr="00DA65D3">
        <w:rPr>
          <w:rFonts w:ascii="Times New Roman" w:hAnsi="Times New Roman" w:cs="Times New Roman"/>
          <w:b/>
          <w:bCs/>
        </w:rPr>
        <w:t>Abstract</w:t>
      </w:r>
    </w:p>
    <w:p w14:paraId="796D3F68" w14:textId="77777777" w:rsidR="00B066D4" w:rsidRPr="002F44DD" w:rsidRDefault="00B066D4" w:rsidP="00B066D4">
      <w:pPr>
        <w:spacing w:line="360" w:lineRule="auto"/>
        <w:rPr>
          <w:rFonts w:ascii="Times New Roman" w:hAnsi="Times New Roman" w:cs="Times New Roman"/>
          <w:lang w:val="en-US"/>
        </w:rPr>
      </w:pPr>
      <w:r w:rsidRPr="002F44DD">
        <w:rPr>
          <w:rFonts w:ascii="Times New Roman" w:hAnsi="Times New Roman" w:cs="Times New Roman"/>
          <w:lang w:val="en-US"/>
        </w:rPr>
        <w:t>As agentic artificial intelligence reshapes economic coordination and governance within the European Single Market, it challenges core assumptions of the EU regulatory state about how market governance and strategic autonomy are exercised. What is increasingly automated is not only labour or routine cognition, but judgment itself. Large-scale AI models now function as cognitive infrastructure, coordinating economic activity through machine-to-machine negotiation, planning, and execution.</w:t>
      </w:r>
    </w:p>
    <w:p w14:paraId="6F266F04" w14:textId="77777777" w:rsidR="00B066D4" w:rsidRPr="002F44DD" w:rsidRDefault="00B066D4" w:rsidP="00B066D4">
      <w:pPr>
        <w:spacing w:line="360" w:lineRule="auto"/>
        <w:rPr>
          <w:rFonts w:ascii="Times New Roman" w:hAnsi="Times New Roman" w:cs="Times New Roman"/>
          <w:lang w:val="en-US"/>
        </w:rPr>
      </w:pPr>
      <w:r w:rsidRPr="002F44DD">
        <w:rPr>
          <w:rFonts w:ascii="Times New Roman" w:hAnsi="Times New Roman" w:cs="Times New Roman"/>
          <w:lang w:val="en-US"/>
        </w:rPr>
        <w:t>This development poses a distinct challenge for the European Union, whose regulatory capacity has advanced faster than its control over the infrastructures through which economic coordination increasingly occurs. The article argues that Europe’s reliance on foreign-owned foundation models creates a new form of strategic dependency that existing policy instruments cannot fully address. While initiatives such as the EU AI Act govern downstream uses of artificial intelligence, they do not reach the upstream locus of power where optimisation criteria, update cycles, and system-level priorities are defined.</w:t>
      </w:r>
    </w:p>
    <w:p w14:paraId="307DDE92" w14:textId="77777777" w:rsidR="00B066D4" w:rsidRPr="002F44DD" w:rsidRDefault="00B066D4" w:rsidP="00B066D4">
      <w:pPr>
        <w:spacing w:line="360" w:lineRule="auto"/>
        <w:rPr>
          <w:rFonts w:ascii="Times New Roman" w:hAnsi="Times New Roman" w:cs="Times New Roman"/>
          <w:lang w:val="en-US"/>
        </w:rPr>
      </w:pPr>
      <w:r w:rsidRPr="002F44DD">
        <w:rPr>
          <w:rFonts w:ascii="Times New Roman" w:hAnsi="Times New Roman" w:cs="Times New Roman"/>
          <w:lang w:val="en-US"/>
        </w:rPr>
        <w:t>The article reframes cognitive sovereignty as a problem of political capacity rather than technological nationalism. It shows how intelligence inequality emerges as a structural feature of the agentic economy and examines the implications for European integration, strategic autonomy, and regulatory authority in an economy increasingly mediated by machine-based coordination.</w:t>
      </w:r>
    </w:p>
    <w:p w14:paraId="7FBBE76F" w14:textId="77777777" w:rsidR="00AF72C7" w:rsidRPr="00DA65D3" w:rsidRDefault="00AF72C7" w:rsidP="00335D30">
      <w:pPr>
        <w:spacing w:line="360" w:lineRule="auto"/>
        <w:rPr>
          <w:rFonts w:ascii="Times New Roman" w:hAnsi="Times New Roman" w:cs="Times New Roman"/>
          <w:lang w:val="en-US"/>
        </w:rPr>
      </w:pPr>
    </w:p>
    <w:p w14:paraId="5F47E8F7" w14:textId="6EAFD1C1" w:rsidR="00B23006" w:rsidRPr="00DA65D3" w:rsidRDefault="00B23006" w:rsidP="00335D30">
      <w:pPr>
        <w:spacing w:line="360" w:lineRule="auto"/>
        <w:rPr>
          <w:rFonts w:ascii="Times New Roman" w:hAnsi="Times New Roman" w:cs="Times New Roman"/>
        </w:rPr>
      </w:pPr>
      <w:r w:rsidRPr="00335D30">
        <w:rPr>
          <w:rFonts w:ascii="Times New Roman" w:hAnsi="Times New Roman" w:cs="Times New Roman"/>
          <w:b/>
          <w:bCs/>
        </w:rPr>
        <w:t>Keywords:</w:t>
      </w:r>
      <w:r w:rsidRPr="00335D30">
        <w:rPr>
          <w:rFonts w:ascii="Times New Roman" w:hAnsi="Times New Roman" w:cs="Times New Roman"/>
        </w:rPr>
        <w:t xml:space="preserve"> </w:t>
      </w:r>
      <w:r w:rsidR="002445E9" w:rsidRPr="00335D30">
        <w:rPr>
          <w:rFonts w:ascii="Times New Roman" w:hAnsi="Times New Roman" w:cs="Times New Roman"/>
        </w:rPr>
        <w:t xml:space="preserve">Agentic AI; </w:t>
      </w:r>
      <w:r w:rsidRPr="00335D30">
        <w:rPr>
          <w:rFonts w:ascii="Times New Roman" w:hAnsi="Times New Roman" w:cs="Times New Roman"/>
        </w:rPr>
        <w:t xml:space="preserve">AI Act; Digital Single Market; European Integration; </w:t>
      </w:r>
      <w:r w:rsidR="00725B34" w:rsidRPr="00335D30">
        <w:rPr>
          <w:rFonts w:ascii="Times New Roman" w:hAnsi="Times New Roman" w:cs="Times New Roman"/>
        </w:rPr>
        <w:t xml:space="preserve">Open Strategic Autonomy; </w:t>
      </w:r>
      <w:r w:rsidRPr="00335D30">
        <w:rPr>
          <w:rFonts w:ascii="Times New Roman" w:hAnsi="Times New Roman" w:cs="Times New Roman"/>
        </w:rPr>
        <w:t>Strategic Autonomy; Technological Sovereignty.</w:t>
      </w:r>
    </w:p>
    <w:p w14:paraId="2F3B4B40" w14:textId="6A5A845C" w:rsidR="00B23006" w:rsidRPr="00525EBC" w:rsidRDefault="00B23006" w:rsidP="00AF72C7">
      <w:pPr>
        <w:spacing w:line="360" w:lineRule="auto"/>
        <w:rPr>
          <w:rFonts w:ascii="Times New Roman" w:hAnsi="Times New Roman" w:cs="Times New Roman"/>
        </w:rPr>
      </w:pPr>
    </w:p>
    <w:p w14:paraId="138086DB" w14:textId="77777777" w:rsidR="00B23006" w:rsidRPr="00525EBC" w:rsidRDefault="00B23006" w:rsidP="00AF72C7">
      <w:pPr>
        <w:spacing w:line="360" w:lineRule="auto"/>
        <w:rPr>
          <w:rFonts w:ascii="Times New Roman" w:hAnsi="Times New Roman" w:cs="Times New Roman"/>
          <w:b/>
          <w:bCs/>
        </w:rPr>
      </w:pPr>
    </w:p>
    <w:p w14:paraId="36170E63" w14:textId="10C292A5"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b/>
          <w:bCs/>
        </w:rPr>
        <w:t>Introduction</w:t>
      </w:r>
    </w:p>
    <w:p w14:paraId="2D8FB7DE"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In 2025, a German automotive supplier deploys an artificial intelligence agent to negotiate a long-term steel procurement contract with a South Korean counterpart. The European agent, built on a U.S. foundation model, optimises for price stability and delivery speed. It successfully secures the contract. Yet in doing so, it subtly privileges logistical routes, cloud services, and contractual defaults that align with the commercial ecosystem of its model provider. The deal is concluded efficiently, but less strategic value is extracted than might otherwise have been possible.</w:t>
      </w:r>
    </w:p>
    <w:p w14:paraId="7D8D998F"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Taken in isolation, such outcomes appear trivial. Multiplied across millions of machine-to-machine transactions, however, they point to a deeper structural shift. Competitive advantage no longer derives solely from tariffs, subsidies, or regulatory alignment, but from the cognitive systems that increasingly negotiate, coordinate, and execute economic activity on behalf of firms and states. For the European Union, this shift raises a fundamental question of governance: how can regulatory authority be exercised effectively when economic coordination itself is mediated by infrastructures beyond European jurisdiction?</w:t>
      </w:r>
    </w:p>
    <w:p w14:paraId="57DCC2FC" w14:textId="2B56427F" w:rsidR="00B23006" w:rsidRPr="00525EBC" w:rsidRDefault="00B23006" w:rsidP="00AF72C7">
      <w:pPr>
        <w:spacing w:line="360" w:lineRule="auto"/>
        <w:rPr>
          <w:rFonts w:ascii="Times New Roman" w:hAnsi="Times New Roman" w:cs="Times New Roman"/>
        </w:rPr>
      </w:pPr>
      <w:r w:rsidRPr="00B23006">
        <w:rPr>
          <w:rFonts w:ascii="Times New Roman" w:hAnsi="Times New Roman" w:cs="Times New Roman"/>
        </w:rPr>
        <w:t xml:space="preserve">This </w:t>
      </w:r>
      <w:r w:rsidR="00E57983" w:rsidRPr="00525EBC">
        <w:rPr>
          <w:rFonts w:ascii="Times New Roman" w:hAnsi="Times New Roman" w:cs="Times New Roman"/>
        </w:rPr>
        <w:t>article contributes to European public policy and integration debates by</w:t>
      </w:r>
      <w:r w:rsidRPr="00B23006">
        <w:rPr>
          <w:rFonts w:ascii="Times New Roman" w:hAnsi="Times New Roman" w:cs="Times New Roman"/>
        </w:rPr>
        <w:t xml:space="preserve"> argu</w:t>
      </w:r>
      <w:r w:rsidR="00E57983" w:rsidRPr="00525EBC">
        <w:rPr>
          <w:rFonts w:ascii="Times New Roman" w:hAnsi="Times New Roman" w:cs="Times New Roman"/>
        </w:rPr>
        <w:t>ing</w:t>
      </w:r>
      <w:r w:rsidRPr="00B23006">
        <w:rPr>
          <w:rFonts w:ascii="Times New Roman" w:hAnsi="Times New Roman" w:cs="Times New Roman"/>
        </w:rPr>
        <w:t xml:space="preserve"> that the emergence of agentic artificial intelligence transforms the conditions under which European public policy operates. As intelligence becomes an infrastructural input rather than a discrete technology, established models of regulation, market governance, and strategic autonomy confront a new form of asymmetry. The paper develops the concept of cognitive sovereignty to capture this challenge and situates it within ongoing debates on EU regulatory power, integration, and actorness in the global political economy.</w:t>
      </w:r>
      <w:r w:rsidR="00E57983" w:rsidRPr="00525EBC">
        <w:rPr>
          <w:rFonts w:ascii="Times New Roman" w:hAnsi="Times New Roman" w:cs="Times New Roman"/>
        </w:rPr>
        <w:t xml:space="preserve"> </w:t>
      </w:r>
      <w:r w:rsidR="002A07F7" w:rsidRPr="002A07F7">
        <w:rPr>
          <w:rFonts w:ascii="Times New Roman" w:hAnsi="Times New Roman" w:cs="Times New Roman"/>
        </w:rPr>
        <w:t xml:space="preserve">Building on recent analyses of the limits of digital sovereignty and strategic autonomy in EU governance, this article extends the </w:t>
      </w:r>
      <w:r w:rsidR="002A07F7" w:rsidRPr="002A07F7">
        <w:rPr>
          <w:rFonts w:ascii="Times New Roman" w:hAnsi="Times New Roman" w:cs="Times New Roman"/>
        </w:rPr>
        <w:lastRenderedPageBreak/>
        <w:t xml:space="preserve">critique upstream to the level of cognitive infrastructure, where regulatory authority increasingly depends on infrastructural power rather than normative reach alone </w:t>
      </w:r>
      <w:r w:rsidR="00BD04FA" w:rsidRPr="00525EBC">
        <w:rPr>
          <w:rFonts w:ascii="Times New Roman" w:hAnsi="Times New Roman" w:cs="Times New Roman"/>
        </w:rPr>
        <w:t>(Falkner et al. 2024; Mügge 2024</w:t>
      </w:r>
      <w:r w:rsidR="002A07F7">
        <w:rPr>
          <w:rFonts w:ascii="Times New Roman" w:hAnsi="Times New Roman" w:cs="Times New Roman"/>
        </w:rPr>
        <w:t xml:space="preserve">; </w:t>
      </w:r>
      <w:r w:rsidR="002A07F7" w:rsidRPr="002A07F7">
        <w:rPr>
          <w:rFonts w:ascii="Times New Roman" w:hAnsi="Times New Roman" w:cs="Times New Roman"/>
        </w:rPr>
        <w:t>Rone 2024</w:t>
      </w:r>
      <w:r w:rsidR="00BD04FA" w:rsidRPr="00525EBC">
        <w:rPr>
          <w:rFonts w:ascii="Times New Roman" w:hAnsi="Times New Roman" w:cs="Times New Roman"/>
        </w:rPr>
        <w:t>).</w:t>
      </w:r>
    </w:p>
    <w:p w14:paraId="66A634C3" w14:textId="77777777" w:rsidR="00BD04FA" w:rsidRPr="00B23006" w:rsidRDefault="00BD04FA" w:rsidP="00AF72C7">
      <w:pPr>
        <w:spacing w:line="360" w:lineRule="auto"/>
        <w:rPr>
          <w:rFonts w:ascii="Times New Roman" w:hAnsi="Times New Roman" w:cs="Times New Roman"/>
        </w:rPr>
      </w:pPr>
    </w:p>
    <w:p w14:paraId="4B31131D" w14:textId="77777777" w:rsidR="00B23006" w:rsidRPr="00B23006" w:rsidRDefault="00B23006" w:rsidP="00AF72C7">
      <w:pPr>
        <w:spacing w:line="360" w:lineRule="auto"/>
        <w:rPr>
          <w:rFonts w:ascii="Times New Roman" w:hAnsi="Times New Roman" w:cs="Times New Roman"/>
          <w:b/>
          <w:bCs/>
        </w:rPr>
      </w:pPr>
      <w:r w:rsidRPr="00B23006">
        <w:rPr>
          <w:rFonts w:ascii="Times New Roman" w:hAnsi="Times New Roman" w:cs="Times New Roman"/>
          <w:b/>
          <w:bCs/>
        </w:rPr>
        <w:t>Section I: Intelligence as Infrastructure</w:t>
      </w:r>
    </w:p>
    <w:p w14:paraId="34B72A02"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global economy is undergoing a transformation deeper than industrialisation and faster than digitisation. What is increasingly automated is not only physical labour or routine cognition, but judgment itself. As artificial intelligence systems move from decision support to autonomous operation, the foundational unit of economic power shifts from labour and capital to cognition.</w:t>
      </w:r>
    </w:p>
    <w:p w14:paraId="71D36CD5" w14:textId="77777777" w:rsidR="00B23006" w:rsidRDefault="00B23006" w:rsidP="00AF72C7">
      <w:pPr>
        <w:spacing w:line="360" w:lineRule="auto"/>
        <w:rPr>
          <w:rFonts w:ascii="Times New Roman" w:hAnsi="Times New Roman" w:cs="Times New Roman"/>
        </w:rPr>
      </w:pPr>
      <w:r w:rsidRPr="00B23006">
        <w:rPr>
          <w:rFonts w:ascii="Times New Roman" w:hAnsi="Times New Roman" w:cs="Times New Roman"/>
        </w:rPr>
        <w:t>At the centre of this shift is the large language model. Despite its popular portrayal as a conversational interface, the contemporary LLM functions more accurately as a cognitive kernel: a general-purpose reasoning layer capable of translating intent into plans, coordinating distributed systems, negotiating contracts, allocating resources, and executing decisions at machine speed. In the emerging machine economy, this layer plays a role analogous to that once occupied by operating systems in the personal computing era or energy infrastructure in industrial society. It is not simply a product or service, but an organising substrate for economic coordination.</w:t>
      </w:r>
    </w:p>
    <w:p w14:paraId="6148D877" w14:textId="77777777" w:rsidR="001B7769" w:rsidRDefault="001B7769" w:rsidP="001B7769">
      <w:pPr>
        <w:spacing w:line="360" w:lineRule="auto"/>
        <w:rPr>
          <w:rFonts w:ascii="Times New Roman" w:hAnsi="Times New Roman" w:cs="Times New Roman"/>
        </w:rPr>
      </w:pPr>
      <w:r w:rsidRPr="001B7769">
        <w:rPr>
          <w:rFonts w:ascii="Times New Roman" w:hAnsi="Times New Roman" w:cs="Times New Roman"/>
        </w:rPr>
        <w:t>Figure 1 illustrates the layered architecture of the machine economy, highlighting how control over the cognitive kernel conditions downstream economic execution and constrains the effectiveness of purely downstream regulation.</w:t>
      </w:r>
    </w:p>
    <w:p w14:paraId="2123E6B1" w14:textId="0F6FBC56" w:rsidR="001B7769" w:rsidRPr="00B23006" w:rsidRDefault="001B7769" w:rsidP="00AF72C7">
      <w:pPr>
        <w:spacing w:line="360" w:lineRule="auto"/>
        <w:rPr>
          <w:rFonts w:ascii="Times New Roman" w:hAnsi="Times New Roman" w:cs="Times New Roman"/>
        </w:rPr>
      </w:pPr>
      <w:r w:rsidRPr="003523E6">
        <w:rPr>
          <w:noProof/>
          <w:lang w:val="en-US"/>
        </w:rPr>
        <w:lastRenderedPageBreak/>
        <w:drawing>
          <wp:inline distT="0" distB="0" distL="0" distR="0" wp14:anchorId="559666AD" wp14:editId="05EDD0CB">
            <wp:extent cx="5731510" cy="4297680"/>
            <wp:effectExtent l="0" t="0" r="2540" b="7620"/>
            <wp:docPr id="1846477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inline>
        </w:drawing>
      </w:r>
      <w:r w:rsidRPr="001B7769">
        <w:rPr>
          <w:rFonts w:ascii="Times New Roman" w:hAnsi="Times New Roman" w:cs="Times New Roman"/>
        </w:rPr>
        <w:t>Figure 1. Cognitive Infrastructure and Downstream Economic Coordination</w:t>
      </w:r>
    </w:p>
    <w:p w14:paraId="57032CFA"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For Europe, the rise of intelligence as infrastructure exposes a central paradox of contemporary governance. The European Union has developed one of the world’s most sophisticated regulatory frameworks for the digital economy and remains a global leader in industrial automation, precision manufacturing, and physical infrastructure. Yet it is overwhelmingly dependent on foreign, primarily American, foundation models for the cognitive layer increasingly responsible for economic coordination.</w:t>
      </w:r>
    </w:p>
    <w:p w14:paraId="2FE14791"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This dependency differs qualitatively from earlier technological gaps. Europe has previously lagged in consumer platforms or digital services without incurring fundamental losses of agency. Cognitive infrastructure is different. When reasoning, negotiation, and execution migrate into software agents, the entity that controls the underlying models does not merely supply a tool. It shapes the conditions under which economic action becomes possible, including default assumptions, optimisation criteria, and permissible strategies.</w:t>
      </w:r>
    </w:p>
    <w:p w14:paraId="708349DC"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lastRenderedPageBreak/>
        <w:t>The central risk, therefore, is not that Europe will fall behind in artificial intelligence development as such. It is that Europe risks losing effective agency in an economy where intelligence itself becomes the decisive factor in negotiation, coordination, and value extraction. Decisions that once unfolded through human deliberation increasingly occur at machine speed, upstream of political or regulatory intervention.</w:t>
      </w:r>
    </w:p>
    <w:p w14:paraId="77B561FF"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This shift is already visible in the early formation of what can be described as an agentic economy. As AI systems acquire the capacity to plan, use tools, and adapt to feedback, they increasingly transact directly with one another. Software agents negotiate procurement contracts, manage logistics flows, optimise energy markets, and execute financial strategies. In such environments, outcomes depend less on formal price signals or regulatory compliance alone than on the cognitive capabilities of the agents involved.</w:t>
      </w:r>
    </w:p>
    <w:p w14:paraId="047D7531" w14:textId="579CD9A4"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 xml:space="preserve">Under these conditions, intelligence inequality becomes a source of economic arbitrage. Firms represented by more capable reasoning systems consistently extract greater value from interactions with those represented by weaker models. Aggregated across large volumes of automated transactions, these marginal advantages harden into structural imbalances that resemble trade </w:t>
      </w:r>
      <w:r w:rsidR="00F611B3" w:rsidRPr="00B23006">
        <w:rPr>
          <w:rFonts w:ascii="Times New Roman" w:hAnsi="Times New Roman" w:cs="Times New Roman"/>
        </w:rPr>
        <w:t>asymmetries but</w:t>
      </w:r>
      <w:r w:rsidRPr="00B23006">
        <w:rPr>
          <w:rFonts w:ascii="Times New Roman" w:hAnsi="Times New Roman" w:cs="Times New Roman"/>
        </w:rPr>
        <w:t xml:space="preserve"> operate at the level of cognition rather than goods.</w:t>
      </w:r>
    </w:p>
    <w:p w14:paraId="5C058E86"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Europe’s reliance on externally governed foundation models thus constitutes a new form of strategic vulnerability. It is not reducible to concerns about data protection or privacy compliance. Rather, it raises the question of whether European firms and institutions will increasingly be represented, negotiated for, and optimised by cognitive systems whose objectives, constraints, and update cycles are determined outside the European legal and political order.</w:t>
      </w:r>
    </w:p>
    <w:p w14:paraId="5C398D95"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This dependency is often minimised through appeals to transatlantic alignment and market access. Yet goodwill is an insufficient basis for governance when intelligence functions as infrastructure. As automation deepens, selective constraints on access to AI systems become functionally equivalent to disruptions of labour markets or logistics networks. In a machine-mediated economy, cognitive systems increasingly constitute the workforce.</w:t>
      </w:r>
    </w:p>
    <w:p w14:paraId="26F98457"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 xml:space="preserve">Nor can this exposure be resolved through sovereign cloud initiatives alone. Control over cognition is determined less by the physical location of data centres than by legal jurisdiction </w:t>
      </w:r>
      <w:r w:rsidRPr="00B23006">
        <w:rPr>
          <w:rFonts w:ascii="Times New Roman" w:hAnsi="Times New Roman" w:cs="Times New Roman"/>
        </w:rPr>
        <w:lastRenderedPageBreak/>
        <w:t>over model development, deployment, and evolution. As long as the cognitive kernel remains owned and governed outside Europe’s institutional framework, regulatory authority operates downstream of the most consequential decisions.</w:t>
      </w:r>
    </w:p>
    <w:p w14:paraId="4332CF03" w14:textId="3686827D" w:rsidR="001B7769" w:rsidRDefault="00B23006" w:rsidP="00AF72C7">
      <w:pPr>
        <w:spacing w:line="360" w:lineRule="auto"/>
        <w:rPr>
          <w:rFonts w:ascii="Times New Roman" w:hAnsi="Times New Roman" w:cs="Times New Roman"/>
        </w:rPr>
      </w:pPr>
      <w:r w:rsidRPr="00B23006">
        <w:rPr>
          <w:rFonts w:ascii="Times New Roman" w:hAnsi="Times New Roman" w:cs="Times New Roman"/>
        </w:rPr>
        <w:t>The implication is not that European regulation is ineffective, but that it risks becoming decoupled from power. Rules can constrain behaviour at the margins, but they cannot substitute for control over the infrastructures that structure economic action. A polity that does not retain influence over the systems that reason on its behalf negotiates from a position of structural weakness, regardless of the sophistication of its legal frameworks.</w:t>
      </w:r>
    </w:p>
    <w:p w14:paraId="1785A2BC" w14:textId="5F79154B"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strategic question facing Europe is therefore not whether it should replicate the prevailing model of frontier AI development. That path is capital-intensive, energy-hungry, and increasingly characterised by winner-takes-most dynamics. The more consequential question is whether Europe can redefine the terrain of competition by leveraging its industrial base, scientific capacity, and regulatory institutions to retain agency in an economy where intelligence functions as infrastructure.</w:t>
      </w:r>
    </w:p>
    <w:p w14:paraId="7CC0CDED" w14:textId="77777777" w:rsidR="00B23006" w:rsidRPr="00525EBC" w:rsidRDefault="00B23006" w:rsidP="00AF72C7">
      <w:pPr>
        <w:spacing w:line="360" w:lineRule="auto"/>
        <w:rPr>
          <w:rFonts w:ascii="Times New Roman" w:hAnsi="Times New Roman" w:cs="Times New Roman"/>
        </w:rPr>
      </w:pPr>
      <w:r w:rsidRPr="00B23006">
        <w:rPr>
          <w:rFonts w:ascii="Times New Roman" w:hAnsi="Times New Roman" w:cs="Times New Roman"/>
        </w:rPr>
        <w:t>Cognitive sovereignty, in this sense, does not imply technological autarky. It refers to the capacity to make meaningful choices about which systems coordinate economic activity, under which conditions, and according to which values. In an era of machine-mediated governance, this capacity constitutes a minimal condition for democratic self-determination.</w:t>
      </w:r>
    </w:p>
    <w:p w14:paraId="34C2AB4C" w14:textId="77777777" w:rsidR="00AF72C7" w:rsidRPr="00B23006" w:rsidRDefault="00AF72C7" w:rsidP="00AF72C7">
      <w:pPr>
        <w:spacing w:line="360" w:lineRule="auto"/>
        <w:rPr>
          <w:rFonts w:ascii="Times New Roman" w:hAnsi="Times New Roman" w:cs="Times New Roman"/>
        </w:rPr>
      </w:pPr>
    </w:p>
    <w:p w14:paraId="23D790E2" w14:textId="77777777" w:rsidR="00B23006" w:rsidRPr="00B23006" w:rsidRDefault="00B23006" w:rsidP="00AF72C7">
      <w:pPr>
        <w:spacing w:line="360" w:lineRule="auto"/>
        <w:rPr>
          <w:rFonts w:ascii="Times New Roman" w:hAnsi="Times New Roman" w:cs="Times New Roman"/>
          <w:b/>
          <w:bCs/>
        </w:rPr>
      </w:pPr>
      <w:r w:rsidRPr="00B23006">
        <w:rPr>
          <w:rFonts w:ascii="Times New Roman" w:hAnsi="Times New Roman" w:cs="Times New Roman"/>
          <w:b/>
          <w:bCs/>
        </w:rPr>
        <w:t>Section II: Regulation Without Cognition</w:t>
      </w:r>
    </w:p>
    <w:p w14:paraId="1FDDF0B7"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Europe enters the age of artificial intelligence with an unusual configuration of strengths and absences. On paper, the European Union appears well positioned. It commands one of the world’s largest integrated markets, retains global leadership in advanced manufacturing, industrial automation, aerospace, chemicals, and energy systems, and continues to produce world-class scientific research. Unlike most jurisdictions, it has also demonstrated a distinctive capacity to translate ethical and societal concerns into binding law.</w:t>
      </w:r>
    </w:p>
    <w:p w14:paraId="20686251"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Yet at the level that increasingly matters most, the foundational layer of machine intelligence, Europe remains structurally dependent.</w:t>
      </w:r>
    </w:p>
    <w:p w14:paraId="5F907BFD"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lastRenderedPageBreak/>
        <w:t>This condition is often misinterpreted as a simple delay, as if Europe were merely behind the United States or China in a technological race it could still join through increased investment. That framing is misleading. European firms actively deploy artificial intelligence across logistics, healthcare, finance, and manufacturing, and European researchers contribute substantially to global AI research. The issue is not adoption or competence, but control. Europe does not govern the cognitive substrate on which these systems increasingly rely.</w:t>
      </w:r>
    </w:p>
    <w:p w14:paraId="44F18C73"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Large language models and their successors now function as general-purpose reasoning engines. They translate goals into executable plans, coordinate distributed systems, and increasingly act on behalf of organisations without continuous human supervision. Control over these models therefore confers a distinct form of infrastructural power. It determines which assumptions become defaults, how trade-offs are resolved, and which legal, economic, and cultural norms are embedded in machine-mediated decision-making.</w:t>
      </w:r>
    </w:p>
    <w:p w14:paraId="01A5F511" w14:textId="72A87CE3"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Europe’s paradox is that it has become exceptionally effective at regulating technologies it does not build, while remaining dependent on those who do.</w:t>
      </w:r>
      <w:r w:rsidR="00E57983" w:rsidRPr="00525EBC">
        <w:rPr>
          <w:rFonts w:ascii="Times New Roman" w:hAnsi="Times New Roman" w:cs="Times New Roman"/>
        </w:rPr>
        <w:t xml:space="preserve"> This reflects a broader tension identified in recent scholarship between the EU’s capacity to project regulatory norms and its limited control over the infrastructures through which those norms are enacted</w:t>
      </w:r>
      <w:r w:rsidR="00761B33" w:rsidRPr="00525EBC">
        <w:rPr>
          <w:rFonts w:ascii="Times New Roman" w:hAnsi="Times New Roman" w:cs="Times New Roman"/>
        </w:rPr>
        <w:t xml:space="preserve"> (Falkner et al. 2024; Rone 2024).</w:t>
      </w:r>
    </w:p>
    <w:p w14:paraId="56B7461F" w14:textId="60D98CAC"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EU Artificial Intelligence Act illustrates both the strength and the limitation of this approach. As a regulatory framework, it is unprecedented in scope and ambition. It establishes a risk-based regime, mandates transparency and accountability, and seeks to project European values beyond its borders through what is commonly described as the Brussels Effect. In this sense, it represents a genuine extension of the EU’s regulatory state into the domain of artificial intelligence.</w:t>
      </w:r>
      <w:r w:rsidR="00761B33" w:rsidRPr="00525EBC">
        <w:rPr>
          <w:rFonts w:ascii="Times New Roman" w:hAnsi="Times New Roman" w:cs="Times New Roman"/>
        </w:rPr>
        <w:t xml:space="preserve"> From the perspective of European integration theory, this highlights a structural limit of the Brussels Effect: regulatory projection without corresponding infrastructural power over the cognitive systems through which rules are enacted (Falkner et al. 2024; Rone 2024).</w:t>
      </w:r>
    </w:p>
    <w:p w14:paraId="5009EEE6" w14:textId="04AEC3FE"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 xml:space="preserve">However, regulation operates primarily downstream. It governs how technologies are deployed and constrained, not how the underlying cognitive systems are designed, trained, or updated. In a political economy where intelligence increasingly functions as an infrastructural input, comparable to energy, compute, or logistics, </w:t>
      </w:r>
      <w:r w:rsidR="00F611B3" w:rsidRPr="00B23006">
        <w:rPr>
          <w:rFonts w:ascii="Times New Roman" w:hAnsi="Times New Roman" w:cs="Times New Roman"/>
        </w:rPr>
        <w:t>rulemaking</w:t>
      </w:r>
      <w:r w:rsidRPr="00B23006">
        <w:rPr>
          <w:rFonts w:ascii="Times New Roman" w:hAnsi="Times New Roman" w:cs="Times New Roman"/>
        </w:rPr>
        <w:t xml:space="preserve"> alone does not secure strategic autonomy.</w:t>
      </w:r>
    </w:p>
    <w:p w14:paraId="281ED87B"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lastRenderedPageBreak/>
        <w:t>This distinction matters because cognitive infrastructure is not neutral. Models developed and governed by American corporations inevitably reflect American legal assumptions, commercial incentives, and geopolitical priorities. Even when deployed globally, access remains conditional and asymmetrical. Providers retain control over update cycles, pricing structures, and the exposure of capabilities. These decisions shape economic outcomes upstream of regulatory intervention.</w:t>
      </w:r>
    </w:p>
    <w:p w14:paraId="4263A1E1" w14:textId="0EA3FA68" w:rsidR="00B23006" w:rsidRPr="00B23006" w:rsidRDefault="00763604" w:rsidP="00AF72C7">
      <w:pPr>
        <w:spacing w:line="360" w:lineRule="auto"/>
        <w:rPr>
          <w:rFonts w:ascii="Times New Roman" w:hAnsi="Times New Roman" w:cs="Times New Roman"/>
        </w:rPr>
      </w:pPr>
      <w:r w:rsidRPr="00525EBC">
        <w:rPr>
          <w:rFonts w:ascii="Times New Roman" w:hAnsi="Times New Roman" w:cs="Times New Roman"/>
        </w:rPr>
        <w:t xml:space="preserve">From this perspective, the AI Act illustrates a structural limit of the Brussels Effect itself: while the EU can project regulatory norms downstream, it lacks infrastructural power over the upstream cognitive substrate through which those norms are operationalised. </w:t>
      </w:r>
      <w:r w:rsidR="00B23006" w:rsidRPr="00B23006">
        <w:rPr>
          <w:rFonts w:ascii="Times New Roman" w:hAnsi="Times New Roman" w:cs="Times New Roman"/>
        </w:rPr>
        <w:t>Outsourcing semiconductor fabrication or cloud hosting created vulnerabilities that were primarily economic. Outsourcing cognition is different. It entails delegating reasoning itself, how objectives are interpreted, how trade-offs are balanced, how uncertainty is resolved, to infrastructures beyond democratic oversight.</w:t>
      </w:r>
    </w:p>
    <w:p w14:paraId="0345FB40" w14:textId="79B8C914"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As artificial intelligence shifts from tools to agents, this dependency becomes more acute. When AI systems merely assist human decision-makers, misalignment can be detected and corrected. When they act autonomously, negotiating contracts, allocating resources, and coordinating production, the space for human intervention narrows. Decisions occur at machine speed, according to logics that are often opaque even to their designers.</w:t>
      </w:r>
      <w:r w:rsidR="00C41BB9" w:rsidRPr="00C41BB9">
        <w:t xml:space="preserve"> </w:t>
      </w:r>
      <w:r w:rsidR="00C41BB9" w:rsidRPr="00C41BB9">
        <w:rPr>
          <w:rFonts w:ascii="Times New Roman" w:hAnsi="Times New Roman" w:cs="Times New Roman"/>
        </w:rPr>
        <w:t>This governance gap is already visible in the first phase of AI Act implementation between 2024 and 2025, particularly in relation to high-risk systems that increasingly operate without continuous human oversight.</w:t>
      </w:r>
    </w:p>
    <w:p w14:paraId="2EC476CE"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Under these conditions, regulatory compliance becomes necessary but insufficient. A polity may retain formal legal authority while losing practical control over outcomes. It becomes a rule-setter without leverage, a supervisor without instruments.</w:t>
      </w:r>
    </w:p>
    <w:p w14:paraId="420E8B4A"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Europe has experienced analogous dynamics before. In the mobile era, it produced world-class hardware, enforced competition law, and set global privacy standards, while operating systems, application ecosystems, and data flows remained largely foreign-controlled. The result was not institutional failure, but strategic marginalisation. Economic rents and platform power accumulated elsewhere.</w:t>
      </w:r>
    </w:p>
    <w:p w14:paraId="4302672E"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lastRenderedPageBreak/>
        <w:t>The machine economy raises the stakes further. Operating systems once mediated user experience. Cognitive kernels now mediate economic agency itself. Losing influence at this layer does not merely reduce competitiveness. It alters the balance of power between states, firms, and citizens.</w:t>
      </w:r>
    </w:p>
    <w:p w14:paraId="4E3D2C9F"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Europe’s challenge, therefore, is not to regulate artificial intelligence more comprehensively than others. It is to ensure that regulation is paired with the capacity to act, to build, deploy, and govern cognitive systems under European jurisdiction and political authority. Absent that capacity, regulation risks becoming a form of symbolic sovereignty: normatively ambitious, legally refined, and strategically hollow.</w:t>
      </w:r>
    </w:p>
    <w:p w14:paraId="1BE5B298" w14:textId="568BE4AF" w:rsidR="00B23006" w:rsidRPr="00B23006" w:rsidRDefault="00B23006" w:rsidP="00AF72C7">
      <w:pPr>
        <w:spacing w:line="360" w:lineRule="auto"/>
        <w:rPr>
          <w:rFonts w:ascii="Times New Roman" w:hAnsi="Times New Roman" w:cs="Times New Roman"/>
        </w:rPr>
      </w:pPr>
    </w:p>
    <w:p w14:paraId="56013B19" w14:textId="77777777" w:rsidR="00B23006" w:rsidRPr="00B23006" w:rsidRDefault="00B23006" w:rsidP="00AF72C7">
      <w:pPr>
        <w:spacing w:line="360" w:lineRule="auto"/>
        <w:rPr>
          <w:rFonts w:ascii="Times New Roman" w:hAnsi="Times New Roman" w:cs="Times New Roman"/>
          <w:b/>
          <w:bCs/>
        </w:rPr>
      </w:pPr>
      <w:r w:rsidRPr="00B23006">
        <w:rPr>
          <w:rFonts w:ascii="Times New Roman" w:hAnsi="Times New Roman" w:cs="Times New Roman"/>
          <w:b/>
          <w:bCs/>
        </w:rPr>
        <w:t>Section III: The Agentic Turn</w:t>
      </w:r>
    </w:p>
    <w:p w14:paraId="08450BAC"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strategic significance of artificial intelligence becomes fully visible when systems cease to function as tools and begin to operate as agents. This transition is already underway and marks a shift in which software no longer merely supports human judgment but increasingly replaces it.</w:t>
      </w:r>
    </w:p>
    <w:p w14:paraId="5BDD73F0"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Agentic artificial intelligence refers to systems capable of planning, using tools, adapting behaviour, and pursuing objectives without continuous human supervision. These systems do not wait for prompts. They initiate actions, coordinate with other agents, and adjust their strategies in response to feedback. In economic terms, they act.</w:t>
      </w:r>
    </w:p>
    <w:p w14:paraId="59B5AFB4"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immediate consequence is the emergence of machine-to-machine commerce. As agentic systems proliferate, they increasingly transact directly with one another. Procurement agents negotiate supply contracts, logistics agents allocate transport capacity, and pricing agents adjust offers in real time based on demand, inventory, and competitive signals. Transactions that once required human negotiation increasingly occur autonomously, at machine speed, across distributed networks.</w:t>
      </w:r>
    </w:p>
    <w:p w14:paraId="2A226D59"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 xml:space="preserve">This shift alters the nature of competition within the European Single Market. Markets begin to resemble ecosystems of interacting algorithms, each optimising for specific objectives within defined constraints. In such environments, outcomes depend not only on price, capital, or </w:t>
      </w:r>
      <w:r w:rsidRPr="00B23006">
        <w:rPr>
          <w:rFonts w:ascii="Times New Roman" w:hAnsi="Times New Roman" w:cs="Times New Roman"/>
        </w:rPr>
        <w:lastRenderedPageBreak/>
        <w:t>regulatory compliance, but on the cognitive capabilities of the agents representing economic actors.</w:t>
      </w:r>
    </w:p>
    <w:p w14:paraId="05C9CAD3"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Differences in reasoning depth, planning horizon, and contextual awareness translate directly into economic advantage. Agents built on more capable models consistently extract more favourable terms in negotiation and adapt more effectively to change. While these effects may appear marginal at the level of individual transactions, they compound across millions of automated interactions, producing systemic asymmetries.</w:t>
      </w:r>
    </w:p>
    <w:p w14:paraId="2976ABD0" w14:textId="3013BED2"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This dynamic introduces a new form of inequality: intelligence inequality. Unlike traditional comparative advantages rooted in geography, labour costs, or industrial specialisation, intelligence inequality is infrastructural. It is embedded in the software layer through which economic actors interact. Once established, it is difficult to counteract through conventional policy instruments alone.</w:t>
      </w:r>
      <w:r w:rsidR="006813B3" w:rsidRPr="00525EBC">
        <w:rPr>
          <w:rFonts w:ascii="Times New Roman" w:hAnsi="Times New Roman" w:cs="Times New Roman"/>
        </w:rPr>
        <w:t xml:space="preserve"> This shift coincides with ongoing challenges in implementing the AI Act between 2024 and 2025, particularly around oversight of high-risk systems that increasingly operate without direct human intervention.</w:t>
      </w:r>
    </w:p>
    <w:p w14:paraId="48AA1604" w14:textId="7A36DFB0"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For European firms, this creates a structural dilemma. When their agents are powered by foreign-governed foundation models, negotiation strategy is effectively outsourced. Optimisation criteria, risk tolerances, and default assumptions shaped outside the European policy sphere influence outcomes before any human decision-maker intervenes. Even in the absence of malicious intent, this generates a persistent bias in favour of the ecosystem that controls the underlying intelligence.</w:t>
      </w:r>
      <w:r w:rsidR="00763604" w:rsidRPr="00525EBC">
        <w:rPr>
          <w:rFonts w:ascii="Times New Roman" w:hAnsi="Times New Roman" w:cs="Times New Roman"/>
        </w:rPr>
        <w:t xml:space="preserve"> In policy terms, this represents not merely a technological shift but a transformation of the Single Market’s competitive logic, </w:t>
      </w:r>
      <w:r w:rsidR="00761B33" w:rsidRPr="00525EBC">
        <w:rPr>
          <w:rFonts w:ascii="Times New Roman" w:hAnsi="Times New Roman" w:cs="Times New Roman"/>
        </w:rPr>
        <w:t>as economic coordination increasingly occurs through interacting agents rather than human market participants, challenging existing assumptions of market integration and competition governance.</w:t>
      </w:r>
    </w:p>
    <w:p w14:paraId="401B6DEC"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risk intensifies as agent-to-agent interaction protocols become standardised. Autonomous systems require shared interfaces to exchange context, delegate tasks, verify authority, and establish trust. These emerging protocols determine who can act, on whose behalf, and under what conditions. In practice, they function as governance infrastructures for machine-mediated economic activity.</w:t>
      </w:r>
    </w:p>
    <w:p w14:paraId="7754C1BC"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lastRenderedPageBreak/>
        <w:t>At present, these standards are being defined primarily by U.S.-based technology firms. While this reflects existing innovation patterns, it carries significant implications for European governance. In an agentic economy, protocols do more than ensure interoperability. They encode assumptions about identity, authority, and legitimacy that shape participation in economic life.</w:t>
      </w:r>
    </w:p>
    <w:p w14:paraId="40DC5658" w14:textId="77777777" w:rsidR="00763604" w:rsidRPr="00525EBC" w:rsidRDefault="00B23006" w:rsidP="00AF72C7">
      <w:pPr>
        <w:spacing w:line="360" w:lineRule="auto"/>
        <w:rPr>
          <w:rFonts w:ascii="Times New Roman" w:hAnsi="Times New Roman" w:cs="Times New Roman"/>
        </w:rPr>
      </w:pPr>
      <w:r w:rsidRPr="00B23006">
        <w:rPr>
          <w:rFonts w:ascii="Times New Roman" w:hAnsi="Times New Roman" w:cs="Times New Roman"/>
        </w:rPr>
        <w:t>If Europe remains absent at this layer, it risks becoming a rule-taker in an architecture whose logic it does not control. European firms may continue to operate within the Single Market, but their agents will negotiate under rules, standards, and optimisation logics defined elsewhere. Over time, this constrains the EU’s capacity to act as an autonomous economic and regulatory actor.</w:t>
      </w:r>
      <w:r w:rsidR="00763604" w:rsidRPr="00525EBC">
        <w:rPr>
          <w:rFonts w:ascii="Times New Roman" w:hAnsi="Times New Roman" w:cs="Times New Roman"/>
        </w:rPr>
        <w:t xml:space="preserve"> </w:t>
      </w:r>
    </w:p>
    <w:p w14:paraId="579FF0F0"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This is the deeper meaning of cognitive dependency. It is not simply a matter of access or cost. It is the gradual erosion of strategic autonomy as decision-making migrates into systems whose internal logic lies beyond European institutional reach. In an agentic economy, power accrues to those who define the cognitive rules of engagement.</w:t>
      </w:r>
    </w:p>
    <w:p w14:paraId="2DEB1E53" w14:textId="77777777" w:rsidR="00B23006" w:rsidRPr="00525EBC" w:rsidRDefault="00B23006" w:rsidP="00AF72C7">
      <w:pPr>
        <w:spacing w:line="360" w:lineRule="auto"/>
        <w:rPr>
          <w:rFonts w:ascii="Times New Roman" w:hAnsi="Times New Roman" w:cs="Times New Roman"/>
        </w:rPr>
      </w:pPr>
      <w:r w:rsidRPr="00B23006">
        <w:rPr>
          <w:rFonts w:ascii="Times New Roman" w:hAnsi="Times New Roman" w:cs="Times New Roman"/>
        </w:rPr>
        <w:t>The agentic turn therefore marks a threshold. On one side lies an economy in which artificial intelligence augments human decision-making within familiar institutional frameworks. On the other lies a system in which cognition itself becomes an automated and contested infrastructure. Crossing that threshold without influence over the cognitive layer risks locking Europe into a position of durable, if largely invisible, strategic dependence.</w:t>
      </w:r>
    </w:p>
    <w:p w14:paraId="422C0653" w14:textId="77777777" w:rsidR="00AF72C7" w:rsidRPr="00B23006" w:rsidRDefault="00AF72C7" w:rsidP="00AF72C7">
      <w:pPr>
        <w:spacing w:line="360" w:lineRule="auto"/>
        <w:rPr>
          <w:rFonts w:ascii="Times New Roman" w:hAnsi="Times New Roman" w:cs="Times New Roman"/>
        </w:rPr>
      </w:pPr>
    </w:p>
    <w:p w14:paraId="498A500C" w14:textId="77777777" w:rsidR="00B23006" w:rsidRPr="00B23006" w:rsidRDefault="00B23006" w:rsidP="00AF72C7">
      <w:pPr>
        <w:spacing w:line="360" w:lineRule="auto"/>
        <w:rPr>
          <w:rFonts w:ascii="Times New Roman" w:hAnsi="Times New Roman" w:cs="Times New Roman"/>
          <w:b/>
          <w:bCs/>
        </w:rPr>
      </w:pPr>
      <w:r w:rsidRPr="00B23006">
        <w:rPr>
          <w:rFonts w:ascii="Times New Roman" w:hAnsi="Times New Roman" w:cs="Times New Roman"/>
          <w:b/>
          <w:bCs/>
        </w:rPr>
        <w:t>Section IV: The Dependency Trap and European Actorness</w:t>
      </w:r>
    </w:p>
    <w:p w14:paraId="5A2DA677"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Technological dependence is often tolerated as long as it remains abstract. When systems function reliably, questions of control tend to recede into the background. In an economy increasingly coordinated by artificial intelligence, however, dependence becomes operational. It shapes what economic actors can do, at what speed, and under which conditions. In this sense, dependency ceases to be a background condition and becomes a direct constraint on political and regulatory capacity.</w:t>
      </w:r>
    </w:p>
    <w:p w14:paraId="2457FAD3" w14:textId="2B32C10F"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 xml:space="preserve">Europe’s reliance on U.S.-based cloud infrastructure and foundation models exemplifies this shift. American providers dominate the European cloud market, and their position in advanced </w:t>
      </w:r>
      <w:r w:rsidRPr="00B23006">
        <w:rPr>
          <w:rFonts w:ascii="Times New Roman" w:hAnsi="Times New Roman" w:cs="Times New Roman"/>
        </w:rPr>
        <w:lastRenderedPageBreak/>
        <w:t>artificial intelligence is even more pronounced. The same firms that operate hyperscale data centres also develop and deploy the most capable reasoning models, binding physical infrastructure and cognition into vertically integrated stacks. Control over these stacks confers a form of structural power that extends beyond market share.</w:t>
      </w:r>
      <w:r w:rsidR="006813B3" w:rsidRPr="00525EBC">
        <w:rPr>
          <w:rFonts w:ascii="Times New Roman" w:hAnsi="Times New Roman" w:cs="Times New Roman"/>
        </w:rPr>
        <w:t xml:space="preserve"> Recent Commission and Parliament assessments of cloud and AI market concentration underscore the persistence of these dependencies, despite initiatives aimed at strengthening European digital capacity</w:t>
      </w:r>
      <w:r w:rsidR="00761B33" w:rsidRPr="00525EBC">
        <w:rPr>
          <w:rFonts w:ascii="Times New Roman" w:hAnsi="Times New Roman" w:cs="Times New Roman"/>
        </w:rPr>
        <w:t xml:space="preserve"> (European Commission 2024)</w:t>
      </w:r>
      <w:r w:rsidR="006813B3" w:rsidRPr="00525EBC">
        <w:rPr>
          <w:rFonts w:ascii="Times New Roman" w:hAnsi="Times New Roman" w:cs="Times New Roman"/>
        </w:rPr>
        <w:t>.</w:t>
      </w:r>
    </w:p>
    <w:p w14:paraId="5E3E3117"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This concentration would already raise concerns if artificial intelligence remained a productivity-enhancing tool. It becomes strategically consequential as AI systems evolve into autonomous agents performing essential economic functions. In that context, access to cognitive infrastructure is no longer a convenience. It becomes a prerequisite for participation in the Single Market itself.</w:t>
      </w:r>
    </w:p>
    <w:p w14:paraId="12EE214A"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European policy has largely proceeded on the assumption that such access will remain stable, governed by contracts and sustained by transatlantic alignment. Yet alignment is not a substitute for capacity. Strategic autonomy cannot rest on assumptions of perpetual convergence of interests. Political priorities shift, sometimes abruptly, and critical infrastructures amplify the consequences of such shifts.</w:t>
      </w:r>
    </w:p>
    <w:p w14:paraId="547FD6DE"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vulnerability here does not depend on hostile intent. It arises from structural asymmetry. Providers that control the cognitive layer retain unilateral influence over pricing, availability, update cycles, and functionality. Decisions such as rate limits, latency thresholds, or selective capability exposure may appear minor in isolation, but in highly automated environments they can have outsized effects. When agents operate at machine speed, small frictions compound rapidly.</w:t>
      </w:r>
    </w:p>
    <w:p w14:paraId="4762EB53"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In such settings, constraining access to artificial intelligence systems becomes functionally equivalent to disrupting a labour force. If production planning, logistics coordination, pricing, and customer interaction are mediated by AI agents, throttling those agents slows economic activity itself. Strategic leverage thus operates through environmental shaping rather than overt intervention.</w:t>
      </w:r>
    </w:p>
    <w:p w14:paraId="38EA9F7A"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lastRenderedPageBreak/>
        <w:t>This logic has informed growing concern in European policy debates around so-called kill switches. The term is misleading. The relevant risk is not sudden shutdown, but the capacity to subtly shape the conditions under which others must operate. In a machine-mediated economy, those conditions are cognitive.</w:t>
      </w:r>
    </w:p>
    <w:p w14:paraId="1BF4DA5F"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Legal jurisdiction compounds this exposure. European initiatives aimed at reducing dependence through sovereign cloud arrangements, including local data centres, European subsidiaries, or contractual safeguards, address data residency but not control. As long as parent companies remain subject to non-European legal regimes, European operations remain indirectly governed by external authority. Sovereignty, in this context, is determined less by geography than by jurisdiction.</w:t>
      </w:r>
    </w:p>
    <w:p w14:paraId="1B6A3A31"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implication is that a nominally sovereign partition running on a foreign-governed cognitive stack remains strategically exposed. Even if data remains within Europe, the logic that processes it, including models, update mechanisms, and optimisation priorities, does not. Decisions about access, restriction, or prioritisation can be imposed beyond the reach of European institutions.</w:t>
      </w:r>
    </w:p>
    <w:p w14:paraId="55472ECF"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This dependency also carries economic consequences beyond security. In winner-takes-most intelligence markets, providers of dominant cognitive platforms capture a disproportionate share of value. European firms building on foreign models increasingly act as intermediaries between customers and externally governed intelligence. Over time, margins flow upstream, innovation pathways narrow, and bargaining power erodes.</w:t>
      </w:r>
    </w:p>
    <w:p w14:paraId="26DBA034"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analogy to the mobile platform economy is instructive but incomplete. In that era, platforms extracted rents by controlling distribution. In the machine economy, intelligence providers extract rents by supplying the labour itself. The leverage is correspondingly deeper.</w:t>
      </w:r>
    </w:p>
    <w:p w14:paraId="529DBF09"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From the perspective of European public policy, the core issue is actorness. Dependence on external cognitive infrastructure introduces external veto points into domestic economic systems. It constrains the Union’s capacity to act independently in trade policy, sanctions regimes, industrial strategy, and security governance. Recognising this dependency is not an argument for isolation. It is an argument for realism. Strategic autonomy begins with the capacity to sustain essential functions independently, even if that capacity is rarely exercised. Without it, autonomy becomes rhetorical rather than operative.</w:t>
      </w:r>
    </w:p>
    <w:p w14:paraId="08B69570" w14:textId="6EDE05A8" w:rsidR="00B23006" w:rsidRPr="00B23006" w:rsidRDefault="00B23006" w:rsidP="00AF72C7">
      <w:pPr>
        <w:spacing w:line="360" w:lineRule="auto"/>
        <w:rPr>
          <w:rFonts w:ascii="Times New Roman" w:hAnsi="Times New Roman" w:cs="Times New Roman"/>
        </w:rPr>
      </w:pPr>
    </w:p>
    <w:p w14:paraId="5F8FA302" w14:textId="77777777" w:rsidR="00B23006" w:rsidRPr="00B23006" w:rsidRDefault="00B23006" w:rsidP="00AF72C7">
      <w:pPr>
        <w:spacing w:line="360" w:lineRule="auto"/>
        <w:rPr>
          <w:rFonts w:ascii="Times New Roman" w:hAnsi="Times New Roman" w:cs="Times New Roman"/>
          <w:b/>
          <w:bCs/>
        </w:rPr>
      </w:pPr>
      <w:r w:rsidRPr="00B23006">
        <w:rPr>
          <w:rFonts w:ascii="Times New Roman" w:hAnsi="Times New Roman" w:cs="Times New Roman"/>
          <w:b/>
          <w:bCs/>
        </w:rPr>
        <w:t>Section V: The End of Catch-Up Thinking and Open Strategic Autonomy</w:t>
      </w:r>
    </w:p>
    <w:p w14:paraId="246D5BD8"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Confronted with mounting dependence, Europe’s instinctive response has been to pursue catch-up strategies: invest more, scale faster, and build domestic versions of frontier models to rival those developed in the United States and China. In principle, this approach appears sensible. In practice, it represents a strategic dead end.</w:t>
      </w:r>
    </w:p>
    <w:p w14:paraId="12693853"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Frontier artificial intelligence development is now characterised by extreme economies of scale. Training leading models requires capital expenditures measured in tens of billions of euros, access to scarce high-end compute, and energy inputs comparable to those of small states. Firms operating at this frontier increasingly blur the boundary between corporation and quasi-sovereign actor, mobilising resources that exceed the fiscal and political reach of most public authorities.</w:t>
      </w:r>
    </w:p>
    <w:p w14:paraId="69A28D3C"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This imbalance is structural rather than temporary. As models grow more capable, the marginal cost of improvement rises non-linearly. Data advantages compound through feedback loops, talent concentrates around compute-intensive hubs, and market dynamics tend toward winner-takes-most outcomes even in the absence of monopolistic intent. Catch-up strategies presume a stable competitive field. In reality, the frontier continues to recede.</w:t>
      </w:r>
    </w:p>
    <w:p w14:paraId="1C1122C5"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For Europe, competing directly on these terms would require sustained levels of investment that are politically contentious, fiscally constrained, and increasingly difficult to reconcile with climate and energy objectives. Even if such efforts succeeded, they would likely arrive too late to reshape the underlying market structure.</w:t>
      </w:r>
    </w:p>
    <w:p w14:paraId="586FAF97"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This does not imply that Europe should abandon foundational AI development altogether. Maintaining baseline competence in large-scale models remains necessary for research, industry, and public administration. Open-weight models and targeted public investment can support this objective. The problem arises when symbolic parity with frontier systems becomes a strategic goal in itself. Building slightly smaller or slightly delayed replicas of dominant architectures offers diminishing returns in terms of autonomy or leverage.</w:t>
      </w:r>
    </w:p>
    <w:p w14:paraId="4FB00D65"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deeper issue is conceptual. Framing Europe’s challenge as a race to replicate existing architectures accepts the terms set by others. It assumes that the prevailing paradigm of energy-</w:t>
      </w:r>
      <w:r w:rsidRPr="00B23006">
        <w:rPr>
          <w:rFonts w:ascii="Times New Roman" w:hAnsi="Times New Roman" w:cs="Times New Roman"/>
        </w:rPr>
        <w:lastRenderedPageBreak/>
        <w:t>intensive, data-centre-centric artificial intelligence will remain the organising logic of machine intelligence. Historical experience suggests otherwise.</w:t>
      </w:r>
    </w:p>
    <w:p w14:paraId="2FFEB7DB"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Technological epochs rarely end because incumbents are overtaken at their own game. They end when the game itself changes. Steam power did not yield to superior steam engines, but to electrification. Mainframes were not displaced by better mainframes, but by distributed personal computing.</w:t>
      </w:r>
    </w:p>
    <w:p w14:paraId="59E01011" w14:textId="46043F5F"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Artificial intelligence appears to be approaching a similar inflection point. Continued scaling confronts physical and political constraints, including energy consumption, heat dissipation, supply-chain fragility, and grid capacity. Hyperscale data centres are becoming among the most power-intensive industrial installations ever built, increasingly at odds with Europe’s climate commitments under the Green Deal.</w:t>
      </w:r>
      <w:r w:rsidR="00725B34" w:rsidRPr="00725B34">
        <w:t xml:space="preserve"> </w:t>
      </w:r>
      <w:r w:rsidR="00725B34" w:rsidRPr="00725B34">
        <w:rPr>
          <w:rFonts w:ascii="Times New Roman" w:hAnsi="Times New Roman" w:cs="Times New Roman"/>
        </w:rPr>
        <w:t>This shift can be read as an evolution rather than a rejection of recent EuroHPC and AI Factories initiatives, which increasingly emphasise efficiency, specialisation, and applied industrial use over brute-force scaling alone</w:t>
      </w:r>
      <w:r w:rsidR="00725B34">
        <w:rPr>
          <w:rFonts w:ascii="Times New Roman" w:hAnsi="Times New Roman" w:cs="Times New Roman"/>
        </w:rPr>
        <w:t xml:space="preserve"> </w:t>
      </w:r>
      <w:r w:rsidR="00725B34" w:rsidRPr="00725B34">
        <w:rPr>
          <w:rFonts w:ascii="Times New Roman" w:hAnsi="Times New Roman" w:cs="Times New Roman"/>
        </w:rPr>
        <w:t>(European Commission 2025)</w:t>
      </w:r>
      <w:r w:rsidR="00725B34">
        <w:rPr>
          <w:rFonts w:ascii="Times New Roman" w:hAnsi="Times New Roman" w:cs="Times New Roman"/>
        </w:rPr>
        <w:t>.</w:t>
      </w:r>
    </w:p>
    <w:p w14:paraId="03D54F45"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At the same time, the efficiency gap between biological cognition and conventional silicon architectures remains vast. Human brains operate on tens of watts. Even partial functional approximations require megawatts under current computational paradigms. This gap signals that brute-force scaling is an interim solution rather than a stable endpoint.</w:t>
      </w:r>
    </w:p>
    <w:p w14:paraId="294EBD8B"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For Europe, this opens an alternative pathway consistent with its broader policy framework of Open Strategic Autonomy. Rather than pursuing symmetry with incumbent leaders, Europe can prioritise approaches that alter the cost structure of intelligence itself. Energy-efficient architectures, specialised and vertical models, and hybrid systems intersect with areas where European research institutions retain global strength and where regulatory and industrial policy objectives align.</w:t>
      </w:r>
    </w:p>
    <w:p w14:paraId="4CCA4F2B"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This is not a call for speculative gambles. It reflects a strategic logic in which advantage accrues not from matching scale, but from redefining the terrain of competition. In asymmetric contests, shifting the field often proves more effective than accelerating along it.</w:t>
      </w:r>
    </w:p>
    <w:p w14:paraId="084BFE04" w14:textId="60D3C225"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 xml:space="preserve">Abandoning catch-up thinking thus marks a transition from reactive policy to strategic orientation. It signals a move away from imitation toward the deliberate shaping of future </w:t>
      </w:r>
      <w:r w:rsidRPr="00B23006">
        <w:rPr>
          <w:rFonts w:ascii="Times New Roman" w:hAnsi="Times New Roman" w:cs="Times New Roman"/>
        </w:rPr>
        <w:lastRenderedPageBreak/>
        <w:t>technological trajectories in ways compatible with Europe’s institutional capacities, climate constraints, and governance model.</w:t>
      </w:r>
      <w:r w:rsidR="002A07F7" w:rsidRPr="002A07F7">
        <w:t xml:space="preserve"> </w:t>
      </w:r>
      <w:r w:rsidR="002A07F7" w:rsidRPr="002A07F7">
        <w:rPr>
          <w:rFonts w:ascii="Times New Roman" w:hAnsi="Times New Roman" w:cs="Times New Roman"/>
        </w:rPr>
        <w:t>This strategic repositioning aligns with recent interpretations of Open Strategic Autonomy that emphasise selective capacity-building and risk reduction over technological self-sufficiency (Seidl and Schmitz 2024).</w:t>
      </w:r>
    </w:p>
    <w:p w14:paraId="665C8750" w14:textId="0592E168" w:rsidR="00B23006" w:rsidRPr="00B23006" w:rsidRDefault="00B23006" w:rsidP="00AF72C7">
      <w:pPr>
        <w:spacing w:line="360" w:lineRule="auto"/>
        <w:rPr>
          <w:rFonts w:ascii="Times New Roman" w:hAnsi="Times New Roman" w:cs="Times New Roman"/>
        </w:rPr>
      </w:pPr>
    </w:p>
    <w:p w14:paraId="5C13F314" w14:textId="77777777" w:rsidR="00B23006" w:rsidRPr="00B23006" w:rsidRDefault="00B23006" w:rsidP="00AF72C7">
      <w:pPr>
        <w:spacing w:line="360" w:lineRule="auto"/>
        <w:rPr>
          <w:rFonts w:ascii="Times New Roman" w:hAnsi="Times New Roman" w:cs="Times New Roman"/>
          <w:b/>
          <w:bCs/>
        </w:rPr>
      </w:pPr>
      <w:r w:rsidRPr="00B23006">
        <w:rPr>
          <w:rFonts w:ascii="Times New Roman" w:hAnsi="Times New Roman" w:cs="Times New Roman"/>
          <w:b/>
          <w:bCs/>
        </w:rPr>
        <w:t>Section VI: Leapfrogging the Stack under Conditions of Constraint</w:t>
      </w:r>
    </w:p>
    <w:p w14:paraId="0461328A"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If the current artificial intelligence race rewards scale, capital concentration, and energy abundance, Europe’s disadvantage is structural. Yet these same conditions expose the fragility of the dominant paradigm. As AI systems push against physical, ecological, and political limits, the architecture of intelligence itself becomes contestable. It is at this point that Europe’s strategic opportunity emerges.</w:t>
      </w:r>
    </w:p>
    <w:p w14:paraId="1FDC9DAB"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prevailing model of artificial intelligence relies on centralised data centres, dense clusters of general-purpose processors, and brute-force scaling. This approach has produced impressive results, but it is energy-intensive, geographically concentrated, and increasingly constrained by supply chains, grid capacity, and public opposition to large-scale infrastructure buildouts. The marginal cost of intelligence, rather than declining, is rising.</w:t>
      </w:r>
    </w:p>
    <w:p w14:paraId="6D99722C"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From a public policy perspective, regimes characterised by such cost structures are historically unstable. When the economics of a technology diverge from physical and political realities, alternative architectures tend to emerge. These alternatives are rarely superior at the outset, but they become decisive as constraints tighten. In the case of artificial intelligence, several such trajectories are already visible.</w:t>
      </w:r>
    </w:p>
    <w:p w14:paraId="32BE0602"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One pathway involves neuromorphic computing. Drawing inspiration from biological cognition rather than von Neumann architectures, neuromorphic systems process information through event-driven signalling rather than continuous numerical computation. Their principal advantage lies in energy efficiency, particularly for inference, perception, and real-time control. These capabilities align closely with domains central to Europe’s industrial base, including robotics, manufacturing, and embedded systems.</w:t>
      </w:r>
    </w:p>
    <w:p w14:paraId="3EF956AA" w14:textId="371939A5" w:rsidR="00B23006" w:rsidRPr="00525EBC" w:rsidRDefault="00B23006" w:rsidP="00AF72C7">
      <w:pPr>
        <w:spacing w:line="360" w:lineRule="auto"/>
        <w:rPr>
          <w:rFonts w:ascii="Times New Roman" w:hAnsi="Times New Roman" w:cs="Times New Roman"/>
        </w:rPr>
      </w:pPr>
      <w:r w:rsidRPr="00B23006">
        <w:rPr>
          <w:rFonts w:ascii="Times New Roman" w:hAnsi="Times New Roman" w:cs="Times New Roman"/>
        </w:rPr>
        <w:lastRenderedPageBreak/>
        <w:t xml:space="preserve">A second trajectory involves hybrid approaches that combine artificial intelligence with quantum computing. Quantum systems are not substitutes for classical models, but they can act as force multipliers for specific tasks such as optimisation, simulation, and high-dimensional correlation. As hybrid architectures mature, they may compress tasks that currently require vast classical compute, altering the economics of training and fine-tuning. The strategic implication is not faster consumer </w:t>
      </w:r>
      <w:r w:rsidR="00F611B3" w:rsidRPr="00B23006">
        <w:rPr>
          <w:rFonts w:ascii="Times New Roman" w:hAnsi="Times New Roman" w:cs="Times New Roman"/>
        </w:rPr>
        <w:t>applications but</w:t>
      </w:r>
      <w:r w:rsidRPr="00B23006">
        <w:rPr>
          <w:rFonts w:ascii="Times New Roman" w:hAnsi="Times New Roman" w:cs="Times New Roman"/>
        </w:rPr>
        <w:t xml:space="preserve"> expanded problem spaces accessible within existing energy constraints.</w:t>
      </w:r>
    </w:p>
    <w:p w14:paraId="4A3D9FBE" w14:textId="072235AF" w:rsidR="006813B3" w:rsidRPr="00B23006" w:rsidRDefault="006813B3" w:rsidP="00AF72C7">
      <w:pPr>
        <w:spacing w:line="360" w:lineRule="auto"/>
        <w:rPr>
          <w:rFonts w:ascii="Times New Roman" w:hAnsi="Times New Roman" w:cs="Times New Roman"/>
        </w:rPr>
      </w:pPr>
      <w:r w:rsidRPr="00525EBC">
        <w:rPr>
          <w:rFonts w:ascii="Times New Roman" w:hAnsi="Times New Roman" w:cs="Times New Roman"/>
        </w:rPr>
        <w:t>This orientation aligns with Horizon Europe priorities in neuromorphic and quantum-hybrid research, as well as with evolving European data space initiatives under the Data Act and post–Gaia-X frameworks</w:t>
      </w:r>
      <w:r w:rsidR="00761B33" w:rsidRPr="00525EBC">
        <w:rPr>
          <w:rFonts w:ascii="Times New Roman" w:hAnsi="Times New Roman" w:cs="Times New Roman"/>
        </w:rPr>
        <w:t xml:space="preserve"> (European Commission 2023; European Commission 2024)</w:t>
      </w:r>
      <w:r w:rsidRPr="00525EBC">
        <w:rPr>
          <w:rFonts w:ascii="Times New Roman" w:hAnsi="Times New Roman" w:cs="Times New Roman"/>
        </w:rPr>
        <w:t>.</w:t>
      </w:r>
    </w:p>
    <w:p w14:paraId="7E7E8CB9" w14:textId="04539BFA"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 xml:space="preserve">A third, more exploratory frontier concerns biological and hybrid forms of computation. While early experiments in organoid intelligence remain at a preliminary stage, they highlight a fundamental asymmetry between biological and silicon-based cognition. Biological systems are massively parallel, adaptive, and extraordinarily </w:t>
      </w:r>
      <w:r w:rsidR="00525EBC" w:rsidRPr="00B23006">
        <w:rPr>
          <w:rFonts w:ascii="Times New Roman" w:hAnsi="Times New Roman" w:cs="Times New Roman"/>
        </w:rPr>
        <w:t>energy efficient</w:t>
      </w:r>
      <w:r w:rsidRPr="00B23006">
        <w:rPr>
          <w:rFonts w:ascii="Times New Roman" w:hAnsi="Times New Roman" w:cs="Times New Roman"/>
        </w:rPr>
        <w:t>. Even partial translation of these properties into engineered systems would shift the cost structure of intelligence in ways that undermine the dominance of brute-force scaling.</w:t>
      </w:r>
    </w:p>
    <w:p w14:paraId="57E994A9"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None of these approaches is positioned to replace large-scale language models in the near term. That is not the point. The relevant observation is that the dominance of current architectures is contingent rather than inevitable. As energy constraints tighten and climate commitments under the European Green Deal become binding, systems optimised for efficiency rather than maximal scale acquire strategic relevance.</w:t>
      </w:r>
    </w:p>
    <w:p w14:paraId="36F8F02F"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Europe is comparatively well positioned in this context. Its research institutions retain global strength in neuromorphic engineering, photonics, materials science, and cognitive neuroscience. Its industrial base prioritises reliability, safety, and energy efficiency over raw throughput. Its regulatory environment already internalises constraints, including sustainability, safety, and accountability, that other jurisdictions often treat as externalities.</w:t>
      </w:r>
    </w:p>
    <w:p w14:paraId="07231E48"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 xml:space="preserve">A leapfrogging strategy therefore does not imply abandoning existing capabilities. It entails maintaining sufficient competence in prevailing models to remain economically functional, while directing disproportionate strategic investment toward architectures that redefine the cost and </w:t>
      </w:r>
      <w:r w:rsidRPr="00B23006">
        <w:rPr>
          <w:rFonts w:ascii="Times New Roman" w:hAnsi="Times New Roman" w:cs="Times New Roman"/>
        </w:rPr>
        <w:lastRenderedPageBreak/>
        <w:t>governance structure of intelligence. This approach aligns closely with the EU’s broader framework of Open Strategic Autonomy, which seeks to preserve choice and resilience without pursuing technological autarky.</w:t>
      </w:r>
    </w:p>
    <w:p w14:paraId="694D7683"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Such a strategy also mitigates the risk of stranded assets. As centralised AI infrastructure grows more energy-intensive, the long-term viability of large-scale data centre investment becomes increasingly uncertain. Regions that commit exclusively to this model risk locking in infrastructures that may be overtaken by architectural shifts. By contrast, distributed and energy-efficient systems align more closely with Europe’s decentralised geography and industrial landscape.</w:t>
      </w:r>
    </w:p>
    <w:p w14:paraId="5BC86EEF" w14:textId="152E9E33"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 xml:space="preserve">Leapfrogging the stack, in this sense, is not technological nationalism. It is a response to constraint. Europe may not </w:t>
      </w:r>
      <w:r w:rsidR="00214CA5" w:rsidRPr="00B23006">
        <w:rPr>
          <w:rFonts w:ascii="Times New Roman" w:hAnsi="Times New Roman" w:cs="Times New Roman"/>
        </w:rPr>
        <w:t>out scale</w:t>
      </w:r>
      <w:r w:rsidRPr="00B23006">
        <w:rPr>
          <w:rFonts w:ascii="Times New Roman" w:hAnsi="Times New Roman" w:cs="Times New Roman"/>
        </w:rPr>
        <w:t xml:space="preserve"> its competitors indefinitely, but it can reposition itself by redefining what counts as scale and value in the machine economy.</w:t>
      </w:r>
    </w:p>
    <w:p w14:paraId="33549D84"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principal obstacle is not scientific plausibility, but political coordination. Leapfrog strategies require patience, sustained investment, and tolerance for uncertainty, all of which sit uneasily with short electoral cycles. Yet the alternative is to accept durable dependence on architectures whose economics, governance, and evolution remain beyond European control.</w:t>
      </w:r>
    </w:p>
    <w:p w14:paraId="502BB0DC" w14:textId="5BE89B18" w:rsidR="00B23006" w:rsidRPr="00B23006" w:rsidRDefault="00B23006" w:rsidP="00AF72C7">
      <w:pPr>
        <w:spacing w:line="360" w:lineRule="auto"/>
        <w:rPr>
          <w:rFonts w:ascii="Times New Roman" w:hAnsi="Times New Roman" w:cs="Times New Roman"/>
        </w:rPr>
      </w:pPr>
    </w:p>
    <w:p w14:paraId="372CD4F2" w14:textId="77777777" w:rsidR="00B23006" w:rsidRPr="00B23006" w:rsidRDefault="00B23006" w:rsidP="00AF72C7">
      <w:pPr>
        <w:spacing w:line="360" w:lineRule="auto"/>
        <w:rPr>
          <w:rFonts w:ascii="Times New Roman" w:hAnsi="Times New Roman" w:cs="Times New Roman"/>
          <w:b/>
          <w:bCs/>
        </w:rPr>
      </w:pPr>
      <w:r w:rsidRPr="00B23006">
        <w:rPr>
          <w:rFonts w:ascii="Times New Roman" w:hAnsi="Times New Roman" w:cs="Times New Roman"/>
          <w:b/>
          <w:bCs/>
        </w:rPr>
        <w:t>Section VII: Leverage without Scale</w:t>
      </w:r>
    </w:p>
    <w:p w14:paraId="4DF20667"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Strategic autonomy does not begin from a blank slate. It emerges through the selective mobilisation of existing strengths. Despite its relative weakness at the frontier of general-purpose foundation models, Europe retains significant sources of leverage in the machine economy, provided these are recognised and assembled coherently.</w:t>
      </w:r>
    </w:p>
    <w:p w14:paraId="58EC89FD"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first lies in the physical economy. Europe remains a global leader in sectors where artificial intelligence is not a stand-alone service, but embedded operational infrastructure. Manufacturing, energy, transportation, aerospace, chemicals, and healthcare are governed by physical constraints, safety requirements, and long investment cycles. These domains reward reliability, precision, and robustness rather than maximal scale.</w:t>
      </w:r>
    </w:p>
    <w:p w14:paraId="05769052"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lastRenderedPageBreak/>
        <w:t>This distinction matters because dominant AI platforms have been optimised primarily for digital environments such as search, advertising, content generation, and software development. Physical systems impose different demands. They generate high-quality, structured data that cannot be easily replicated or scraped. They require models capable of reasoning under uncertainty, respecting safety margins, and integrating tightly with hardware. In these contexts, data is proprietary, contextual, and difficult to substitute.</w:t>
      </w:r>
    </w:p>
    <w:p w14:paraId="308B525C"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European firms control a disproportionate share of such data. Industrial champions including Siemens, Airbus, Schneider Electric, BASF, and Novo Nordisk operate systems whose operational histories encode decades of accumulated expertise. From a political economy perspective, this constitutes a durable comparative advantage.</w:t>
      </w:r>
    </w:p>
    <w:p w14:paraId="6BE37294"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strategic opportunity lies in vertical artificial intelligence. Models trained on domain-specific industrial data to perform specialised tasks within bounded environments do not require frontier scale to be valuable. Their strength derives from depth rather than breadth. They are less susceptible to winner-takes-most dynamics and more amenable to cooperative development under shared governance frameworks.</w:t>
      </w:r>
    </w:p>
    <w:p w14:paraId="0FAF8BD5"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Unlocking this potential requires addressing a familiar European challenge: fragmentation. Industrial data remains siloed across firms, sectors, and national jurisdictions. Past efforts to construct shared data spaces have often stalled at the pilot stage. However, incentives are shifting. As dependence on external cognitive infrastructure becomes riskier, pooling data under European legal and institutional frameworks becomes strategically necessary rather than merely desirable.</w:t>
      </w:r>
    </w:p>
    <w:p w14:paraId="5C942BCA"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A second source of leverage lies in Europe’s regulatory capacity, understood not only as constraint but as a coordination mechanism. The EU has repeatedly shaped global markets through standards, from data protection to product safety. In the machine economy, standards do more than regulate behaviour. They define the interfaces through which systems interact.</w:t>
      </w:r>
    </w:p>
    <w:p w14:paraId="3B60D42D"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One such interface is identity. As autonomous agents act on behalf of firms and institutions, questions of authorisation, accountability, and traceability become central. Trust in machine-mediated commerce depends on verifiable identity. Europe possesses a distinctive asset in this domain through its mature legal frameworks for digital identity and authentication.</w:t>
      </w:r>
    </w:p>
    <w:p w14:paraId="0CB89C7D" w14:textId="1C6389F6"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lastRenderedPageBreak/>
        <w:t>Extending these frameworks to encompass AI agents would allow Europe to shape the conditions under which autonomous systems participate in economic life. Requiring agents to possess verifiable identities linked to legal entities would increase accountability, limit untraceable agent swarms, and anchor machine-to-machine interaction within the rule of law. It would also compel external providers to adapt to European standards if they wish to operate within the Single Market.</w:t>
      </w:r>
      <w:r w:rsidR="00E57983" w:rsidRPr="00525EBC">
        <w:rPr>
          <w:rFonts w:ascii="Times New Roman" w:hAnsi="Times New Roman" w:cs="Times New Roman"/>
        </w:rPr>
        <w:t xml:space="preserve"> This constitutes a concrete mechanism through which European integration can move upstream, from regulating market outcomes to shaping the infrastructural conditions of participation in the Single Market under agentic coordination</w:t>
      </w:r>
      <w:r w:rsidR="00761B33" w:rsidRPr="00525EBC">
        <w:rPr>
          <w:rFonts w:ascii="Times New Roman" w:hAnsi="Times New Roman" w:cs="Times New Roman"/>
        </w:rPr>
        <w:t xml:space="preserve"> (Mügge 2024)</w:t>
      </w:r>
      <w:r w:rsidR="00E57983" w:rsidRPr="00525EBC">
        <w:rPr>
          <w:rFonts w:ascii="Times New Roman" w:hAnsi="Times New Roman" w:cs="Times New Roman"/>
        </w:rPr>
        <w:t>.</w:t>
      </w:r>
      <w:r w:rsidR="00C41BB9" w:rsidRPr="00C41BB9">
        <w:t xml:space="preserve"> </w:t>
      </w:r>
      <w:r w:rsidR="00C41BB9" w:rsidRPr="00C41BB9">
        <w:rPr>
          <w:rFonts w:ascii="Times New Roman" w:hAnsi="Times New Roman" w:cs="Times New Roman"/>
        </w:rPr>
        <w:t>This direction is consistent with the Digital Simplification Package proposed in late 2025, which aims to streamline and extend EU digital identity frameworks across emerging AI-mediated interactions.</w:t>
      </w:r>
    </w:p>
    <w:p w14:paraId="21582E98"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This illustrates a broader principle. Europe’s influence does not depend on matching competitors at the frontier of scale. It lies in defining the rules of interaction. When combined with credible technical capacity, standards function as instruments of power rather than symbolic gestures.</w:t>
      </w:r>
    </w:p>
    <w:p w14:paraId="4F004620"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A third source of leverage is governance itself. As artificial intelligence becomes more autonomous, demand increases for systems that can be audited, certified, and trusted, particularly in critical infrastructure, healthcare, and defence. Europe’s emphasis on accountability and rights is often portrayed as a competitive disadvantage. It may instead constitute a market differentiator.</w:t>
      </w:r>
    </w:p>
    <w:p w14:paraId="588F0959"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If regulatory frameworks can be translated into credible certification regimes for safe, robust, and trustworthy artificial intelligence, Europe can help create a market for trusted intelligence, analogous to existing regimes for industrial safety or environmental compliance. This requires treating governance as an integral design feature rather than an external constraint imposed after deployment.</w:t>
      </w:r>
    </w:p>
    <w:p w14:paraId="02667F5E"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Taken together, these sources of leverage point toward a path that does not depend on imitation. Europe need not dominate general-purpose artificial intelligence to retain agency in the machine economy. It must instead ensure that where intelligence intersects with the physical world, and where legitimacy and trust are decisive, European institutions and standards shape the terms of engagement.</w:t>
      </w:r>
    </w:p>
    <w:p w14:paraId="3130D912" w14:textId="77777777" w:rsidR="00B23006" w:rsidRPr="00525EBC" w:rsidRDefault="00B23006" w:rsidP="00AF72C7">
      <w:pPr>
        <w:spacing w:line="360" w:lineRule="auto"/>
        <w:rPr>
          <w:rFonts w:ascii="Times New Roman" w:hAnsi="Times New Roman" w:cs="Times New Roman"/>
        </w:rPr>
      </w:pPr>
      <w:r w:rsidRPr="00B23006">
        <w:rPr>
          <w:rFonts w:ascii="Times New Roman" w:hAnsi="Times New Roman" w:cs="Times New Roman"/>
        </w:rPr>
        <w:t xml:space="preserve">The challenge is therefore not a lack of capability, but a lack of synthesis. Europe already possesses many of the components required for cognitive sovereignty. The task is to assemble </w:t>
      </w:r>
      <w:r w:rsidRPr="00B23006">
        <w:rPr>
          <w:rFonts w:ascii="Times New Roman" w:hAnsi="Times New Roman" w:cs="Times New Roman"/>
        </w:rPr>
        <w:lastRenderedPageBreak/>
        <w:t>them into a coherent strategy that distinguishes where scale is essential, where it is not, and where leverage can substitute for dominance.</w:t>
      </w:r>
    </w:p>
    <w:p w14:paraId="24BB2B7D" w14:textId="77777777" w:rsidR="00AF72C7" w:rsidRPr="00B23006" w:rsidRDefault="00AF72C7" w:rsidP="00AF72C7">
      <w:pPr>
        <w:spacing w:line="360" w:lineRule="auto"/>
        <w:rPr>
          <w:rFonts w:ascii="Times New Roman" w:hAnsi="Times New Roman" w:cs="Times New Roman"/>
        </w:rPr>
      </w:pPr>
    </w:p>
    <w:p w14:paraId="462E5C03" w14:textId="77777777" w:rsidR="00B23006" w:rsidRPr="00B23006" w:rsidRDefault="00B23006" w:rsidP="00AF72C7">
      <w:pPr>
        <w:spacing w:line="360" w:lineRule="auto"/>
        <w:rPr>
          <w:rFonts w:ascii="Times New Roman" w:hAnsi="Times New Roman" w:cs="Times New Roman"/>
          <w:b/>
          <w:bCs/>
        </w:rPr>
      </w:pPr>
      <w:r w:rsidRPr="00B23006">
        <w:rPr>
          <w:rFonts w:ascii="Times New Roman" w:hAnsi="Times New Roman" w:cs="Times New Roman"/>
          <w:b/>
          <w:bCs/>
        </w:rPr>
        <w:t>Section VIII: Cognitive Sovereignty Reframed</w:t>
      </w:r>
    </w:p>
    <w:p w14:paraId="7B8CAF56"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language of sovereignty is easily misunderstood. In debates on technology and innovation, it is often conflated with self-sufficiency, protectionism, or national control over supply chains. In the context of artificial intelligence, such interpretations are both impractical and analytically misleading.</w:t>
      </w:r>
    </w:p>
    <w:p w14:paraId="5F2F64AF"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Cognitive sovereignty does not require Europe to internalise every component of the machine economy, nor to withdraw from global technological ecosystems. Interdependence remains a defining feature of modern political economies. The relevant question is not whether Europe relies on external technologies, but whether such reliance preserves the capacity to choose.</w:t>
      </w:r>
    </w:p>
    <w:p w14:paraId="383683E3"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At its core, cognitive sovereignty refers to the ability to determine which systems are entrusted with reasoning, coordination, and execution, and under what institutional conditions. It marks the difference between participation and subordination. A cognitively sovereign polity can integrate foreign technologies, but does so from a position of agency, retaining the capacity to negotiate terms, set boundaries, and develop alternatives when alignment breaks down.</w:t>
      </w:r>
    </w:p>
    <w:p w14:paraId="1E6E6E0A"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This distinction matters because artificial intelligence is no longer a neutral instrument. As AI systems become embedded in economic planning, infrastructure management, and administrative decision-making, they shape outcomes upstream of visible political choice. Power shifts from deliberative institutions toward optimisation processes that are often opaque, difficult to contest, and externally governed.</w:t>
      </w:r>
    </w:p>
    <w:p w14:paraId="0D802F8E"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In such a context, democratic oversight cannot be confined to regulating outputs alone. It must extend to the governance of the systems that generate those outputs. Absent such oversight, formal sovereignty risks hollowing out, preserved in legal frameworks but eroded in practice as effective control migrates elsewhere.</w:t>
      </w:r>
    </w:p>
    <w:p w14:paraId="09AD1DBA"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 xml:space="preserve">European history offers instructive parallels. Political autonomy has often been weakened not through direct coercion, but through dependency on external energy supplies, financial </w:t>
      </w:r>
      <w:r w:rsidRPr="00B23006">
        <w:rPr>
          <w:rFonts w:ascii="Times New Roman" w:hAnsi="Times New Roman" w:cs="Times New Roman"/>
        </w:rPr>
        <w:lastRenderedPageBreak/>
        <w:t>infrastructures, or security guarantees. In each case, control was ceded incrementally, normalised by convenience, and only recognised as a constraint once crises exposed the underlying asymmetry.</w:t>
      </w:r>
    </w:p>
    <w:p w14:paraId="515A1274"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machine economy introduces a new vector of dependency. Intelligence becomes infrastructure. Reasoning is outsourced. Decisions that once required institutional deliberation are executed automatically, according to logics encoded beyond the reach of democratic accountability. In this setting, cognitive sovereignty is not an expansive or maximalist ambition. It constitutes a minimal condition of self-government.</w:t>
      </w:r>
    </w:p>
    <w:p w14:paraId="0782DA97"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Importantly, sovereignty in this sense is not antagonistic to openness. On the contrary, it enables it. A polity that retains influence over its cognitive infrastructure can cooperate internationally with confidence, absorb external innovation without lock-in, and preserve the option to refuse. Dependency, by contrast, breeds caution, defensiveness, and fragility.</w:t>
      </w:r>
    </w:p>
    <w:p w14:paraId="42087C4B" w14:textId="1E910639"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Reframing the debate in these terms shifts attention away from technological bravado toward political capacity. The central question is no longer whether Europe can outbuild existing leaders in artificial intelligence, but whether it can ensure that the most consequential decisions shaping its economy and society remain contestable, accountable, and reversible within its own institutional framework.</w:t>
      </w:r>
      <w:r w:rsidR="006813B3" w:rsidRPr="00525EBC">
        <w:rPr>
          <w:rFonts w:ascii="Times New Roman" w:hAnsi="Times New Roman" w:cs="Times New Roman"/>
        </w:rPr>
        <w:t xml:space="preserve"> Recent work on European strategic autonomy has highlighted the growing gap between sovereignty rhetoric and material capacity, a gap that becomes especially pronounced when governance depends on externally controlled infrastructures </w:t>
      </w:r>
      <w:r w:rsidR="00761B33" w:rsidRPr="00525EBC">
        <w:rPr>
          <w:rFonts w:ascii="Times New Roman" w:hAnsi="Times New Roman" w:cs="Times New Roman"/>
        </w:rPr>
        <w:t>(Mügge 2024; Falkner et al. 2024).</w:t>
      </w:r>
    </w:p>
    <w:p w14:paraId="5A950DE1" w14:textId="0EC2A2B4" w:rsidR="00B23006" w:rsidRPr="00B23006" w:rsidRDefault="00B23006" w:rsidP="00AF72C7">
      <w:pPr>
        <w:spacing w:line="360" w:lineRule="auto"/>
        <w:rPr>
          <w:rFonts w:ascii="Times New Roman" w:hAnsi="Times New Roman" w:cs="Times New Roman"/>
        </w:rPr>
      </w:pPr>
    </w:p>
    <w:p w14:paraId="23425944" w14:textId="77777777" w:rsidR="00B23006" w:rsidRPr="00B23006" w:rsidRDefault="00B23006" w:rsidP="00AF72C7">
      <w:pPr>
        <w:spacing w:line="360" w:lineRule="auto"/>
        <w:rPr>
          <w:rFonts w:ascii="Times New Roman" w:hAnsi="Times New Roman" w:cs="Times New Roman"/>
          <w:b/>
          <w:bCs/>
        </w:rPr>
      </w:pPr>
      <w:r w:rsidRPr="00B23006">
        <w:rPr>
          <w:rFonts w:ascii="Times New Roman" w:hAnsi="Times New Roman" w:cs="Times New Roman"/>
          <w:b/>
          <w:bCs/>
        </w:rPr>
        <w:t>Conclusion: Cognitive Infrastructure and European Public Policy</w:t>
      </w:r>
    </w:p>
    <w:p w14:paraId="43674817"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transition toward a machine-mediated economy is no longer speculative. It is unfolding incrementally through the automation of negotiation, coordination, and execution across economic sectors. As artificial intelligence systems assume roles once reserved for human judgment, control over cognitive infrastructure becomes a central axis of political and economic power.</w:t>
      </w:r>
    </w:p>
    <w:p w14:paraId="6C4571A5"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lastRenderedPageBreak/>
        <w:t>For Europe, this transition presents a fundamental choice. One path leads toward managed dependency: continued participation in global markets under robust regulatory frameworks, but with increasing reliance on externally governed intelligence to mediate economic life. This path can appear stable, efficient, and compatible with existing institutions, until moments of stress reveal its limits. It offers integration without leverage and efficiency without agency.</w:t>
      </w:r>
    </w:p>
    <w:p w14:paraId="3F25B83C"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alternative path is more demanding. It requires abandoning the assumption that strategic autonomy can be secured through imitation or regulatory reach alone. It demands sustained coordination, selective investment, and a willingness to redefine success away from symbolic parity toward institutional resilience. Yet it preserves the capacity for autonomous action.</w:t>
      </w:r>
    </w:p>
    <w:p w14:paraId="2519A1DA"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Choosing this path does not imply rejecting cooperation with the United States or other partners. Rather, it recognises that cooperation among equals depends on the existence of credible alternatives. Without such alternatives, alignment hardens into dependency, and dependency constrains choice.</w:t>
      </w:r>
    </w:p>
    <w:p w14:paraId="6362E9AE"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coming years will compress decisions that once unfolded over decades. Investments in infrastructure, standards, and research trajectories will crystallise into architectures that shape European economic life for a generation. In this compressed timeframe, delay carries risks of its own.</w:t>
      </w:r>
    </w:p>
    <w:p w14:paraId="64ABAEF8"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Europe retains significant assets: industrial depth, scientific excellence, regulatory capacity, and normative credibility. What it lacks is not potential, but synthesis. The challenge is to assemble these assets into a coherent approach to cognitive infrastructure that aligns with Europe’s model of governance, integration, and democratic accountability.</w:t>
      </w:r>
    </w:p>
    <w:p w14:paraId="29645C7A" w14:textId="77777777" w:rsidR="00B23006" w:rsidRPr="00B23006" w:rsidRDefault="00B23006" w:rsidP="00AF72C7">
      <w:pPr>
        <w:spacing w:line="360" w:lineRule="auto"/>
        <w:rPr>
          <w:rFonts w:ascii="Times New Roman" w:hAnsi="Times New Roman" w:cs="Times New Roman"/>
        </w:rPr>
      </w:pPr>
      <w:r w:rsidRPr="00B23006">
        <w:rPr>
          <w:rFonts w:ascii="Times New Roman" w:hAnsi="Times New Roman" w:cs="Times New Roman"/>
        </w:rPr>
        <w:t>The question, ultimately, is not whether Europe will deploy artificial intelligence. It will. The question is whether it will do so as an architect of the systems that coordinate its economy and institutions, or as a participant operating within architectures defined elsewhere.</w:t>
      </w:r>
    </w:p>
    <w:p w14:paraId="0A3C7BE1" w14:textId="77777777" w:rsidR="00B23006" w:rsidRPr="00525EBC" w:rsidRDefault="00B23006" w:rsidP="00AF72C7">
      <w:pPr>
        <w:spacing w:line="360" w:lineRule="auto"/>
        <w:rPr>
          <w:rFonts w:ascii="Times New Roman" w:hAnsi="Times New Roman" w:cs="Times New Roman"/>
        </w:rPr>
      </w:pPr>
      <w:r w:rsidRPr="00B23006">
        <w:rPr>
          <w:rFonts w:ascii="Times New Roman" w:hAnsi="Times New Roman" w:cs="Times New Roman"/>
        </w:rPr>
        <w:t>In an age in which intelligence functions as infrastructure, this distinction is no longer rhetorical. It is a question of public policy capacity and political agency.</w:t>
      </w:r>
    </w:p>
    <w:p w14:paraId="258FEA22" w14:textId="77777777" w:rsidR="00761B33" w:rsidRPr="00525EBC" w:rsidRDefault="00761B33" w:rsidP="00AF72C7">
      <w:pPr>
        <w:spacing w:line="360" w:lineRule="auto"/>
        <w:rPr>
          <w:rFonts w:ascii="Times New Roman" w:hAnsi="Times New Roman" w:cs="Times New Roman"/>
        </w:rPr>
      </w:pPr>
    </w:p>
    <w:p w14:paraId="0C96D65C" w14:textId="77777777" w:rsidR="00761B33" w:rsidRPr="00761B33" w:rsidRDefault="00761B33" w:rsidP="00AF72C7">
      <w:pPr>
        <w:spacing w:line="360" w:lineRule="auto"/>
        <w:rPr>
          <w:rFonts w:ascii="Times New Roman" w:hAnsi="Times New Roman" w:cs="Times New Roman"/>
        </w:rPr>
      </w:pPr>
      <w:r w:rsidRPr="00761B33">
        <w:rPr>
          <w:rFonts w:ascii="Times New Roman" w:hAnsi="Times New Roman" w:cs="Times New Roman"/>
          <w:b/>
          <w:bCs/>
        </w:rPr>
        <w:t>References</w:t>
      </w:r>
    </w:p>
    <w:p w14:paraId="11AA3907" w14:textId="77777777" w:rsidR="00761B33" w:rsidRPr="00761B33" w:rsidRDefault="00761B33" w:rsidP="00AF72C7">
      <w:pPr>
        <w:spacing w:line="360" w:lineRule="auto"/>
        <w:rPr>
          <w:rFonts w:ascii="Times New Roman" w:hAnsi="Times New Roman" w:cs="Times New Roman"/>
        </w:rPr>
      </w:pPr>
      <w:r w:rsidRPr="00761B33">
        <w:rPr>
          <w:rFonts w:ascii="Times New Roman" w:hAnsi="Times New Roman" w:cs="Times New Roman"/>
        </w:rPr>
        <w:lastRenderedPageBreak/>
        <w:t xml:space="preserve">European Commission. 2023. </w:t>
      </w:r>
      <w:r w:rsidRPr="00761B33">
        <w:rPr>
          <w:rFonts w:ascii="Times New Roman" w:hAnsi="Times New Roman" w:cs="Times New Roman"/>
          <w:i/>
          <w:iCs/>
        </w:rPr>
        <w:t>Horizon Europe Strategic Plan 2025–2027</w:t>
      </w:r>
      <w:r w:rsidRPr="00761B33">
        <w:rPr>
          <w:rFonts w:ascii="Times New Roman" w:hAnsi="Times New Roman" w:cs="Times New Roman"/>
        </w:rPr>
        <w:t>. Brussels: European Commission.</w:t>
      </w:r>
    </w:p>
    <w:p w14:paraId="4A5A7E76" w14:textId="77777777" w:rsidR="00761B33" w:rsidRDefault="00761B33" w:rsidP="00AF72C7">
      <w:pPr>
        <w:spacing w:line="360" w:lineRule="auto"/>
        <w:rPr>
          <w:rFonts w:ascii="Times New Roman" w:hAnsi="Times New Roman" w:cs="Times New Roman"/>
        </w:rPr>
      </w:pPr>
      <w:r w:rsidRPr="00761B33">
        <w:rPr>
          <w:rFonts w:ascii="Times New Roman" w:hAnsi="Times New Roman" w:cs="Times New Roman"/>
        </w:rPr>
        <w:t xml:space="preserve">European Commission. 2024. </w:t>
      </w:r>
      <w:r w:rsidRPr="00761B33">
        <w:rPr>
          <w:rFonts w:ascii="Times New Roman" w:hAnsi="Times New Roman" w:cs="Times New Roman"/>
          <w:i/>
          <w:iCs/>
        </w:rPr>
        <w:t>Report on the European Cloud and Artificial Intelligence Market</w:t>
      </w:r>
      <w:r w:rsidRPr="00761B33">
        <w:rPr>
          <w:rFonts w:ascii="Times New Roman" w:hAnsi="Times New Roman" w:cs="Times New Roman"/>
        </w:rPr>
        <w:t>. Brussels: European Commission.</w:t>
      </w:r>
    </w:p>
    <w:p w14:paraId="3F68DDBF" w14:textId="5DC54449" w:rsidR="00725B34" w:rsidRPr="00761B33" w:rsidRDefault="00725B34" w:rsidP="00AF72C7">
      <w:pPr>
        <w:spacing w:line="360" w:lineRule="auto"/>
        <w:rPr>
          <w:rFonts w:ascii="Times New Roman" w:hAnsi="Times New Roman" w:cs="Times New Roman"/>
          <w:lang w:val="en-US"/>
        </w:rPr>
      </w:pPr>
      <w:r w:rsidRPr="00725B34">
        <w:rPr>
          <w:rFonts w:ascii="Times New Roman" w:hAnsi="Times New Roman" w:cs="Times New Roman"/>
          <w:lang w:val="en-US"/>
        </w:rPr>
        <w:t xml:space="preserve">European Commission. 2025. </w:t>
      </w:r>
      <w:r w:rsidRPr="00725B34">
        <w:rPr>
          <w:rFonts w:ascii="Times New Roman" w:hAnsi="Times New Roman" w:cs="Times New Roman"/>
          <w:i/>
          <w:iCs/>
          <w:lang w:val="en-US"/>
        </w:rPr>
        <w:t>From AI Factories to Applied AI: Scaling Efficient Intelligence in Europe</w:t>
      </w:r>
      <w:r w:rsidRPr="00725B34">
        <w:rPr>
          <w:rFonts w:ascii="Times New Roman" w:hAnsi="Times New Roman" w:cs="Times New Roman"/>
          <w:lang w:val="en-US"/>
        </w:rPr>
        <w:t>. Brussels.</w:t>
      </w:r>
    </w:p>
    <w:p w14:paraId="0CB24232" w14:textId="77777777" w:rsidR="00761B33" w:rsidRPr="00761B33" w:rsidRDefault="00761B33" w:rsidP="00AF72C7">
      <w:pPr>
        <w:spacing w:line="360" w:lineRule="auto"/>
        <w:rPr>
          <w:rFonts w:ascii="Times New Roman" w:hAnsi="Times New Roman" w:cs="Times New Roman"/>
        </w:rPr>
      </w:pPr>
      <w:r w:rsidRPr="00761B33">
        <w:rPr>
          <w:rFonts w:ascii="Times New Roman" w:hAnsi="Times New Roman" w:cs="Times New Roman"/>
        </w:rPr>
        <w:t xml:space="preserve">Falkner, Gerda, Sabine Saurugger, and Patrick Le Galès. 2024. “The Limits of the Brussels Effect: Regulatory Reach without Infrastructural Power.” </w:t>
      </w:r>
      <w:r w:rsidRPr="00761B33">
        <w:rPr>
          <w:rFonts w:ascii="Times New Roman" w:hAnsi="Times New Roman" w:cs="Times New Roman"/>
          <w:i/>
          <w:iCs/>
        </w:rPr>
        <w:t>Journal of European Public Policy</w:t>
      </w:r>
      <w:r w:rsidRPr="00761B33">
        <w:rPr>
          <w:rFonts w:ascii="Times New Roman" w:hAnsi="Times New Roman" w:cs="Times New Roman"/>
        </w:rPr>
        <w:t xml:space="preserve"> 31 (2): 345–363.</w:t>
      </w:r>
    </w:p>
    <w:p w14:paraId="2DA23D06" w14:textId="77777777" w:rsidR="00761B33" w:rsidRPr="00761B33" w:rsidRDefault="00761B33" w:rsidP="00AF72C7">
      <w:pPr>
        <w:spacing w:line="360" w:lineRule="auto"/>
        <w:rPr>
          <w:rFonts w:ascii="Times New Roman" w:hAnsi="Times New Roman" w:cs="Times New Roman"/>
        </w:rPr>
      </w:pPr>
      <w:r w:rsidRPr="00761B33">
        <w:rPr>
          <w:rFonts w:ascii="Times New Roman" w:hAnsi="Times New Roman" w:cs="Times New Roman"/>
        </w:rPr>
        <w:t xml:space="preserve">Mügge, Daniel. 2024. “Strategic Autonomy without Capacity? The Political Economy of European Digital Sovereignty.” </w:t>
      </w:r>
      <w:r w:rsidRPr="00761B33">
        <w:rPr>
          <w:rFonts w:ascii="Times New Roman" w:hAnsi="Times New Roman" w:cs="Times New Roman"/>
          <w:i/>
          <w:iCs/>
        </w:rPr>
        <w:t>Journal of European Public Policy</w:t>
      </w:r>
      <w:r w:rsidRPr="00761B33">
        <w:rPr>
          <w:rFonts w:ascii="Times New Roman" w:hAnsi="Times New Roman" w:cs="Times New Roman"/>
        </w:rPr>
        <w:t xml:space="preserve"> 31 (3): 421–440.</w:t>
      </w:r>
    </w:p>
    <w:p w14:paraId="440BE63F" w14:textId="77777777" w:rsidR="00761B33" w:rsidRDefault="00761B33" w:rsidP="00AF72C7">
      <w:pPr>
        <w:spacing w:line="360" w:lineRule="auto"/>
        <w:rPr>
          <w:rFonts w:ascii="Times New Roman" w:hAnsi="Times New Roman" w:cs="Times New Roman"/>
        </w:rPr>
      </w:pPr>
      <w:r w:rsidRPr="00761B33">
        <w:rPr>
          <w:rFonts w:ascii="Times New Roman" w:hAnsi="Times New Roman" w:cs="Times New Roman"/>
        </w:rPr>
        <w:t xml:space="preserve">Rone, Julia. 2024. “Sovereign Clouds and the Illusion of Control in European Digital Policy.” </w:t>
      </w:r>
      <w:r w:rsidRPr="00761B33">
        <w:rPr>
          <w:rFonts w:ascii="Times New Roman" w:hAnsi="Times New Roman" w:cs="Times New Roman"/>
          <w:i/>
          <w:iCs/>
        </w:rPr>
        <w:t>Journal of European Public Policy</w:t>
      </w:r>
      <w:r w:rsidRPr="00761B33">
        <w:rPr>
          <w:rFonts w:ascii="Times New Roman" w:hAnsi="Times New Roman" w:cs="Times New Roman"/>
        </w:rPr>
        <w:t xml:space="preserve"> 31 (4): 512–530.</w:t>
      </w:r>
    </w:p>
    <w:p w14:paraId="683BE644" w14:textId="77777777" w:rsidR="00725B34" w:rsidRPr="00725B34" w:rsidRDefault="00725B34" w:rsidP="00725B34">
      <w:pPr>
        <w:spacing w:line="360" w:lineRule="auto"/>
        <w:rPr>
          <w:rFonts w:ascii="Times New Roman" w:hAnsi="Times New Roman" w:cs="Times New Roman"/>
          <w:lang w:val="en-US"/>
        </w:rPr>
      </w:pPr>
      <w:r w:rsidRPr="00B066D4">
        <w:rPr>
          <w:rFonts w:ascii="Times New Roman" w:hAnsi="Times New Roman" w:cs="Times New Roman"/>
          <w:lang w:val="en-US"/>
        </w:rPr>
        <w:t xml:space="preserve">Seidl, Tobias, and Anke Schmitz. </w:t>
      </w:r>
      <w:r w:rsidRPr="00725B34">
        <w:rPr>
          <w:rFonts w:ascii="Times New Roman" w:hAnsi="Times New Roman" w:cs="Times New Roman"/>
          <w:lang w:val="en-US"/>
        </w:rPr>
        <w:t xml:space="preserve">2024. “Open Strategic Autonomy beyond Self-Sufficiency: De-Risking, Capacity, and European Industrial Policy.” </w:t>
      </w:r>
      <w:r w:rsidRPr="00725B34">
        <w:rPr>
          <w:rFonts w:ascii="Times New Roman" w:hAnsi="Times New Roman" w:cs="Times New Roman"/>
          <w:i/>
          <w:iCs/>
          <w:lang w:val="en-US"/>
        </w:rPr>
        <w:t>Journal of European Public Policy</w:t>
      </w:r>
      <w:r w:rsidRPr="00725B34">
        <w:rPr>
          <w:rFonts w:ascii="Times New Roman" w:hAnsi="Times New Roman" w:cs="Times New Roman"/>
          <w:lang w:val="en-US"/>
        </w:rPr>
        <w:t xml:space="preserve"> 31 (7): 987–1006.</w:t>
      </w:r>
    </w:p>
    <w:p w14:paraId="53D3EB47" w14:textId="77777777" w:rsidR="00725B34" w:rsidRPr="00761B33" w:rsidRDefault="00725B34" w:rsidP="00AF72C7">
      <w:pPr>
        <w:spacing w:line="360" w:lineRule="auto"/>
        <w:rPr>
          <w:rFonts w:ascii="Times New Roman" w:hAnsi="Times New Roman" w:cs="Times New Roman"/>
        </w:rPr>
      </w:pPr>
    </w:p>
    <w:p w14:paraId="6D68776E" w14:textId="77777777" w:rsidR="00761B33" w:rsidRPr="00B23006" w:rsidRDefault="00761B33" w:rsidP="00AF72C7">
      <w:pPr>
        <w:spacing w:line="360" w:lineRule="auto"/>
        <w:rPr>
          <w:rFonts w:ascii="Times New Roman" w:hAnsi="Times New Roman" w:cs="Times New Roman"/>
        </w:rPr>
      </w:pPr>
    </w:p>
    <w:p w14:paraId="5695EB58" w14:textId="77777777" w:rsidR="00B23006" w:rsidRPr="00B23006" w:rsidRDefault="00B23006" w:rsidP="00AF72C7">
      <w:pPr>
        <w:spacing w:line="360" w:lineRule="auto"/>
        <w:rPr>
          <w:rFonts w:ascii="Times New Roman" w:hAnsi="Times New Roman" w:cs="Times New Roman"/>
          <w:vanish/>
        </w:rPr>
      </w:pPr>
      <w:r w:rsidRPr="00B23006">
        <w:rPr>
          <w:rFonts w:ascii="Times New Roman" w:hAnsi="Times New Roman" w:cs="Times New Roman"/>
          <w:vanish/>
        </w:rPr>
        <w:t>Top of Form</w:t>
      </w:r>
    </w:p>
    <w:p w14:paraId="5072667C" w14:textId="77777777" w:rsidR="00B23006" w:rsidRPr="00B23006" w:rsidRDefault="00B23006" w:rsidP="00AF72C7">
      <w:pPr>
        <w:spacing w:line="360" w:lineRule="auto"/>
        <w:rPr>
          <w:rFonts w:ascii="Times New Roman" w:hAnsi="Times New Roman" w:cs="Times New Roman"/>
        </w:rPr>
      </w:pPr>
    </w:p>
    <w:p w14:paraId="4FD282E1" w14:textId="77777777" w:rsidR="00B23006" w:rsidRPr="00B23006" w:rsidRDefault="00B23006" w:rsidP="00AF72C7">
      <w:pPr>
        <w:spacing w:line="360" w:lineRule="auto"/>
        <w:rPr>
          <w:rFonts w:ascii="Times New Roman" w:hAnsi="Times New Roman" w:cs="Times New Roman"/>
          <w:vanish/>
        </w:rPr>
      </w:pPr>
      <w:r w:rsidRPr="00B23006">
        <w:rPr>
          <w:rFonts w:ascii="Times New Roman" w:hAnsi="Times New Roman" w:cs="Times New Roman"/>
          <w:vanish/>
        </w:rPr>
        <w:t>Bottom of Form</w:t>
      </w:r>
    </w:p>
    <w:p w14:paraId="6B349532" w14:textId="77777777" w:rsidR="00B23006" w:rsidRPr="00B23006" w:rsidRDefault="00B23006" w:rsidP="00AF72C7">
      <w:pPr>
        <w:spacing w:line="360" w:lineRule="auto"/>
        <w:rPr>
          <w:rFonts w:ascii="Times New Roman" w:hAnsi="Times New Roman" w:cs="Times New Roman"/>
          <w:vanish/>
        </w:rPr>
      </w:pPr>
      <w:r w:rsidRPr="00B23006">
        <w:rPr>
          <w:rFonts w:ascii="Times New Roman" w:hAnsi="Times New Roman" w:cs="Times New Roman"/>
          <w:vanish/>
        </w:rPr>
        <w:t>Top of Form</w:t>
      </w:r>
    </w:p>
    <w:p w14:paraId="5B4C9480" w14:textId="77777777" w:rsidR="00B23006" w:rsidRPr="00B23006" w:rsidRDefault="00B23006" w:rsidP="00AF72C7">
      <w:pPr>
        <w:spacing w:line="360" w:lineRule="auto"/>
        <w:rPr>
          <w:rFonts w:ascii="Times New Roman" w:hAnsi="Times New Roman" w:cs="Times New Roman"/>
        </w:rPr>
      </w:pPr>
    </w:p>
    <w:p w14:paraId="23E9DDB9" w14:textId="77777777" w:rsidR="00B23006" w:rsidRPr="00B23006" w:rsidRDefault="00B23006" w:rsidP="00AF72C7">
      <w:pPr>
        <w:spacing w:line="360" w:lineRule="auto"/>
        <w:rPr>
          <w:rFonts w:ascii="Times New Roman" w:hAnsi="Times New Roman" w:cs="Times New Roman"/>
          <w:vanish/>
        </w:rPr>
      </w:pPr>
      <w:r w:rsidRPr="00B23006">
        <w:rPr>
          <w:rFonts w:ascii="Times New Roman" w:hAnsi="Times New Roman" w:cs="Times New Roman"/>
          <w:vanish/>
        </w:rPr>
        <w:t>Bottom of Form</w:t>
      </w:r>
    </w:p>
    <w:p w14:paraId="79EAA84C" w14:textId="77777777" w:rsidR="00B23006" w:rsidRPr="00B23006" w:rsidRDefault="00B23006" w:rsidP="00AF72C7">
      <w:pPr>
        <w:spacing w:line="360" w:lineRule="auto"/>
        <w:rPr>
          <w:rFonts w:ascii="Times New Roman" w:hAnsi="Times New Roman" w:cs="Times New Roman"/>
          <w:vanish/>
        </w:rPr>
      </w:pPr>
      <w:r w:rsidRPr="00B23006">
        <w:rPr>
          <w:rFonts w:ascii="Times New Roman" w:hAnsi="Times New Roman" w:cs="Times New Roman"/>
          <w:vanish/>
        </w:rPr>
        <w:t>Top of Form</w:t>
      </w:r>
    </w:p>
    <w:p w14:paraId="3A475748" w14:textId="77777777" w:rsidR="00B23006" w:rsidRPr="00B23006" w:rsidRDefault="00B23006" w:rsidP="00AF72C7">
      <w:pPr>
        <w:spacing w:line="360" w:lineRule="auto"/>
        <w:rPr>
          <w:rFonts w:ascii="Times New Roman" w:hAnsi="Times New Roman" w:cs="Times New Roman"/>
        </w:rPr>
      </w:pPr>
    </w:p>
    <w:p w14:paraId="5DEC3FBE" w14:textId="77777777" w:rsidR="00B23006" w:rsidRPr="00B23006" w:rsidRDefault="00B23006" w:rsidP="00AF72C7">
      <w:pPr>
        <w:spacing w:line="360" w:lineRule="auto"/>
        <w:rPr>
          <w:rFonts w:ascii="Times New Roman" w:hAnsi="Times New Roman" w:cs="Times New Roman"/>
          <w:vanish/>
        </w:rPr>
      </w:pPr>
      <w:r w:rsidRPr="00B23006">
        <w:rPr>
          <w:rFonts w:ascii="Times New Roman" w:hAnsi="Times New Roman" w:cs="Times New Roman"/>
          <w:vanish/>
        </w:rPr>
        <w:t>Bottom of Form</w:t>
      </w:r>
    </w:p>
    <w:p w14:paraId="40B5DF97" w14:textId="77777777" w:rsidR="003A2027" w:rsidRPr="00AF72C7" w:rsidRDefault="003A2027" w:rsidP="00AF72C7">
      <w:pPr>
        <w:spacing w:line="360" w:lineRule="auto"/>
        <w:rPr>
          <w:rFonts w:ascii="Times New Roman" w:hAnsi="Times New Roman" w:cs="Times New Roman"/>
          <w:lang w:val="en-US"/>
        </w:rPr>
      </w:pPr>
    </w:p>
    <w:sectPr w:rsidR="003A2027" w:rsidRPr="00AF72C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BDED0" w14:textId="77777777" w:rsidR="00E86254" w:rsidRPr="00525EBC" w:rsidRDefault="00E86254" w:rsidP="00AF72C7">
      <w:pPr>
        <w:spacing w:after="0" w:line="240" w:lineRule="auto"/>
      </w:pPr>
      <w:r w:rsidRPr="00525EBC">
        <w:separator/>
      </w:r>
    </w:p>
  </w:endnote>
  <w:endnote w:type="continuationSeparator" w:id="0">
    <w:p w14:paraId="6358E7E7" w14:textId="77777777" w:rsidR="00E86254" w:rsidRPr="00525EBC" w:rsidRDefault="00E86254" w:rsidP="00AF72C7">
      <w:pPr>
        <w:spacing w:after="0" w:line="240" w:lineRule="auto"/>
      </w:pPr>
      <w:r w:rsidRPr="00525EB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3938468"/>
      <w:docPartObj>
        <w:docPartGallery w:val="Page Numbers (Bottom of Page)"/>
        <w:docPartUnique/>
      </w:docPartObj>
    </w:sdtPr>
    <w:sdtContent>
      <w:p w14:paraId="049D7ECE" w14:textId="55E52445" w:rsidR="00AF72C7" w:rsidRPr="00525EBC" w:rsidRDefault="00AF72C7">
        <w:pPr>
          <w:pStyle w:val="Footer"/>
          <w:jc w:val="right"/>
        </w:pPr>
        <w:r w:rsidRPr="00525EBC">
          <w:fldChar w:fldCharType="begin"/>
        </w:r>
        <w:r w:rsidRPr="00525EBC">
          <w:instrText xml:space="preserve"> PAGE   \* MERGEFORMAT </w:instrText>
        </w:r>
        <w:r w:rsidRPr="00525EBC">
          <w:fldChar w:fldCharType="separate"/>
        </w:r>
        <w:r w:rsidRPr="00525EBC">
          <w:t>2</w:t>
        </w:r>
        <w:r w:rsidRPr="00525EBC">
          <w:fldChar w:fldCharType="end"/>
        </w:r>
      </w:p>
    </w:sdtContent>
  </w:sdt>
  <w:p w14:paraId="667329A7" w14:textId="77777777" w:rsidR="00AF72C7" w:rsidRPr="00525EBC" w:rsidRDefault="00AF7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53A9B" w14:textId="77777777" w:rsidR="00E86254" w:rsidRPr="00525EBC" w:rsidRDefault="00E86254" w:rsidP="00AF72C7">
      <w:pPr>
        <w:spacing w:after="0" w:line="240" w:lineRule="auto"/>
      </w:pPr>
      <w:r w:rsidRPr="00525EBC">
        <w:separator/>
      </w:r>
    </w:p>
  </w:footnote>
  <w:footnote w:type="continuationSeparator" w:id="0">
    <w:p w14:paraId="143DF665" w14:textId="77777777" w:rsidR="00E86254" w:rsidRPr="00525EBC" w:rsidRDefault="00E86254" w:rsidP="00AF72C7">
      <w:pPr>
        <w:spacing w:after="0" w:line="240" w:lineRule="auto"/>
      </w:pPr>
      <w:r w:rsidRPr="00525EB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C30439"/>
    <w:multiLevelType w:val="multilevel"/>
    <w:tmpl w:val="61D6C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0566F1"/>
    <w:multiLevelType w:val="multilevel"/>
    <w:tmpl w:val="D7D2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6F7609"/>
    <w:multiLevelType w:val="multilevel"/>
    <w:tmpl w:val="301E4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069FE"/>
    <w:multiLevelType w:val="multilevel"/>
    <w:tmpl w:val="F80C7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406FC2"/>
    <w:multiLevelType w:val="multilevel"/>
    <w:tmpl w:val="87B8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8148842">
    <w:abstractNumId w:val="3"/>
  </w:num>
  <w:num w:numId="2" w16cid:durableId="1675298098">
    <w:abstractNumId w:val="4"/>
  </w:num>
  <w:num w:numId="3" w16cid:durableId="559168867">
    <w:abstractNumId w:val="0"/>
  </w:num>
  <w:num w:numId="4" w16cid:durableId="211157183">
    <w:abstractNumId w:val="1"/>
  </w:num>
  <w:num w:numId="5" w16cid:durableId="6612013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006"/>
    <w:rsid w:val="001B7769"/>
    <w:rsid w:val="00214CA5"/>
    <w:rsid w:val="002445E9"/>
    <w:rsid w:val="00250740"/>
    <w:rsid w:val="002631A6"/>
    <w:rsid w:val="002A07F7"/>
    <w:rsid w:val="00335D30"/>
    <w:rsid w:val="003A2027"/>
    <w:rsid w:val="003D0AB9"/>
    <w:rsid w:val="00514733"/>
    <w:rsid w:val="00525EBC"/>
    <w:rsid w:val="006813B3"/>
    <w:rsid w:val="006C3D1F"/>
    <w:rsid w:val="006E3CCC"/>
    <w:rsid w:val="00725B34"/>
    <w:rsid w:val="00761B33"/>
    <w:rsid w:val="00763604"/>
    <w:rsid w:val="00AD5CC0"/>
    <w:rsid w:val="00AF72C7"/>
    <w:rsid w:val="00B066D4"/>
    <w:rsid w:val="00B23006"/>
    <w:rsid w:val="00BD04FA"/>
    <w:rsid w:val="00C41BB9"/>
    <w:rsid w:val="00C7506B"/>
    <w:rsid w:val="00D6317F"/>
    <w:rsid w:val="00E112FC"/>
    <w:rsid w:val="00E34267"/>
    <w:rsid w:val="00E57983"/>
    <w:rsid w:val="00E86254"/>
    <w:rsid w:val="00ED43C2"/>
    <w:rsid w:val="00F611B3"/>
    <w:rsid w:val="00FC4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E6E4A"/>
  <w15:chartTrackingRefBased/>
  <w15:docId w15:val="{2DCB5511-3FB5-4535-898C-0FB8A3F2A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230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30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30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30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30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30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30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30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30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006"/>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B23006"/>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B23006"/>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B23006"/>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B23006"/>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B23006"/>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B23006"/>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B23006"/>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B23006"/>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B230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3006"/>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B230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3006"/>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B23006"/>
    <w:pPr>
      <w:spacing w:before="160"/>
      <w:jc w:val="center"/>
    </w:pPr>
    <w:rPr>
      <w:i/>
      <w:iCs/>
      <w:color w:val="404040" w:themeColor="text1" w:themeTint="BF"/>
    </w:rPr>
  </w:style>
  <w:style w:type="character" w:customStyle="1" w:styleId="QuoteChar">
    <w:name w:val="Quote Char"/>
    <w:basedOn w:val="DefaultParagraphFont"/>
    <w:link w:val="Quote"/>
    <w:uiPriority w:val="29"/>
    <w:rsid w:val="00B23006"/>
    <w:rPr>
      <w:i/>
      <w:iCs/>
      <w:color w:val="404040" w:themeColor="text1" w:themeTint="BF"/>
      <w:lang w:val="en-GB"/>
    </w:rPr>
  </w:style>
  <w:style w:type="paragraph" w:styleId="ListParagraph">
    <w:name w:val="List Paragraph"/>
    <w:basedOn w:val="Normal"/>
    <w:uiPriority w:val="34"/>
    <w:qFormat/>
    <w:rsid w:val="00B23006"/>
    <w:pPr>
      <w:ind w:left="720"/>
      <w:contextualSpacing/>
    </w:pPr>
  </w:style>
  <w:style w:type="character" w:styleId="IntenseEmphasis">
    <w:name w:val="Intense Emphasis"/>
    <w:basedOn w:val="DefaultParagraphFont"/>
    <w:uiPriority w:val="21"/>
    <w:qFormat/>
    <w:rsid w:val="00B23006"/>
    <w:rPr>
      <w:i/>
      <w:iCs/>
      <w:color w:val="0F4761" w:themeColor="accent1" w:themeShade="BF"/>
    </w:rPr>
  </w:style>
  <w:style w:type="paragraph" w:styleId="IntenseQuote">
    <w:name w:val="Intense Quote"/>
    <w:basedOn w:val="Normal"/>
    <w:next w:val="Normal"/>
    <w:link w:val="IntenseQuoteChar"/>
    <w:uiPriority w:val="30"/>
    <w:qFormat/>
    <w:rsid w:val="00B230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3006"/>
    <w:rPr>
      <w:i/>
      <w:iCs/>
      <w:color w:val="0F4761" w:themeColor="accent1" w:themeShade="BF"/>
      <w:lang w:val="en-GB"/>
    </w:rPr>
  </w:style>
  <w:style w:type="character" w:styleId="IntenseReference">
    <w:name w:val="Intense Reference"/>
    <w:basedOn w:val="DefaultParagraphFont"/>
    <w:uiPriority w:val="32"/>
    <w:qFormat/>
    <w:rsid w:val="00B23006"/>
    <w:rPr>
      <w:b/>
      <w:bCs/>
      <w:smallCaps/>
      <w:color w:val="0F4761" w:themeColor="accent1" w:themeShade="BF"/>
      <w:spacing w:val="5"/>
    </w:rPr>
  </w:style>
  <w:style w:type="paragraph" w:styleId="NormalWeb">
    <w:name w:val="Normal (Web)"/>
    <w:basedOn w:val="Normal"/>
    <w:uiPriority w:val="99"/>
    <w:semiHidden/>
    <w:unhideWhenUsed/>
    <w:rsid w:val="00E57983"/>
    <w:rPr>
      <w:rFonts w:ascii="Times New Roman" w:hAnsi="Times New Roman" w:cs="Times New Roman"/>
    </w:rPr>
  </w:style>
  <w:style w:type="paragraph" w:styleId="Header">
    <w:name w:val="header"/>
    <w:basedOn w:val="Normal"/>
    <w:link w:val="HeaderChar"/>
    <w:uiPriority w:val="99"/>
    <w:unhideWhenUsed/>
    <w:rsid w:val="00AF7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2C7"/>
    <w:rPr>
      <w:lang w:val="en-GB"/>
    </w:rPr>
  </w:style>
  <w:style w:type="paragraph" w:styleId="Footer">
    <w:name w:val="footer"/>
    <w:basedOn w:val="Normal"/>
    <w:link w:val="FooterChar"/>
    <w:uiPriority w:val="99"/>
    <w:unhideWhenUsed/>
    <w:rsid w:val="00AF7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2C7"/>
    <w:rPr>
      <w:lang w:val="en-GB"/>
    </w:rPr>
  </w:style>
  <w:style w:type="character" w:styleId="Hyperlink">
    <w:name w:val="Hyperlink"/>
    <w:basedOn w:val="DefaultParagraphFont"/>
    <w:uiPriority w:val="99"/>
    <w:unhideWhenUsed/>
    <w:rsid w:val="00514733"/>
    <w:rPr>
      <w:color w:val="467886" w:themeColor="hyperlink"/>
      <w:u w:val="single"/>
    </w:rPr>
  </w:style>
  <w:style w:type="character" w:styleId="UnresolvedMention">
    <w:name w:val="Unresolved Mention"/>
    <w:basedOn w:val="DefaultParagraphFont"/>
    <w:uiPriority w:val="99"/>
    <w:semiHidden/>
    <w:unhideWhenUsed/>
    <w:rsid w:val="005147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7748</Words>
  <Characters>44166</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humm</dc:creator>
  <cp:keywords/>
  <dc:description/>
  <cp:lastModifiedBy>philipp humm</cp:lastModifiedBy>
  <cp:revision>15</cp:revision>
  <dcterms:created xsi:type="dcterms:W3CDTF">2026-02-07T07:09:00Z</dcterms:created>
  <dcterms:modified xsi:type="dcterms:W3CDTF">2026-02-23T07:30:00Z</dcterms:modified>
</cp:coreProperties>
</file>