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90F2F" w14:textId="77777777" w:rsidR="00944F44" w:rsidRPr="00B04052" w:rsidRDefault="00944F44">
      <w:r w:rsidRPr="00B04052">
        <w:t>The Commercialization of Information: From Oral Traditions to the Digital Economy</w:t>
      </w:r>
    </w:p>
    <w:p w14:paraId="1101D167" w14:textId="602B7A25" w:rsidR="000D6172" w:rsidRDefault="000D6172">
      <w:r>
        <w:t xml:space="preserve">Author: Angelito </w:t>
      </w:r>
      <w:proofErr w:type="spellStart"/>
      <w:r>
        <w:t>Malicse</w:t>
      </w:r>
      <w:proofErr w:type="spellEnd"/>
      <w:r>
        <w:t xml:space="preserve"> </w:t>
      </w:r>
    </w:p>
    <w:p w14:paraId="25A86CAC" w14:textId="77777777" w:rsidR="00944F44" w:rsidRDefault="00944F44">
      <w:r>
        <w:t>Abstract</w:t>
      </w:r>
    </w:p>
    <w:p w14:paraId="495DB9DB" w14:textId="77777777" w:rsidR="00944F44" w:rsidRDefault="00944F44">
      <w:r>
        <w:t>The evolution of information from a communal resource to a commercially valuable commodity reflects profound technological, social, and economic transformations. This paper traces the history of information commercialization, highlighting key milestones including the advent of writing, the printing press, mass media, and the digital revolution. It explores the mechanisms through which information acquired economic value and examines contemporary trends where personal and corporate data drive global markets. Examples from historical records, media industries, and digital platforms illustrate the pervasive influence of commercialized information.</w:t>
      </w:r>
    </w:p>
    <w:p w14:paraId="2BAFE951" w14:textId="78552D18" w:rsidR="00944F44" w:rsidRDefault="00944F44" w:rsidP="00944F44">
      <w:pPr>
        <w:pStyle w:val="ListParagraph"/>
        <w:numPr>
          <w:ilvl w:val="0"/>
          <w:numId w:val="1"/>
        </w:numPr>
      </w:pPr>
      <w:r>
        <w:t>Introduction</w:t>
      </w:r>
    </w:p>
    <w:p w14:paraId="16968B57" w14:textId="77777777" w:rsidR="00944F44" w:rsidRDefault="00944F44">
      <w:r>
        <w:t>Information has historically been a central component of human society, serving as a tool for communication, decision-making, and cultural preservation. Initially shared freely within communities, information became increasingly commoditized as technological innovations created opportunities for dissemination and monetization. Understanding the commercialization of information is essential for analyzing modern economies, media industries, and digital platforms that rely heavily on the production, distribution, and sale of knowledge.</w:t>
      </w:r>
    </w:p>
    <w:p w14:paraId="286C43F3" w14:textId="0EE53BE2" w:rsidR="00944F44" w:rsidRDefault="00944F44" w:rsidP="00944F44">
      <w:pPr>
        <w:pStyle w:val="ListParagraph"/>
        <w:numPr>
          <w:ilvl w:val="0"/>
          <w:numId w:val="1"/>
        </w:numPr>
      </w:pPr>
      <w:r>
        <w:t>Early Information Sharing</w:t>
      </w:r>
    </w:p>
    <w:p w14:paraId="5C7795B8" w14:textId="77777777" w:rsidR="00944F44" w:rsidRDefault="00944F44">
      <w:r>
        <w:t>Before the development of writing, knowledge was primarily transmitted through oral traditions, including myths, stories, and rituals (Ong, 1982). This information was shared communally and held intrinsic cultural value but lacked commercial exchange. With the emergence of writing systems in Mesopotamia and Egypt (~3000 BCE), societies began recording trade transactions, laws, and religious texts (Goody, 1986). Access remained limited to elites, such as scribes or priests, making early recorded information more a tool of governance than a commodity.</w:t>
      </w:r>
    </w:p>
    <w:p w14:paraId="72B7A8E1" w14:textId="77777777" w:rsidR="00944F44" w:rsidRDefault="00944F44">
      <w:r>
        <w:t>Example: Clay tablets from Sumer recorded trade transactions and grain inventories, demonstrating early record-keeping practices without commercial profit.</w:t>
      </w:r>
    </w:p>
    <w:p w14:paraId="0AD6B54E" w14:textId="326A76D4" w:rsidR="00944F44" w:rsidRDefault="00944F44" w:rsidP="00944F44">
      <w:pPr>
        <w:pStyle w:val="ListParagraph"/>
        <w:numPr>
          <w:ilvl w:val="0"/>
          <w:numId w:val="1"/>
        </w:numPr>
      </w:pPr>
      <w:r>
        <w:t>Printing Press and the Rise of Publishing</w:t>
      </w:r>
    </w:p>
    <w:p w14:paraId="69F624A9" w14:textId="77777777" w:rsidR="00944F44" w:rsidRDefault="00944F44">
      <w:r>
        <w:t>The invention of the Gutenberg printing press in the 15</w:t>
      </w:r>
      <w:r w:rsidRPr="00944F44">
        <w:rPr>
          <w:vertAlign w:val="superscript"/>
        </w:rPr>
        <w:t>th</w:t>
      </w:r>
      <w:r>
        <w:t xml:space="preserve"> century marked a turning point in information dissemination. Books, pamphlets, and newsletters could now be produced in large quantities, making information more widely accessible (</w:t>
      </w:r>
      <w:proofErr w:type="spellStart"/>
      <w:r>
        <w:t>Febvre</w:t>
      </w:r>
      <w:proofErr w:type="spellEnd"/>
      <w:r>
        <w:t xml:space="preserve"> &amp; Martin, 1976). Printing enabled the emergence of a commercial publishing industry, where authors and printers could sell works to literate audiences.</w:t>
      </w:r>
    </w:p>
    <w:p w14:paraId="22E9517F" w14:textId="77777777" w:rsidR="00944F44" w:rsidRDefault="00944F44">
      <w:r>
        <w:t>Example: The publication of Martin Luther’s 95 Theses in 1517 demonstrates both the wide distribution of printed information and its capacity to influence society, signaling early commodification of knowledge.</w:t>
      </w:r>
    </w:p>
    <w:p w14:paraId="6BE83067" w14:textId="120C79C1" w:rsidR="00944F44" w:rsidRDefault="00944F44" w:rsidP="00944F44">
      <w:pPr>
        <w:pStyle w:val="ListParagraph"/>
        <w:numPr>
          <w:ilvl w:val="0"/>
          <w:numId w:val="1"/>
        </w:numPr>
      </w:pPr>
      <w:r>
        <w:t>Newspapers and Mass Literacy</w:t>
      </w:r>
    </w:p>
    <w:p w14:paraId="4595D342" w14:textId="77777777" w:rsidR="00944F44" w:rsidRDefault="00944F44">
      <w:r>
        <w:t>The 17</w:t>
      </w:r>
      <w:r w:rsidRPr="00944F44">
        <w:rPr>
          <w:vertAlign w:val="superscript"/>
        </w:rPr>
        <w:t>th</w:t>
      </w:r>
      <w:r>
        <w:t xml:space="preserve"> to 19</w:t>
      </w:r>
      <w:r w:rsidRPr="00944F44">
        <w:rPr>
          <w:vertAlign w:val="superscript"/>
        </w:rPr>
        <w:t>th</w:t>
      </w:r>
      <w:r>
        <w:t xml:space="preserve"> centuries saw the rise of newspapers and journals, coinciding with increased literacy and urbanization (</w:t>
      </w:r>
      <w:proofErr w:type="spellStart"/>
      <w:r>
        <w:t>Schudson</w:t>
      </w:r>
      <w:proofErr w:type="spellEnd"/>
      <w:r>
        <w:t>, 1978). Newspapers were sold to subscribers and funded partially by advertising, making news both a product and a service. Specialized journals also emerged, targeting niche audiences with scientific, political, or cultural content.</w:t>
      </w:r>
    </w:p>
    <w:p w14:paraId="1FD65DC6" w14:textId="77777777" w:rsidR="00944F44" w:rsidRDefault="00944F44">
      <w:r>
        <w:t>Example: The Times in London (founded 1785) relied on both subscription fees and advertisements to sustain its operations, establishing the blueprint for modern news commercialization.</w:t>
      </w:r>
    </w:p>
    <w:p w14:paraId="7DD843C0" w14:textId="408746BB" w:rsidR="00944F44" w:rsidRDefault="00944F44" w:rsidP="00944F44">
      <w:pPr>
        <w:pStyle w:val="ListParagraph"/>
        <w:numPr>
          <w:ilvl w:val="0"/>
          <w:numId w:val="1"/>
        </w:numPr>
      </w:pPr>
      <w:r>
        <w:t>Industrial Era Mass Media</w:t>
      </w:r>
    </w:p>
    <w:p w14:paraId="6CAC203F" w14:textId="77777777" w:rsidR="00944F44" w:rsidRDefault="00944F44">
      <w:r>
        <w:t>The Industrial Revolution introduced new communication technologies, including the telegraph, radio, and cinema, allowing information to reach mass audiences rapidly. Companies recognized the commercial potential of broadcast content, using advertising as the primary revenue model (</w:t>
      </w:r>
      <w:proofErr w:type="spellStart"/>
      <w:r>
        <w:t>McChesney</w:t>
      </w:r>
      <w:proofErr w:type="spellEnd"/>
      <w:r>
        <w:t>, 2008).</w:t>
      </w:r>
    </w:p>
    <w:p w14:paraId="225E08B3" w14:textId="77777777" w:rsidR="00944F44" w:rsidRDefault="00944F44">
      <w:r>
        <w:t>Example: Radio programs in the early 20</w:t>
      </w:r>
      <w:r w:rsidRPr="00944F44">
        <w:rPr>
          <w:vertAlign w:val="superscript"/>
        </w:rPr>
        <w:t>th</w:t>
      </w:r>
      <w:r>
        <w:t xml:space="preserve"> century were often sponsored by corporations, demonstrating a clear link between information dissemination and commercial profit.</w:t>
      </w:r>
    </w:p>
    <w:p w14:paraId="0C807F97" w14:textId="524E3EE2" w:rsidR="00944F44" w:rsidRDefault="00944F44" w:rsidP="00944F44">
      <w:pPr>
        <w:pStyle w:val="ListParagraph"/>
        <w:numPr>
          <w:ilvl w:val="0"/>
          <w:numId w:val="1"/>
        </w:numPr>
      </w:pPr>
      <w:r>
        <w:t>Television and Global Media</w:t>
      </w:r>
    </w:p>
    <w:p w14:paraId="38AB7F0D" w14:textId="77777777" w:rsidR="00944F44" w:rsidRDefault="00944F44">
      <w:r>
        <w:t>The mid-20</w:t>
      </w:r>
      <w:r w:rsidRPr="00944F44">
        <w:rPr>
          <w:vertAlign w:val="superscript"/>
        </w:rPr>
        <w:t>th</w:t>
      </w:r>
      <w:r>
        <w:t xml:space="preserve"> century brought television and cable networks, expanding the scale of information commercialization. Networks produced entertainment and news programs to attract viewers, monetizing audiences through advertising and syndication (</w:t>
      </w:r>
      <w:proofErr w:type="spellStart"/>
      <w:r>
        <w:t>Barnouw</w:t>
      </w:r>
      <w:proofErr w:type="spellEnd"/>
      <w:r>
        <w:t>, 1990). Global distribution allowed information to cross borders, increasing its commercial value.</w:t>
      </w:r>
    </w:p>
    <w:p w14:paraId="2635DC3B" w14:textId="77777777" w:rsidR="00944F44" w:rsidRDefault="00944F44">
      <w:r>
        <w:t>Example: The broadcasting of I Love Lucy (1951–1957) demonstrated the profitability of content syndication and audience-driven revenue models.</w:t>
      </w:r>
    </w:p>
    <w:p w14:paraId="7B4E9A59" w14:textId="2CDE5DAD" w:rsidR="00944F44" w:rsidRDefault="00944F44" w:rsidP="00944F44">
      <w:pPr>
        <w:pStyle w:val="ListParagraph"/>
        <w:numPr>
          <w:ilvl w:val="0"/>
          <w:numId w:val="1"/>
        </w:numPr>
      </w:pPr>
      <w:r>
        <w:t>Digital Revolution and the Internet</w:t>
      </w:r>
    </w:p>
    <w:p w14:paraId="11843D26" w14:textId="77777777" w:rsidR="00944F44" w:rsidRDefault="00944F44">
      <w:r>
        <w:t xml:space="preserve">The rise of the Internet in the 1990s transformed information into a global, digital commodity. Websites, blogs, social media, and email enabled instant access to information, while new business models emerged, including advertising, subscriptions, and data analytics (Shapiro &amp; Varian, 1999). Personal and corporate data became </w:t>
      </w:r>
      <w:proofErr w:type="spellStart"/>
      <w:r>
        <w:t>monetizable</w:t>
      </w:r>
      <w:proofErr w:type="spellEnd"/>
      <w:r>
        <w:t xml:space="preserve"> assets, leading to the emergence of the “attention economy,” where user engagement drives profit.</w:t>
      </w:r>
    </w:p>
    <w:p w14:paraId="192A952D" w14:textId="77777777" w:rsidR="00944F44" w:rsidRDefault="00944F44">
      <w:r>
        <w:t>Example: Google’s search engine monetizes information through targeted advertising, demonstrating the economic value of digital knowledge.</w:t>
      </w:r>
    </w:p>
    <w:p w14:paraId="11A9A5EF" w14:textId="18CF4ADD" w:rsidR="00944F44" w:rsidRDefault="00944F44" w:rsidP="00944F44">
      <w:pPr>
        <w:pStyle w:val="ListParagraph"/>
        <w:numPr>
          <w:ilvl w:val="0"/>
          <w:numId w:val="1"/>
        </w:numPr>
      </w:pPr>
      <w:r>
        <w:t>Knowledge and Data Economy</w:t>
      </w:r>
    </w:p>
    <w:p w14:paraId="344F7959" w14:textId="77777777" w:rsidR="00944F44" w:rsidRDefault="00944F44">
      <w:r>
        <w:t>The 2010s onward have seen the expansion of the knowledge and data economy. Information is no longer just content—it is a product of analytics, artificial intelligence, and predictive modeling (</w:t>
      </w:r>
      <w:proofErr w:type="spellStart"/>
      <w:r>
        <w:t>Brynjolfsson</w:t>
      </w:r>
      <w:proofErr w:type="spellEnd"/>
      <w:r>
        <w:t xml:space="preserve"> &amp; McAfee, 2014). Paywalls, online courses, and subscription-based software exemplify modern monetization strategies.</w:t>
      </w:r>
    </w:p>
    <w:p w14:paraId="67EF15A9" w14:textId="77777777" w:rsidR="00944F44" w:rsidRDefault="00944F44">
      <w:r>
        <w:t xml:space="preserve">Example: Academic publishers like Elsevier sell access to scholarly research, and AI platforms like </w:t>
      </w:r>
      <w:proofErr w:type="spellStart"/>
      <w:r>
        <w:t>ChatGPT</w:t>
      </w:r>
      <w:proofErr w:type="spellEnd"/>
      <w:r>
        <w:t xml:space="preserve"> generate commercial value from information processing.</w:t>
      </w:r>
    </w:p>
    <w:p w14:paraId="5A1ED56D" w14:textId="0AC261B0" w:rsidR="00944F44" w:rsidRDefault="00944F44" w:rsidP="00944F44">
      <w:pPr>
        <w:pStyle w:val="ListParagraph"/>
        <w:numPr>
          <w:ilvl w:val="0"/>
          <w:numId w:val="1"/>
        </w:numPr>
      </w:pPr>
      <w:r>
        <w:t>Future Trends</w:t>
      </w:r>
    </w:p>
    <w:p w14:paraId="6BEE990D" w14:textId="77777777" w:rsidR="00944F44" w:rsidRDefault="00944F44">
      <w:r>
        <w:t xml:space="preserve">Looking forward, information commercialization is likely to intensify through AI, </w:t>
      </w:r>
      <w:proofErr w:type="spellStart"/>
      <w:r>
        <w:t>blockchain</w:t>
      </w:r>
      <w:proofErr w:type="spellEnd"/>
      <w:r>
        <w:t>, and personalized analytics. Knowledge and data will become increasingly fragmented, packaged, and monetized, raising ethical considerations around privacy, ownership, and access.</w:t>
      </w:r>
    </w:p>
    <w:p w14:paraId="3B727B7D" w14:textId="77777777" w:rsidR="00944F44" w:rsidRDefault="00944F44">
      <w:r>
        <w:t>Example: NFTs (non-fungible tokens) of digital content represent one emerging method for directly monetizing information in a decentralized manner.</w:t>
      </w:r>
    </w:p>
    <w:p w14:paraId="31F83650" w14:textId="086A8A53" w:rsidR="00944F44" w:rsidRDefault="00944F44" w:rsidP="00944F44">
      <w:pPr>
        <w:pStyle w:val="ListParagraph"/>
        <w:numPr>
          <w:ilvl w:val="0"/>
          <w:numId w:val="1"/>
        </w:numPr>
      </w:pPr>
      <w:r>
        <w:t>Conclusion</w:t>
      </w:r>
    </w:p>
    <w:p w14:paraId="1A4874FB" w14:textId="77777777" w:rsidR="00944F44" w:rsidRDefault="00944F44">
      <w:r>
        <w:t>The commercialization of information has evolved from communal sharing to a sophisticated global economy. Each technological advance—from writing to AI—has increased the accessibility, value, and commercial potential of knowledge. Understanding this evolution provides insight into current economic models, digital media, and ethical challenges surrounding information as a commodity.</w:t>
      </w:r>
    </w:p>
    <w:p w14:paraId="68BC7375" w14:textId="77777777" w:rsidR="00944F44" w:rsidRDefault="00944F44">
      <w:r>
        <w:t>References</w:t>
      </w:r>
    </w:p>
    <w:p w14:paraId="20A64B23" w14:textId="77777777" w:rsidR="00944F44" w:rsidRDefault="00944F44">
      <w:proofErr w:type="spellStart"/>
      <w:r>
        <w:t>Barnouw</w:t>
      </w:r>
      <w:proofErr w:type="spellEnd"/>
      <w:r>
        <w:t>, E. (1990). Tube of Plenty: The Evolution of American Television. Oxford University Press.</w:t>
      </w:r>
    </w:p>
    <w:p w14:paraId="269D4C51" w14:textId="77777777" w:rsidR="00944F44" w:rsidRDefault="00944F44">
      <w:proofErr w:type="spellStart"/>
      <w:r>
        <w:t>Brynjolfsson</w:t>
      </w:r>
      <w:proofErr w:type="spellEnd"/>
      <w:r>
        <w:t>, E., &amp; McAfee, A. (2014). The Second Machine Age. W. W. Norton &amp; Company.</w:t>
      </w:r>
    </w:p>
    <w:p w14:paraId="7B8587A7" w14:textId="77777777" w:rsidR="00944F44" w:rsidRDefault="00944F44">
      <w:proofErr w:type="spellStart"/>
      <w:r>
        <w:t>Febvre</w:t>
      </w:r>
      <w:proofErr w:type="spellEnd"/>
      <w:r>
        <w:t>, L., &amp; Martin, H. J. (1976). The Coming of the Book. Verso.</w:t>
      </w:r>
    </w:p>
    <w:p w14:paraId="4CB215C4" w14:textId="77777777" w:rsidR="00944F44" w:rsidRDefault="00944F44">
      <w:r>
        <w:t>Goody, J. (1986). The Logic of Writing and the Organization of Society. Cambridge University Press.</w:t>
      </w:r>
    </w:p>
    <w:p w14:paraId="66F9E308" w14:textId="77777777" w:rsidR="00944F44" w:rsidRDefault="00944F44">
      <w:proofErr w:type="spellStart"/>
      <w:r>
        <w:t>McChesney</w:t>
      </w:r>
      <w:proofErr w:type="spellEnd"/>
      <w:r>
        <w:t>, R. W. (2008). The Political Economy of Media: Enduring Issues, Emerging Dilemmas. Monthly Review Press.</w:t>
      </w:r>
    </w:p>
    <w:p w14:paraId="1B879A27" w14:textId="77777777" w:rsidR="00944F44" w:rsidRDefault="00944F44">
      <w:r>
        <w:t>Ong, W. J. (1982). Orality and Literacy: The Technologizing of the Word. Routledge.</w:t>
      </w:r>
    </w:p>
    <w:p w14:paraId="3C318164" w14:textId="77777777" w:rsidR="00944F44" w:rsidRDefault="00944F44">
      <w:proofErr w:type="spellStart"/>
      <w:r>
        <w:t>Schudson</w:t>
      </w:r>
      <w:proofErr w:type="spellEnd"/>
      <w:r>
        <w:t>, M. (1978). Discovering the News: A Social History of American Newspapers. Basic Books.</w:t>
      </w:r>
    </w:p>
    <w:p w14:paraId="523DAE25" w14:textId="77777777" w:rsidR="00944F44" w:rsidRDefault="00944F44">
      <w:r>
        <w:t>Shapiro, C., &amp; Varian, H. R. (1999). Information Rules: A Strategic Guide to the Network Economy. Harvard Business School Press.</w:t>
      </w:r>
    </w:p>
    <w:p w14:paraId="2E532465" w14:textId="77777777" w:rsidR="00944F44" w:rsidRDefault="00944F44"/>
    <w:sectPr w:rsidR="00944F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notTrueType/>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357363"/>
    <w:multiLevelType w:val="hybridMultilevel"/>
    <w:tmpl w:val="28548F5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2563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F44"/>
    <w:rsid w:val="000D6172"/>
    <w:rsid w:val="008E61A9"/>
    <w:rsid w:val="00944F44"/>
    <w:rsid w:val="00A464CD"/>
    <w:rsid w:val="00B04052"/>
    <w:rsid w:val="00B84F28"/>
    <w:rsid w:val="00BD6CC9"/>
    <w:rsid w:val="00C23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9D3DB8"/>
  <w15:chartTrackingRefBased/>
  <w15:docId w15:val="{D44E15EA-222E-044F-8554-F4CA8AE29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4F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4F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4F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4F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4F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4F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4F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4F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4F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4F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4F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4F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4F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4F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4F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4F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4F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4F44"/>
    <w:rPr>
      <w:rFonts w:eastAsiaTheme="majorEastAsia" w:cstheme="majorBidi"/>
      <w:color w:val="272727" w:themeColor="text1" w:themeTint="D8"/>
    </w:rPr>
  </w:style>
  <w:style w:type="paragraph" w:styleId="Title">
    <w:name w:val="Title"/>
    <w:basedOn w:val="Normal"/>
    <w:next w:val="Normal"/>
    <w:link w:val="TitleChar"/>
    <w:uiPriority w:val="10"/>
    <w:qFormat/>
    <w:rsid w:val="00944F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4F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4F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4F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4F44"/>
    <w:pPr>
      <w:spacing w:before="160"/>
      <w:jc w:val="center"/>
    </w:pPr>
    <w:rPr>
      <w:i/>
      <w:iCs/>
      <w:color w:val="404040" w:themeColor="text1" w:themeTint="BF"/>
    </w:rPr>
  </w:style>
  <w:style w:type="character" w:customStyle="1" w:styleId="QuoteChar">
    <w:name w:val="Quote Char"/>
    <w:basedOn w:val="DefaultParagraphFont"/>
    <w:link w:val="Quote"/>
    <w:uiPriority w:val="29"/>
    <w:rsid w:val="00944F44"/>
    <w:rPr>
      <w:i/>
      <w:iCs/>
      <w:color w:val="404040" w:themeColor="text1" w:themeTint="BF"/>
    </w:rPr>
  </w:style>
  <w:style w:type="paragraph" w:styleId="ListParagraph">
    <w:name w:val="List Paragraph"/>
    <w:basedOn w:val="Normal"/>
    <w:uiPriority w:val="34"/>
    <w:qFormat/>
    <w:rsid w:val="00944F44"/>
    <w:pPr>
      <w:ind w:left="720"/>
      <w:contextualSpacing/>
    </w:pPr>
  </w:style>
  <w:style w:type="character" w:styleId="IntenseEmphasis">
    <w:name w:val="Intense Emphasis"/>
    <w:basedOn w:val="DefaultParagraphFont"/>
    <w:uiPriority w:val="21"/>
    <w:qFormat/>
    <w:rsid w:val="00944F44"/>
    <w:rPr>
      <w:i/>
      <w:iCs/>
      <w:color w:val="0F4761" w:themeColor="accent1" w:themeShade="BF"/>
    </w:rPr>
  </w:style>
  <w:style w:type="paragraph" w:styleId="IntenseQuote">
    <w:name w:val="Intense Quote"/>
    <w:basedOn w:val="Normal"/>
    <w:next w:val="Normal"/>
    <w:link w:val="IntenseQuoteChar"/>
    <w:uiPriority w:val="30"/>
    <w:qFormat/>
    <w:rsid w:val="00944F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4F44"/>
    <w:rPr>
      <w:i/>
      <w:iCs/>
      <w:color w:val="0F4761" w:themeColor="accent1" w:themeShade="BF"/>
    </w:rPr>
  </w:style>
  <w:style w:type="character" w:styleId="IntenseReference">
    <w:name w:val="Intense Reference"/>
    <w:basedOn w:val="DefaultParagraphFont"/>
    <w:uiPriority w:val="32"/>
    <w:qFormat/>
    <w:rsid w:val="00944F4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1052</Words>
  <Characters>6003</Characters>
  <Application>Microsoft Office Word</Application>
  <DocSecurity>0</DocSecurity>
  <Lines>50</Lines>
  <Paragraphs>14</Paragraphs>
  <ScaleCrop>false</ScaleCrop>
  <Company/>
  <LinksUpToDate>false</LinksUpToDate>
  <CharactersWithSpaces>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Angelito Malicse</dc:creator>
  <cp:keywords/>
  <dc:description/>
  <cp:lastModifiedBy>Angelito Malicse</cp:lastModifiedBy>
  <cp:revision>2</cp:revision>
  <dcterms:created xsi:type="dcterms:W3CDTF">2026-02-14T15:05:00Z</dcterms:created>
  <dcterms:modified xsi:type="dcterms:W3CDTF">2026-02-14T15:05:00Z</dcterms:modified>
</cp:coreProperties>
</file>