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7" w14:textId="77777777" w:rsidR="00B66D52" w:rsidRPr="006D3CA3" w:rsidRDefault="00000000">
      <w:pPr>
        <w:rPr>
          <w:rFonts w:ascii="EB Garamond" w:eastAsia="EB Garamond" w:hAnsi="EB Garamond" w:cs="EB Garamond"/>
          <w:sz w:val="24"/>
          <w:szCs w:val="24"/>
        </w:rPr>
      </w:pPr>
      <w:r w:rsidRPr="006D3CA3">
        <w:rPr>
          <w:rFonts w:ascii="EB Garamond" w:eastAsia="EB Garamond" w:hAnsi="EB Garamond" w:cs="EB Garamond"/>
          <w:sz w:val="24"/>
          <w:szCs w:val="24"/>
        </w:rPr>
        <w:t>Abstract:</w:t>
      </w:r>
      <w:r w:rsidRPr="006D3CA3">
        <w:rPr>
          <w:rFonts w:ascii="EB Garamond" w:eastAsia="EB Garamond" w:hAnsi="EB Garamond" w:cs="EB Garamond"/>
          <w:b/>
          <w:sz w:val="24"/>
          <w:szCs w:val="24"/>
        </w:rPr>
        <w:t xml:space="preserve"> </w:t>
      </w:r>
      <w:r w:rsidRPr="006D3CA3">
        <w:rPr>
          <w:rFonts w:ascii="EB Garamond" w:eastAsia="EB Garamond" w:hAnsi="EB Garamond" w:cs="EB Garamond"/>
          <w:sz w:val="24"/>
          <w:szCs w:val="24"/>
        </w:rPr>
        <w:t>This paper defends the existence of a largely overlooked cognitive virtue within the framework of telic virtue epistemology: doxastic courage. Doxastic courage is an exercise of doxastic control that mediates between the vices of excessive doubt and reckless belief. On this view, doxastic courage focuses on one’s own reflective assessment of the strength of the justification for their beliefs, assessing when it is prudent to risk being wrong to achieve truth. I argue that doxastic courage operates as an Aristotelian mean between four vices of belief including: hyperbolic doubt (excessive skeptical suspension), gullibility (deficient skeptical suspension), anti-expertise (deficient self-confidence), and dogmatism (excessive self-confidence). Using lessons from Cartesian methodological skepticism, I demonstrate how doxastic courage enables one to critically assess defeaters without succumbing to skepticism or unfounded ‘certainty.’ I argue that Cartesian and skeptical doubts, in being excessively timid, do not access the aim of cognitive prosperity that is implicit in theories of justified belief. With this telos in mind, doxastic courage is meant to support a nuanced balance that fosters intellectual growth without compromising necessary rigor.</w:t>
      </w:r>
    </w:p>
    <w:p w14:paraId="00000018" w14:textId="77777777" w:rsidR="00B66D52" w:rsidRPr="006D3CA3" w:rsidRDefault="00B66D52">
      <w:pPr>
        <w:rPr>
          <w:rFonts w:ascii="EB Garamond" w:eastAsia="EB Garamond" w:hAnsi="EB Garamond" w:cs="EB Garamond"/>
          <w:sz w:val="24"/>
          <w:szCs w:val="24"/>
        </w:rPr>
      </w:pPr>
    </w:p>
    <w:p w14:paraId="0000001B" w14:textId="41E3937C" w:rsidR="00B66D52" w:rsidRDefault="00000000" w:rsidP="00EC12A2">
      <w:pPr>
        <w:rPr>
          <w:rFonts w:ascii="EB Garamond" w:eastAsia="EB Garamond" w:hAnsi="EB Garamond" w:cs="EB Garamond"/>
          <w:sz w:val="24"/>
          <w:szCs w:val="24"/>
        </w:rPr>
      </w:pPr>
      <w:r w:rsidRPr="006D3CA3">
        <w:rPr>
          <w:rFonts w:ascii="EB Garamond" w:eastAsia="EB Garamond" w:hAnsi="EB Garamond" w:cs="EB Garamond"/>
          <w:sz w:val="24"/>
          <w:szCs w:val="24"/>
        </w:rPr>
        <w:t xml:space="preserve">Keywords: </w:t>
      </w:r>
      <w:r w:rsidR="00EC12A2" w:rsidRPr="00EC12A2">
        <w:rPr>
          <w:rFonts w:ascii="EB Garamond" w:eastAsia="EB Garamond" w:hAnsi="EB Garamond" w:cs="EB Garamond"/>
          <w:sz w:val="24"/>
          <w:szCs w:val="24"/>
        </w:rPr>
        <w:t>doxastic courage; virtue epistemology; epistemic responsibility; skepticism; Cartesian doubt; Descartes; ethics of belief; practical reason</w:t>
      </w:r>
      <w:r w:rsidR="00EC12A2">
        <w:rPr>
          <w:rFonts w:ascii="EB Garamond" w:eastAsia="EB Garamond" w:hAnsi="EB Garamond" w:cs="EB Garamond"/>
          <w:sz w:val="24"/>
          <w:szCs w:val="24"/>
        </w:rPr>
        <w:t>.</w:t>
      </w:r>
    </w:p>
    <w:p w14:paraId="0C31967E" w14:textId="77777777" w:rsidR="00EC12A2" w:rsidRPr="006D3CA3" w:rsidRDefault="00EC12A2" w:rsidP="00EC12A2">
      <w:pPr>
        <w:rPr>
          <w:rFonts w:ascii="EB Garamond" w:eastAsia="EB Garamond" w:hAnsi="EB Garamond" w:cs="EB Garamond"/>
          <w:sz w:val="24"/>
          <w:szCs w:val="24"/>
        </w:rPr>
      </w:pPr>
    </w:p>
    <w:p w14:paraId="0000001C" w14:textId="69A334A8" w:rsidR="00B66D52" w:rsidRPr="00091D25" w:rsidRDefault="00000000" w:rsidP="00091D25">
      <w:pPr>
        <w:pStyle w:val="ListParagraph"/>
        <w:numPr>
          <w:ilvl w:val="0"/>
          <w:numId w:val="4"/>
        </w:numPr>
        <w:rPr>
          <w:rFonts w:ascii="EB Garamond" w:eastAsia="EB Garamond" w:hAnsi="EB Garamond" w:cs="EB Garamond"/>
          <w:sz w:val="24"/>
          <w:szCs w:val="24"/>
        </w:rPr>
      </w:pPr>
      <w:r w:rsidRPr="00091D25">
        <w:rPr>
          <w:rFonts w:ascii="EB Garamond" w:eastAsia="EB Garamond" w:hAnsi="EB Garamond" w:cs="EB Garamond"/>
          <w:sz w:val="24"/>
          <w:szCs w:val="24"/>
        </w:rPr>
        <w:t>Introduction</w:t>
      </w:r>
    </w:p>
    <w:p w14:paraId="0000001D" w14:textId="77777777" w:rsidR="00B66D52" w:rsidRPr="006D3CA3" w:rsidRDefault="00B66D52">
      <w:pPr>
        <w:rPr>
          <w:rFonts w:ascii="EB Garamond" w:eastAsia="EB Garamond" w:hAnsi="EB Garamond" w:cs="EB Garamond"/>
          <w:sz w:val="24"/>
          <w:szCs w:val="24"/>
        </w:rPr>
      </w:pPr>
    </w:p>
    <w:p w14:paraId="0000001E" w14:textId="77777777" w:rsidR="00B66D52" w:rsidRPr="006D3CA3" w:rsidRDefault="00000000">
      <w:pPr>
        <w:rPr>
          <w:rFonts w:ascii="EB Garamond" w:eastAsia="EB Garamond" w:hAnsi="EB Garamond" w:cs="EB Garamond"/>
          <w:sz w:val="24"/>
          <w:szCs w:val="24"/>
        </w:rPr>
      </w:pPr>
      <w:r w:rsidRPr="006D3CA3">
        <w:rPr>
          <w:rFonts w:ascii="EB Garamond" w:eastAsia="EB Garamond" w:hAnsi="EB Garamond" w:cs="EB Garamond"/>
          <w:sz w:val="24"/>
          <w:szCs w:val="24"/>
        </w:rPr>
        <w:tab/>
        <w:t xml:space="preserve">It is a general prudential rule to never do more or less than is needed for some particular end. A trainer must tailor the food rationing of their trainee in accordance with their specific nutritional needs. An artist cannot be overly meticulous with her work, otherwise it will never be finished, nor can she brush the canvas with wanton disregard, as she risks failing to convey the intended meaning of her piece. For a master of any craft, it is prudential to avoid excess and deficiency for our particular end. So too does this notion of </w:t>
      </w:r>
      <w:proofErr w:type="spellStart"/>
      <w:r w:rsidRPr="006D3CA3">
        <w:rPr>
          <w:rFonts w:ascii="EB Garamond" w:eastAsia="EB Garamond" w:hAnsi="EB Garamond" w:cs="EB Garamond"/>
          <w:i/>
          <w:sz w:val="24"/>
          <w:szCs w:val="24"/>
        </w:rPr>
        <w:t>sôphrosunê</w:t>
      </w:r>
      <w:proofErr w:type="spellEnd"/>
      <w:r w:rsidRPr="006D3CA3">
        <w:rPr>
          <w:rFonts w:ascii="EB Garamond" w:eastAsia="EB Garamond" w:hAnsi="EB Garamond" w:cs="EB Garamond"/>
          <w:i/>
          <w:sz w:val="24"/>
          <w:szCs w:val="24"/>
        </w:rPr>
        <w:t xml:space="preserve"> </w:t>
      </w:r>
      <w:r w:rsidRPr="006D3CA3">
        <w:rPr>
          <w:rFonts w:ascii="EB Garamond" w:eastAsia="EB Garamond" w:hAnsi="EB Garamond" w:cs="EB Garamond"/>
          <w:sz w:val="24"/>
          <w:szCs w:val="24"/>
        </w:rPr>
        <w:t xml:space="preserve">(moderation) apply to the mind.  </w:t>
      </w:r>
    </w:p>
    <w:p w14:paraId="0000001F" w14:textId="77777777" w:rsidR="00B66D52" w:rsidRPr="006D3CA3" w:rsidRDefault="00000000">
      <w:pPr>
        <w:rPr>
          <w:rFonts w:ascii="EB Garamond" w:eastAsia="EB Garamond" w:hAnsi="EB Garamond" w:cs="EB Garamond"/>
          <w:sz w:val="24"/>
          <w:szCs w:val="24"/>
        </w:rPr>
      </w:pPr>
      <w:r w:rsidRPr="006D3CA3">
        <w:rPr>
          <w:rFonts w:ascii="EB Garamond" w:eastAsia="EB Garamond" w:hAnsi="EB Garamond" w:cs="EB Garamond"/>
          <w:sz w:val="24"/>
          <w:szCs w:val="24"/>
        </w:rPr>
        <w:tab/>
        <w:t xml:space="preserve">The mind is oriented generally towards both the pursuit of truth and avoidance of falsity. It is ordered to make sense of the world around us with an inbuilt design plan naturally attuned to error avoidance and the pursuit of truth. We experience a sense of ‘rightness’ in the face of logically sound argumentation and a feeling of explanatory insufficiency when we encounter patently circular arguments. We are also able to prioritize principles by means of intuition, understood as the mind’s immediate grasp of how certain we are of these principles. For example, we are more likely to (falsely) believe that Benjamin Harrison was not the twenty-third president of the United States than we are to believe that George Washington was not the first president. It seems, then, that our mind is deeply rational. What is good for the mind, in this case, is grasping for truth and avoiding falsity. Like Aquinas notes “the good of anything depends on the condition of its nature” (Aquinas, 1265–1274/1955, I–II, q. 59, a. 5, resp. 3). Virtues of the mind are therefore habits that aid the mind in </w:t>
      </w:r>
      <w:r w:rsidRPr="006D3CA3">
        <w:rPr>
          <w:rFonts w:ascii="EB Garamond" w:eastAsia="EB Garamond" w:hAnsi="EB Garamond" w:cs="EB Garamond"/>
          <w:sz w:val="24"/>
          <w:szCs w:val="24"/>
        </w:rPr>
        <w:lastRenderedPageBreak/>
        <w:t>pursuing truth and avoiding falsehood.</w:t>
      </w:r>
      <w:r w:rsidRPr="006D3CA3">
        <w:rPr>
          <w:rFonts w:ascii="EB Garamond" w:eastAsia="EB Garamond" w:hAnsi="EB Garamond" w:cs="EB Garamond"/>
          <w:sz w:val="24"/>
          <w:szCs w:val="24"/>
          <w:vertAlign w:val="superscript"/>
        </w:rPr>
        <w:footnoteReference w:id="1"/>
      </w:r>
      <w:r w:rsidRPr="006D3CA3">
        <w:rPr>
          <w:rFonts w:ascii="EB Garamond" w:eastAsia="EB Garamond" w:hAnsi="EB Garamond" w:cs="EB Garamond"/>
          <w:sz w:val="24"/>
          <w:szCs w:val="24"/>
        </w:rPr>
        <w:t xml:space="preserve"> But there is more to virtue than a merely instrumental function. Instead, there is the </w:t>
      </w:r>
      <w:r w:rsidRPr="006D3CA3">
        <w:rPr>
          <w:rFonts w:ascii="EB Garamond" w:eastAsia="EB Garamond" w:hAnsi="EB Garamond" w:cs="EB Garamond"/>
          <w:i/>
          <w:sz w:val="24"/>
          <w:szCs w:val="24"/>
        </w:rPr>
        <w:t>eudaimonia</w:t>
      </w:r>
      <w:r w:rsidRPr="006D3CA3">
        <w:rPr>
          <w:rFonts w:ascii="EB Garamond" w:eastAsia="EB Garamond" w:hAnsi="EB Garamond" w:cs="EB Garamond"/>
          <w:sz w:val="24"/>
          <w:szCs w:val="24"/>
        </w:rPr>
        <w:t xml:space="preserve"> that the virtues lead to: “a virtue is said to be about its acts, and in this sense the intellectual virtues are about those things by which a man is made happy; both because the acts of these virtues can be meritorious… and because they are a kind of beginning of perfect bliss, which consists in the contemplation of truth” (Aquinas, 1265–1274/1955, I–II, q. 56, a. 3). Aristotle separated the virtues of knowing into two categories: </w:t>
      </w:r>
      <w:proofErr w:type="spellStart"/>
      <w:r w:rsidRPr="006D3CA3">
        <w:rPr>
          <w:rFonts w:ascii="EB Garamond" w:eastAsia="EB Garamond" w:hAnsi="EB Garamond" w:cs="EB Garamond"/>
          <w:sz w:val="24"/>
          <w:szCs w:val="24"/>
        </w:rPr>
        <w:t>σοφί</w:t>
      </w:r>
      <w:proofErr w:type="spellEnd"/>
      <w:r w:rsidRPr="006D3CA3">
        <w:rPr>
          <w:rFonts w:ascii="EB Garamond" w:eastAsia="EB Garamond" w:hAnsi="EB Garamond" w:cs="EB Garamond"/>
          <w:sz w:val="24"/>
          <w:szCs w:val="24"/>
        </w:rPr>
        <w:t>α (</w:t>
      </w:r>
      <w:proofErr w:type="spellStart"/>
      <w:r w:rsidRPr="006D3CA3">
        <w:rPr>
          <w:rFonts w:ascii="EB Garamond" w:eastAsia="EB Garamond" w:hAnsi="EB Garamond" w:cs="EB Garamond"/>
          <w:sz w:val="24"/>
          <w:szCs w:val="24"/>
        </w:rPr>
        <w:t>sophia</w:t>
      </w:r>
      <w:proofErr w:type="spellEnd"/>
      <w:r w:rsidRPr="006D3CA3">
        <w:rPr>
          <w:rFonts w:ascii="EB Garamond" w:eastAsia="EB Garamond" w:hAnsi="EB Garamond" w:cs="EB Garamond"/>
          <w:sz w:val="24"/>
          <w:szCs w:val="24"/>
        </w:rPr>
        <w:t xml:space="preserve">), which is knowledge of wisdom concerning theoretical truths, and </w:t>
      </w:r>
      <w:proofErr w:type="spellStart"/>
      <w:r w:rsidRPr="006D3CA3">
        <w:rPr>
          <w:rFonts w:ascii="EB Garamond" w:eastAsia="EB Garamond" w:hAnsi="EB Garamond" w:cs="EB Garamond"/>
          <w:sz w:val="24"/>
          <w:szCs w:val="24"/>
        </w:rPr>
        <w:t>φρόνησις</w:t>
      </w:r>
      <w:proofErr w:type="spellEnd"/>
      <w:r w:rsidRPr="006D3CA3">
        <w:rPr>
          <w:rFonts w:ascii="EB Garamond" w:eastAsia="EB Garamond" w:hAnsi="EB Garamond" w:cs="EB Garamond"/>
          <w:sz w:val="24"/>
          <w:szCs w:val="24"/>
        </w:rPr>
        <w:t xml:space="preserve"> (phronesis), which is knowing pragmatically. Contemporary thinkers like Linda Zagzebski have argued that traits such as open-mindedness, wholeheartedness, and responsibility are all praiseworthy traits for pursuing cognitive prosperity: believing many things well.</w:t>
      </w:r>
      <w:r w:rsidRPr="006D3CA3">
        <w:rPr>
          <w:rFonts w:ascii="EB Garamond" w:eastAsia="EB Garamond" w:hAnsi="EB Garamond" w:cs="EB Garamond"/>
          <w:sz w:val="24"/>
          <w:szCs w:val="24"/>
          <w:vertAlign w:val="superscript"/>
        </w:rPr>
        <w:footnoteReference w:id="2"/>
      </w:r>
    </w:p>
    <w:p w14:paraId="00000020" w14:textId="16BD542D"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The purpose of this paper is to articulate an account of doxastic courage as a cognitive virtue. Doxastic courage governs the bounds of doubt and belief, </w:t>
      </w:r>
      <w:r w:rsidR="004322D3">
        <w:rPr>
          <w:rFonts w:ascii="EB Garamond" w:eastAsia="EB Garamond" w:hAnsi="EB Garamond" w:cs="EB Garamond"/>
          <w:sz w:val="24"/>
          <w:szCs w:val="24"/>
        </w:rPr>
        <w:t>maintaining</w:t>
      </w:r>
      <w:r w:rsidRPr="006D3CA3">
        <w:rPr>
          <w:rFonts w:ascii="EB Garamond" w:eastAsia="EB Garamond" w:hAnsi="EB Garamond" w:cs="EB Garamond"/>
          <w:sz w:val="24"/>
          <w:szCs w:val="24"/>
        </w:rPr>
        <w:t xml:space="preserve"> that we must doubt where </w:t>
      </w:r>
      <w:r w:rsidRPr="004322D3">
        <w:rPr>
          <w:rFonts w:ascii="EB Garamond" w:eastAsia="EB Garamond" w:hAnsi="EB Garamond" w:cs="EB Garamond"/>
          <w:i/>
          <w:iCs/>
          <w:sz w:val="24"/>
          <w:szCs w:val="24"/>
        </w:rPr>
        <w:t>phronesis</w:t>
      </w:r>
      <w:r w:rsidRPr="006D3CA3">
        <w:rPr>
          <w:rFonts w:ascii="EB Garamond" w:eastAsia="EB Garamond" w:hAnsi="EB Garamond" w:cs="EB Garamond"/>
          <w:sz w:val="24"/>
          <w:szCs w:val="24"/>
        </w:rPr>
        <w:t xml:space="preserve"> warrants it but refrain from doubting excessively. Both fear of error and overconfidence in our beliefs may be intellectual impulses which drive us away from the mean of courage, but it is vital to determine where doubt is appropriate and neither apply it in excess nor in deficiency. Within a telic virtue-epistemological</w:t>
      </w:r>
      <w:r w:rsidRPr="006D3CA3">
        <w:rPr>
          <w:rFonts w:ascii="EB Garamond" w:eastAsia="EB Garamond" w:hAnsi="EB Garamond" w:cs="EB Garamond"/>
          <w:sz w:val="24"/>
          <w:szCs w:val="24"/>
          <w:vertAlign w:val="superscript"/>
        </w:rPr>
        <w:footnoteReference w:id="3"/>
      </w:r>
      <w:r w:rsidRPr="006D3CA3">
        <w:rPr>
          <w:rFonts w:ascii="EB Garamond" w:eastAsia="EB Garamond" w:hAnsi="EB Garamond" w:cs="EB Garamond"/>
          <w:sz w:val="24"/>
          <w:szCs w:val="24"/>
        </w:rPr>
        <w:t xml:space="preserve"> framework, I argue that doxastic courage represents an important virtue that aims to strike the balance between believing too little and believing too much (and, correspondingly, between doubting in excess and in deficiency). The paper provides a unique account of this virtue that, in being a golden mean, unifies four vices of belief formation that are often considered in isolation of one another: dogmatism (excess confidence in one’s beliefs), gullibility (deficient fear in believing wrongly), hyperbolic doubt (excess fear in believing wrongly), and anti-expertise (deficient confidence in one’s beliefs).</w:t>
      </w:r>
    </w:p>
    <w:p w14:paraId="00000021"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Before defining doxastic courage exactly, I will introduce variations of skepticism whose failure will suggest the necessity of such a virtue. These variations are all forms of methodological skepticism, a form of skepticism exemplified by (but not exclusive to) Descartes. The maxim employed by methodological skepticism is to simply withhold belief unless a certain belief condition</w:t>
      </w:r>
      <w:r w:rsidRPr="006D3CA3">
        <w:rPr>
          <w:rFonts w:ascii="EB Garamond" w:eastAsia="EB Garamond" w:hAnsi="EB Garamond" w:cs="EB Garamond"/>
          <w:sz w:val="24"/>
          <w:szCs w:val="24"/>
          <w:vertAlign w:val="superscript"/>
        </w:rPr>
        <w:footnoteReference w:id="4"/>
      </w:r>
      <w:r w:rsidRPr="006D3CA3">
        <w:rPr>
          <w:rFonts w:ascii="EB Garamond" w:eastAsia="EB Garamond" w:hAnsi="EB Garamond" w:cs="EB Garamond"/>
          <w:sz w:val="24"/>
          <w:szCs w:val="24"/>
        </w:rPr>
        <w:t xml:space="preserve">, namely certainty or near-certain confidence, is met. To show how methodological skepticism fails to produce </w:t>
      </w:r>
      <w:r w:rsidRPr="006D3CA3">
        <w:rPr>
          <w:rFonts w:ascii="EB Garamond" w:eastAsia="EB Garamond" w:hAnsi="EB Garamond" w:cs="EB Garamond"/>
          <w:sz w:val="24"/>
          <w:szCs w:val="24"/>
        </w:rPr>
        <w:lastRenderedPageBreak/>
        <w:t xml:space="preserve">cognitive prosperity, I will use Descartes’ work as the paradigmatic example, which I examine in Section 2. I will, at the beginning of Section 3, explain how such doubt is ouroboric (i.e., self-consuming). In the final two subsections of Section 3, I will refute two gradually less doxastically timid forms of methodological skepticism, namely what I call a ‘bounded’ methodological doubt and sense-data doubt. A clear picture of doxastic courage is presented in Section 4, with Section 4.1 introducing essential forms and components of courage in a broadly Aristotelian framework and 4.2 advancing </w:t>
      </w:r>
      <w:proofErr w:type="spellStart"/>
      <w:r w:rsidRPr="0024660B">
        <w:rPr>
          <w:rFonts w:ascii="EB Garamond" w:eastAsia="EB Garamond" w:hAnsi="EB Garamond" w:cs="EB Garamond"/>
          <w:i/>
          <w:iCs/>
          <w:sz w:val="24"/>
          <w:szCs w:val="24"/>
        </w:rPr>
        <w:t>phronetic</w:t>
      </w:r>
      <w:proofErr w:type="spellEnd"/>
      <w:r w:rsidRPr="006D3CA3">
        <w:rPr>
          <w:rFonts w:ascii="EB Garamond" w:eastAsia="EB Garamond" w:hAnsi="EB Garamond" w:cs="EB Garamond"/>
          <w:sz w:val="24"/>
          <w:szCs w:val="24"/>
        </w:rPr>
        <w:t xml:space="preserve"> belief formation, precisely defining doxastic courage. This paper, much like the </w:t>
      </w:r>
      <w:r w:rsidRPr="006D3CA3">
        <w:rPr>
          <w:rFonts w:ascii="EB Garamond" w:eastAsia="EB Garamond" w:hAnsi="EB Garamond" w:cs="EB Garamond"/>
          <w:i/>
          <w:sz w:val="24"/>
          <w:szCs w:val="24"/>
        </w:rPr>
        <w:t>Meditations</w:t>
      </w:r>
      <w:r w:rsidRPr="006D3CA3">
        <w:rPr>
          <w:rFonts w:ascii="EB Garamond" w:eastAsia="EB Garamond" w:hAnsi="EB Garamond" w:cs="EB Garamond"/>
          <w:sz w:val="24"/>
          <w:szCs w:val="24"/>
        </w:rPr>
        <w:t>, is structured as a journey with its end at cognitive prosperity. As we traverse the scale from the most exigent form of doubt (unbounded methodological doubt), to bounded methodological doubt and eventually methodological sense-doubt, we will arrive at the golden mean of doxastic courage.</w:t>
      </w:r>
    </w:p>
    <w:p w14:paraId="00000022" w14:textId="1C012D91"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Naturally, one might ask why believing in spite of exaggerated skeptical possibilities ought to be considered courage. Courage, in the classical Aristotelian framework, is a medial condition between fear and confidence. The belief that “I have two hands” in a normal case should not be thought of as a courageous action; however, the same belief for someone prone to Cartesian worries of an evil demon is indeed courageous. </w:t>
      </w:r>
      <w:r w:rsidRPr="006D3CA3">
        <w:rPr>
          <w:rFonts w:ascii="EB Garamond" w:eastAsia="EB Garamond" w:hAnsi="EB Garamond" w:cs="EB Garamond"/>
          <w:i/>
          <w:sz w:val="24"/>
          <w:szCs w:val="24"/>
        </w:rPr>
        <w:t>Phronesis</w:t>
      </w:r>
      <w:r w:rsidRPr="006D3CA3">
        <w:rPr>
          <w:rFonts w:ascii="EB Garamond" w:eastAsia="EB Garamond" w:hAnsi="EB Garamond" w:cs="EB Garamond"/>
          <w:sz w:val="24"/>
          <w:szCs w:val="24"/>
        </w:rPr>
        <w:t xml:space="preserve"> is pivotal in determining the form of courageous action given the </w:t>
      </w:r>
      <w:r w:rsidR="00106E0C">
        <w:rPr>
          <w:rFonts w:ascii="EB Garamond" w:eastAsia="EB Garamond" w:hAnsi="EB Garamond" w:cs="EB Garamond"/>
          <w:sz w:val="24"/>
          <w:szCs w:val="24"/>
        </w:rPr>
        <w:t>epistemic situation</w:t>
      </w:r>
      <w:r w:rsidRPr="006D3CA3">
        <w:rPr>
          <w:rFonts w:ascii="EB Garamond" w:eastAsia="EB Garamond" w:hAnsi="EB Garamond" w:cs="EB Garamond"/>
          <w:sz w:val="24"/>
          <w:szCs w:val="24"/>
        </w:rPr>
        <w:t xml:space="preserve"> that the believer finds themself in. </w:t>
      </w:r>
    </w:p>
    <w:p w14:paraId="00000023" w14:textId="77777777" w:rsidR="00B66D52" w:rsidRPr="006D3CA3" w:rsidRDefault="00B66D52">
      <w:pPr>
        <w:ind w:left="720"/>
        <w:rPr>
          <w:rFonts w:ascii="EB Garamond" w:eastAsia="EB Garamond" w:hAnsi="EB Garamond" w:cs="EB Garamond"/>
          <w:sz w:val="24"/>
          <w:szCs w:val="24"/>
        </w:rPr>
      </w:pPr>
    </w:p>
    <w:p w14:paraId="00000024" w14:textId="0DF99DA7" w:rsidR="00B66D52" w:rsidRPr="00091D25" w:rsidRDefault="00000000" w:rsidP="00091D25">
      <w:pPr>
        <w:pStyle w:val="ListParagraph"/>
        <w:numPr>
          <w:ilvl w:val="0"/>
          <w:numId w:val="4"/>
        </w:numPr>
        <w:rPr>
          <w:rFonts w:ascii="EB Garamond" w:eastAsia="EB Garamond" w:hAnsi="EB Garamond" w:cs="EB Garamond"/>
          <w:sz w:val="24"/>
          <w:szCs w:val="24"/>
        </w:rPr>
      </w:pPr>
      <w:r w:rsidRPr="00091D25">
        <w:rPr>
          <w:rFonts w:ascii="EB Garamond" w:eastAsia="EB Garamond" w:hAnsi="EB Garamond" w:cs="EB Garamond"/>
          <w:sz w:val="24"/>
          <w:szCs w:val="24"/>
        </w:rPr>
        <w:t>Epistemic Risk and Cartesian Doubt</w:t>
      </w:r>
    </w:p>
    <w:p w14:paraId="00000025" w14:textId="77777777" w:rsidR="00B66D52" w:rsidRPr="006D3CA3" w:rsidRDefault="00B66D52">
      <w:pPr>
        <w:ind w:left="720"/>
        <w:rPr>
          <w:rFonts w:ascii="EB Garamond" w:eastAsia="EB Garamond" w:hAnsi="EB Garamond" w:cs="EB Garamond"/>
          <w:sz w:val="24"/>
          <w:szCs w:val="24"/>
        </w:rPr>
      </w:pPr>
    </w:p>
    <w:p w14:paraId="00000026"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Justification is a product of the evidential support that one has for some doxastic attitude. Our evidential support often indicates a level of certainty, which I will call confidence, but we may adjust the minimum point at which our evidence supports a belief enough to consider the belief justified. That is, a rational agent can determine for themselves the confidence they must have to be said to have enough evidence to believe </w:t>
      </w:r>
      <w:r w:rsidRPr="006D3CA3">
        <w:rPr>
          <w:rFonts w:ascii="EB Garamond" w:eastAsia="EB Garamond" w:hAnsi="EB Garamond" w:cs="EB Garamond"/>
          <w:i/>
          <w:sz w:val="24"/>
          <w:szCs w:val="24"/>
        </w:rPr>
        <w:t>p.</w:t>
      </w:r>
      <w:r w:rsidRPr="006D3CA3">
        <w:rPr>
          <w:rFonts w:ascii="EB Garamond" w:eastAsia="EB Garamond" w:hAnsi="EB Garamond" w:cs="EB Garamond"/>
          <w:sz w:val="24"/>
          <w:szCs w:val="24"/>
          <w:vertAlign w:val="superscript"/>
        </w:rPr>
        <w:footnoteReference w:id="5"/>
      </w:r>
      <w:r w:rsidRPr="006D3CA3">
        <w:rPr>
          <w:rFonts w:ascii="EB Garamond" w:eastAsia="EB Garamond" w:hAnsi="EB Garamond" w:cs="EB Garamond"/>
          <w:sz w:val="24"/>
          <w:szCs w:val="24"/>
        </w:rPr>
        <w:t xml:space="preserve"> The standard for sufficiently justified belief is widely considered to be less certain than that of knowledge, with knowledge classically being regarded as fully justified belief. Famously, René Descartes embarked on a project in which he “held as well-nigh false everything that was merely probable” (AT 6:8, CSM 1:115).</w:t>
      </w:r>
      <w:r w:rsidRPr="006D3CA3">
        <w:rPr>
          <w:rFonts w:ascii="EB Garamond" w:eastAsia="EB Garamond" w:hAnsi="EB Garamond" w:cs="EB Garamond"/>
          <w:sz w:val="24"/>
          <w:szCs w:val="24"/>
          <w:vertAlign w:val="superscript"/>
        </w:rPr>
        <w:footnoteReference w:id="6"/>
      </w:r>
      <w:r w:rsidRPr="006D3CA3">
        <w:rPr>
          <w:rFonts w:ascii="EB Garamond" w:eastAsia="EB Garamond" w:hAnsi="EB Garamond" w:cs="EB Garamond"/>
          <w:sz w:val="24"/>
          <w:szCs w:val="24"/>
        </w:rPr>
        <w:t xml:space="preserve">  For him, what is certain is known and something is justified if and only if it is certain.</w:t>
      </w:r>
      <w:r w:rsidRPr="006D3CA3">
        <w:rPr>
          <w:rFonts w:ascii="EB Garamond" w:eastAsia="EB Garamond" w:hAnsi="EB Garamond" w:cs="EB Garamond"/>
          <w:sz w:val="24"/>
          <w:szCs w:val="24"/>
          <w:vertAlign w:val="superscript"/>
        </w:rPr>
        <w:footnoteReference w:id="7"/>
      </w:r>
    </w:p>
    <w:p w14:paraId="00000027"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Cartesian doubt, therefore, is the position that the standard of justified belief ought to be at absolute certainty. Hyperbolic doubt will be a broader term that I use to denote a vice of excessive </w:t>
      </w:r>
      <w:r w:rsidRPr="006D3CA3">
        <w:rPr>
          <w:rFonts w:ascii="EB Garamond" w:eastAsia="EB Garamond" w:hAnsi="EB Garamond" w:cs="EB Garamond"/>
          <w:sz w:val="24"/>
          <w:szCs w:val="24"/>
        </w:rPr>
        <w:lastRenderedPageBreak/>
        <w:t>doubt.</w:t>
      </w:r>
      <w:r w:rsidRPr="006D3CA3">
        <w:rPr>
          <w:rFonts w:ascii="EB Garamond" w:eastAsia="EB Garamond" w:hAnsi="EB Garamond" w:cs="EB Garamond"/>
          <w:sz w:val="24"/>
          <w:szCs w:val="24"/>
          <w:vertAlign w:val="superscript"/>
        </w:rPr>
        <w:footnoteReference w:id="8"/>
      </w:r>
      <w:r w:rsidRPr="006D3CA3">
        <w:rPr>
          <w:rFonts w:ascii="EB Garamond" w:eastAsia="EB Garamond" w:hAnsi="EB Garamond" w:cs="EB Garamond"/>
          <w:sz w:val="24"/>
          <w:szCs w:val="24"/>
        </w:rPr>
        <w:t xml:space="preserve"> In referring to a subject who affirms Cartesian doubt, I will use the term ‘Cartesian doubter.’ Doubt which forces us to suspend belief about any proposition due to the risk that we are naturally in error will be referred to as meta-cognitive doubt. In what follows, I will be using the Cartesian iterations of unbounded and bounded methodological doubt. What classically differs between the forms of methodological doubt is not the method itself, but the scope of its application.</w:t>
      </w:r>
    </w:p>
    <w:p w14:paraId="00000028"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The approach has the appeal of never being actively incorrect about some proposition. It is structurally impossible to be wrong about a belief if the approach is applied properly. If there is any room to be wrong about a proposition, then the method of doubt precludes the proposition from being believed, and therefore, that person cannot be wrong. Such a method seems to be beneficial for someone dedicated to embarking on a project with the hope of finding the </w:t>
      </w:r>
      <w:r w:rsidRPr="006D3CA3">
        <w:rPr>
          <w:rFonts w:ascii="EB Garamond" w:eastAsia="EB Garamond" w:hAnsi="EB Garamond" w:cs="EB Garamond"/>
          <w:i/>
          <w:sz w:val="24"/>
          <w:szCs w:val="24"/>
        </w:rPr>
        <w:t>true</w:t>
      </w:r>
      <w:r w:rsidRPr="006D3CA3">
        <w:rPr>
          <w:rFonts w:ascii="EB Garamond" w:eastAsia="EB Garamond" w:hAnsi="EB Garamond" w:cs="EB Garamond"/>
          <w:sz w:val="24"/>
          <w:szCs w:val="24"/>
        </w:rPr>
        <w:t xml:space="preserve"> bedrock upon which they can rest all </w:t>
      </w:r>
      <w:proofErr w:type="spellStart"/>
      <w:r w:rsidRPr="006D3CA3">
        <w:rPr>
          <w:rFonts w:ascii="EB Garamond" w:eastAsia="EB Garamond" w:hAnsi="EB Garamond" w:cs="EB Garamond"/>
          <w:i/>
          <w:sz w:val="24"/>
          <w:szCs w:val="24"/>
        </w:rPr>
        <w:t>scientia</w:t>
      </w:r>
      <w:proofErr w:type="spellEnd"/>
      <w:r w:rsidRPr="006D3CA3">
        <w:rPr>
          <w:rFonts w:ascii="EB Garamond" w:eastAsia="EB Garamond" w:hAnsi="EB Garamond" w:cs="EB Garamond"/>
          <w:i/>
          <w:sz w:val="24"/>
          <w:szCs w:val="24"/>
        </w:rPr>
        <w:t>.</w:t>
      </w:r>
      <w:r w:rsidRPr="006D3CA3">
        <w:rPr>
          <w:rFonts w:ascii="EB Garamond" w:eastAsia="EB Garamond" w:hAnsi="EB Garamond" w:cs="EB Garamond"/>
          <w:sz w:val="24"/>
          <w:szCs w:val="24"/>
          <w:vertAlign w:val="superscript"/>
        </w:rPr>
        <w:footnoteReference w:id="9"/>
      </w:r>
      <w:r w:rsidRPr="006D3CA3">
        <w:rPr>
          <w:rFonts w:ascii="EB Garamond" w:eastAsia="EB Garamond" w:hAnsi="EB Garamond" w:cs="EB Garamond"/>
          <w:sz w:val="24"/>
          <w:szCs w:val="24"/>
        </w:rPr>
        <w:t xml:space="preserve"> Descartes writes:</w:t>
      </w:r>
    </w:p>
    <w:p w14:paraId="00000029" w14:textId="77777777" w:rsidR="00B66D52" w:rsidRPr="006D3CA3" w:rsidRDefault="00B66D52">
      <w:pPr>
        <w:ind w:left="720" w:firstLine="720"/>
        <w:rPr>
          <w:rFonts w:ascii="EB Garamond" w:eastAsia="EB Garamond" w:hAnsi="EB Garamond" w:cs="EB Garamond"/>
          <w:sz w:val="24"/>
          <w:szCs w:val="24"/>
        </w:rPr>
      </w:pPr>
    </w:p>
    <w:p w14:paraId="0000002A" w14:textId="77777777" w:rsidR="00B66D52" w:rsidRPr="006D3CA3" w:rsidRDefault="00000000">
      <w:pPr>
        <w:ind w:left="1080"/>
        <w:rPr>
          <w:rFonts w:ascii="EB Garamond" w:eastAsia="EB Garamond" w:hAnsi="EB Garamond" w:cs="EB Garamond"/>
        </w:rPr>
      </w:pPr>
      <w:r w:rsidRPr="006D3CA3">
        <w:rPr>
          <w:rFonts w:ascii="EB Garamond" w:eastAsia="EB Garamond" w:hAnsi="EB Garamond" w:cs="EB Garamond"/>
        </w:rPr>
        <w:t xml:space="preserve">“Suppose he had a basket full of apples and, being worried that some of the apples were rotten, wanted to take out the rotten ones to prevent the rot spreading. How would he proceed? Would he not begin by tipping the whole lot out of the basket? And would not the next step be to cast his eye over each apple in turn, and pick up and put back in the basket only those he saw to be sound, leaving the others? In just the same way, those who have never philosophized correctly have various opinions in their minds which they have begun to store up since childhood, and which they therefore have reason to believe may in many cases be false. They then attempt to separate the false beliefs from the others, so as to prevent their contaminating the rest and making the whole lot uncertain. Now the best way they can accomplish this is to reject all their beliefs together in one go, as if they were all uncertain and false. They can then go over each belief in turn and re-adopt only those which they recognize to be true and indubitable. </w:t>
      </w:r>
      <w:proofErr w:type="gramStart"/>
      <w:r w:rsidRPr="006D3CA3">
        <w:rPr>
          <w:rFonts w:ascii="EB Garamond" w:eastAsia="EB Garamond" w:hAnsi="EB Garamond" w:cs="EB Garamond"/>
        </w:rPr>
        <w:t>Thus</w:t>
      </w:r>
      <w:proofErr w:type="gramEnd"/>
      <w:r w:rsidRPr="006D3CA3">
        <w:rPr>
          <w:rFonts w:ascii="EB Garamond" w:eastAsia="EB Garamond" w:hAnsi="EB Garamond" w:cs="EB Garamond"/>
        </w:rPr>
        <w:t xml:space="preserve"> I was right to begin by rejecting all my beliefs (AT 7:481, CSM 2:324).”</w:t>
      </w:r>
    </w:p>
    <w:p w14:paraId="0000002B" w14:textId="77777777" w:rsidR="00B66D52" w:rsidRPr="006D3CA3" w:rsidRDefault="00B66D52">
      <w:pPr>
        <w:rPr>
          <w:rFonts w:ascii="EB Garamond" w:eastAsia="EB Garamond" w:hAnsi="EB Garamond" w:cs="EB Garamond"/>
          <w:sz w:val="24"/>
          <w:szCs w:val="24"/>
        </w:rPr>
      </w:pPr>
    </w:p>
    <w:p w14:paraId="0000002C"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Descartes is pointing us to a probabilistic account of epistemic risk. By holding onto an uncertain foundation, we risk downstream falsehoods springing up in unforeseen places with no way to correct for them. Therefore, it is best to proceed with an absolutely certain foundation. Such an account of risk will be of vital importance in developing the virtue of doxastic courage. Certainty for the Cartesian doubter is </w:t>
      </w:r>
      <w:r w:rsidRPr="006D3CA3">
        <w:rPr>
          <w:rFonts w:ascii="EB Garamond" w:eastAsia="EB Garamond" w:hAnsi="EB Garamond" w:cs="EB Garamond"/>
          <w:i/>
          <w:sz w:val="24"/>
          <w:szCs w:val="24"/>
        </w:rPr>
        <w:t>defined</w:t>
      </w:r>
      <w:r w:rsidRPr="006D3CA3">
        <w:rPr>
          <w:rFonts w:ascii="EB Garamond" w:eastAsia="EB Garamond" w:hAnsi="EB Garamond" w:cs="EB Garamond"/>
          <w:sz w:val="24"/>
          <w:szCs w:val="24"/>
        </w:rPr>
        <w:t xml:space="preserve"> in something’s indubitability, where some proposition </w:t>
      </w:r>
      <w:r w:rsidRPr="006D3CA3">
        <w:rPr>
          <w:rFonts w:ascii="EB Garamond" w:eastAsia="EB Garamond" w:hAnsi="EB Garamond" w:cs="EB Garamond"/>
          <w:i/>
          <w:sz w:val="24"/>
          <w:szCs w:val="24"/>
        </w:rPr>
        <w:t>p</w:t>
      </w:r>
      <w:r w:rsidRPr="006D3CA3">
        <w:rPr>
          <w:rFonts w:ascii="EB Garamond" w:eastAsia="EB Garamond" w:hAnsi="EB Garamond" w:cs="EB Garamond"/>
          <w:sz w:val="24"/>
          <w:szCs w:val="24"/>
        </w:rPr>
        <w:t xml:space="preserve"> is certain just </w:t>
      </w:r>
      <w:r w:rsidRPr="006D3CA3">
        <w:rPr>
          <w:rFonts w:ascii="EB Garamond" w:eastAsia="EB Garamond" w:hAnsi="EB Garamond" w:cs="EB Garamond"/>
          <w:sz w:val="24"/>
          <w:szCs w:val="24"/>
        </w:rPr>
        <w:lastRenderedPageBreak/>
        <w:t>in case it cannot be doubted. Uncertain truth is of little value to Descartes, but a broad network of truths can be made certain from basic axioms and simple reasoning.</w:t>
      </w:r>
      <w:r w:rsidRPr="006D3CA3">
        <w:rPr>
          <w:rFonts w:ascii="EB Garamond" w:eastAsia="EB Garamond" w:hAnsi="EB Garamond" w:cs="EB Garamond"/>
          <w:sz w:val="24"/>
          <w:szCs w:val="24"/>
          <w:vertAlign w:val="superscript"/>
        </w:rPr>
        <w:footnoteReference w:id="10"/>
      </w:r>
    </w:p>
    <w:p w14:paraId="0000002D"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Cartesian doubt is traditionally presented with a host of unnamed critical assumptions that I refer to as the foundational assumptions. Such assumptions ought to be explained, as they will prove vital in understanding the next section. The foundational assumptions include:</w:t>
      </w:r>
    </w:p>
    <w:p w14:paraId="0000002E" w14:textId="77777777" w:rsidR="00B66D52" w:rsidRPr="006D3CA3" w:rsidRDefault="00B66D52">
      <w:pPr>
        <w:ind w:left="720" w:firstLine="720"/>
        <w:rPr>
          <w:rFonts w:ascii="EB Garamond" w:eastAsia="EB Garamond" w:hAnsi="EB Garamond" w:cs="EB Garamond"/>
          <w:sz w:val="24"/>
          <w:szCs w:val="24"/>
        </w:rPr>
      </w:pPr>
    </w:p>
    <w:p w14:paraId="0000002F" w14:textId="77777777" w:rsidR="00B66D52" w:rsidRPr="006D3CA3" w:rsidRDefault="00000000">
      <w:pPr>
        <w:numPr>
          <w:ilvl w:val="0"/>
          <w:numId w:val="1"/>
        </w:numPr>
        <w:rPr>
          <w:rFonts w:ascii="EB Garamond" w:eastAsia="EB Garamond" w:hAnsi="EB Garamond" w:cs="EB Garamond"/>
          <w:sz w:val="24"/>
          <w:szCs w:val="24"/>
        </w:rPr>
      </w:pPr>
      <w:r w:rsidRPr="006D3CA3">
        <w:rPr>
          <w:rFonts w:ascii="EB Garamond" w:eastAsia="EB Garamond" w:hAnsi="EB Garamond" w:cs="EB Garamond"/>
          <w:sz w:val="24"/>
          <w:szCs w:val="24"/>
        </w:rPr>
        <w:t>Act-object metaphysics of ideas.</w:t>
      </w:r>
    </w:p>
    <w:p w14:paraId="00000030" w14:textId="77777777" w:rsidR="00B66D52" w:rsidRPr="006D3CA3" w:rsidRDefault="00000000">
      <w:pPr>
        <w:numPr>
          <w:ilvl w:val="0"/>
          <w:numId w:val="1"/>
        </w:numPr>
        <w:rPr>
          <w:rFonts w:ascii="EB Garamond" w:eastAsia="EB Garamond" w:hAnsi="EB Garamond" w:cs="EB Garamond"/>
          <w:sz w:val="24"/>
          <w:szCs w:val="24"/>
        </w:rPr>
      </w:pPr>
      <w:r w:rsidRPr="006D3CA3">
        <w:rPr>
          <w:rFonts w:ascii="EB Garamond" w:eastAsia="EB Garamond" w:hAnsi="EB Garamond" w:cs="EB Garamond"/>
          <w:sz w:val="24"/>
          <w:szCs w:val="24"/>
        </w:rPr>
        <w:t>Indiscernibility thesis.</w:t>
      </w:r>
    </w:p>
    <w:p w14:paraId="00000031" w14:textId="77777777" w:rsidR="00B66D52" w:rsidRPr="006D3CA3" w:rsidRDefault="00000000">
      <w:pPr>
        <w:numPr>
          <w:ilvl w:val="0"/>
          <w:numId w:val="1"/>
        </w:numPr>
        <w:rPr>
          <w:rFonts w:ascii="EB Garamond" w:eastAsia="EB Garamond" w:hAnsi="EB Garamond" w:cs="EB Garamond"/>
          <w:sz w:val="24"/>
          <w:szCs w:val="24"/>
        </w:rPr>
      </w:pPr>
      <w:r w:rsidRPr="006D3CA3">
        <w:rPr>
          <w:rFonts w:ascii="EB Garamond" w:eastAsia="EB Garamond" w:hAnsi="EB Garamond" w:cs="EB Garamond"/>
          <w:sz w:val="24"/>
          <w:szCs w:val="24"/>
        </w:rPr>
        <w:t>Purely phenomenological access to certainty.</w:t>
      </w:r>
    </w:p>
    <w:p w14:paraId="00000032" w14:textId="77777777" w:rsidR="00B66D52" w:rsidRPr="006D3CA3" w:rsidRDefault="00B66D52">
      <w:pPr>
        <w:ind w:left="720" w:firstLine="720"/>
        <w:rPr>
          <w:rFonts w:ascii="EB Garamond" w:eastAsia="EB Garamond" w:hAnsi="EB Garamond" w:cs="EB Garamond"/>
          <w:sz w:val="24"/>
          <w:szCs w:val="24"/>
        </w:rPr>
      </w:pPr>
    </w:p>
    <w:p w14:paraId="00000033"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The most important of the foundational assumptions is the Cartesian act-object metaphysics of ideas.</w:t>
      </w:r>
      <w:r w:rsidRPr="006D3CA3">
        <w:rPr>
          <w:rFonts w:ascii="EB Garamond" w:eastAsia="EB Garamond" w:hAnsi="EB Garamond" w:cs="EB Garamond"/>
          <w:sz w:val="24"/>
          <w:szCs w:val="24"/>
          <w:vertAlign w:val="superscript"/>
        </w:rPr>
        <w:footnoteReference w:id="11"/>
      </w:r>
      <w:r w:rsidRPr="006D3CA3">
        <w:rPr>
          <w:rFonts w:ascii="EB Garamond" w:eastAsia="EB Garamond" w:hAnsi="EB Garamond" w:cs="EB Garamond"/>
          <w:sz w:val="24"/>
          <w:szCs w:val="24"/>
        </w:rPr>
        <w:t xml:space="preserve"> This view argues that apprehension of the external world is indirect and mediated by sense faculties, while ideas are accessed completely immediately as objects of perception.</w:t>
      </w:r>
      <w:r w:rsidRPr="006D3CA3">
        <w:rPr>
          <w:rFonts w:ascii="EB Garamond" w:eastAsia="EB Garamond" w:hAnsi="EB Garamond" w:cs="EB Garamond"/>
          <w:sz w:val="24"/>
          <w:szCs w:val="24"/>
          <w:vertAlign w:val="superscript"/>
        </w:rPr>
        <w:footnoteReference w:id="12"/>
      </w:r>
      <w:r w:rsidRPr="006D3CA3">
        <w:rPr>
          <w:rFonts w:ascii="EB Garamond" w:eastAsia="EB Garamond" w:hAnsi="EB Garamond" w:cs="EB Garamond"/>
          <w:sz w:val="24"/>
          <w:szCs w:val="24"/>
        </w:rPr>
        <w:t xml:space="preserve"> The Cartesian doubter often affirms the indiscernibility thesis, positing that the inferences drawn from sense-data in ‘the good case’</w:t>
      </w:r>
      <w:r w:rsidRPr="006D3CA3">
        <w:rPr>
          <w:rFonts w:ascii="EB Garamond" w:eastAsia="EB Garamond" w:hAnsi="EB Garamond" w:cs="EB Garamond"/>
          <w:sz w:val="24"/>
          <w:szCs w:val="24"/>
          <w:vertAlign w:val="superscript"/>
        </w:rPr>
        <w:footnoteReference w:id="13"/>
      </w:r>
      <w:r w:rsidRPr="006D3CA3">
        <w:rPr>
          <w:rFonts w:ascii="EB Garamond" w:eastAsia="EB Garamond" w:hAnsi="EB Garamond" w:cs="EB Garamond"/>
          <w:sz w:val="24"/>
          <w:szCs w:val="24"/>
        </w:rPr>
        <w:t xml:space="preserve"> are the same when we compare inferences of simulated or mind-dependent objects, as in ‘the bad case.’ They do this by leveraging the Evil Demon Hypothesis: the possibility that there is an </w:t>
      </w:r>
      <w:proofErr w:type="spellStart"/>
      <w:r w:rsidRPr="006D3CA3">
        <w:rPr>
          <w:rFonts w:ascii="EB Garamond" w:eastAsia="EB Garamond" w:hAnsi="EB Garamond" w:cs="EB Garamond"/>
          <w:sz w:val="24"/>
          <w:szCs w:val="24"/>
        </w:rPr>
        <w:t>omnimalevolent</w:t>
      </w:r>
      <w:proofErr w:type="spellEnd"/>
      <w:r w:rsidRPr="006D3CA3">
        <w:rPr>
          <w:rFonts w:ascii="EB Garamond" w:eastAsia="EB Garamond" w:hAnsi="EB Garamond" w:cs="EB Garamond"/>
          <w:sz w:val="24"/>
          <w:szCs w:val="24"/>
        </w:rPr>
        <w:t xml:space="preserve"> evil demon bent on deceiving you. As a result, Cartesian doubt traditionally asserts that our evidence compels us to suspend belief about the external world since it does not favor 'I am in the good case' over 'I am in the bad case': I know that my experience contains some object</w:t>
      </w:r>
      <w:r w:rsidRPr="006D3CA3">
        <w:rPr>
          <w:rFonts w:ascii="EB Garamond" w:eastAsia="EB Garamond" w:hAnsi="EB Garamond" w:cs="EB Garamond"/>
          <w:i/>
          <w:sz w:val="24"/>
          <w:szCs w:val="24"/>
        </w:rPr>
        <w:t xml:space="preserve">, </w:t>
      </w:r>
      <w:r w:rsidRPr="006D3CA3">
        <w:rPr>
          <w:rFonts w:ascii="EB Garamond" w:eastAsia="EB Garamond" w:hAnsi="EB Garamond" w:cs="EB Garamond"/>
          <w:sz w:val="24"/>
          <w:szCs w:val="24"/>
        </w:rPr>
        <w:t>x, but not that x is a mind-independent object (</w:t>
      </w:r>
      <w:proofErr w:type="spellStart"/>
      <w:r w:rsidRPr="006D3CA3">
        <w:rPr>
          <w:rFonts w:ascii="EB Garamond" w:eastAsia="EB Garamond" w:hAnsi="EB Garamond" w:cs="EB Garamond"/>
          <w:sz w:val="24"/>
          <w:szCs w:val="24"/>
          <w:highlight w:val="white"/>
        </w:rPr>
        <w:t>Schönbaumsfeld</w:t>
      </w:r>
      <w:proofErr w:type="spellEnd"/>
      <w:r w:rsidRPr="006D3CA3">
        <w:rPr>
          <w:rFonts w:ascii="EB Garamond" w:eastAsia="EB Garamond" w:hAnsi="EB Garamond" w:cs="EB Garamond"/>
          <w:sz w:val="24"/>
          <w:szCs w:val="24"/>
          <w:highlight w:val="white"/>
        </w:rPr>
        <w:t>, 2016)</w:t>
      </w:r>
      <w:r w:rsidRPr="006D3CA3">
        <w:rPr>
          <w:rFonts w:ascii="EB Garamond" w:eastAsia="EB Garamond" w:hAnsi="EB Garamond" w:cs="EB Garamond"/>
          <w:sz w:val="24"/>
          <w:szCs w:val="24"/>
        </w:rPr>
        <w:t xml:space="preserve">. One final notion of importance is that truth is accessed through some directly perceived phenomenological sensation wherein we </w:t>
      </w:r>
      <w:r w:rsidRPr="006D3CA3">
        <w:rPr>
          <w:rFonts w:ascii="EB Garamond" w:eastAsia="EB Garamond" w:hAnsi="EB Garamond" w:cs="EB Garamond"/>
          <w:i/>
          <w:sz w:val="24"/>
          <w:szCs w:val="24"/>
        </w:rPr>
        <w:t>cannot help</w:t>
      </w:r>
      <w:r w:rsidRPr="006D3CA3">
        <w:rPr>
          <w:rFonts w:ascii="EB Garamond" w:eastAsia="EB Garamond" w:hAnsi="EB Garamond" w:cs="EB Garamond"/>
          <w:sz w:val="24"/>
          <w:szCs w:val="24"/>
        </w:rPr>
        <w:t xml:space="preserve"> but assent to the proposition that describes the object of our experience.</w:t>
      </w:r>
      <w:r w:rsidRPr="006D3CA3">
        <w:rPr>
          <w:rFonts w:ascii="EB Garamond" w:eastAsia="EB Garamond" w:hAnsi="EB Garamond" w:cs="EB Garamond"/>
          <w:sz w:val="24"/>
          <w:szCs w:val="24"/>
          <w:vertAlign w:val="superscript"/>
        </w:rPr>
        <w:footnoteReference w:id="14"/>
      </w:r>
      <w:r w:rsidRPr="006D3CA3">
        <w:rPr>
          <w:rFonts w:ascii="EB Garamond" w:eastAsia="EB Garamond" w:hAnsi="EB Garamond" w:cs="EB Garamond"/>
          <w:sz w:val="24"/>
          <w:szCs w:val="24"/>
        </w:rPr>
        <w:t xml:space="preserve"> This is distinct from what is </w:t>
      </w:r>
      <w:r w:rsidRPr="006D3CA3">
        <w:rPr>
          <w:rFonts w:ascii="EB Garamond" w:eastAsia="EB Garamond" w:hAnsi="EB Garamond" w:cs="EB Garamond"/>
          <w:sz w:val="24"/>
          <w:szCs w:val="24"/>
        </w:rPr>
        <w:lastRenderedPageBreak/>
        <w:t>often called the C&amp;D rule,</w:t>
      </w:r>
      <w:r w:rsidRPr="006D3CA3">
        <w:rPr>
          <w:rFonts w:ascii="EB Garamond" w:eastAsia="EB Garamond" w:hAnsi="EB Garamond" w:cs="EB Garamond"/>
          <w:sz w:val="24"/>
          <w:szCs w:val="24"/>
          <w:vertAlign w:val="superscript"/>
        </w:rPr>
        <w:footnoteReference w:id="15"/>
      </w:r>
      <w:r w:rsidRPr="006D3CA3">
        <w:rPr>
          <w:rFonts w:ascii="EB Garamond" w:eastAsia="EB Garamond" w:hAnsi="EB Garamond" w:cs="EB Garamond"/>
          <w:sz w:val="24"/>
          <w:szCs w:val="24"/>
        </w:rPr>
        <w:t xml:space="preserve"> which is a meta-cognitive assurance from God that the propositions which seem clear and distinct are true. </w:t>
      </w:r>
    </w:p>
    <w:p w14:paraId="00000034" w14:textId="77777777" w:rsidR="00B66D52" w:rsidRPr="006D3CA3" w:rsidRDefault="00B66D52">
      <w:pPr>
        <w:ind w:left="720" w:firstLine="720"/>
        <w:rPr>
          <w:rFonts w:ascii="EB Garamond" w:eastAsia="EB Garamond" w:hAnsi="EB Garamond" w:cs="EB Garamond"/>
          <w:sz w:val="24"/>
          <w:szCs w:val="24"/>
        </w:rPr>
      </w:pPr>
    </w:p>
    <w:p w14:paraId="00000035" w14:textId="0A7BB9A3" w:rsidR="00B66D52" w:rsidRPr="00091D25" w:rsidRDefault="00000000" w:rsidP="00091D25">
      <w:pPr>
        <w:pStyle w:val="ListParagraph"/>
        <w:numPr>
          <w:ilvl w:val="0"/>
          <w:numId w:val="4"/>
        </w:numPr>
        <w:rPr>
          <w:rFonts w:ascii="EB Garamond" w:eastAsia="EB Garamond" w:hAnsi="EB Garamond" w:cs="EB Garamond"/>
          <w:sz w:val="24"/>
          <w:szCs w:val="24"/>
        </w:rPr>
      </w:pPr>
      <w:r w:rsidRPr="00091D25">
        <w:rPr>
          <w:rFonts w:ascii="EB Garamond" w:eastAsia="EB Garamond" w:hAnsi="EB Garamond" w:cs="EB Garamond"/>
          <w:sz w:val="24"/>
          <w:szCs w:val="24"/>
        </w:rPr>
        <w:t>Objections to Cartesian Doubt and Similarly Timid Theories of Doubt</w:t>
      </w:r>
    </w:p>
    <w:p w14:paraId="00000036" w14:textId="77777777" w:rsidR="00B66D52" w:rsidRPr="006D3CA3" w:rsidRDefault="00B66D52">
      <w:pPr>
        <w:rPr>
          <w:rFonts w:ascii="EB Garamond" w:eastAsia="EB Garamond" w:hAnsi="EB Garamond" w:cs="EB Garamond"/>
          <w:sz w:val="24"/>
          <w:szCs w:val="24"/>
        </w:rPr>
      </w:pPr>
    </w:p>
    <w:p w14:paraId="00000037" w14:textId="28F1FD48"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The above explanation of Cartesian doubt may have seemed initially convincing on face. Many philosophers have marveled at the false promise of a completely self-evident philosophy, immune to the strongest form of doubt imaginable. Yet, Cartesian doubt is misled. I will begin by responding to Descartes’ unbounded doubt</w:t>
      </w:r>
      <w:r w:rsidRPr="006D3CA3">
        <w:rPr>
          <w:rFonts w:ascii="EB Garamond" w:eastAsia="EB Garamond" w:hAnsi="EB Garamond" w:cs="EB Garamond"/>
          <w:sz w:val="24"/>
          <w:szCs w:val="24"/>
          <w:vertAlign w:val="superscript"/>
        </w:rPr>
        <w:footnoteReference w:id="16"/>
      </w:r>
      <w:r w:rsidRPr="006D3CA3">
        <w:rPr>
          <w:rFonts w:ascii="EB Garamond" w:eastAsia="EB Garamond" w:hAnsi="EB Garamond" w:cs="EB Garamond"/>
          <w:sz w:val="24"/>
          <w:szCs w:val="24"/>
        </w:rPr>
        <w:t xml:space="preserve"> where doubt is applied to all propositions, then move to a more cautious form of Cartesian doubt which posits that some propositions are exempt from </w:t>
      </w:r>
      <w:proofErr w:type="gramStart"/>
      <w:r w:rsidRPr="006D3CA3">
        <w:rPr>
          <w:rFonts w:ascii="EB Garamond" w:eastAsia="EB Garamond" w:hAnsi="EB Garamond" w:cs="EB Garamond"/>
          <w:sz w:val="24"/>
          <w:szCs w:val="24"/>
        </w:rPr>
        <w:t>doubt, and</w:t>
      </w:r>
      <w:proofErr w:type="gramEnd"/>
      <w:r w:rsidRPr="006D3CA3">
        <w:rPr>
          <w:rFonts w:ascii="EB Garamond" w:eastAsia="EB Garamond" w:hAnsi="EB Garamond" w:cs="EB Garamond"/>
          <w:sz w:val="24"/>
          <w:szCs w:val="24"/>
        </w:rPr>
        <w:t xml:space="preserve"> finally conclude with sense doubt. Taken together, these forms of methodological skepticism reveal that such an approach toward belief is inadequate for accessing cognitive prosperity. Our response to epistemic risk will prove unsatisfactory, giving way to an alternative solution: doxastic courage.</w:t>
      </w:r>
    </w:p>
    <w:p w14:paraId="00000038" w14:textId="77777777" w:rsidR="00B66D52" w:rsidRPr="006D3CA3" w:rsidRDefault="00B66D52">
      <w:pPr>
        <w:rPr>
          <w:rFonts w:ascii="EB Garamond" w:eastAsia="EB Garamond" w:hAnsi="EB Garamond" w:cs="EB Garamond"/>
          <w:sz w:val="24"/>
          <w:szCs w:val="24"/>
        </w:rPr>
      </w:pPr>
    </w:p>
    <w:p w14:paraId="00000039" w14:textId="042156D6" w:rsidR="00B66D52" w:rsidRPr="00091D25" w:rsidRDefault="00000000" w:rsidP="00091D25">
      <w:pPr>
        <w:pStyle w:val="ListParagraph"/>
        <w:numPr>
          <w:ilvl w:val="1"/>
          <w:numId w:val="4"/>
        </w:numPr>
        <w:rPr>
          <w:rFonts w:ascii="EB Garamond" w:eastAsia="EB Garamond" w:hAnsi="EB Garamond" w:cs="EB Garamond"/>
          <w:sz w:val="24"/>
          <w:szCs w:val="24"/>
        </w:rPr>
      </w:pPr>
      <w:r w:rsidRPr="00091D25">
        <w:rPr>
          <w:rFonts w:ascii="EB Garamond" w:eastAsia="EB Garamond" w:hAnsi="EB Garamond" w:cs="EB Garamond"/>
          <w:sz w:val="24"/>
          <w:szCs w:val="24"/>
        </w:rPr>
        <w:t>Objections to Unbounded Cartesian Doubt</w:t>
      </w:r>
    </w:p>
    <w:p w14:paraId="0000003A" w14:textId="77777777" w:rsidR="00B66D52" w:rsidRPr="006D3CA3" w:rsidRDefault="00B66D52">
      <w:pPr>
        <w:rPr>
          <w:rFonts w:ascii="EB Garamond" w:eastAsia="EB Garamond" w:hAnsi="EB Garamond" w:cs="EB Garamond"/>
          <w:sz w:val="24"/>
          <w:szCs w:val="24"/>
        </w:rPr>
      </w:pPr>
    </w:p>
    <w:p w14:paraId="0000003B"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Under a system of Cartesian unbounded doubt, it is impossible to produce knowledge. For the Cartesian to access knowledge, they must have at least one indubitable axiom from which their chain of reasoning is anchored. If we understand the Evil Demon Hypothesis as a form of indirect doubt which undermines all propositions (Newman and Nelson, 1999), then we have a problem grounding any axiom; even the rules of classical logic and our foundational assumptions are suspect.</w:t>
      </w:r>
      <w:r w:rsidRPr="006D3CA3">
        <w:rPr>
          <w:rFonts w:ascii="EB Garamond" w:eastAsia="EB Garamond" w:hAnsi="EB Garamond" w:cs="EB Garamond"/>
          <w:sz w:val="24"/>
          <w:szCs w:val="24"/>
          <w:vertAlign w:val="superscript"/>
        </w:rPr>
        <w:footnoteReference w:id="17"/>
      </w:r>
      <w:r w:rsidRPr="006D3CA3">
        <w:rPr>
          <w:rFonts w:ascii="EB Garamond" w:eastAsia="EB Garamond" w:hAnsi="EB Garamond" w:cs="EB Garamond"/>
          <w:sz w:val="24"/>
          <w:szCs w:val="24"/>
        </w:rPr>
        <w:t xml:space="preserve"> Properly applied Cartesian doubt undermines the capacity to be certain about anything.</w:t>
      </w:r>
    </w:p>
    <w:p w14:paraId="0000003C" w14:textId="4853AB4F"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Let’s prove the above claim symbolically: Unbounded Cartesian Doubt (UCD</w:t>
      </w:r>
      <w:r w:rsidRPr="006D3CA3">
        <w:rPr>
          <w:rFonts w:ascii="EB Garamond" w:eastAsia="Nova Mono" w:hAnsi="EB Garamond" w:cs="EB Garamond"/>
          <w:sz w:val="24"/>
          <w:szCs w:val="24"/>
        </w:rPr>
        <w:t xml:space="preserve">) is the position that the standard of justified belief ought to be at absolute certainty. This can be written as such, with Bₓ meaning that we are justified in believing some proposition, x, with Tₓ meaning that it is true that x, and with ◇ </w:t>
      </w:r>
      <w:r w:rsidR="006D3CA3" w:rsidRPr="006D3CA3">
        <w:rPr>
          <w:rFonts w:ascii="EB Garamond" w:eastAsia="Nova Mono" w:hAnsi="EB Garamond" w:cs="EB Garamond"/>
          <w:sz w:val="24"/>
          <w:szCs w:val="24"/>
        </w:rPr>
        <w:t>suggesting epistemic</w:t>
      </w:r>
      <w:r w:rsidRPr="006D3CA3">
        <w:rPr>
          <w:rFonts w:ascii="EB Garamond" w:eastAsia="Nova Mono" w:hAnsi="EB Garamond" w:cs="EB Garamond"/>
          <w:sz w:val="24"/>
          <w:szCs w:val="24"/>
        </w:rPr>
        <w:t xml:space="preserve"> possibility:</w:t>
      </w:r>
    </w:p>
    <w:p w14:paraId="0000003D" w14:textId="5F1FBE8F" w:rsidR="00B66D52" w:rsidRPr="006D3CA3" w:rsidRDefault="00000000" w:rsidP="006D3CA3">
      <w:pPr>
        <w:jc w:val="center"/>
        <w:rPr>
          <w:rFonts w:ascii="EB Garamond" w:eastAsia="EB Garamond" w:hAnsi="EB Garamond" w:cs="EB Garamond"/>
          <w:sz w:val="24"/>
          <w:szCs w:val="24"/>
        </w:rPr>
      </w:pPr>
      <w:r w:rsidRPr="006D3CA3">
        <w:rPr>
          <w:rFonts w:ascii="EB Garamond" w:eastAsia="EB Garamond" w:hAnsi="EB Garamond" w:cs="EB Garamond"/>
          <w:sz w:val="24"/>
          <w:szCs w:val="24"/>
        </w:rPr>
        <w:lastRenderedPageBreak/>
        <w:t>(Ɐₓ)(◇~Tₓ→~Bₓ)</w:t>
      </w:r>
    </w:p>
    <w:p w14:paraId="0000003E" w14:textId="77777777" w:rsidR="00B66D52" w:rsidRPr="006D3CA3" w:rsidRDefault="00B66D52">
      <w:pPr>
        <w:ind w:left="720" w:firstLine="720"/>
        <w:rPr>
          <w:rFonts w:ascii="EB Garamond" w:eastAsia="EB Garamond" w:hAnsi="EB Garamond" w:cs="EB Garamond"/>
          <w:sz w:val="21"/>
          <w:szCs w:val="21"/>
        </w:rPr>
      </w:pPr>
    </w:p>
    <w:p w14:paraId="0000003F"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Similarly, take meta-cognitive (Evil Demon Hypothesis) doubt (MCD) to suggest that there is a manner in which it is possible for all propositions to be false:</w:t>
      </w:r>
    </w:p>
    <w:p w14:paraId="00000040" w14:textId="77777777" w:rsidR="00B66D52" w:rsidRPr="006D3CA3" w:rsidRDefault="00B66D52">
      <w:pPr>
        <w:ind w:left="720" w:firstLine="720"/>
        <w:rPr>
          <w:rFonts w:ascii="EB Garamond" w:eastAsia="EB Garamond" w:hAnsi="EB Garamond" w:cs="EB Garamond"/>
          <w:sz w:val="24"/>
          <w:szCs w:val="24"/>
        </w:rPr>
      </w:pPr>
    </w:p>
    <w:p w14:paraId="00000041" w14:textId="4E913626" w:rsidR="00B66D52" w:rsidRPr="006D3CA3" w:rsidRDefault="00000000" w:rsidP="006D3CA3">
      <w:pPr>
        <w:jc w:val="center"/>
        <w:rPr>
          <w:rFonts w:ascii="EB Garamond" w:eastAsia="EB Garamond" w:hAnsi="EB Garamond" w:cs="EB Garamond"/>
          <w:sz w:val="24"/>
          <w:szCs w:val="24"/>
          <w:highlight w:val="white"/>
        </w:rPr>
      </w:pPr>
      <w:r w:rsidRPr="006D3CA3">
        <w:rPr>
          <w:rFonts w:ascii="EB Garamond" w:hAnsi="EB Garamond" w:cs="EB Garamond"/>
          <w:sz w:val="24"/>
          <w:szCs w:val="24"/>
          <w:highlight w:val="white"/>
        </w:rPr>
        <w:t>(Ɐₓ)◇~T</w:t>
      </w:r>
      <w:r w:rsidRPr="006D3CA3">
        <w:rPr>
          <w:rFonts w:ascii="EB Garamond" w:eastAsia="EB Garamond" w:hAnsi="EB Garamond" w:cs="EB Garamond"/>
          <w:sz w:val="24"/>
          <w:szCs w:val="24"/>
        </w:rPr>
        <w:t>ₓ</w:t>
      </w:r>
    </w:p>
    <w:p w14:paraId="00000042" w14:textId="77777777" w:rsidR="00B66D52" w:rsidRPr="006D3CA3" w:rsidRDefault="00B66D52">
      <w:pPr>
        <w:ind w:left="720"/>
        <w:rPr>
          <w:rFonts w:ascii="EB Garamond" w:eastAsia="EB Garamond" w:hAnsi="EB Garamond" w:cs="EB Garamond"/>
          <w:sz w:val="24"/>
          <w:szCs w:val="24"/>
          <w:highlight w:val="white"/>
        </w:rPr>
      </w:pPr>
    </w:p>
    <w:p w14:paraId="00000043" w14:textId="5AA897A0" w:rsidR="00B66D52" w:rsidRPr="006D3CA3" w:rsidRDefault="00000000">
      <w:pPr>
        <w:ind w:firstLine="720"/>
        <w:rPr>
          <w:rFonts w:ascii="EB Garamond" w:eastAsia="EB Garamond" w:hAnsi="EB Garamond" w:cs="EB Garamond"/>
          <w:sz w:val="24"/>
          <w:szCs w:val="24"/>
          <w:highlight w:val="white"/>
        </w:rPr>
      </w:pPr>
      <w:r w:rsidRPr="006D3CA3">
        <w:rPr>
          <w:rFonts w:ascii="EB Garamond" w:eastAsia="Nova Mono" w:hAnsi="EB Garamond" w:cs="EB Garamond"/>
          <w:sz w:val="24"/>
          <w:szCs w:val="24"/>
          <w:highlight w:val="white"/>
        </w:rPr>
        <w:t>It follows from these two assumptions that for any belief, it is not the case that we ought to believe in it. In other words, the set of all beliefs Cartesian doubt allows us to hold is the empty set, ∅.</w:t>
      </w:r>
      <w:r w:rsidR="005F0958">
        <w:rPr>
          <w:rFonts w:ascii="EB Garamond" w:eastAsia="Nova Mono" w:hAnsi="EB Garamond" w:cs="EB Garamond"/>
          <w:sz w:val="24"/>
          <w:szCs w:val="24"/>
          <w:highlight w:val="white"/>
        </w:rPr>
        <w:t xml:space="preserve"> </w:t>
      </w:r>
    </w:p>
    <w:p w14:paraId="00000044" w14:textId="77777777" w:rsidR="00B66D52" w:rsidRPr="006D3CA3" w:rsidRDefault="00B66D52">
      <w:pPr>
        <w:ind w:firstLine="720"/>
        <w:rPr>
          <w:rFonts w:ascii="EB Garamond" w:eastAsia="EB Garamond" w:hAnsi="EB Garamond" w:cs="EB Garamond"/>
          <w:sz w:val="24"/>
          <w:szCs w:val="24"/>
        </w:rPr>
      </w:pPr>
    </w:p>
    <w:p w14:paraId="00000045" w14:textId="77777777" w:rsidR="00B66D52" w:rsidRPr="006D3CA3" w:rsidRDefault="00000000">
      <w:pPr>
        <w:ind w:left="2160"/>
        <w:rPr>
          <w:rFonts w:ascii="EB Garamond" w:eastAsia="EB Garamond" w:hAnsi="EB Garamond" w:cs="EB Garamond"/>
          <w:sz w:val="24"/>
          <w:szCs w:val="24"/>
        </w:rPr>
      </w:pPr>
      <w:r w:rsidRPr="006D3CA3">
        <w:rPr>
          <w:rFonts w:ascii="EB Garamond" w:eastAsia="EB Garamond" w:hAnsi="EB Garamond" w:cs="EB Garamond"/>
          <w:sz w:val="24"/>
          <w:szCs w:val="24"/>
        </w:rPr>
        <w:t xml:space="preserve">           1) (Ɐₓ)(◇~Tₓ→~</w:t>
      </w:r>
      <w:proofErr w:type="gramStart"/>
      <w:r w:rsidRPr="006D3CA3">
        <w:rPr>
          <w:rFonts w:ascii="EB Garamond" w:eastAsia="EB Garamond" w:hAnsi="EB Garamond" w:cs="EB Garamond"/>
          <w:sz w:val="24"/>
          <w:szCs w:val="24"/>
        </w:rPr>
        <w:t xml:space="preserve">Bₓ)   </w:t>
      </w:r>
      <w:proofErr w:type="gramEnd"/>
      <w:r w:rsidRPr="006D3CA3">
        <w:rPr>
          <w:rFonts w:ascii="EB Garamond" w:eastAsia="EB Garamond" w:hAnsi="EB Garamond" w:cs="EB Garamond"/>
          <w:sz w:val="24"/>
          <w:szCs w:val="24"/>
        </w:rPr>
        <w:t xml:space="preserve">                   </w:t>
      </w:r>
      <w:r w:rsidRPr="006D3CA3">
        <w:rPr>
          <w:rFonts w:ascii="EB Garamond" w:eastAsia="EB Garamond" w:hAnsi="EB Garamond" w:cs="EB Garamond"/>
          <w:sz w:val="24"/>
          <w:szCs w:val="24"/>
        </w:rPr>
        <w:tab/>
        <w:t xml:space="preserve">                             </w:t>
      </w:r>
      <w:proofErr w:type="gramStart"/>
      <w:r w:rsidRPr="006D3CA3">
        <w:rPr>
          <w:rFonts w:ascii="EB Garamond" w:eastAsia="EB Garamond" w:hAnsi="EB Garamond" w:cs="EB Garamond"/>
          <w:sz w:val="24"/>
          <w:szCs w:val="24"/>
        </w:rPr>
        <w:t xml:space="preserve">   (</w:t>
      </w:r>
      <w:proofErr w:type="spellStart"/>
      <w:proofErr w:type="gramEnd"/>
      <w:r w:rsidRPr="006D3CA3">
        <w:rPr>
          <w:rFonts w:ascii="EB Garamond" w:eastAsia="EB Garamond" w:hAnsi="EB Garamond" w:cs="EB Garamond"/>
          <w:sz w:val="24"/>
          <w:szCs w:val="24"/>
        </w:rPr>
        <w:t>Assumpt</w:t>
      </w:r>
      <w:proofErr w:type="spellEnd"/>
      <w:r w:rsidRPr="006D3CA3">
        <w:rPr>
          <w:rFonts w:ascii="EB Garamond" w:eastAsia="EB Garamond" w:hAnsi="EB Garamond" w:cs="EB Garamond"/>
          <w:sz w:val="24"/>
          <w:szCs w:val="24"/>
        </w:rPr>
        <w:t>., UCD)</w:t>
      </w:r>
    </w:p>
    <w:p w14:paraId="00000046" w14:textId="77777777" w:rsidR="00B66D52" w:rsidRPr="006D3CA3" w:rsidRDefault="00000000">
      <w:pPr>
        <w:ind w:left="720" w:firstLine="1710"/>
        <w:rPr>
          <w:rFonts w:ascii="EB Garamond" w:eastAsia="EB Garamond" w:hAnsi="EB Garamond" w:cs="EB Garamond"/>
          <w:sz w:val="24"/>
          <w:szCs w:val="24"/>
        </w:rPr>
      </w:pPr>
      <w:r w:rsidRPr="006D3CA3">
        <w:rPr>
          <w:rFonts w:ascii="EB Garamond" w:hAnsi="EB Garamond" w:cs="EB Garamond"/>
          <w:sz w:val="24"/>
          <w:szCs w:val="24"/>
        </w:rPr>
        <w:t xml:space="preserve">     2) (Ɐₓ)◇~Tₓ                                                                      </w:t>
      </w:r>
      <w:proofErr w:type="gramStart"/>
      <w:r w:rsidRPr="006D3CA3">
        <w:rPr>
          <w:rFonts w:ascii="EB Garamond" w:hAnsi="EB Garamond" w:cs="EB Garamond"/>
          <w:sz w:val="24"/>
          <w:szCs w:val="24"/>
        </w:rPr>
        <w:t xml:space="preserve">   (</w:t>
      </w:r>
      <w:proofErr w:type="spellStart"/>
      <w:proofErr w:type="gramEnd"/>
      <w:r w:rsidRPr="006D3CA3">
        <w:rPr>
          <w:rFonts w:ascii="EB Garamond" w:hAnsi="EB Garamond" w:cs="EB Garamond"/>
          <w:sz w:val="24"/>
          <w:szCs w:val="24"/>
        </w:rPr>
        <w:t>Assumpt</w:t>
      </w:r>
      <w:proofErr w:type="spellEnd"/>
      <w:r w:rsidRPr="006D3CA3">
        <w:rPr>
          <w:rFonts w:ascii="EB Garamond" w:hAnsi="EB Garamond" w:cs="EB Garamond"/>
          <w:sz w:val="24"/>
          <w:szCs w:val="24"/>
        </w:rPr>
        <w:t>., MCD)</w:t>
      </w:r>
    </w:p>
    <w:p w14:paraId="00000047" w14:textId="77777777" w:rsidR="00B66D52" w:rsidRPr="006D3CA3" w:rsidRDefault="00000000">
      <w:pPr>
        <w:ind w:left="720" w:firstLine="630"/>
        <w:rPr>
          <w:rFonts w:ascii="EB Garamond" w:eastAsia="EB Garamond" w:hAnsi="EB Garamond" w:cs="EB Garamond"/>
          <w:sz w:val="24"/>
          <w:szCs w:val="24"/>
        </w:rPr>
      </w:pPr>
      <w:r w:rsidRPr="006D3CA3">
        <w:rPr>
          <w:rFonts w:ascii="EB Garamond" w:eastAsia="EB Garamond" w:hAnsi="EB Garamond" w:cs="EB Garamond"/>
          <w:sz w:val="24"/>
          <w:szCs w:val="24"/>
        </w:rPr>
        <w:t xml:space="preserve">                           3) ◇~Tₕ→~Bₕ                                                                  </w:t>
      </w:r>
      <w:proofErr w:type="gramStart"/>
      <w:r w:rsidRPr="006D3CA3">
        <w:rPr>
          <w:rFonts w:ascii="EB Garamond" w:eastAsia="EB Garamond" w:hAnsi="EB Garamond" w:cs="EB Garamond"/>
          <w:sz w:val="24"/>
          <w:szCs w:val="24"/>
        </w:rPr>
        <w:t xml:space="preserve">   (</w:t>
      </w:r>
      <w:proofErr w:type="gramEnd"/>
      <w:r w:rsidRPr="006D3CA3">
        <w:rPr>
          <w:rFonts w:ascii="EB Garamond" w:eastAsia="EB Garamond" w:hAnsi="EB Garamond" w:cs="EB Garamond"/>
          <w:sz w:val="24"/>
          <w:szCs w:val="24"/>
        </w:rPr>
        <w:t>1, ⱯE)</w:t>
      </w:r>
    </w:p>
    <w:p w14:paraId="00000048" w14:textId="77777777" w:rsidR="00B66D52" w:rsidRPr="006D3CA3" w:rsidRDefault="00000000">
      <w:pPr>
        <w:ind w:left="720" w:firstLine="540"/>
        <w:rPr>
          <w:rFonts w:ascii="EB Garamond" w:eastAsia="EB Garamond" w:hAnsi="EB Garamond" w:cs="EB Garamond"/>
          <w:sz w:val="24"/>
          <w:szCs w:val="24"/>
        </w:rPr>
      </w:pPr>
      <w:r w:rsidRPr="006D3CA3">
        <w:rPr>
          <w:rFonts w:ascii="EB Garamond" w:hAnsi="EB Garamond" w:cs="EB Garamond"/>
          <w:sz w:val="24"/>
          <w:szCs w:val="24"/>
        </w:rPr>
        <w:t xml:space="preserve">  </w:t>
      </w:r>
      <w:r w:rsidRPr="006D3CA3">
        <w:rPr>
          <w:rFonts w:ascii="EB Garamond" w:hAnsi="EB Garamond" w:cs="EB Garamond"/>
          <w:sz w:val="24"/>
          <w:szCs w:val="24"/>
        </w:rPr>
        <w:tab/>
      </w:r>
      <w:r w:rsidRPr="006D3CA3">
        <w:rPr>
          <w:rFonts w:ascii="EB Garamond" w:hAnsi="EB Garamond" w:cs="EB Garamond"/>
          <w:sz w:val="24"/>
          <w:szCs w:val="24"/>
        </w:rPr>
        <w:tab/>
        <w:t xml:space="preserve">          4) ◇~Tₕ                                                                               </w:t>
      </w:r>
      <w:proofErr w:type="gramStart"/>
      <w:r w:rsidRPr="006D3CA3">
        <w:rPr>
          <w:rFonts w:ascii="EB Garamond" w:hAnsi="EB Garamond" w:cs="EB Garamond"/>
          <w:sz w:val="24"/>
          <w:szCs w:val="24"/>
        </w:rPr>
        <w:t xml:space="preserve">   (</w:t>
      </w:r>
      <w:proofErr w:type="gramEnd"/>
      <w:r w:rsidRPr="006D3CA3">
        <w:rPr>
          <w:rFonts w:ascii="EB Garamond" w:hAnsi="EB Garamond" w:cs="EB Garamond"/>
          <w:sz w:val="24"/>
          <w:szCs w:val="24"/>
        </w:rPr>
        <w:t>2, ⱯE)</w:t>
      </w:r>
    </w:p>
    <w:p w14:paraId="00000049" w14:textId="77777777" w:rsidR="00B66D52" w:rsidRPr="006D3CA3" w:rsidRDefault="00000000">
      <w:pPr>
        <w:ind w:left="720" w:firstLine="1800"/>
        <w:rPr>
          <w:rFonts w:ascii="EB Garamond" w:eastAsia="EB Garamond" w:hAnsi="EB Garamond" w:cs="EB Garamond"/>
          <w:sz w:val="24"/>
          <w:szCs w:val="24"/>
        </w:rPr>
      </w:pPr>
      <w:r w:rsidRPr="006D3CA3">
        <w:rPr>
          <w:rFonts w:ascii="EB Garamond" w:eastAsia="Andika" w:hAnsi="EB Garamond" w:cs="EB Garamond"/>
          <w:sz w:val="24"/>
          <w:szCs w:val="24"/>
        </w:rPr>
        <w:t xml:space="preserve">   5) ~Bₕ                                                                                  </w:t>
      </w:r>
      <w:proofErr w:type="gramStart"/>
      <w:r w:rsidRPr="006D3CA3">
        <w:rPr>
          <w:rFonts w:ascii="EB Garamond" w:eastAsia="Andika" w:hAnsi="EB Garamond" w:cs="EB Garamond"/>
          <w:sz w:val="24"/>
          <w:szCs w:val="24"/>
        </w:rPr>
        <w:t xml:space="preserve">   (</w:t>
      </w:r>
      <w:proofErr w:type="gramEnd"/>
      <w:r w:rsidRPr="006D3CA3">
        <w:rPr>
          <w:rFonts w:ascii="EB Garamond" w:eastAsia="Andika" w:hAnsi="EB Garamond" w:cs="EB Garamond"/>
          <w:sz w:val="24"/>
          <w:szCs w:val="24"/>
        </w:rPr>
        <w:t>3,4, →E)</w:t>
      </w:r>
    </w:p>
    <w:p w14:paraId="0000004A" w14:textId="77777777" w:rsidR="00B66D52" w:rsidRPr="006D3CA3" w:rsidRDefault="00000000">
      <w:pPr>
        <w:ind w:left="720" w:firstLine="630"/>
        <w:rPr>
          <w:rFonts w:ascii="EB Garamond" w:eastAsia="EB Garamond" w:hAnsi="EB Garamond" w:cs="EB Garamond"/>
          <w:sz w:val="24"/>
          <w:szCs w:val="24"/>
        </w:rPr>
      </w:pPr>
      <w:r w:rsidRPr="006D3CA3">
        <w:rPr>
          <w:rFonts w:ascii="EB Garamond" w:eastAsia="EB Garamond" w:hAnsi="EB Garamond" w:cs="EB Garamond"/>
          <w:sz w:val="24"/>
          <w:szCs w:val="24"/>
        </w:rPr>
        <w:t xml:space="preserve">                           6) (Ɐₓ)~Bₓ                                                                           </w:t>
      </w:r>
      <w:proofErr w:type="gramStart"/>
      <w:r w:rsidRPr="006D3CA3">
        <w:rPr>
          <w:rFonts w:ascii="EB Garamond" w:eastAsia="EB Garamond" w:hAnsi="EB Garamond" w:cs="EB Garamond"/>
          <w:sz w:val="24"/>
          <w:szCs w:val="24"/>
        </w:rPr>
        <w:t xml:space="preserve">   (</w:t>
      </w:r>
      <w:proofErr w:type="gramEnd"/>
      <w:r w:rsidRPr="006D3CA3">
        <w:rPr>
          <w:rFonts w:ascii="EB Garamond" w:eastAsia="EB Garamond" w:hAnsi="EB Garamond" w:cs="EB Garamond"/>
          <w:sz w:val="24"/>
          <w:szCs w:val="24"/>
        </w:rPr>
        <w:t>5, ⱯI)</w:t>
      </w:r>
    </w:p>
    <w:p w14:paraId="0000004B" w14:textId="77777777" w:rsidR="00B66D52" w:rsidRPr="006D3CA3" w:rsidRDefault="00B66D52">
      <w:pPr>
        <w:ind w:left="720"/>
        <w:rPr>
          <w:rFonts w:ascii="EB Garamond" w:eastAsia="EB Garamond" w:hAnsi="EB Garamond" w:cs="EB Garamond"/>
          <w:sz w:val="24"/>
          <w:szCs w:val="24"/>
        </w:rPr>
      </w:pPr>
    </w:p>
    <w:p w14:paraId="0000004C" w14:textId="2CC1CC26"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Unlike Descartes had hoped, we have found ourselves in a position of being justified in believing absolutely nothing. </w:t>
      </w:r>
      <w:r w:rsidR="005F0958">
        <w:rPr>
          <w:rFonts w:ascii="EB Garamond" w:eastAsia="EB Garamond" w:hAnsi="EB Garamond" w:cs="EB Garamond"/>
          <w:sz w:val="24"/>
          <w:szCs w:val="24"/>
        </w:rPr>
        <w:t xml:space="preserve">If it is true </w:t>
      </w:r>
      <w:r w:rsidR="00561E57">
        <w:rPr>
          <w:rFonts w:ascii="EB Garamond" w:eastAsia="EB Garamond" w:hAnsi="EB Garamond" w:cs="EB Garamond"/>
          <w:sz w:val="24"/>
          <w:szCs w:val="24"/>
        </w:rPr>
        <w:t>that Descartes’</w:t>
      </w:r>
      <w:r w:rsidR="005F0958">
        <w:rPr>
          <w:rFonts w:ascii="EB Garamond" w:eastAsia="EB Garamond" w:hAnsi="EB Garamond" w:cs="EB Garamond"/>
          <w:sz w:val="24"/>
          <w:szCs w:val="24"/>
        </w:rPr>
        <w:t xml:space="preserve"> </w:t>
      </w:r>
      <w:r w:rsidR="00561E57">
        <w:rPr>
          <w:rFonts w:ascii="EB Garamond" w:eastAsia="EB Garamond" w:hAnsi="EB Garamond" w:cs="EB Garamond"/>
          <w:sz w:val="24"/>
          <w:szCs w:val="24"/>
        </w:rPr>
        <w:t>unbounded doubt</w:t>
      </w:r>
      <w:r w:rsidR="005F0958">
        <w:rPr>
          <w:rFonts w:ascii="EB Garamond" w:eastAsia="EB Garamond" w:hAnsi="EB Garamond" w:cs="EB Garamond"/>
          <w:sz w:val="24"/>
          <w:szCs w:val="24"/>
        </w:rPr>
        <w:t xml:space="preserve"> </w:t>
      </w:r>
      <w:r w:rsidR="00561E57">
        <w:rPr>
          <w:rFonts w:ascii="EB Garamond" w:eastAsia="EB Garamond" w:hAnsi="EB Garamond" w:cs="EB Garamond"/>
          <w:sz w:val="24"/>
          <w:szCs w:val="24"/>
        </w:rPr>
        <w:t>dictates</w:t>
      </w:r>
      <w:r w:rsidR="005F0958">
        <w:rPr>
          <w:rFonts w:ascii="EB Garamond" w:eastAsia="EB Garamond" w:hAnsi="EB Garamond" w:cs="EB Garamond"/>
          <w:sz w:val="24"/>
          <w:szCs w:val="24"/>
        </w:rPr>
        <w:t xml:space="preserve"> that any </w:t>
      </w:r>
      <w:r w:rsidR="00561E57">
        <w:rPr>
          <w:rFonts w:ascii="EB Garamond" w:eastAsia="EB Garamond" w:hAnsi="EB Garamond" w:cs="EB Garamond"/>
          <w:sz w:val="24"/>
          <w:szCs w:val="24"/>
        </w:rPr>
        <w:t>proposition that is possibly false</w:t>
      </w:r>
      <w:r w:rsidR="005F0958">
        <w:rPr>
          <w:rFonts w:ascii="EB Garamond" w:eastAsia="EB Garamond" w:hAnsi="EB Garamond" w:cs="EB Garamond"/>
          <w:sz w:val="24"/>
          <w:szCs w:val="24"/>
        </w:rPr>
        <w:t xml:space="preserve"> </w:t>
      </w:r>
      <w:r w:rsidR="00561E57">
        <w:rPr>
          <w:rFonts w:ascii="EB Garamond" w:eastAsia="EB Garamond" w:hAnsi="EB Garamond" w:cs="EB Garamond"/>
          <w:sz w:val="24"/>
          <w:szCs w:val="24"/>
        </w:rPr>
        <w:t>should not be believed</w:t>
      </w:r>
      <w:r w:rsidR="005F0958">
        <w:rPr>
          <w:rFonts w:ascii="EB Garamond" w:eastAsia="EB Garamond" w:hAnsi="EB Garamond" w:cs="EB Garamond"/>
          <w:sz w:val="24"/>
          <w:szCs w:val="24"/>
        </w:rPr>
        <w:t xml:space="preserve">, then meta-cognitive doubt (which suggests that </w:t>
      </w:r>
      <w:r w:rsidR="00561E57">
        <w:rPr>
          <w:rFonts w:ascii="EB Garamond" w:eastAsia="EB Garamond" w:hAnsi="EB Garamond" w:cs="EB Garamond"/>
          <w:sz w:val="24"/>
          <w:szCs w:val="24"/>
        </w:rPr>
        <w:t xml:space="preserve">any proposition is possibly false) entails we should not believe anything. </w:t>
      </w:r>
      <w:r w:rsidRPr="006D3CA3">
        <w:rPr>
          <w:rFonts w:ascii="EB Garamond" w:eastAsia="EB Garamond" w:hAnsi="EB Garamond" w:cs="EB Garamond"/>
          <w:sz w:val="24"/>
          <w:szCs w:val="24"/>
        </w:rPr>
        <w:t>The Cartesian doubter’s method for grounding truths is the phenomenological understanding conveyed by the natural light that, when we direct attention to propositions like the cogito, we cannot perceive that it is false.</w:t>
      </w:r>
      <w:r w:rsidRPr="006D3CA3">
        <w:rPr>
          <w:rFonts w:ascii="EB Garamond" w:eastAsia="EB Garamond" w:hAnsi="EB Garamond" w:cs="EB Garamond"/>
          <w:sz w:val="24"/>
          <w:szCs w:val="24"/>
          <w:vertAlign w:val="superscript"/>
        </w:rPr>
        <w:footnoteReference w:id="18"/>
      </w:r>
      <w:r w:rsidRPr="006D3CA3">
        <w:rPr>
          <w:rFonts w:ascii="EB Garamond" w:eastAsia="EB Garamond" w:hAnsi="EB Garamond" w:cs="EB Garamond"/>
          <w:sz w:val="24"/>
          <w:szCs w:val="24"/>
        </w:rPr>
        <w:t xml:space="preserve"> Yet, as Descartes notes, “</w:t>
      </w:r>
      <w:r w:rsidRPr="006D3CA3">
        <w:rPr>
          <w:rFonts w:ascii="EB Garamond" w:eastAsia="EB Garamond" w:hAnsi="EB Garamond" w:cs="EB Garamond"/>
          <w:color w:val="1A1A1A"/>
          <w:sz w:val="24"/>
          <w:szCs w:val="24"/>
          <w:highlight w:val="white"/>
        </w:rPr>
        <w:t>I saw nothing to rule out the possibility that my natural constitution made me prone to error even in matters which seemed to me most true</w:t>
      </w:r>
      <w:r w:rsidRPr="006D3CA3">
        <w:rPr>
          <w:rFonts w:ascii="EB Garamond" w:eastAsia="EB Garamond" w:hAnsi="EB Garamond" w:cs="EB Garamond"/>
          <w:i/>
          <w:color w:val="1A1A1A"/>
          <w:sz w:val="24"/>
          <w:szCs w:val="24"/>
          <w:highlight w:val="white"/>
        </w:rPr>
        <w:t>.</w:t>
      </w:r>
      <w:r w:rsidRPr="006D3CA3">
        <w:rPr>
          <w:rFonts w:ascii="EB Garamond" w:eastAsia="EB Garamond" w:hAnsi="EB Garamond" w:cs="EB Garamond"/>
          <w:color w:val="1A1A1A"/>
          <w:sz w:val="24"/>
          <w:szCs w:val="24"/>
          <w:highlight w:val="white"/>
        </w:rPr>
        <w:t xml:space="preserve">” (Med. 6, AT 7:77, CSM 2:53) Even if there are </w:t>
      </w:r>
      <w:r w:rsidR="00106E0C">
        <w:rPr>
          <w:rFonts w:ascii="EB Garamond" w:eastAsia="EB Garamond" w:hAnsi="EB Garamond" w:cs="EB Garamond"/>
          <w:color w:val="1A1A1A"/>
          <w:sz w:val="24"/>
          <w:szCs w:val="24"/>
          <w:highlight w:val="white"/>
        </w:rPr>
        <w:t>propositions</w:t>
      </w:r>
      <w:r w:rsidRPr="006D3CA3">
        <w:rPr>
          <w:rFonts w:ascii="EB Garamond" w:eastAsia="EB Garamond" w:hAnsi="EB Garamond" w:cs="EB Garamond"/>
          <w:color w:val="1A1A1A"/>
          <w:sz w:val="24"/>
          <w:szCs w:val="24"/>
          <w:highlight w:val="white"/>
        </w:rPr>
        <w:t xml:space="preserve"> we cannot help believing, that fact alone is insufficient to properly demonstrate the truth of said proposition. </w:t>
      </w:r>
      <w:r w:rsidRPr="006D3CA3">
        <w:rPr>
          <w:rFonts w:ascii="EB Garamond" w:eastAsia="EB Garamond" w:hAnsi="EB Garamond" w:cs="EB Garamond"/>
          <w:sz w:val="24"/>
          <w:szCs w:val="24"/>
        </w:rPr>
        <w:t xml:space="preserve">If the phenomenological understanding is our </w:t>
      </w:r>
      <w:r w:rsidRPr="006D3CA3">
        <w:rPr>
          <w:rFonts w:ascii="EB Garamond" w:eastAsia="EB Garamond" w:hAnsi="EB Garamond" w:cs="EB Garamond"/>
          <w:i/>
          <w:sz w:val="24"/>
          <w:szCs w:val="24"/>
        </w:rPr>
        <w:t>only</w:t>
      </w:r>
      <w:r w:rsidRPr="006D3CA3">
        <w:rPr>
          <w:rFonts w:ascii="EB Garamond" w:eastAsia="EB Garamond" w:hAnsi="EB Garamond" w:cs="EB Garamond"/>
          <w:sz w:val="24"/>
          <w:szCs w:val="24"/>
        </w:rPr>
        <w:t xml:space="preserve"> assurance of truth and we are never in a position to accept the feeling as sufficient for grounding our beliefs, it follows that we can never have an axiomatic starting point from which we can ground our knowledge. If our goal is cognitive prosperity, the unbounded Cartesian’s efforts are unproductive.</w:t>
      </w:r>
    </w:p>
    <w:p w14:paraId="0000004D" w14:textId="77777777" w:rsidR="00B66D52" w:rsidRPr="006D3CA3" w:rsidRDefault="00000000">
      <w:pPr>
        <w:ind w:firstLine="720"/>
        <w:rPr>
          <w:rFonts w:ascii="EB Garamond" w:eastAsia="EB Garamond" w:hAnsi="EB Garamond" w:cs="EB Garamond"/>
          <w:sz w:val="24"/>
          <w:szCs w:val="24"/>
        </w:rPr>
      </w:pPr>
      <w:r w:rsidRPr="006D3CA3">
        <w:rPr>
          <w:rFonts w:ascii="EB Garamond" w:hAnsi="EB Garamond" w:cs="EB Garamond"/>
          <w:sz w:val="24"/>
          <w:szCs w:val="24"/>
        </w:rPr>
        <w:t xml:space="preserve">Suppose the Cartesian wishes to deny that meta-cognitive doubt implies that (Ɐₓ)◇~Tₓ. The Cartesian would need to assert the Evil Demon still preserves some necessary truths we can believe. As evidence for this, they would likely suggest it is impossible for them to believe they do not exist. Very </w:t>
      </w:r>
      <w:r w:rsidRPr="006D3CA3">
        <w:rPr>
          <w:rFonts w:ascii="EB Garamond" w:hAnsi="EB Garamond" w:cs="EB Garamond"/>
          <w:sz w:val="24"/>
          <w:szCs w:val="24"/>
        </w:rPr>
        <w:lastRenderedPageBreak/>
        <w:t>well, let us try and find a new means of grounding a proposition with certainty that we have not yet accounted for on the Cartesian schema. For Descartes, any proposition is either supported by revelation from the natural light or from the senses:</w:t>
      </w:r>
    </w:p>
    <w:p w14:paraId="0000004E" w14:textId="77777777" w:rsidR="00B66D52" w:rsidRPr="006D3CA3" w:rsidRDefault="00B66D52">
      <w:pPr>
        <w:ind w:left="720" w:firstLine="720"/>
        <w:rPr>
          <w:rFonts w:ascii="EB Garamond" w:eastAsia="EB Garamond" w:hAnsi="EB Garamond" w:cs="EB Garamond"/>
          <w:sz w:val="24"/>
          <w:szCs w:val="24"/>
        </w:rPr>
      </w:pPr>
    </w:p>
    <w:p w14:paraId="0000004F" w14:textId="77777777" w:rsidR="00B66D52" w:rsidRPr="006D3CA3" w:rsidRDefault="00000000">
      <w:pPr>
        <w:jc w:val="center"/>
        <w:rPr>
          <w:rFonts w:ascii="EB Garamond" w:eastAsia="EB Garamond" w:hAnsi="EB Garamond" w:cs="EB Garamond"/>
          <w:sz w:val="24"/>
          <w:szCs w:val="24"/>
        </w:rPr>
      </w:pPr>
      <w:r w:rsidRPr="006D3CA3">
        <w:rPr>
          <w:rFonts w:ascii="EB Garamond" w:eastAsia="EB Garamond" w:hAnsi="EB Garamond" w:cs="EB Garamond"/>
          <w:sz w:val="24"/>
          <w:szCs w:val="24"/>
        </w:rPr>
        <w:t>(Ɐₓ</w:t>
      </w:r>
      <w:proofErr w:type="gramStart"/>
      <w:r w:rsidRPr="006D3CA3">
        <w:rPr>
          <w:rFonts w:ascii="EB Garamond" w:eastAsia="EB Garamond" w:hAnsi="EB Garamond" w:cs="EB Garamond"/>
          <w:sz w:val="24"/>
          <w:szCs w:val="24"/>
        </w:rPr>
        <w:t>)(</w:t>
      </w:r>
      <w:proofErr w:type="gramEnd"/>
      <w:r w:rsidRPr="006D3CA3">
        <w:rPr>
          <w:rFonts w:ascii="EB Garamond" w:eastAsia="EB Garamond" w:hAnsi="EB Garamond" w:cs="EB Garamond"/>
          <w:sz w:val="24"/>
          <w:szCs w:val="24"/>
        </w:rPr>
        <w:t>Nₓ v Pₓ)</w:t>
      </w:r>
    </w:p>
    <w:p w14:paraId="00000050" w14:textId="77777777" w:rsidR="00B66D52" w:rsidRPr="006D3CA3" w:rsidRDefault="00B66D52">
      <w:pPr>
        <w:ind w:left="720" w:firstLine="720"/>
        <w:rPr>
          <w:rFonts w:ascii="EB Garamond" w:eastAsia="EB Garamond" w:hAnsi="EB Garamond" w:cs="EB Garamond"/>
          <w:sz w:val="24"/>
          <w:szCs w:val="24"/>
        </w:rPr>
      </w:pPr>
    </w:p>
    <w:p w14:paraId="00000051"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It is clear that Descartes believes we cannot be justified in endorsing propositions grounded in sense-perceptions since they may be corrupted by the </w:t>
      </w:r>
      <w:proofErr w:type="spellStart"/>
      <w:r w:rsidRPr="006D3CA3">
        <w:rPr>
          <w:rFonts w:ascii="EB Garamond" w:eastAsia="EB Garamond" w:hAnsi="EB Garamond" w:cs="EB Garamond"/>
          <w:i/>
          <w:sz w:val="24"/>
          <w:szCs w:val="24"/>
        </w:rPr>
        <w:t>malin</w:t>
      </w:r>
      <w:proofErr w:type="spellEnd"/>
      <w:r w:rsidRPr="006D3CA3">
        <w:rPr>
          <w:rFonts w:ascii="EB Garamond" w:eastAsia="EB Garamond" w:hAnsi="EB Garamond" w:cs="EB Garamond"/>
          <w:i/>
          <w:sz w:val="24"/>
          <w:szCs w:val="24"/>
        </w:rPr>
        <w:t xml:space="preserve"> genie</w:t>
      </w:r>
      <w:r w:rsidRPr="006D3CA3">
        <w:rPr>
          <w:rFonts w:ascii="EB Garamond" w:eastAsia="EB Garamond" w:hAnsi="EB Garamond" w:cs="EB Garamond"/>
          <w:sz w:val="24"/>
          <w:szCs w:val="24"/>
        </w:rPr>
        <w:t>. So, for any proposition, if it is supported by the senses, then we ought not believe that proposition:</w:t>
      </w:r>
    </w:p>
    <w:p w14:paraId="00000052" w14:textId="77777777" w:rsidR="00B66D52" w:rsidRPr="006D3CA3" w:rsidRDefault="00B66D52">
      <w:pPr>
        <w:ind w:firstLine="720"/>
        <w:rPr>
          <w:rFonts w:ascii="EB Garamond" w:eastAsia="EB Garamond" w:hAnsi="EB Garamond" w:cs="EB Garamond"/>
          <w:sz w:val="24"/>
          <w:szCs w:val="24"/>
        </w:rPr>
      </w:pPr>
    </w:p>
    <w:p w14:paraId="00000053" w14:textId="77777777" w:rsidR="00B66D52" w:rsidRPr="006D3CA3" w:rsidRDefault="00000000">
      <w:pPr>
        <w:jc w:val="center"/>
        <w:rPr>
          <w:rFonts w:ascii="EB Garamond" w:eastAsia="EB Garamond" w:hAnsi="EB Garamond" w:cs="EB Garamond"/>
          <w:sz w:val="24"/>
          <w:szCs w:val="24"/>
        </w:rPr>
      </w:pPr>
      <w:r w:rsidRPr="006D3CA3">
        <w:rPr>
          <w:rFonts w:ascii="EB Garamond" w:eastAsia="Andika" w:hAnsi="EB Garamond" w:cs="EB Garamond"/>
          <w:sz w:val="24"/>
          <w:szCs w:val="24"/>
        </w:rPr>
        <w:t>(Ɐₓ)(Pₓ→~Bₓ)</w:t>
      </w:r>
    </w:p>
    <w:p w14:paraId="00000054" w14:textId="77777777" w:rsidR="00B66D52" w:rsidRPr="006D3CA3" w:rsidRDefault="00000000">
      <w:pPr>
        <w:ind w:left="720"/>
        <w:rPr>
          <w:rFonts w:ascii="EB Garamond" w:eastAsia="EB Garamond" w:hAnsi="EB Garamond" w:cs="EB Garamond"/>
          <w:sz w:val="24"/>
          <w:szCs w:val="24"/>
        </w:rPr>
      </w:pPr>
      <w:r w:rsidRPr="006D3CA3">
        <w:rPr>
          <w:rFonts w:ascii="EB Garamond" w:eastAsia="EB Garamond" w:hAnsi="EB Garamond" w:cs="EB Garamond"/>
          <w:sz w:val="24"/>
          <w:szCs w:val="24"/>
        </w:rPr>
        <w:tab/>
      </w:r>
    </w:p>
    <w:p w14:paraId="00000055"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Finally, as noted above, Descartes concedes that our nature may lead us to be deceived about even that which seems the most certain. In Meditation 5, Descartes mentions, “I can convince myself that I have a natural disposition to go wrong from time to time in matters which I think I perceive as evidently as can be” (AT 7:70, CSM 2:48). Therefore, the products of the natural light may be subject to indirect doubt.</w:t>
      </w:r>
    </w:p>
    <w:p w14:paraId="00000056" w14:textId="77777777" w:rsidR="00B66D52" w:rsidRPr="006D3CA3" w:rsidRDefault="00B66D52">
      <w:pPr>
        <w:ind w:left="720"/>
        <w:rPr>
          <w:rFonts w:ascii="EB Garamond" w:eastAsia="EB Garamond" w:hAnsi="EB Garamond" w:cs="EB Garamond"/>
          <w:sz w:val="24"/>
          <w:szCs w:val="24"/>
        </w:rPr>
      </w:pPr>
    </w:p>
    <w:p w14:paraId="00000057" w14:textId="77777777" w:rsidR="00B66D52" w:rsidRPr="006D3CA3" w:rsidRDefault="00000000">
      <w:pPr>
        <w:jc w:val="center"/>
        <w:rPr>
          <w:rFonts w:ascii="EB Garamond" w:eastAsia="EB Garamond" w:hAnsi="EB Garamond" w:cs="EB Garamond"/>
          <w:sz w:val="24"/>
          <w:szCs w:val="24"/>
        </w:rPr>
      </w:pPr>
      <w:r w:rsidRPr="006D3CA3">
        <w:rPr>
          <w:rFonts w:ascii="EB Garamond" w:eastAsia="Andika" w:hAnsi="EB Garamond" w:cs="EB Garamond"/>
          <w:sz w:val="24"/>
          <w:szCs w:val="24"/>
        </w:rPr>
        <w:t xml:space="preserve">(Ɐₓ)(Nₓ→~Bₓ) </w:t>
      </w:r>
    </w:p>
    <w:p w14:paraId="00000058" w14:textId="77777777" w:rsidR="00B66D52" w:rsidRPr="006D3CA3" w:rsidRDefault="00B66D52">
      <w:pPr>
        <w:ind w:left="720"/>
        <w:rPr>
          <w:rFonts w:ascii="EB Garamond" w:eastAsia="EB Garamond" w:hAnsi="EB Garamond" w:cs="EB Garamond"/>
          <w:sz w:val="24"/>
          <w:szCs w:val="24"/>
        </w:rPr>
      </w:pPr>
    </w:p>
    <w:p w14:paraId="00000059" w14:textId="618D3DA3" w:rsidR="00B66D52" w:rsidRPr="006D3CA3" w:rsidRDefault="00000000">
      <w:pPr>
        <w:rPr>
          <w:rFonts w:ascii="EB Garamond" w:eastAsia="EB Garamond" w:hAnsi="EB Garamond" w:cs="EB Garamond"/>
          <w:sz w:val="24"/>
          <w:szCs w:val="24"/>
        </w:rPr>
      </w:pPr>
      <w:r w:rsidRPr="006D3CA3">
        <w:rPr>
          <w:rFonts w:ascii="EB Garamond" w:eastAsia="EB Garamond" w:hAnsi="EB Garamond" w:cs="EB Garamond"/>
          <w:sz w:val="24"/>
          <w:szCs w:val="24"/>
        </w:rPr>
        <w:t>We now suffer from the aforementioned problem, that we cannot believe anything</w:t>
      </w:r>
      <w:r w:rsidR="00561E57">
        <w:rPr>
          <w:rFonts w:ascii="EB Garamond" w:eastAsia="EB Garamond" w:hAnsi="EB Garamond" w:cs="EB Garamond"/>
          <w:sz w:val="24"/>
          <w:szCs w:val="24"/>
        </w:rPr>
        <w:t>. Putting the formalism simply, if meta-cognitive doubt undermines natural-light beliefs and sense-perceptions, then we have exhausted Descartes’ possible sources for grounding our beliefs:</w:t>
      </w:r>
    </w:p>
    <w:p w14:paraId="0000005A" w14:textId="77777777" w:rsidR="00B66D52" w:rsidRPr="006D3CA3" w:rsidRDefault="00B66D52">
      <w:pPr>
        <w:ind w:left="720"/>
        <w:rPr>
          <w:rFonts w:ascii="EB Garamond" w:eastAsia="EB Garamond" w:hAnsi="EB Garamond" w:cs="EB Garamond"/>
          <w:sz w:val="24"/>
          <w:szCs w:val="24"/>
        </w:rPr>
      </w:pPr>
    </w:p>
    <w:p w14:paraId="0000005B" w14:textId="77777777" w:rsidR="00B66D52" w:rsidRPr="006D3CA3" w:rsidRDefault="00000000">
      <w:pPr>
        <w:ind w:left="450" w:firstLine="270"/>
        <w:rPr>
          <w:rFonts w:ascii="EB Garamond" w:eastAsia="EB Garamond" w:hAnsi="EB Garamond" w:cs="EB Garamond"/>
          <w:sz w:val="24"/>
          <w:szCs w:val="24"/>
        </w:rPr>
      </w:pPr>
      <w:r w:rsidRPr="006D3CA3">
        <w:rPr>
          <w:rFonts w:ascii="EB Garamond" w:eastAsia="EB Garamond" w:hAnsi="EB Garamond" w:cs="EB Garamond"/>
          <w:sz w:val="24"/>
          <w:szCs w:val="24"/>
        </w:rPr>
        <w:t xml:space="preserve">     </w:t>
      </w:r>
      <w:r w:rsidRPr="006D3CA3">
        <w:rPr>
          <w:rFonts w:ascii="EB Garamond" w:eastAsia="EB Garamond" w:hAnsi="EB Garamond" w:cs="EB Garamond"/>
          <w:sz w:val="24"/>
          <w:szCs w:val="24"/>
        </w:rPr>
        <w:tab/>
      </w:r>
      <w:r w:rsidRPr="006D3CA3">
        <w:rPr>
          <w:rFonts w:ascii="EB Garamond" w:eastAsia="EB Garamond" w:hAnsi="EB Garamond" w:cs="EB Garamond"/>
          <w:sz w:val="24"/>
          <w:szCs w:val="24"/>
        </w:rPr>
        <w:tab/>
        <w:t xml:space="preserve">           1) (Ɐₓ</w:t>
      </w:r>
      <w:proofErr w:type="gramStart"/>
      <w:r w:rsidRPr="006D3CA3">
        <w:rPr>
          <w:rFonts w:ascii="EB Garamond" w:eastAsia="EB Garamond" w:hAnsi="EB Garamond" w:cs="EB Garamond"/>
          <w:sz w:val="24"/>
          <w:szCs w:val="24"/>
        </w:rPr>
        <w:t>)(</w:t>
      </w:r>
      <w:proofErr w:type="gramEnd"/>
      <w:r w:rsidRPr="006D3CA3">
        <w:rPr>
          <w:rFonts w:ascii="EB Garamond" w:eastAsia="EB Garamond" w:hAnsi="EB Garamond" w:cs="EB Garamond"/>
          <w:sz w:val="24"/>
          <w:szCs w:val="24"/>
        </w:rPr>
        <w:t xml:space="preserve">Nₓ v </w:t>
      </w:r>
      <w:proofErr w:type="gramStart"/>
      <w:r w:rsidRPr="006D3CA3">
        <w:rPr>
          <w:rFonts w:ascii="EB Garamond" w:eastAsia="EB Garamond" w:hAnsi="EB Garamond" w:cs="EB Garamond"/>
          <w:sz w:val="24"/>
          <w:szCs w:val="24"/>
        </w:rPr>
        <w:t xml:space="preserve">Pₓ)   </w:t>
      </w:r>
      <w:proofErr w:type="gramEnd"/>
      <w:r w:rsidRPr="006D3CA3">
        <w:rPr>
          <w:rFonts w:ascii="EB Garamond" w:eastAsia="EB Garamond" w:hAnsi="EB Garamond" w:cs="EB Garamond"/>
          <w:sz w:val="24"/>
          <w:szCs w:val="24"/>
        </w:rPr>
        <w:t xml:space="preserve">                                            </w:t>
      </w:r>
      <w:r w:rsidRPr="006D3CA3">
        <w:rPr>
          <w:rFonts w:ascii="EB Garamond" w:eastAsia="EB Garamond" w:hAnsi="EB Garamond" w:cs="EB Garamond"/>
          <w:sz w:val="24"/>
          <w:szCs w:val="24"/>
        </w:rPr>
        <w:tab/>
        <w:t xml:space="preserve">               </w:t>
      </w:r>
      <w:proofErr w:type="spellStart"/>
      <w:r w:rsidRPr="006D3CA3">
        <w:rPr>
          <w:rFonts w:ascii="EB Garamond" w:eastAsia="EB Garamond" w:hAnsi="EB Garamond" w:cs="EB Garamond"/>
          <w:sz w:val="24"/>
          <w:szCs w:val="24"/>
        </w:rPr>
        <w:t>Assumpt</w:t>
      </w:r>
      <w:proofErr w:type="spellEnd"/>
      <w:r w:rsidRPr="006D3CA3">
        <w:rPr>
          <w:rFonts w:ascii="EB Garamond" w:eastAsia="EB Garamond" w:hAnsi="EB Garamond" w:cs="EB Garamond"/>
          <w:sz w:val="24"/>
          <w:szCs w:val="24"/>
        </w:rPr>
        <w:t xml:space="preserve">. </w:t>
      </w:r>
    </w:p>
    <w:p w14:paraId="0000005C" w14:textId="77777777" w:rsidR="00B66D52" w:rsidRPr="006D3CA3" w:rsidRDefault="00000000">
      <w:pPr>
        <w:ind w:left="1260" w:firstLine="270"/>
        <w:rPr>
          <w:rFonts w:ascii="EB Garamond" w:eastAsia="EB Garamond" w:hAnsi="EB Garamond" w:cs="EB Garamond"/>
          <w:sz w:val="24"/>
          <w:szCs w:val="24"/>
        </w:rPr>
      </w:pPr>
      <w:r w:rsidRPr="006D3CA3">
        <w:rPr>
          <w:rFonts w:ascii="EB Garamond" w:eastAsia="Andika" w:hAnsi="EB Garamond" w:cs="EB Garamond"/>
          <w:sz w:val="24"/>
          <w:szCs w:val="24"/>
        </w:rPr>
        <w:t xml:space="preserve">                        2) (Ɐₓ)(Pₓ→~Bₓ) </w:t>
      </w:r>
      <w:r w:rsidRPr="006D3CA3">
        <w:rPr>
          <w:rFonts w:ascii="EB Garamond" w:eastAsia="Andika" w:hAnsi="EB Garamond" w:cs="EB Garamond"/>
          <w:sz w:val="24"/>
          <w:szCs w:val="24"/>
        </w:rPr>
        <w:tab/>
      </w:r>
      <w:r w:rsidRPr="006D3CA3">
        <w:rPr>
          <w:rFonts w:ascii="EB Garamond" w:eastAsia="Andika" w:hAnsi="EB Garamond" w:cs="EB Garamond"/>
          <w:sz w:val="24"/>
          <w:szCs w:val="24"/>
        </w:rPr>
        <w:tab/>
        <w:t xml:space="preserve">                                             </w:t>
      </w:r>
      <w:proofErr w:type="spellStart"/>
      <w:r w:rsidRPr="006D3CA3">
        <w:rPr>
          <w:rFonts w:ascii="EB Garamond" w:eastAsia="Andika" w:hAnsi="EB Garamond" w:cs="EB Garamond"/>
          <w:sz w:val="24"/>
          <w:szCs w:val="24"/>
        </w:rPr>
        <w:t>Assumpt</w:t>
      </w:r>
      <w:proofErr w:type="spellEnd"/>
      <w:r w:rsidRPr="006D3CA3">
        <w:rPr>
          <w:rFonts w:ascii="EB Garamond" w:eastAsia="Andika" w:hAnsi="EB Garamond" w:cs="EB Garamond"/>
          <w:sz w:val="24"/>
          <w:szCs w:val="24"/>
        </w:rPr>
        <w:t>.</w:t>
      </w:r>
      <w:r w:rsidRPr="006D3CA3">
        <w:rPr>
          <w:rFonts w:ascii="EB Garamond" w:eastAsia="Andika" w:hAnsi="EB Garamond" w:cs="EB Garamond"/>
          <w:sz w:val="24"/>
          <w:szCs w:val="24"/>
        </w:rPr>
        <w:tab/>
      </w:r>
    </w:p>
    <w:p w14:paraId="0000005D" w14:textId="77777777" w:rsidR="00B66D52" w:rsidRPr="006D3CA3" w:rsidRDefault="00000000">
      <w:pPr>
        <w:ind w:left="2070" w:firstLine="270"/>
        <w:rPr>
          <w:rFonts w:ascii="EB Garamond" w:eastAsia="EB Garamond" w:hAnsi="EB Garamond" w:cs="EB Garamond"/>
          <w:sz w:val="24"/>
          <w:szCs w:val="24"/>
        </w:rPr>
      </w:pPr>
      <w:r w:rsidRPr="006D3CA3">
        <w:rPr>
          <w:rFonts w:ascii="EB Garamond" w:eastAsia="Andika" w:hAnsi="EB Garamond" w:cs="EB Garamond"/>
          <w:sz w:val="24"/>
          <w:szCs w:val="24"/>
        </w:rPr>
        <w:t xml:space="preserve">       3) (Ɐₓ)(Nₓ→~</w:t>
      </w:r>
      <w:proofErr w:type="gramStart"/>
      <w:r w:rsidRPr="006D3CA3">
        <w:rPr>
          <w:rFonts w:ascii="EB Garamond" w:eastAsia="Andika" w:hAnsi="EB Garamond" w:cs="EB Garamond"/>
          <w:sz w:val="24"/>
          <w:szCs w:val="24"/>
        </w:rPr>
        <w:t xml:space="preserve">Bₓ)   </w:t>
      </w:r>
      <w:proofErr w:type="gramEnd"/>
      <w:r w:rsidRPr="006D3CA3">
        <w:rPr>
          <w:rFonts w:ascii="EB Garamond" w:eastAsia="Andika" w:hAnsi="EB Garamond" w:cs="EB Garamond"/>
          <w:sz w:val="24"/>
          <w:szCs w:val="24"/>
        </w:rPr>
        <w:t xml:space="preserve">       </w:t>
      </w:r>
      <w:r w:rsidRPr="006D3CA3">
        <w:rPr>
          <w:rFonts w:ascii="EB Garamond" w:eastAsia="Andika" w:hAnsi="EB Garamond" w:cs="EB Garamond"/>
          <w:sz w:val="24"/>
          <w:szCs w:val="24"/>
        </w:rPr>
        <w:tab/>
        <w:t xml:space="preserve">                                             </w:t>
      </w:r>
      <w:proofErr w:type="spellStart"/>
      <w:r w:rsidRPr="006D3CA3">
        <w:rPr>
          <w:rFonts w:ascii="EB Garamond" w:eastAsia="Andika" w:hAnsi="EB Garamond" w:cs="EB Garamond"/>
          <w:sz w:val="24"/>
          <w:szCs w:val="24"/>
        </w:rPr>
        <w:t>Assumpt</w:t>
      </w:r>
      <w:proofErr w:type="spellEnd"/>
      <w:r w:rsidRPr="006D3CA3">
        <w:rPr>
          <w:rFonts w:ascii="EB Garamond" w:eastAsia="Andika" w:hAnsi="EB Garamond" w:cs="EB Garamond"/>
          <w:sz w:val="24"/>
          <w:szCs w:val="24"/>
        </w:rPr>
        <w:t>.</w:t>
      </w:r>
      <w:r w:rsidRPr="006D3CA3">
        <w:rPr>
          <w:rFonts w:ascii="EB Garamond" w:eastAsia="Andika" w:hAnsi="EB Garamond" w:cs="EB Garamond"/>
          <w:sz w:val="24"/>
          <w:szCs w:val="24"/>
        </w:rPr>
        <w:tab/>
        <w:t xml:space="preserve">     </w:t>
      </w:r>
      <w:r w:rsidRPr="006D3CA3">
        <w:rPr>
          <w:rFonts w:ascii="EB Garamond" w:eastAsia="Andika" w:hAnsi="EB Garamond" w:cs="EB Garamond"/>
          <w:sz w:val="24"/>
          <w:szCs w:val="24"/>
        </w:rPr>
        <w:tab/>
      </w:r>
    </w:p>
    <w:p w14:paraId="0000005E" w14:textId="77777777" w:rsidR="00B66D52" w:rsidRPr="006D3CA3" w:rsidRDefault="00000000">
      <w:pPr>
        <w:ind w:firstLine="270"/>
        <w:rPr>
          <w:rFonts w:ascii="EB Garamond" w:eastAsia="EB Garamond" w:hAnsi="EB Garamond" w:cs="EB Garamond"/>
          <w:sz w:val="24"/>
          <w:szCs w:val="24"/>
        </w:rPr>
      </w:pPr>
      <w:r w:rsidRPr="006D3CA3">
        <w:rPr>
          <w:rFonts w:ascii="EB Garamond" w:eastAsia="EB Garamond" w:hAnsi="EB Garamond" w:cs="EB Garamond"/>
          <w:sz w:val="24"/>
          <w:szCs w:val="24"/>
        </w:rPr>
        <w:t xml:space="preserve">       </w:t>
      </w:r>
      <w:r w:rsidRPr="006D3CA3">
        <w:rPr>
          <w:rFonts w:ascii="EB Garamond" w:eastAsia="EB Garamond" w:hAnsi="EB Garamond" w:cs="EB Garamond"/>
          <w:sz w:val="24"/>
          <w:szCs w:val="24"/>
        </w:rPr>
        <w:tab/>
      </w:r>
      <w:r w:rsidRPr="006D3CA3">
        <w:rPr>
          <w:rFonts w:ascii="EB Garamond" w:eastAsia="EB Garamond" w:hAnsi="EB Garamond" w:cs="EB Garamond"/>
          <w:sz w:val="24"/>
          <w:szCs w:val="24"/>
        </w:rPr>
        <w:tab/>
      </w:r>
      <w:r w:rsidRPr="006D3CA3">
        <w:rPr>
          <w:rFonts w:ascii="EB Garamond" w:eastAsia="EB Garamond" w:hAnsi="EB Garamond" w:cs="EB Garamond"/>
          <w:sz w:val="24"/>
          <w:szCs w:val="24"/>
        </w:rPr>
        <w:tab/>
        <w:t xml:space="preserve">           4) Nₕ v Pₕ                                            </w:t>
      </w:r>
      <w:proofErr w:type="gramStart"/>
      <w:r w:rsidRPr="006D3CA3">
        <w:rPr>
          <w:rFonts w:ascii="EB Garamond" w:eastAsia="EB Garamond" w:hAnsi="EB Garamond" w:cs="EB Garamond"/>
          <w:sz w:val="24"/>
          <w:szCs w:val="24"/>
        </w:rPr>
        <w:tab/>
        <w:t xml:space="preserve">  </w:t>
      </w:r>
      <w:r w:rsidRPr="006D3CA3">
        <w:rPr>
          <w:rFonts w:ascii="EB Garamond" w:eastAsia="EB Garamond" w:hAnsi="EB Garamond" w:cs="EB Garamond"/>
          <w:sz w:val="24"/>
          <w:szCs w:val="24"/>
        </w:rPr>
        <w:tab/>
      </w:r>
      <w:proofErr w:type="gramEnd"/>
      <w:r w:rsidRPr="006D3CA3">
        <w:rPr>
          <w:rFonts w:ascii="EB Garamond" w:eastAsia="EB Garamond" w:hAnsi="EB Garamond" w:cs="EB Garamond"/>
          <w:sz w:val="24"/>
          <w:szCs w:val="24"/>
        </w:rPr>
        <w:t xml:space="preserve">            </w:t>
      </w:r>
      <w:proofErr w:type="gramStart"/>
      <w:r w:rsidRPr="006D3CA3">
        <w:rPr>
          <w:rFonts w:ascii="EB Garamond" w:eastAsia="EB Garamond" w:hAnsi="EB Garamond" w:cs="EB Garamond"/>
          <w:sz w:val="24"/>
          <w:szCs w:val="24"/>
        </w:rPr>
        <w:t xml:space="preserve">   (</w:t>
      </w:r>
      <w:proofErr w:type="gramEnd"/>
      <w:r w:rsidRPr="006D3CA3">
        <w:rPr>
          <w:rFonts w:ascii="EB Garamond" w:eastAsia="EB Garamond" w:hAnsi="EB Garamond" w:cs="EB Garamond"/>
          <w:sz w:val="24"/>
          <w:szCs w:val="24"/>
        </w:rPr>
        <w:t>1, ⱯE)</w:t>
      </w:r>
    </w:p>
    <w:p w14:paraId="0000005F" w14:textId="77777777" w:rsidR="00B66D52" w:rsidRPr="006D3CA3" w:rsidRDefault="00000000">
      <w:pPr>
        <w:ind w:firstLine="270"/>
        <w:rPr>
          <w:rFonts w:ascii="EB Garamond" w:eastAsia="EB Garamond" w:hAnsi="EB Garamond" w:cs="EB Garamond"/>
          <w:sz w:val="24"/>
          <w:szCs w:val="24"/>
        </w:rPr>
      </w:pPr>
      <w:r w:rsidRPr="006D3CA3">
        <w:rPr>
          <w:rFonts w:ascii="EB Garamond" w:eastAsia="Andika" w:hAnsi="EB Garamond" w:cs="EB Garamond"/>
          <w:sz w:val="24"/>
          <w:szCs w:val="24"/>
        </w:rPr>
        <w:t xml:space="preserve">                                                  5) Pₕ→~Bₕ                                                                     </w:t>
      </w:r>
      <w:proofErr w:type="gramStart"/>
      <w:r w:rsidRPr="006D3CA3">
        <w:rPr>
          <w:rFonts w:ascii="EB Garamond" w:eastAsia="Andika" w:hAnsi="EB Garamond" w:cs="EB Garamond"/>
          <w:sz w:val="24"/>
          <w:szCs w:val="24"/>
        </w:rPr>
        <w:t xml:space="preserve">   (</w:t>
      </w:r>
      <w:proofErr w:type="gramEnd"/>
      <w:r w:rsidRPr="006D3CA3">
        <w:rPr>
          <w:rFonts w:ascii="EB Garamond" w:eastAsia="Andika" w:hAnsi="EB Garamond" w:cs="EB Garamond"/>
          <w:sz w:val="24"/>
          <w:szCs w:val="24"/>
        </w:rPr>
        <w:t>2, ⱯE)</w:t>
      </w:r>
    </w:p>
    <w:p w14:paraId="00000060" w14:textId="77777777" w:rsidR="00B66D52" w:rsidRPr="006D3CA3" w:rsidRDefault="00000000">
      <w:pPr>
        <w:ind w:left="180" w:firstLine="270"/>
        <w:rPr>
          <w:rFonts w:ascii="EB Garamond" w:eastAsia="EB Garamond" w:hAnsi="EB Garamond" w:cs="EB Garamond"/>
          <w:sz w:val="24"/>
          <w:szCs w:val="24"/>
        </w:rPr>
      </w:pPr>
      <w:r w:rsidRPr="006D3CA3">
        <w:rPr>
          <w:rFonts w:ascii="EB Garamond" w:eastAsia="Andika" w:hAnsi="EB Garamond" w:cs="EB Garamond"/>
          <w:sz w:val="24"/>
          <w:szCs w:val="24"/>
        </w:rPr>
        <w:t xml:space="preserve">                                              6) Nₕ→~Bₕ                                                                    </w:t>
      </w:r>
      <w:proofErr w:type="gramStart"/>
      <w:r w:rsidRPr="006D3CA3">
        <w:rPr>
          <w:rFonts w:ascii="EB Garamond" w:eastAsia="Andika" w:hAnsi="EB Garamond" w:cs="EB Garamond"/>
          <w:sz w:val="24"/>
          <w:szCs w:val="24"/>
        </w:rPr>
        <w:t xml:space="preserve">   (</w:t>
      </w:r>
      <w:proofErr w:type="gramEnd"/>
      <w:r w:rsidRPr="006D3CA3">
        <w:rPr>
          <w:rFonts w:ascii="EB Garamond" w:eastAsia="Andika" w:hAnsi="EB Garamond" w:cs="EB Garamond"/>
          <w:sz w:val="24"/>
          <w:szCs w:val="24"/>
        </w:rPr>
        <w:t>3, ⱯE)</w:t>
      </w:r>
    </w:p>
    <w:p w14:paraId="00000061" w14:textId="77777777" w:rsidR="00B66D52" w:rsidRPr="006D3CA3" w:rsidRDefault="00000000">
      <w:pPr>
        <w:ind w:left="1890"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           7) Pₕ                                                                        </w:t>
      </w:r>
      <w:proofErr w:type="gramStart"/>
      <w:r w:rsidRPr="006D3CA3">
        <w:rPr>
          <w:rFonts w:ascii="EB Garamond" w:eastAsia="EB Garamond" w:hAnsi="EB Garamond" w:cs="EB Garamond"/>
          <w:sz w:val="24"/>
          <w:szCs w:val="24"/>
        </w:rPr>
        <w:t xml:space="preserve">   (</w:t>
      </w:r>
      <w:proofErr w:type="gramEnd"/>
      <w:r w:rsidRPr="006D3CA3">
        <w:rPr>
          <w:rFonts w:ascii="EB Garamond" w:eastAsia="EB Garamond" w:hAnsi="EB Garamond" w:cs="EB Garamond"/>
          <w:sz w:val="24"/>
          <w:szCs w:val="24"/>
        </w:rPr>
        <w:t>Assumption)</w:t>
      </w:r>
    </w:p>
    <w:p w14:paraId="00000062" w14:textId="77777777" w:rsidR="00B66D52" w:rsidRPr="006D3CA3" w:rsidRDefault="00000000">
      <w:pPr>
        <w:ind w:left="720" w:firstLine="720"/>
        <w:rPr>
          <w:rFonts w:ascii="EB Garamond" w:eastAsia="EB Garamond" w:hAnsi="EB Garamond" w:cs="EB Garamond"/>
          <w:sz w:val="24"/>
          <w:szCs w:val="24"/>
        </w:rPr>
      </w:pPr>
      <w:r w:rsidRPr="006D3CA3">
        <w:rPr>
          <w:rFonts w:ascii="EB Garamond" w:eastAsia="Andika" w:hAnsi="EB Garamond" w:cs="EB Garamond"/>
          <w:sz w:val="24"/>
          <w:szCs w:val="24"/>
        </w:rPr>
        <w:t xml:space="preserve">                                   8) ~Bₕ                                                                      </w:t>
      </w:r>
      <w:proofErr w:type="gramStart"/>
      <w:r w:rsidRPr="006D3CA3">
        <w:rPr>
          <w:rFonts w:ascii="EB Garamond" w:eastAsia="Andika" w:hAnsi="EB Garamond" w:cs="EB Garamond"/>
          <w:sz w:val="24"/>
          <w:szCs w:val="24"/>
        </w:rPr>
        <w:t xml:space="preserve">   (</w:t>
      </w:r>
      <w:proofErr w:type="gramEnd"/>
      <w:r w:rsidRPr="006D3CA3">
        <w:rPr>
          <w:rFonts w:ascii="EB Garamond" w:eastAsia="Andika" w:hAnsi="EB Garamond" w:cs="EB Garamond"/>
          <w:sz w:val="24"/>
          <w:szCs w:val="24"/>
        </w:rPr>
        <w:t>5, 7, →E)</w:t>
      </w:r>
    </w:p>
    <w:p w14:paraId="00000063" w14:textId="77777777" w:rsidR="00B66D52" w:rsidRPr="006D3CA3" w:rsidRDefault="00000000">
      <w:pPr>
        <w:ind w:left="2070"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       9) Nₕ                                                                       </w:t>
      </w:r>
      <w:proofErr w:type="gramStart"/>
      <w:r w:rsidRPr="006D3CA3">
        <w:rPr>
          <w:rFonts w:ascii="EB Garamond" w:eastAsia="EB Garamond" w:hAnsi="EB Garamond" w:cs="EB Garamond"/>
          <w:sz w:val="24"/>
          <w:szCs w:val="24"/>
        </w:rPr>
        <w:t xml:space="preserve">   (</w:t>
      </w:r>
      <w:proofErr w:type="gramEnd"/>
      <w:r w:rsidRPr="006D3CA3">
        <w:rPr>
          <w:rFonts w:ascii="EB Garamond" w:eastAsia="EB Garamond" w:hAnsi="EB Garamond" w:cs="EB Garamond"/>
          <w:sz w:val="24"/>
          <w:szCs w:val="24"/>
        </w:rPr>
        <w:t>Assumption)</w:t>
      </w:r>
    </w:p>
    <w:p w14:paraId="00000064" w14:textId="77777777" w:rsidR="00B66D52" w:rsidRPr="006D3CA3" w:rsidRDefault="00000000">
      <w:pPr>
        <w:ind w:left="720" w:firstLine="720"/>
        <w:rPr>
          <w:rFonts w:ascii="EB Garamond" w:eastAsia="EB Garamond" w:hAnsi="EB Garamond" w:cs="EB Garamond"/>
          <w:sz w:val="24"/>
          <w:szCs w:val="24"/>
        </w:rPr>
      </w:pPr>
      <w:r w:rsidRPr="006D3CA3">
        <w:rPr>
          <w:rFonts w:ascii="EB Garamond" w:eastAsia="Andika" w:hAnsi="EB Garamond" w:cs="EB Garamond"/>
          <w:sz w:val="24"/>
          <w:szCs w:val="24"/>
        </w:rPr>
        <w:t xml:space="preserve">                                 10)~Bₕ                                                                       </w:t>
      </w:r>
      <w:proofErr w:type="gramStart"/>
      <w:r w:rsidRPr="006D3CA3">
        <w:rPr>
          <w:rFonts w:ascii="EB Garamond" w:eastAsia="Andika" w:hAnsi="EB Garamond" w:cs="EB Garamond"/>
          <w:sz w:val="24"/>
          <w:szCs w:val="24"/>
        </w:rPr>
        <w:t xml:space="preserve">   (</w:t>
      </w:r>
      <w:proofErr w:type="gramEnd"/>
      <w:r w:rsidRPr="006D3CA3">
        <w:rPr>
          <w:rFonts w:ascii="EB Garamond" w:eastAsia="Andika" w:hAnsi="EB Garamond" w:cs="EB Garamond"/>
          <w:sz w:val="24"/>
          <w:szCs w:val="24"/>
        </w:rPr>
        <w:t>6,9, →E)</w:t>
      </w:r>
    </w:p>
    <w:p w14:paraId="00000065" w14:textId="77777777" w:rsidR="00B66D52" w:rsidRPr="006D3CA3" w:rsidRDefault="00000000">
      <w:pPr>
        <w:ind w:left="180"/>
        <w:rPr>
          <w:rFonts w:ascii="EB Garamond" w:eastAsia="EB Garamond" w:hAnsi="EB Garamond" w:cs="EB Garamond"/>
          <w:sz w:val="24"/>
          <w:szCs w:val="24"/>
        </w:rPr>
      </w:pPr>
      <w:r w:rsidRPr="006D3CA3">
        <w:rPr>
          <w:rFonts w:ascii="EB Garamond" w:eastAsia="EB Garamond" w:hAnsi="EB Garamond" w:cs="EB Garamond"/>
          <w:sz w:val="24"/>
          <w:szCs w:val="24"/>
        </w:rPr>
        <w:t xml:space="preserve">                                                 11) ~Bₕ        </w:t>
      </w:r>
      <w:r w:rsidRPr="006D3CA3">
        <w:rPr>
          <w:rFonts w:ascii="EB Garamond" w:eastAsia="EB Garamond" w:hAnsi="EB Garamond" w:cs="EB Garamond"/>
          <w:sz w:val="24"/>
          <w:szCs w:val="24"/>
        </w:rPr>
        <w:tab/>
      </w:r>
      <w:r w:rsidRPr="006D3CA3">
        <w:rPr>
          <w:rFonts w:ascii="EB Garamond" w:eastAsia="EB Garamond" w:hAnsi="EB Garamond" w:cs="EB Garamond"/>
          <w:sz w:val="24"/>
          <w:szCs w:val="24"/>
        </w:rPr>
        <w:tab/>
      </w:r>
      <w:r w:rsidRPr="006D3CA3">
        <w:rPr>
          <w:rFonts w:ascii="EB Garamond" w:eastAsia="EB Garamond" w:hAnsi="EB Garamond" w:cs="EB Garamond"/>
          <w:sz w:val="24"/>
          <w:szCs w:val="24"/>
        </w:rPr>
        <w:tab/>
      </w:r>
      <w:r w:rsidRPr="006D3CA3">
        <w:rPr>
          <w:rFonts w:ascii="EB Garamond" w:eastAsia="EB Garamond" w:hAnsi="EB Garamond" w:cs="EB Garamond"/>
          <w:sz w:val="24"/>
          <w:szCs w:val="24"/>
        </w:rPr>
        <w:tab/>
      </w:r>
      <w:r w:rsidRPr="006D3CA3">
        <w:rPr>
          <w:rFonts w:ascii="EB Garamond" w:eastAsia="EB Garamond" w:hAnsi="EB Garamond" w:cs="EB Garamond"/>
          <w:sz w:val="24"/>
          <w:szCs w:val="24"/>
        </w:rPr>
        <w:tab/>
        <w:t xml:space="preserve"> (4, 7-8,9-10, </w:t>
      </w:r>
      <w:proofErr w:type="spellStart"/>
      <w:r w:rsidRPr="006D3CA3">
        <w:rPr>
          <w:rFonts w:ascii="EB Garamond" w:eastAsia="EB Garamond" w:hAnsi="EB Garamond" w:cs="EB Garamond"/>
          <w:sz w:val="24"/>
          <w:szCs w:val="24"/>
        </w:rPr>
        <w:t>vE</w:t>
      </w:r>
      <w:proofErr w:type="spellEnd"/>
      <w:r w:rsidRPr="006D3CA3">
        <w:rPr>
          <w:rFonts w:ascii="EB Garamond" w:eastAsia="EB Garamond" w:hAnsi="EB Garamond" w:cs="EB Garamond"/>
          <w:sz w:val="24"/>
          <w:szCs w:val="24"/>
        </w:rPr>
        <w:t>)</w:t>
      </w:r>
    </w:p>
    <w:p w14:paraId="00000066" w14:textId="77777777" w:rsidR="00B66D52" w:rsidRPr="006D3CA3" w:rsidRDefault="00000000">
      <w:pPr>
        <w:ind w:left="540"/>
        <w:rPr>
          <w:rFonts w:ascii="EB Garamond" w:eastAsia="EB Garamond" w:hAnsi="EB Garamond" w:cs="EB Garamond"/>
          <w:sz w:val="24"/>
          <w:szCs w:val="24"/>
        </w:rPr>
      </w:pPr>
      <w:r w:rsidRPr="006D3CA3">
        <w:rPr>
          <w:rFonts w:ascii="EB Garamond" w:eastAsia="EB Garamond" w:hAnsi="EB Garamond" w:cs="EB Garamond"/>
          <w:sz w:val="24"/>
          <w:szCs w:val="24"/>
        </w:rPr>
        <w:t xml:space="preserve">                                         12) (Ɐₓ)~Bₓ                                                                         </w:t>
      </w:r>
      <w:proofErr w:type="gramStart"/>
      <w:r w:rsidRPr="006D3CA3">
        <w:rPr>
          <w:rFonts w:ascii="EB Garamond" w:eastAsia="EB Garamond" w:hAnsi="EB Garamond" w:cs="EB Garamond"/>
          <w:sz w:val="24"/>
          <w:szCs w:val="24"/>
        </w:rPr>
        <w:t xml:space="preserve">   (</w:t>
      </w:r>
      <w:proofErr w:type="gramEnd"/>
      <w:r w:rsidRPr="006D3CA3">
        <w:rPr>
          <w:rFonts w:ascii="EB Garamond" w:eastAsia="EB Garamond" w:hAnsi="EB Garamond" w:cs="EB Garamond"/>
          <w:sz w:val="24"/>
          <w:szCs w:val="24"/>
        </w:rPr>
        <w:t>12, ⱯI)</w:t>
      </w:r>
    </w:p>
    <w:p w14:paraId="00000067" w14:textId="77777777" w:rsidR="00B66D52" w:rsidRPr="006D3CA3" w:rsidRDefault="00B66D52">
      <w:pPr>
        <w:ind w:left="720"/>
        <w:rPr>
          <w:rFonts w:ascii="EB Garamond" w:eastAsia="EB Garamond" w:hAnsi="EB Garamond" w:cs="EB Garamond"/>
          <w:sz w:val="24"/>
          <w:szCs w:val="24"/>
        </w:rPr>
      </w:pPr>
    </w:p>
    <w:p w14:paraId="00000068" w14:textId="77777777" w:rsidR="00B66D52" w:rsidRPr="006D3CA3" w:rsidRDefault="00000000">
      <w:pPr>
        <w:ind w:firstLine="720"/>
        <w:rPr>
          <w:rFonts w:ascii="EB Garamond" w:eastAsia="EB Garamond" w:hAnsi="EB Garamond" w:cs="EB Garamond"/>
          <w:color w:val="1A1A1A"/>
          <w:sz w:val="24"/>
          <w:szCs w:val="24"/>
          <w:highlight w:val="white"/>
        </w:rPr>
      </w:pPr>
      <w:r w:rsidRPr="006D3CA3">
        <w:rPr>
          <w:rFonts w:ascii="EB Garamond" w:eastAsia="EB Garamond" w:hAnsi="EB Garamond" w:cs="EB Garamond"/>
          <w:color w:val="1A1A1A"/>
          <w:sz w:val="24"/>
          <w:szCs w:val="24"/>
          <w:highlight w:val="white"/>
        </w:rPr>
        <w:t xml:space="preserve"> It seems that any proposition which we would hope to make about the world falls victim to this doubt: no matter how preposterous it seems to say </w:t>
      </w:r>
      <w:r w:rsidRPr="006D3CA3">
        <w:rPr>
          <w:rFonts w:ascii="EB Garamond" w:eastAsia="EB Garamond" w:hAnsi="EB Garamond" w:cs="EB Garamond"/>
          <w:i/>
          <w:color w:val="1A1A1A"/>
          <w:sz w:val="24"/>
          <w:szCs w:val="24"/>
          <w:highlight w:val="white"/>
        </w:rPr>
        <w:t>~p</w:t>
      </w:r>
      <w:r w:rsidRPr="006D3CA3">
        <w:rPr>
          <w:rFonts w:ascii="EB Garamond" w:eastAsia="EB Garamond" w:hAnsi="EB Garamond" w:cs="EB Garamond"/>
          <w:color w:val="1A1A1A"/>
          <w:sz w:val="24"/>
          <w:szCs w:val="24"/>
          <w:highlight w:val="white"/>
        </w:rPr>
        <w:t xml:space="preserve">, we can never say we are justified in believing </w:t>
      </w:r>
      <w:r w:rsidRPr="006D3CA3">
        <w:rPr>
          <w:rFonts w:ascii="EB Garamond" w:eastAsia="EB Garamond" w:hAnsi="EB Garamond" w:cs="EB Garamond"/>
          <w:i/>
          <w:color w:val="1A1A1A"/>
          <w:sz w:val="24"/>
          <w:szCs w:val="24"/>
          <w:highlight w:val="white"/>
        </w:rPr>
        <w:t>p</w:t>
      </w:r>
      <w:r w:rsidRPr="006D3CA3">
        <w:rPr>
          <w:rFonts w:ascii="EB Garamond" w:eastAsia="EB Garamond" w:hAnsi="EB Garamond" w:cs="EB Garamond"/>
          <w:color w:val="1A1A1A"/>
          <w:sz w:val="24"/>
          <w:szCs w:val="24"/>
          <w:highlight w:val="white"/>
        </w:rPr>
        <w:t>. Euclidean foundationalism is jeopardized by the fact that unbounded doubt permits no axioms. For any proposition, persuasive as it may be, it is not indubitable: it is subject to an indirect doubt; as such, we cannot believe anything under a Cartesian unbounded framework.</w:t>
      </w:r>
    </w:p>
    <w:p w14:paraId="00000069" w14:textId="77777777" w:rsidR="00B66D52" w:rsidRPr="006D3CA3" w:rsidRDefault="00000000">
      <w:pPr>
        <w:ind w:firstLine="720"/>
        <w:rPr>
          <w:rFonts w:ascii="EB Garamond" w:eastAsia="EB Garamond" w:hAnsi="EB Garamond" w:cs="EB Garamond"/>
          <w:color w:val="1A1A1A"/>
          <w:sz w:val="24"/>
          <w:szCs w:val="24"/>
          <w:highlight w:val="white"/>
        </w:rPr>
      </w:pPr>
      <w:r w:rsidRPr="006D3CA3">
        <w:rPr>
          <w:rFonts w:ascii="EB Garamond" w:eastAsia="EB Garamond" w:hAnsi="EB Garamond" w:cs="EB Garamond"/>
          <w:color w:val="1A1A1A"/>
          <w:sz w:val="24"/>
          <w:szCs w:val="24"/>
          <w:highlight w:val="white"/>
        </w:rPr>
        <w:t xml:space="preserve">The final argument that may be made here by the Cartesian is that the awareness of the cogito is revealed by the </w:t>
      </w:r>
      <w:r w:rsidRPr="006D3CA3">
        <w:rPr>
          <w:rFonts w:ascii="EB Garamond" w:eastAsia="EB Garamond" w:hAnsi="EB Garamond" w:cs="EB Garamond"/>
          <w:i/>
          <w:color w:val="1A1A1A"/>
          <w:sz w:val="24"/>
          <w:szCs w:val="24"/>
          <w:highlight w:val="white"/>
        </w:rPr>
        <w:t xml:space="preserve">lumen </w:t>
      </w:r>
      <w:proofErr w:type="spellStart"/>
      <w:r w:rsidRPr="006D3CA3">
        <w:rPr>
          <w:rFonts w:ascii="EB Garamond" w:eastAsia="EB Garamond" w:hAnsi="EB Garamond" w:cs="EB Garamond"/>
          <w:i/>
          <w:color w:val="1A1A1A"/>
          <w:sz w:val="24"/>
          <w:szCs w:val="24"/>
          <w:highlight w:val="white"/>
        </w:rPr>
        <w:t>naturale</w:t>
      </w:r>
      <w:proofErr w:type="spellEnd"/>
      <w:r w:rsidRPr="006D3CA3">
        <w:rPr>
          <w:rFonts w:ascii="EB Garamond" w:eastAsia="EB Garamond" w:hAnsi="EB Garamond" w:cs="EB Garamond"/>
          <w:i/>
          <w:color w:val="1A1A1A"/>
          <w:sz w:val="24"/>
          <w:szCs w:val="24"/>
          <w:highlight w:val="white"/>
        </w:rPr>
        <w:t xml:space="preserve"> </w:t>
      </w:r>
      <w:r w:rsidRPr="006D3CA3">
        <w:rPr>
          <w:rFonts w:ascii="EB Garamond" w:eastAsia="EB Garamond" w:hAnsi="EB Garamond" w:cs="EB Garamond"/>
          <w:color w:val="1A1A1A"/>
          <w:sz w:val="24"/>
          <w:szCs w:val="24"/>
          <w:highlight w:val="white"/>
        </w:rPr>
        <w:t>in a manner that is intimately linked with the phenomenology of experiencing the statement, “I do not exist.” Some authors, such as Slezak</w:t>
      </w:r>
      <w:r w:rsidRPr="006D3CA3">
        <w:rPr>
          <w:rFonts w:ascii="EB Garamond" w:eastAsia="EB Garamond" w:hAnsi="EB Garamond" w:cs="EB Garamond"/>
          <w:color w:val="1A1A1A"/>
          <w:sz w:val="24"/>
          <w:szCs w:val="24"/>
          <w:highlight w:val="white"/>
          <w:vertAlign w:val="superscript"/>
        </w:rPr>
        <w:footnoteReference w:id="19"/>
      </w:r>
      <w:r w:rsidRPr="006D3CA3">
        <w:rPr>
          <w:rFonts w:ascii="EB Garamond" w:eastAsia="EB Garamond" w:hAnsi="EB Garamond" w:cs="EB Garamond"/>
          <w:color w:val="1A1A1A"/>
          <w:sz w:val="24"/>
          <w:szCs w:val="24"/>
          <w:highlight w:val="white"/>
        </w:rPr>
        <w:t xml:space="preserve"> or Broughton,</w:t>
      </w:r>
      <w:r w:rsidRPr="006D3CA3">
        <w:rPr>
          <w:rFonts w:ascii="EB Garamond" w:eastAsia="EB Garamond" w:hAnsi="EB Garamond" w:cs="EB Garamond"/>
          <w:color w:val="1A1A1A"/>
          <w:sz w:val="24"/>
          <w:szCs w:val="24"/>
          <w:highlight w:val="white"/>
          <w:vertAlign w:val="superscript"/>
        </w:rPr>
        <w:footnoteReference w:id="20"/>
      </w:r>
      <w:r w:rsidRPr="006D3CA3">
        <w:rPr>
          <w:rFonts w:ascii="EB Garamond" w:eastAsia="EB Garamond" w:hAnsi="EB Garamond" w:cs="EB Garamond"/>
          <w:color w:val="1A1A1A"/>
          <w:sz w:val="24"/>
          <w:szCs w:val="24"/>
          <w:highlight w:val="white"/>
        </w:rPr>
        <w:t xml:space="preserve"> depict the method of doubt as searching for a proposition for which “it is impossible both that the proposition be false and that I be doubting whether it is true.” The method for Descartes, then, is of the sort that we must actively possess the thought “I doubt that </w:t>
      </w:r>
      <w:r w:rsidRPr="006D3CA3">
        <w:rPr>
          <w:rFonts w:ascii="EB Garamond" w:eastAsia="EB Garamond" w:hAnsi="EB Garamond" w:cs="EB Garamond"/>
          <w:i/>
          <w:color w:val="1A1A1A"/>
          <w:sz w:val="24"/>
          <w:szCs w:val="24"/>
          <w:highlight w:val="white"/>
        </w:rPr>
        <w:t>p</w:t>
      </w:r>
      <w:r w:rsidRPr="006D3CA3">
        <w:rPr>
          <w:rFonts w:ascii="EB Garamond" w:eastAsia="EB Garamond" w:hAnsi="EB Garamond" w:cs="EB Garamond"/>
          <w:color w:val="1A1A1A"/>
          <w:sz w:val="24"/>
          <w:szCs w:val="24"/>
          <w:highlight w:val="white"/>
        </w:rPr>
        <w:t xml:space="preserve">” for any </w:t>
      </w:r>
      <w:r w:rsidRPr="006D3CA3">
        <w:rPr>
          <w:rFonts w:ascii="EB Garamond" w:eastAsia="EB Garamond" w:hAnsi="EB Garamond" w:cs="EB Garamond"/>
          <w:i/>
          <w:color w:val="1A1A1A"/>
          <w:sz w:val="24"/>
          <w:szCs w:val="24"/>
          <w:highlight w:val="white"/>
        </w:rPr>
        <w:t>p</w:t>
      </w:r>
      <w:r w:rsidRPr="006D3CA3">
        <w:rPr>
          <w:rFonts w:ascii="EB Garamond" w:eastAsia="EB Garamond" w:hAnsi="EB Garamond" w:cs="EB Garamond"/>
          <w:color w:val="1A1A1A"/>
          <w:sz w:val="24"/>
          <w:szCs w:val="24"/>
          <w:highlight w:val="white"/>
        </w:rPr>
        <w:t>. As such it is illogical to assert that “I doubt that I exist.” Since existence is a precondition of thinking, we are simply unable (whilst thinking) to propose that we do not exist.</w:t>
      </w:r>
      <w:r w:rsidRPr="006D3CA3">
        <w:rPr>
          <w:rFonts w:ascii="EB Garamond" w:eastAsia="EB Garamond" w:hAnsi="EB Garamond" w:cs="EB Garamond"/>
          <w:color w:val="1A1A1A"/>
          <w:sz w:val="24"/>
          <w:szCs w:val="24"/>
          <w:highlight w:val="white"/>
          <w:vertAlign w:val="superscript"/>
        </w:rPr>
        <w:footnoteReference w:id="21"/>
      </w:r>
      <w:r w:rsidRPr="006D3CA3">
        <w:rPr>
          <w:rFonts w:ascii="EB Garamond" w:eastAsia="EB Garamond" w:hAnsi="EB Garamond" w:cs="EB Garamond"/>
          <w:color w:val="1A1A1A"/>
          <w:sz w:val="24"/>
          <w:szCs w:val="24"/>
          <w:highlight w:val="white"/>
        </w:rPr>
        <w:t xml:space="preserve"> </w:t>
      </w:r>
    </w:p>
    <w:p w14:paraId="0000006A" w14:textId="75CEF39F" w:rsidR="00B66D52" w:rsidRPr="006D3CA3" w:rsidRDefault="00000000">
      <w:pPr>
        <w:ind w:firstLine="720"/>
        <w:rPr>
          <w:rFonts w:ascii="EB Garamond" w:eastAsia="EB Garamond" w:hAnsi="EB Garamond" w:cs="EB Garamond"/>
          <w:color w:val="1A1A1A"/>
          <w:sz w:val="24"/>
          <w:szCs w:val="24"/>
          <w:highlight w:val="white"/>
        </w:rPr>
      </w:pPr>
      <w:r w:rsidRPr="006D3CA3">
        <w:rPr>
          <w:rFonts w:ascii="EB Garamond" w:eastAsia="EB Garamond" w:hAnsi="EB Garamond" w:cs="EB Garamond"/>
          <w:color w:val="1A1A1A"/>
          <w:sz w:val="24"/>
          <w:szCs w:val="24"/>
          <w:highlight w:val="white"/>
        </w:rPr>
        <w:t xml:space="preserve">It is important to note in this context that Descartes’ conception of justification does not end at clear and distinct perceptions; God is brought in to ground our clear and distinct propositions with a divine guarantee for this reason. </w:t>
      </w:r>
      <w:r w:rsidR="00106E0C">
        <w:rPr>
          <w:rFonts w:ascii="EB Garamond" w:eastAsia="EB Garamond" w:hAnsi="EB Garamond" w:cs="EB Garamond"/>
          <w:color w:val="1A1A1A"/>
          <w:sz w:val="24"/>
          <w:szCs w:val="24"/>
          <w:highlight w:val="white"/>
        </w:rPr>
        <w:t>In</w:t>
      </w:r>
      <w:r w:rsidRPr="006D3CA3">
        <w:rPr>
          <w:rFonts w:ascii="EB Garamond" w:eastAsia="EB Garamond" w:hAnsi="EB Garamond" w:cs="EB Garamond"/>
          <w:color w:val="1A1A1A"/>
          <w:sz w:val="24"/>
          <w:szCs w:val="24"/>
          <w:highlight w:val="white"/>
        </w:rPr>
        <w:t xml:space="preserve"> the Evil Demon case, where I am neither the author of my thoughts nor my second-order reflections of my thoughts: can I be said to know that I exist if believing such a fact is not of my own accord? Therefore, construing the method of doubt as a ‘conscious doubting’ may be correct in a view of ‘direct doubt,’ but falls short in capturing that there is an undefeated indirect doubt one may have regarding the cogito (and necessarily, every other proposition).</w:t>
      </w:r>
    </w:p>
    <w:p w14:paraId="0000006B" w14:textId="77777777" w:rsidR="00B66D52" w:rsidRPr="006D3CA3" w:rsidRDefault="00B66D52">
      <w:pPr>
        <w:rPr>
          <w:rFonts w:ascii="EB Garamond" w:eastAsia="EB Garamond" w:hAnsi="EB Garamond" w:cs="EB Garamond"/>
          <w:sz w:val="24"/>
          <w:szCs w:val="24"/>
        </w:rPr>
      </w:pPr>
    </w:p>
    <w:p w14:paraId="0000006C" w14:textId="366A7FAE" w:rsidR="00B66D52" w:rsidRPr="00091D25" w:rsidRDefault="00000000" w:rsidP="00091D25">
      <w:pPr>
        <w:pStyle w:val="ListParagraph"/>
        <w:numPr>
          <w:ilvl w:val="1"/>
          <w:numId w:val="4"/>
        </w:numPr>
        <w:rPr>
          <w:rFonts w:ascii="EB Garamond" w:eastAsia="EB Garamond" w:hAnsi="EB Garamond" w:cs="EB Garamond"/>
          <w:sz w:val="24"/>
          <w:szCs w:val="24"/>
        </w:rPr>
      </w:pPr>
      <w:r w:rsidRPr="00091D25">
        <w:rPr>
          <w:rFonts w:ascii="EB Garamond" w:eastAsia="EB Garamond" w:hAnsi="EB Garamond" w:cs="EB Garamond"/>
          <w:sz w:val="24"/>
          <w:szCs w:val="24"/>
        </w:rPr>
        <w:t>Objections to Bounded Cartesian Doubt</w:t>
      </w:r>
    </w:p>
    <w:p w14:paraId="0000006D" w14:textId="77777777" w:rsidR="00B66D52" w:rsidRPr="006D3CA3" w:rsidRDefault="00B66D52">
      <w:pPr>
        <w:rPr>
          <w:rFonts w:ascii="EB Garamond" w:eastAsia="EB Garamond" w:hAnsi="EB Garamond" w:cs="EB Garamond"/>
          <w:sz w:val="24"/>
          <w:szCs w:val="24"/>
        </w:rPr>
      </w:pPr>
    </w:p>
    <w:p w14:paraId="0000006E" w14:textId="77777777" w:rsidR="00B66D52" w:rsidRPr="006D3CA3" w:rsidRDefault="00000000">
      <w:pPr>
        <w:rPr>
          <w:rFonts w:ascii="EB Garamond" w:eastAsia="EB Garamond" w:hAnsi="EB Garamond" w:cs="EB Garamond"/>
          <w:sz w:val="24"/>
          <w:szCs w:val="24"/>
        </w:rPr>
      </w:pPr>
      <w:r w:rsidRPr="006D3CA3">
        <w:rPr>
          <w:rFonts w:ascii="EB Garamond" w:eastAsia="EB Garamond" w:hAnsi="EB Garamond" w:cs="EB Garamond"/>
          <w:sz w:val="24"/>
          <w:szCs w:val="24"/>
        </w:rPr>
        <w:tab/>
        <w:t xml:space="preserve">The bounded Cartesian doubter takes the scope of the Cartesian project and excludes only the most certain propositions, such as “I think, therefore I am,” from doubt. This resolves the problem of lacking certain axioms, but still presents assumptions that cannot be justified given the methodological approach. The most immediate problem faces the theistic bounded methodological doubter, one who </w:t>
      </w:r>
      <w:r w:rsidRPr="006D3CA3">
        <w:rPr>
          <w:rFonts w:ascii="EB Garamond" w:eastAsia="EB Garamond" w:hAnsi="EB Garamond" w:cs="EB Garamond"/>
          <w:sz w:val="24"/>
          <w:szCs w:val="24"/>
        </w:rPr>
        <w:lastRenderedPageBreak/>
        <w:t>argues that all clear and distinct perceptions are grounded in the reliability of a divine guarantee. Descartes argues that if we did not know those propositions that were clear and distinct (i.e., propositions that our nature compels us to believe), then God would have created us in a deceitful manner. Deceit would flatly contradict God’s maximally perfect nature, and thus we must know that which is clear and distinct.</w:t>
      </w:r>
      <w:r w:rsidRPr="006D3CA3">
        <w:rPr>
          <w:rFonts w:ascii="EB Garamond" w:eastAsia="EB Garamond" w:hAnsi="EB Garamond" w:cs="EB Garamond"/>
          <w:sz w:val="24"/>
          <w:szCs w:val="24"/>
          <w:vertAlign w:val="superscript"/>
        </w:rPr>
        <w:footnoteReference w:id="22"/>
      </w:r>
      <w:r w:rsidRPr="006D3CA3">
        <w:rPr>
          <w:rFonts w:ascii="EB Garamond" w:eastAsia="EB Garamond" w:hAnsi="EB Garamond" w:cs="EB Garamond"/>
          <w:sz w:val="24"/>
          <w:szCs w:val="24"/>
        </w:rPr>
        <w:t xml:space="preserve"> I will assume that Descartes’ proof for God is sound and requires only that which has already been demonstrated.</w:t>
      </w:r>
    </w:p>
    <w:p w14:paraId="0000006F"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To connect God’s veracity to human cognition, Descartes must demonstrate that (1) we were created such that our nature compels us to believe some set of propositions, (2) that such a natural asset to these propositions </w:t>
      </w:r>
      <w:r w:rsidRPr="006D3CA3">
        <w:rPr>
          <w:rFonts w:ascii="EB Garamond" w:eastAsia="EB Garamond" w:hAnsi="EB Garamond" w:cs="EB Garamond"/>
          <w:i/>
          <w:sz w:val="24"/>
          <w:szCs w:val="24"/>
        </w:rPr>
        <w:t>must</w:t>
      </w:r>
      <w:r w:rsidRPr="006D3CA3">
        <w:rPr>
          <w:rFonts w:ascii="EB Garamond" w:eastAsia="EB Garamond" w:hAnsi="EB Garamond" w:cs="EB Garamond"/>
          <w:sz w:val="24"/>
          <w:szCs w:val="24"/>
        </w:rPr>
        <w:t xml:space="preserve"> be in alignment with God’s perfections, and (3) that God’s perfections entail that He orients us towards truth.</w:t>
      </w:r>
    </w:p>
    <w:p w14:paraId="00000070"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In introducing (3), Descartes has asserted a claim that is not epistemically indubitable on the basis of his certain evidence. Descartes appropriately demonstrates (1) and (2), but (3) does not follow from them, and an indubitable demonstration (3) is necessary for the C&amp;D rule to hold.  It does not seem that an indubitable demonstration of (3) is possible if an </w:t>
      </w:r>
      <w:proofErr w:type="spellStart"/>
      <w:r w:rsidRPr="006D3CA3">
        <w:rPr>
          <w:rFonts w:ascii="EB Garamond" w:eastAsia="EB Garamond" w:hAnsi="EB Garamond" w:cs="EB Garamond"/>
          <w:sz w:val="24"/>
          <w:szCs w:val="24"/>
        </w:rPr>
        <w:t>omniperfect</w:t>
      </w:r>
      <w:proofErr w:type="spellEnd"/>
      <w:r w:rsidRPr="006D3CA3">
        <w:rPr>
          <w:rFonts w:ascii="EB Garamond" w:eastAsia="EB Garamond" w:hAnsi="EB Garamond" w:cs="EB Garamond"/>
          <w:sz w:val="24"/>
          <w:szCs w:val="24"/>
        </w:rPr>
        <w:t xml:space="preserve"> God could prefer that we doubt clear and distinct propositions. Such a case is possible if there is teleological divergence from Descartes’ assumption that truth is itself a necessary good for God to grant humanity. Imagine, for example, that God knows that the best thing for humans to be is a Pyrrhonist, and to guide us this way, He has installed within us fallible faculties of cognition. This ‘Pyrrhonian’ God could incline us to believe propositions that appear obvious but, upon deeper reflection, reveal themselves as uncertain or incomplete, leading us to suspend judgment.</w:t>
      </w:r>
    </w:p>
    <w:p w14:paraId="00000071"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In this case, God could not be said to be a deceiver, nor would God’s design result from some fundamental deficiency in Him. In fact, it would be in alignment with God’s perfect goodness for Him to direct us towards inward reflection about the uncertainty of propositions so that we may be Pyrrhonists. This allows for the possibility </w:t>
      </w:r>
      <w:proofErr w:type="gramStart"/>
      <w:r w:rsidRPr="006D3CA3">
        <w:rPr>
          <w:rFonts w:ascii="EB Garamond" w:eastAsia="EB Garamond" w:hAnsi="EB Garamond" w:cs="EB Garamond"/>
          <w:sz w:val="24"/>
          <w:szCs w:val="24"/>
        </w:rPr>
        <w:t>of  (</w:t>
      </w:r>
      <w:proofErr w:type="gramEnd"/>
      <w:r w:rsidRPr="006D3CA3">
        <w:rPr>
          <w:rFonts w:ascii="EB Garamond" w:eastAsia="EB Garamond" w:hAnsi="EB Garamond" w:cs="EB Garamond"/>
          <w:sz w:val="24"/>
          <w:szCs w:val="24"/>
        </w:rPr>
        <w:t>1) and (2), while undermining the truth of (3). While I do not disagree with the assertion that knowledge is a good which God would not wish to deprive us of, it cannot be accessed under a system of Cartesian doubt, where the goodness of knowledge is questionable.</w:t>
      </w:r>
      <w:r w:rsidRPr="006D3CA3">
        <w:rPr>
          <w:rFonts w:ascii="EB Garamond" w:eastAsia="EB Garamond" w:hAnsi="EB Garamond" w:cs="EB Garamond"/>
          <w:sz w:val="24"/>
          <w:szCs w:val="24"/>
          <w:vertAlign w:val="superscript"/>
        </w:rPr>
        <w:footnoteReference w:id="23"/>
      </w:r>
      <w:r w:rsidRPr="006D3CA3">
        <w:rPr>
          <w:rFonts w:ascii="EB Garamond" w:eastAsia="EB Garamond" w:hAnsi="EB Garamond" w:cs="EB Garamond"/>
          <w:sz w:val="24"/>
          <w:szCs w:val="24"/>
        </w:rPr>
        <w:t xml:space="preserve"> </w:t>
      </w:r>
    </w:p>
    <w:p w14:paraId="00000072" w14:textId="7C34E59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The second problem concerns any theory which holds that bounded methodological doubt is true and that there are axioms (i.e., the cogito) that survive it. The argument will rest upon the assumption that our cognitive capacity is sufficiently dubitable to not be taken as axiomatic by the </w:t>
      </w:r>
      <w:r w:rsidRPr="006D3CA3">
        <w:rPr>
          <w:rFonts w:ascii="EB Garamond" w:eastAsia="EB Garamond" w:hAnsi="EB Garamond" w:cs="EB Garamond"/>
          <w:sz w:val="24"/>
          <w:szCs w:val="24"/>
        </w:rPr>
        <w:lastRenderedPageBreak/>
        <w:t xml:space="preserve">bounded methodological doubter. Take the bounded methodological doubter to be saying that if, in any case, they see that it cannot be possible to doubt some principle or imagine a world in which that principle is false, then they are sufficiently grounded in that principle. This bypasses meta-cognitive </w:t>
      </w:r>
      <w:r w:rsidR="00106E0C" w:rsidRPr="006D3CA3">
        <w:rPr>
          <w:rFonts w:ascii="EB Garamond" w:eastAsia="EB Garamond" w:hAnsi="EB Garamond" w:cs="EB Garamond"/>
          <w:sz w:val="24"/>
          <w:szCs w:val="24"/>
        </w:rPr>
        <w:t>doubt but</w:t>
      </w:r>
      <w:r w:rsidRPr="006D3CA3">
        <w:rPr>
          <w:rFonts w:ascii="EB Garamond" w:eastAsia="EB Garamond" w:hAnsi="EB Garamond" w:cs="EB Garamond"/>
          <w:sz w:val="24"/>
          <w:szCs w:val="24"/>
        </w:rPr>
        <w:t xml:space="preserve"> certainly introduces other problems for this kind of bounded methodological doubter.</w:t>
      </w:r>
    </w:p>
    <w:p w14:paraId="00000073"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Ordinarily speaking, we can demonstrate our own cognitive reliability inductively. This is done through the conscious arrival at truth based upon our assumptions </w:t>
      </w:r>
      <w:proofErr w:type="gramStart"/>
      <w:r w:rsidRPr="006D3CA3">
        <w:rPr>
          <w:rFonts w:ascii="EB Garamond" w:eastAsia="EB Garamond" w:hAnsi="EB Garamond" w:cs="EB Garamond"/>
          <w:sz w:val="24"/>
          <w:szCs w:val="24"/>
        </w:rPr>
        <w:t>repeatedly, and</w:t>
      </w:r>
      <w:proofErr w:type="gramEnd"/>
      <w:r w:rsidRPr="006D3CA3">
        <w:rPr>
          <w:rFonts w:ascii="EB Garamond" w:eastAsia="EB Garamond" w:hAnsi="EB Garamond" w:cs="EB Garamond"/>
          <w:sz w:val="24"/>
          <w:szCs w:val="24"/>
        </w:rPr>
        <w:t xml:space="preserve"> reinforced with the axioms of classical logic to suggest that our answer cannot have been otherwise. For example, suppose your friend texts you “I am outside,” and you deduce that he is not inside; when you find him outside, which is consistent with your conclusion. In the future, you could use this as evidence for your cognitive reliability. The bounded methodological doubter must be able to derive the laws of classical logic</w:t>
      </w:r>
      <w:r w:rsidRPr="006D3CA3">
        <w:rPr>
          <w:rFonts w:ascii="EB Garamond" w:eastAsia="EB Garamond" w:hAnsi="EB Garamond" w:cs="EB Garamond"/>
          <w:sz w:val="24"/>
          <w:szCs w:val="24"/>
          <w:vertAlign w:val="superscript"/>
        </w:rPr>
        <w:footnoteReference w:id="24"/>
      </w:r>
      <w:r w:rsidRPr="006D3CA3">
        <w:rPr>
          <w:rFonts w:ascii="EB Garamond" w:eastAsia="EB Garamond" w:hAnsi="EB Garamond" w:cs="EB Garamond"/>
          <w:sz w:val="24"/>
          <w:szCs w:val="24"/>
        </w:rPr>
        <w:t xml:space="preserve"> from principles including but not limited to the law of non-contradiction. That we have the capacity to do this is taken as obvious in the common-sense understanding, but this cannot be so for bounded methodological doubt.</w:t>
      </w:r>
    </w:p>
    <w:p w14:paraId="00000074"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 The primary difficulty for the bounded methodological doubter is that a chronically broken system has no internal means for detecting its brokenness. There is no clear stasis point provided by intuition that anything is true. Imagine the following variation of Meno's paradox of inquiry:</w:t>
      </w:r>
    </w:p>
    <w:p w14:paraId="00000075" w14:textId="77777777" w:rsidR="00B66D52" w:rsidRPr="006D3CA3" w:rsidRDefault="00B66D52">
      <w:pPr>
        <w:ind w:firstLine="720"/>
        <w:rPr>
          <w:rFonts w:ascii="EB Garamond" w:eastAsia="EB Garamond" w:hAnsi="EB Garamond" w:cs="EB Garamond"/>
          <w:sz w:val="24"/>
          <w:szCs w:val="24"/>
        </w:rPr>
      </w:pPr>
    </w:p>
    <w:p w14:paraId="00000076" w14:textId="77777777" w:rsidR="00B66D52" w:rsidRPr="006D3CA3" w:rsidRDefault="00000000">
      <w:pPr>
        <w:numPr>
          <w:ilvl w:val="0"/>
          <w:numId w:val="2"/>
        </w:numPr>
        <w:rPr>
          <w:rFonts w:ascii="EB Garamond" w:eastAsia="EB Garamond" w:hAnsi="EB Garamond" w:cs="EB Garamond"/>
          <w:sz w:val="24"/>
          <w:szCs w:val="24"/>
        </w:rPr>
      </w:pPr>
      <w:r w:rsidRPr="006D3CA3">
        <w:rPr>
          <w:rFonts w:ascii="EB Garamond" w:eastAsia="EB Garamond" w:hAnsi="EB Garamond" w:cs="EB Garamond"/>
          <w:sz w:val="24"/>
          <w:szCs w:val="24"/>
        </w:rPr>
        <w:t>For proposition P that entails F, where P is known and one knows that P entails F, one either possesses the ability to deduce F or one lacks the ability to deduce F.</w:t>
      </w:r>
    </w:p>
    <w:p w14:paraId="00000077" w14:textId="77777777" w:rsidR="00B66D52" w:rsidRPr="006D3CA3" w:rsidRDefault="00000000">
      <w:pPr>
        <w:numPr>
          <w:ilvl w:val="0"/>
          <w:numId w:val="2"/>
        </w:numPr>
        <w:rPr>
          <w:rFonts w:ascii="EB Garamond" w:eastAsia="EB Garamond" w:hAnsi="EB Garamond" w:cs="EB Garamond"/>
          <w:sz w:val="24"/>
          <w:szCs w:val="24"/>
        </w:rPr>
      </w:pPr>
      <w:r w:rsidRPr="006D3CA3">
        <w:rPr>
          <w:rFonts w:ascii="EB Garamond" w:eastAsia="EB Garamond" w:hAnsi="EB Garamond" w:cs="EB Garamond"/>
          <w:sz w:val="24"/>
          <w:szCs w:val="24"/>
        </w:rPr>
        <w:t>If one possesses the ability to deduce F, then one has no genuine grounds for doubting one’s ability to deduce F.</w:t>
      </w:r>
    </w:p>
    <w:p w14:paraId="00000078" w14:textId="77777777" w:rsidR="00B66D52" w:rsidRPr="006D3CA3" w:rsidRDefault="00000000">
      <w:pPr>
        <w:numPr>
          <w:ilvl w:val="0"/>
          <w:numId w:val="2"/>
        </w:numPr>
        <w:rPr>
          <w:rFonts w:ascii="EB Garamond" w:eastAsia="EB Garamond" w:hAnsi="EB Garamond" w:cs="EB Garamond"/>
          <w:sz w:val="24"/>
          <w:szCs w:val="24"/>
        </w:rPr>
      </w:pPr>
      <w:r w:rsidRPr="006D3CA3">
        <w:rPr>
          <w:rFonts w:ascii="EB Garamond" w:eastAsia="EB Garamond" w:hAnsi="EB Garamond" w:cs="EB Garamond"/>
          <w:sz w:val="24"/>
          <w:szCs w:val="24"/>
        </w:rPr>
        <w:t>If one lacks the ability to deduce F, then one is not in a position to gather grounds to justify doubting their ability to deduce F.</w:t>
      </w:r>
    </w:p>
    <w:p w14:paraId="00000079" w14:textId="77777777" w:rsidR="00B66D52" w:rsidRPr="006D3CA3" w:rsidRDefault="00000000">
      <w:pPr>
        <w:numPr>
          <w:ilvl w:val="0"/>
          <w:numId w:val="2"/>
        </w:numPr>
        <w:rPr>
          <w:rFonts w:ascii="EB Garamond" w:eastAsia="EB Garamond" w:hAnsi="EB Garamond" w:cs="EB Garamond"/>
          <w:sz w:val="24"/>
          <w:szCs w:val="24"/>
        </w:rPr>
      </w:pPr>
      <w:r w:rsidRPr="006D3CA3">
        <w:rPr>
          <w:rFonts w:ascii="EB Garamond" w:eastAsia="EB Garamond" w:hAnsi="EB Garamond" w:cs="EB Garamond"/>
          <w:sz w:val="24"/>
          <w:szCs w:val="24"/>
        </w:rPr>
        <w:t>Therefore, for all F, one cannot inquire about one’s grounds for their ability to deduce F.</w:t>
      </w:r>
    </w:p>
    <w:p w14:paraId="0000007A" w14:textId="77777777" w:rsidR="00B66D52" w:rsidRPr="006D3CA3" w:rsidRDefault="00B66D52">
      <w:pPr>
        <w:rPr>
          <w:rFonts w:ascii="EB Garamond" w:eastAsia="EB Garamond" w:hAnsi="EB Garamond" w:cs="EB Garamond"/>
          <w:sz w:val="24"/>
          <w:szCs w:val="24"/>
        </w:rPr>
      </w:pPr>
    </w:p>
    <w:p w14:paraId="0000007B"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 I find attempts to undermine that we know propositions such as “</w:t>
      </w:r>
      <w:r w:rsidRPr="006D3CA3">
        <w:rPr>
          <w:rFonts w:ascii="EB Garamond" w:eastAsia="EB Garamond" w:hAnsi="EB Garamond" w:cs="EB Garamond"/>
          <w:i/>
          <w:sz w:val="24"/>
          <w:szCs w:val="24"/>
        </w:rPr>
        <w:t>cogito, ergo sum</w:t>
      </w:r>
      <w:r w:rsidRPr="006D3CA3">
        <w:rPr>
          <w:rFonts w:ascii="EB Garamond" w:eastAsia="EB Garamond" w:hAnsi="EB Garamond" w:cs="EB Garamond"/>
          <w:sz w:val="24"/>
          <w:szCs w:val="24"/>
        </w:rPr>
        <w:t>” unpersuasive, but supposing that these propositions are true does not entail that we are assured in anything we derive from them.</w:t>
      </w:r>
      <w:r w:rsidRPr="006D3CA3">
        <w:rPr>
          <w:rFonts w:ascii="EB Garamond" w:eastAsia="EB Garamond" w:hAnsi="EB Garamond" w:cs="EB Garamond"/>
          <w:sz w:val="24"/>
          <w:szCs w:val="24"/>
          <w:vertAlign w:val="superscript"/>
        </w:rPr>
        <w:footnoteReference w:id="25"/>
      </w:r>
      <w:r w:rsidRPr="006D3CA3">
        <w:rPr>
          <w:rFonts w:ascii="EB Garamond" w:eastAsia="EB Garamond" w:hAnsi="EB Garamond" w:cs="EB Garamond"/>
          <w:sz w:val="24"/>
          <w:szCs w:val="24"/>
        </w:rPr>
        <w:t xml:space="preserve"> There is some sense in which we must be careful to examine not only our propositions, but our capacity to draw conclusions from the set of clear and distinct propositions. </w:t>
      </w:r>
      <w:r w:rsidRPr="006D3CA3">
        <w:rPr>
          <w:rFonts w:ascii="EB Garamond" w:eastAsia="EB Garamond" w:hAnsi="EB Garamond" w:cs="EB Garamond"/>
          <w:sz w:val="24"/>
          <w:szCs w:val="24"/>
        </w:rPr>
        <w:lastRenderedPageBreak/>
        <w:t>If someone has reason to engage in epistemic self-doubt (e.g., they are extraordinarily tired or have consumed psychoactive substances), they have good reason to suspend judgment on matters that require long chains of complex reasoning. In this case, they are in the position described by premise (3), where they can’t use complex mathematical proofs to prove themselves correct because the faculties by which they can correct themselves are the same faculties in question. It seems if the bar is near-absolute certainty that we are not afflicted with such a condition, we have nothing we can do but to assume that the mind that we use to demonstrate its own reliability was in fact reliable in such a proof.</w:t>
      </w:r>
    </w:p>
    <w:p w14:paraId="0000007C"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The bounded methodological doubter appears to be in a further underdetermination case: either we are in the ‘good case’ (2) where we lack a genuine reason for believing we are cognitively compromised because we are in fact cognitively competent or we are in the ‘bad case’ (3) where we lack a reason for believing we are cognitively compromised because we are so compromised that we have no means of realizing it. If the underdetermination principle is sufficient to cause us to suspend beliefs about the external world or about the evil demon in Meditation 1, surely such a case is sufficient to cause us to doubt that we may reason properly.  </w:t>
      </w:r>
    </w:p>
    <w:p w14:paraId="0000007D" w14:textId="77777777" w:rsidR="00B66D52" w:rsidRPr="006D3CA3" w:rsidRDefault="00B66D52">
      <w:pPr>
        <w:ind w:left="720"/>
        <w:rPr>
          <w:rFonts w:ascii="EB Garamond" w:eastAsia="EB Garamond" w:hAnsi="EB Garamond" w:cs="EB Garamond"/>
          <w:sz w:val="24"/>
          <w:szCs w:val="24"/>
        </w:rPr>
      </w:pPr>
    </w:p>
    <w:p w14:paraId="0000007E" w14:textId="068E105B" w:rsidR="00B66D52" w:rsidRPr="00091D25" w:rsidRDefault="00000000" w:rsidP="00091D25">
      <w:pPr>
        <w:pStyle w:val="ListParagraph"/>
        <w:numPr>
          <w:ilvl w:val="1"/>
          <w:numId w:val="4"/>
        </w:numPr>
        <w:rPr>
          <w:rFonts w:ascii="EB Garamond" w:eastAsia="EB Garamond" w:hAnsi="EB Garamond" w:cs="EB Garamond"/>
          <w:sz w:val="24"/>
          <w:szCs w:val="24"/>
        </w:rPr>
      </w:pPr>
      <w:r w:rsidRPr="00091D25">
        <w:rPr>
          <w:rFonts w:ascii="EB Garamond" w:eastAsia="EB Garamond" w:hAnsi="EB Garamond" w:cs="EB Garamond"/>
          <w:sz w:val="24"/>
          <w:szCs w:val="24"/>
        </w:rPr>
        <w:t>Objections to Sense-Data Doubt</w:t>
      </w:r>
    </w:p>
    <w:p w14:paraId="0000007F" w14:textId="77777777" w:rsidR="00B66D52" w:rsidRPr="006D3CA3" w:rsidRDefault="00B66D52">
      <w:pPr>
        <w:ind w:left="720"/>
        <w:rPr>
          <w:rFonts w:ascii="EB Garamond" w:eastAsia="EB Garamond" w:hAnsi="EB Garamond" w:cs="EB Garamond"/>
          <w:sz w:val="24"/>
          <w:szCs w:val="24"/>
        </w:rPr>
      </w:pPr>
    </w:p>
    <w:p w14:paraId="00000080"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Hopefully the above issues have given reason for us to minimize our hyperbolic doubt even further—from universal to non-universal, and from non-universal to sense-data doubt. But, as we will see, there is no retreat for a methodological doubter, Cartesian or otherwise, to external-world skepticism. Methodological doubt still suffers from the issue that it collapses probabilistic language of confidence such as “it is almost certain that </w:t>
      </w:r>
      <w:r w:rsidRPr="006D3CA3">
        <w:rPr>
          <w:rFonts w:ascii="EB Garamond" w:eastAsia="EB Garamond" w:hAnsi="EB Garamond" w:cs="EB Garamond"/>
          <w:i/>
          <w:sz w:val="24"/>
          <w:szCs w:val="24"/>
        </w:rPr>
        <w:t>p</w:t>
      </w:r>
      <w:r w:rsidRPr="006D3CA3">
        <w:rPr>
          <w:rFonts w:ascii="EB Garamond" w:eastAsia="EB Garamond" w:hAnsi="EB Garamond" w:cs="EB Garamond"/>
          <w:sz w:val="24"/>
          <w:szCs w:val="24"/>
        </w:rPr>
        <w:t xml:space="preserve">” into binary states of justification. That is, the method states that either it is the case that </w:t>
      </w:r>
      <w:r w:rsidRPr="006D3CA3">
        <w:rPr>
          <w:rFonts w:ascii="EB Garamond" w:eastAsia="EB Garamond" w:hAnsi="EB Garamond" w:cs="EB Garamond"/>
          <w:i/>
          <w:sz w:val="24"/>
          <w:szCs w:val="24"/>
        </w:rPr>
        <w:t xml:space="preserve">p </w:t>
      </w:r>
      <w:r w:rsidRPr="006D3CA3">
        <w:rPr>
          <w:rFonts w:ascii="EB Garamond" w:eastAsia="EB Garamond" w:hAnsi="EB Garamond" w:cs="EB Garamond"/>
          <w:sz w:val="24"/>
          <w:szCs w:val="24"/>
        </w:rPr>
        <w:t>is certain, and therefore justified, or it is not justified. A subject may acknowledge that something is overwhelmingly likely, such as the existence of the external world, but the method leaves no room for belief in such things.</w:t>
      </w:r>
      <w:r w:rsidRPr="006D3CA3">
        <w:rPr>
          <w:rFonts w:ascii="EB Garamond" w:eastAsia="EB Garamond" w:hAnsi="EB Garamond" w:cs="EB Garamond"/>
          <w:i/>
          <w:sz w:val="24"/>
          <w:szCs w:val="24"/>
        </w:rPr>
        <w:t xml:space="preserve"> </w:t>
      </w:r>
      <w:r w:rsidRPr="006D3CA3">
        <w:rPr>
          <w:rFonts w:ascii="EB Garamond" w:eastAsia="EB Garamond" w:hAnsi="EB Garamond" w:cs="EB Garamond"/>
          <w:sz w:val="24"/>
          <w:szCs w:val="24"/>
        </w:rPr>
        <w:t>This may not seem a problem in the abstract, but it does face real problems in our quotidian understanding of the world.</w:t>
      </w:r>
    </w:p>
    <w:p w14:paraId="00000081"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Take an underdetermination case that a methodological skeptic would be forced to suspend belief </w:t>
      </w:r>
      <w:proofErr w:type="gramStart"/>
      <w:r w:rsidRPr="006D3CA3">
        <w:rPr>
          <w:rFonts w:ascii="EB Garamond" w:eastAsia="EB Garamond" w:hAnsi="EB Garamond" w:cs="EB Garamond"/>
          <w:sz w:val="24"/>
          <w:szCs w:val="24"/>
        </w:rPr>
        <w:t>in:</w:t>
      </w:r>
      <w:proofErr w:type="gramEnd"/>
      <w:r w:rsidRPr="006D3CA3">
        <w:rPr>
          <w:rFonts w:ascii="EB Garamond" w:eastAsia="EB Garamond" w:hAnsi="EB Garamond" w:cs="EB Garamond"/>
          <w:sz w:val="24"/>
          <w:szCs w:val="24"/>
        </w:rPr>
        <w:t xml:space="preserve"> the sandwich in front of them looks identical to a similar sandwich that has been poisoned. It seems in this </w:t>
      </w:r>
      <w:proofErr w:type="gramStart"/>
      <w:r w:rsidRPr="006D3CA3">
        <w:rPr>
          <w:rFonts w:ascii="EB Garamond" w:eastAsia="EB Garamond" w:hAnsi="EB Garamond" w:cs="EB Garamond"/>
          <w:sz w:val="24"/>
          <w:szCs w:val="24"/>
        </w:rPr>
        <w:t>case,</w:t>
      </w:r>
      <w:proofErr w:type="gramEnd"/>
      <w:r w:rsidRPr="006D3CA3">
        <w:rPr>
          <w:rFonts w:ascii="EB Garamond" w:eastAsia="EB Garamond" w:hAnsi="EB Garamond" w:cs="EB Garamond"/>
          <w:sz w:val="24"/>
          <w:szCs w:val="24"/>
        </w:rPr>
        <w:t xml:space="preserve"> the skeptic would have to suspend belief about whether their sandwich has been poisoned. Yet, there is something so convincing that the many sandwiches we have eaten in our lives have not been poisoned that, despite a full acknowledgement that we are not in a position to know whether our sandwich has been poisoned, we consistently choose to eat such sandwiches. Since such an attitude is thought to be irrational on account of the method we have described, one cannot appeal to reason to explain why they both claim to suspend belief about a sandwich being poisoned and act as though the sandwich is not poisoned. Wittgenstein remarks: “If a blind man were to ask me ‘Have you </w:t>
      </w:r>
      <w:r w:rsidRPr="006D3CA3">
        <w:rPr>
          <w:rFonts w:ascii="EB Garamond" w:eastAsia="EB Garamond" w:hAnsi="EB Garamond" w:cs="EB Garamond"/>
          <w:sz w:val="24"/>
          <w:szCs w:val="24"/>
        </w:rPr>
        <w:lastRenderedPageBreak/>
        <w:t>got two hands?’ I should not make sure by looking. If I were to have any doubt of it, then I don’t know why I should trust my eyes. For why shouldn’t I test my eyes by looking to find out whether I see my two hands? What is to be tested by what?” Problems of skepticism in philosophy are meant to test our access to the external world, but our obvious access to the external world must temper our skepticism. Moreover, we cannot assume our beliefs come without having some kind of cost—our theory of doubt must accommodate the practical and theoretical costs associated with belief.</w:t>
      </w:r>
    </w:p>
    <w:p w14:paraId="00000082"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Let’s assume that the methodological doubter was successful in finding axioms resistant to doubt and providing assurance for our cognitive capacity.</w:t>
      </w:r>
      <w:r w:rsidRPr="006D3CA3">
        <w:rPr>
          <w:rFonts w:ascii="EB Garamond" w:eastAsia="EB Garamond" w:hAnsi="EB Garamond" w:cs="EB Garamond"/>
          <w:sz w:val="24"/>
          <w:szCs w:val="24"/>
          <w:vertAlign w:val="superscript"/>
        </w:rPr>
        <w:footnoteReference w:id="26"/>
      </w:r>
      <w:r w:rsidRPr="006D3CA3">
        <w:rPr>
          <w:rFonts w:ascii="EB Garamond" w:eastAsia="EB Garamond" w:hAnsi="EB Garamond" w:cs="EB Garamond"/>
          <w:sz w:val="24"/>
          <w:szCs w:val="24"/>
        </w:rPr>
        <w:t xml:space="preserve"> There still is no faculty of the human mind that can reach the external world. What the skeptical methodological doubter needs is assurance, either from God Himself or by their very eyes, that they are not in a skeptical hypothesis. If God reached down from the heavens and confided in the doubter that there is no Evil Demon, they are not dreaming, and what they see is what is, the methodological doubter would be required to question: “what if it is the Evil Demon?” The cycle of skepticism continues. If the methodological doubter were again able to step outside of their experience and confirm that the previous experience was not simulated, they would be required by the methodological doubt to doubt such an experience. Once again, skeptical methodological doubt prevails. </w:t>
      </w:r>
    </w:p>
    <w:p w14:paraId="00000083" w14:textId="6B2E3CEE"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This system therefore precludes our knowing innumerable truths in this world. </w:t>
      </w:r>
      <w:proofErr w:type="gramStart"/>
      <w:r w:rsidRPr="006D3CA3">
        <w:rPr>
          <w:rFonts w:ascii="EB Garamond" w:eastAsia="EB Garamond" w:hAnsi="EB Garamond" w:cs="EB Garamond"/>
          <w:sz w:val="24"/>
          <w:szCs w:val="24"/>
        </w:rPr>
        <w:t>Such as:</w:t>
      </w:r>
      <w:proofErr w:type="gramEnd"/>
      <w:r w:rsidRPr="006D3CA3">
        <w:rPr>
          <w:rFonts w:ascii="EB Garamond" w:eastAsia="EB Garamond" w:hAnsi="EB Garamond" w:cs="EB Garamond"/>
          <w:sz w:val="24"/>
          <w:szCs w:val="24"/>
        </w:rPr>
        <w:t xml:space="preserve"> there are frogs in the Amazon, I have hands, DNA contains deoxyribose sugars, Descartes published </w:t>
      </w:r>
      <w:r w:rsidRPr="006D3CA3">
        <w:rPr>
          <w:rFonts w:ascii="EB Garamond" w:eastAsia="EB Garamond" w:hAnsi="EB Garamond" w:cs="EB Garamond"/>
          <w:i/>
          <w:sz w:val="24"/>
          <w:szCs w:val="24"/>
        </w:rPr>
        <w:t>Meditations on First Philosophy</w:t>
      </w:r>
      <w:r w:rsidRPr="006D3CA3">
        <w:rPr>
          <w:rFonts w:ascii="EB Garamond" w:eastAsia="EB Garamond" w:hAnsi="EB Garamond" w:cs="EB Garamond"/>
          <w:sz w:val="24"/>
          <w:szCs w:val="24"/>
        </w:rPr>
        <w:t xml:space="preserve">, or protons are positively charged. The skeptic is forced to doubt the external world even if they are not a victim of skeptical hypotheses. Such a conclusion is repugnant for those seeking cognitive prosperity by its very nature. If our theory of justified belief really is a probabilistic account of epistemic risk, such a </w:t>
      </w:r>
      <w:r w:rsidR="00B225C8">
        <w:rPr>
          <w:rFonts w:ascii="EB Garamond" w:eastAsia="EB Garamond" w:hAnsi="EB Garamond" w:cs="EB Garamond"/>
          <w:sz w:val="24"/>
          <w:szCs w:val="24"/>
        </w:rPr>
        <w:t>methodological</w:t>
      </w:r>
      <w:r w:rsidRPr="006D3CA3">
        <w:rPr>
          <w:rFonts w:ascii="EB Garamond" w:eastAsia="EB Garamond" w:hAnsi="EB Garamond" w:cs="EB Garamond"/>
          <w:sz w:val="24"/>
          <w:szCs w:val="24"/>
        </w:rPr>
        <w:t xml:space="preserve"> approach would be a guaranteed loss—we risk everything we think we are justified in believing in and always lose it all. </w:t>
      </w:r>
    </w:p>
    <w:p w14:paraId="00000084"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The history of philosophy is filled with responses that cannot truly satisfy the demands of the methodological doubter. Moore (1939) explains that: “Of course, what they really want is not merely a proof of [this proposition], but something like a general statement as to how any propositions of this sort may be proved. This, of course, I haven’t given; and I do not believe it can be given: if this is what is meant by proof of the existence of external things, I do not believe that any proof of the existence of external things is possible.” Few have disagreed with this view.</w:t>
      </w:r>
      <w:r w:rsidRPr="006D3CA3">
        <w:rPr>
          <w:rFonts w:ascii="EB Garamond" w:eastAsia="EB Garamond" w:hAnsi="EB Garamond" w:cs="EB Garamond"/>
          <w:sz w:val="24"/>
          <w:szCs w:val="24"/>
          <w:vertAlign w:val="superscript"/>
        </w:rPr>
        <w:footnoteReference w:id="27"/>
      </w:r>
      <w:r w:rsidRPr="006D3CA3">
        <w:rPr>
          <w:rFonts w:ascii="EB Garamond" w:eastAsia="EB Garamond" w:hAnsi="EB Garamond" w:cs="EB Garamond"/>
          <w:sz w:val="24"/>
          <w:szCs w:val="24"/>
        </w:rPr>
        <w:t xml:space="preserve"> What the methodological doubter must consider at this point is twofold— first, if cognitive prosperity is our aim, should we accept a </w:t>
      </w:r>
      <w:r w:rsidRPr="006D3CA3">
        <w:rPr>
          <w:rFonts w:ascii="EB Garamond" w:eastAsia="EB Garamond" w:hAnsi="EB Garamond" w:cs="EB Garamond"/>
          <w:sz w:val="24"/>
          <w:szCs w:val="24"/>
        </w:rPr>
        <w:lastRenderedPageBreak/>
        <w:t>relaxing of our standard from certainty or near-certain to something more suitable? Second, more vitally, should the cost of suspending belief come into play?</w:t>
      </w:r>
    </w:p>
    <w:p w14:paraId="00000085" w14:textId="77777777" w:rsidR="00B66D52" w:rsidRPr="006D3CA3" w:rsidRDefault="00B66D52">
      <w:pPr>
        <w:ind w:left="720" w:firstLine="720"/>
        <w:rPr>
          <w:rFonts w:ascii="EB Garamond" w:eastAsia="EB Garamond" w:hAnsi="EB Garamond" w:cs="EB Garamond"/>
          <w:sz w:val="24"/>
          <w:szCs w:val="24"/>
        </w:rPr>
      </w:pPr>
    </w:p>
    <w:p w14:paraId="00000086" w14:textId="13A407B1" w:rsidR="00B66D52" w:rsidRPr="00091D25" w:rsidRDefault="00000000" w:rsidP="00091D25">
      <w:pPr>
        <w:pStyle w:val="ListParagraph"/>
        <w:numPr>
          <w:ilvl w:val="0"/>
          <w:numId w:val="4"/>
        </w:numPr>
        <w:rPr>
          <w:rFonts w:ascii="EB Garamond" w:eastAsia="EB Garamond" w:hAnsi="EB Garamond" w:cs="EB Garamond"/>
          <w:sz w:val="24"/>
          <w:szCs w:val="24"/>
        </w:rPr>
      </w:pPr>
      <w:r w:rsidRPr="00091D25">
        <w:rPr>
          <w:rFonts w:ascii="EB Garamond" w:eastAsia="EB Garamond" w:hAnsi="EB Garamond" w:cs="EB Garamond"/>
          <w:sz w:val="24"/>
          <w:szCs w:val="24"/>
        </w:rPr>
        <w:t>Courageous Doubt</w:t>
      </w:r>
    </w:p>
    <w:p w14:paraId="00000087" w14:textId="77777777" w:rsidR="00B66D52" w:rsidRPr="006D3CA3" w:rsidRDefault="00B66D52">
      <w:pPr>
        <w:ind w:left="720"/>
        <w:rPr>
          <w:rFonts w:ascii="EB Garamond" w:eastAsia="EB Garamond" w:hAnsi="EB Garamond" w:cs="EB Garamond"/>
          <w:sz w:val="24"/>
          <w:szCs w:val="24"/>
        </w:rPr>
      </w:pPr>
    </w:p>
    <w:p w14:paraId="00000088"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The responses to Cartesian and methodological doubt more broadly are not supposed to show us problems with a unique theory. Rather, it is something that should motivate viewing epistemology as inescapably requiring </w:t>
      </w:r>
      <w:r w:rsidRPr="006D3CA3">
        <w:rPr>
          <w:rFonts w:ascii="EB Garamond" w:eastAsia="EB Garamond" w:hAnsi="EB Garamond" w:cs="EB Garamond"/>
          <w:i/>
          <w:sz w:val="24"/>
          <w:szCs w:val="24"/>
        </w:rPr>
        <w:t>phronesis</w:t>
      </w:r>
      <w:r w:rsidRPr="006D3CA3">
        <w:rPr>
          <w:rFonts w:ascii="EB Garamond" w:eastAsia="EB Garamond" w:hAnsi="EB Garamond" w:cs="EB Garamond"/>
          <w:sz w:val="24"/>
          <w:szCs w:val="24"/>
        </w:rPr>
        <w:t>, for only through such identification can we appropriately navigate the risks of belief and cost of error. The contemporary notion of epistemology as constituted by necessary-but-insufficient conditions for knowledge is incredibly susceptible to making knowledge impossible or unsuitably easy to attain.</w:t>
      </w:r>
      <w:r w:rsidRPr="006D3CA3">
        <w:rPr>
          <w:rFonts w:ascii="EB Garamond" w:eastAsia="EB Garamond" w:hAnsi="EB Garamond" w:cs="EB Garamond"/>
          <w:sz w:val="24"/>
          <w:szCs w:val="24"/>
          <w:vertAlign w:val="superscript"/>
        </w:rPr>
        <w:footnoteReference w:id="28"/>
      </w:r>
      <w:r w:rsidRPr="006D3CA3">
        <w:rPr>
          <w:rFonts w:ascii="EB Garamond" w:eastAsia="EB Garamond" w:hAnsi="EB Garamond" w:cs="EB Garamond"/>
          <w:sz w:val="24"/>
          <w:szCs w:val="24"/>
        </w:rPr>
        <w:t xml:space="preserve"> The contemporary fixation with precision in our epistemic projects should be rejected. What is needed is a return to pre-modern foundations that recognize that justification and belief seek knowledge as an end, and </w:t>
      </w:r>
      <w:r w:rsidRPr="006D3CA3">
        <w:rPr>
          <w:rFonts w:ascii="EB Garamond" w:eastAsia="EB Garamond" w:hAnsi="EB Garamond" w:cs="EB Garamond"/>
          <w:i/>
          <w:sz w:val="24"/>
          <w:szCs w:val="24"/>
        </w:rPr>
        <w:t>phronesis</w:t>
      </w:r>
      <w:r w:rsidRPr="006D3CA3">
        <w:rPr>
          <w:rFonts w:ascii="EB Garamond" w:eastAsia="EB Garamond" w:hAnsi="EB Garamond" w:cs="EB Garamond"/>
          <w:sz w:val="24"/>
          <w:szCs w:val="24"/>
        </w:rPr>
        <w:t xml:space="preserve"> rather than exactly delineated conditions should help us meet that end. Our lessons from Descartes, as it were, should be that there is an inevitable probabilistic risk intrinsic to the task of achieving cognitive prosperity. It is in the presence of such inevitable risk that the application of the term “courage” is most appropriate. Walton (1986) explains that risk or danger is at the core of courageous action, and that some actions’ being justifiably “worth the risk” is precisely what makes such action virtuous rather than vicious. Descartes makes it clear with his apple analogy that risks are common in philosophy, and his shortcomings make it clear that avoiding risk completely is not an option at our disposal. This, I argue, should move us to </w:t>
      </w:r>
      <w:r w:rsidRPr="0024660B">
        <w:rPr>
          <w:rFonts w:ascii="EB Garamond" w:eastAsia="EB Garamond" w:hAnsi="EB Garamond" w:cs="EB Garamond"/>
          <w:i/>
          <w:iCs/>
          <w:sz w:val="24"/>
          <w:szCs w:val="24"/>
        </w:rPr>
        <w:t>phronesis</w:t>
      </w:r>
      <w:r w:rsidRPr="006D3CA3">
        <w:rPr>
          <w:rFonts w:ascii="EB Garamond" w:eastAsia="EB Garamond" w:hAnsi="EB Garamond" w:cs="EB Garamond"/>
          <w:sz w:val="24"/>
          <w:szCs w:val="24"/>
        </w:rPr>
        <w:t xml:space="preserve"> in assessing risk and courage in taking the suitable risks for achieving cognitive prosperity.  </w:t>
      </w:r>
    </w:p>
    <w:p w14:paraId="00000089" w14:textId="77777777" w:rsidR="00B66D52" w:rsidRPr="006D3CA3" w:rsidRDefault="00B66D52">
      <w:pPr>
        <w:ind w:left="720"/>
        <w:rPr>
          <w:rFonts w:ascii="EB Garamond" w:eastAsia="EB Garamond" w:hAnsi="EB Garamond" w:cs="EB Garamond"/>
          <w:sz w:val="24"/>
          <w:szCs w:val="24"/>
        </w:rPr>
      </w:pPr>
    </w:p>
    <w:p w14:paraId="0000008A" w14:textId="66E260B7" w:rsidR="00B66D52" w:rsidRPr="00091D25" w:rsidRDefault="00000000" w:rsidP="00091D25">
      <w:pPr>
        <w:pStyle w:val="ListParagraph"/>
        <w:numPr>
          <w:ilvl w:val="1"/>
          <w:numId w:val="4"/>
        </w:numPr>
        <w:rPr>
          <w:rFonts w:ascii="EB Garamond" w:eastAsia="EB Garamond" w:hAnsi="EB Garamond" w:cs="EB Garamond"/>
          <w:sz w:val="24"/>
          <w:szCs w:val="24"/>
        </w:rPr>
      </w:pPr>
      <w:r w:rsidRPr="00091D25">
        <w:rPr>
          <w:rFonts w:ascii="EB Garamond" w:eastAsia="EB Garamond" w:hAnsi="EB Garamond" w:cs="EB Garamond"/>
          <w:sz w:val="24"/>
          <w:szCs w:val="24"/>
        </w:rPr>
        <w:t xml:space="preserve">Characterizing Courage </w:t>
      </w:r>
    </w:p>
    <w:p w14:paraId="0000008B" w14:textId="77777777" w:rsidR="00B66D52" w:rsidRPr="006D3CA3" w:rsidRDefault="00B66D52">
      <w:pPr>
        <w:rPr>
          <w:rFonts w:ascii="EB Garamond" w:eastAsia="EB Garamond" w:hAnsi="EB Garamond" w:cs="EB Garamond"/>
          <w:sz w:val="24"/>
          <w:szCs w:val="24"/>
        </w:rPr>
      </w:pPr>
    </w:p>
    <w:p w14:paraId="0000008C"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Epistemic courage is an oft-neglected virtue among telic virtue epistemologists. This virtue can be defined similarly to the moral account of courage, which roughly equates to placing oneself in a position of danger—in accordance with reason— when necessary to secure some good. In the epistemic case, the good is knowledge. Previous discussions of courage as an intellectual virtue have often been applied to notions of intellectual courage wherein the subject pursuing knowledge is placed in hazardous circumstances, (e.g., someone must be courageous and entertain principles they disagree </w:t>
      </w:r>
      <w:proofErr w:type="gramStart"/>
      <w:r w:rsidRPr="006D3CA3">
        <w:rPr>
          <w:rFonts w:ascii="EB Garamond" w:eastAsia="EB Garamond" w:hAnsi="EB Garamond" w:cs="EB Garamond"/>
          <w:sz w:val="24"/>
          <w:szCs w:val="24"/>
        </w:rPr>
        <w:t>with</w:t>
      </w:r>
      <w:proofErr w:type="gramEnd"/>
      <w:r w:rsidRPr="006D3CA3">
        <w:rPr>
          <w:rFonts w:ascii="EB Garamond" w:eastAsia="EB Garamond" w:hAnsi="EB Garamond" w:cs="EB Garamond"/>
          <w:sz w:val="24"/>
          <w:szCs w:val="24"/>
        </w:rPr>
        <w:t xml:space="preserve"> or the subject must ‘stick to their guns’ and defend an unpopular belief in their field.) These </w:t>
      </w:r>
      <w:r w:rsidRPr="006D3CA3">
        <w:rPr>
          <w:rFonts w:ascii="EB Garamond" w:eastAsia="EB Garamond" w:hAnsi="EB Garamond" w:cs="EB Garamond"/>
          <w:sz w:val="24"/>
          <w:szCs w:val="24"/>
        </w:rPr>
        <w:lastRenderedPageBreak/>
        <w:t>harms can vary from psychological, practical, social, or professional.</w:t>
      </w:r>
      <w:r w:rsidRPr="006D3CA3">
        <w:rPr>
          <w:rFonts w:ascii="EB Garamond" w:eastAsia="EB Garamond" w:hAnsi="EB Garamond" w:cs="EB Garamond"/>
          <w:sz w:val="24"/>
          <w:szCs w:val="24"/>
          <w:vertAlign w:val="superscript"/>
        </w:rPr>
        <w:footnoteReference w:id="29"/>
      </w:r>
      <w:r w:rsidRPr="006D3CA3">
        <w:rPr>
          <w:rFonts w:ascii="EB Garamond" w:eastAsia="EB Garamond" w:hAnsi="EB Garamond" w:cs="EB Garamond"/>
          <w:sz w:val="24"/>
          <w:szCs w:val="24"/>
        </w:rPr>
        <w:t xml:space="preserve"> As Baehr (2011) describes it: “Intellectual courage is (at least roughly and generally) a matter of (1) pursuing an intellectual good (2) despite the fact that doing so involves a certain threat or potential harm to oneself.” </w:t>
      </w:r>
    </w:p>
    <w:p w14:paraId="0000008D" w14:textId="33FA59EA"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This account of intellectual courage is </w:t>
      </w:r>
      <w:r w:rsidR="00106E0C" w:rsidRPr="006D3CA3">
        <w:rPr>
          <w:rFonts w:ascii="EB Garamond" w:eastAsia="EB Garamond" w:hAnsi="EB Garamond" w:cs="EB Garamond"/>
          <w:sz w:val="24"/>
          <w:szCs w:val="24"/>
        </w:rPr>
        <w:t>broader</w:t>
      </w:r>
      <w:r w:rsidRPr="006D3CA3">
        <w:rPr>
          <w:rFonts w:ascii="EB Garamond" w:eastAsia="EB Garamond" w:hAnsi="EB Garamond" w:cs="EB Garamond"/>
          <w:sz w:val="24"/>
          <w:szCs w:val="24"/>
        </w:rPr>
        <w:t xml:space="preserve"> than the account I defend in this paper. My aim is to articulate what may be called “doxastic courage,” which is roughly the courage to be </w:t>
      </w:r>
      <w:r w:rsidRPr="006D3CA3">
        <w:rPr>
          <w:rFonts w:ascii="EB Garamond" w:eastAsia="EB Garamond" w:hAnsi="EB Garamond" w:cs="EB Garamond"/>
          <w:i/>
          <w:sz w:val="24"/>
          <w:szCs w:val="24"/>
        </w:rPr>
        <w:t xml:space="preserve">possibly </w:t>
      </w:r>
      <w:r w:rsidRPr="006D3CA3">
        <w:rPr>
          <w:rFonts w:ascii="EB Garamond" w:eastAsia="EB Garamond" w:hAnsi="EB Garamond" w:cs="EB Garamond"/>
          <w:sz w:val="24"/>
          <w:szCs w:val="24"/>
        </w:rPr>
        <w:t xml:space="preserve">mistaken about our beliefs. A more exact definition of the term will be given in Section 4.2. This conception of virtuous or courageous doubt may be thought of as a refinement of the virtue of responsibility mentioned above, but with a focus on belief formation. Belief formation is susceptible to many vices, importantly dogmatism, hyperbolic doubt, gullibility, and anti-expertise. Such vices are typically explained and addressed in isolation of one another; by developing doxastic courage, we will be able to unify the vices by what they have in common (i.e., as being excess or deficiency of the exercise of doxastic control). </w:t>
      </w:r>
    </w:p>
    <w:p w14:paraId="0000008E"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At this point, it is necessary to explicate the manner in which I see the moral virtue of courage as being distinct from the virtue of doxastic courage. The first is in the proper telos of each form. The telos proper to moral courage is generally considered to be attaining some end demanded by moral responsibility, with courage being invoked when some kind of harm or punishment comes as a result of attaining that end.</w:t>
      </w:r>
      <w:r w:rsidRPr="006D3CA3">
        <w:rPr>
          <w:rFonts w:ascii="EB Garamond" w:eastAsia="EB Garamond" w:hAnsi="EB Garamond" w:cs="EB Garamond"/>
          <w:sz w:val="24"/>
          <w:szCs w:val="24"/>
          <w:vertAlign w:val="superscript"/>
        </w:rPr>
        <w:footnoteReference w:id="30"/>
      </w:r>
      <w:r w:rsidRPr="006D3CA3">
        <w:rPr>
          <w:rFonts w:ascii="EB Garamond" w:eastAsia="EB Garamond" w:hAnsi="EB Garamond" w:cs="EB Garamond"/>
          <w:sz w:val="24"/>
          <w:szCs w:val="24"/>
        </w:rPr>
        <w:t xml:space="preserve"> Epistemic courage pursues epistemic goods; someone can be said to be epistemically courageous for studying spiders despite having a serious fear of the subject matter. Doxastic courage pursues cognitive prosperity, and the harms one faces are distinct from those mentioned above. There are first, intrinsic harms resulting from the risk we take in believing: these harms </w:t>
      </w:r>
      <w:proofErr w:type="gramStart"/>
      <w:r w:rsidRPr="006D3CA3">
        <w:rPr>
          <w:rFonts w:ascii="EB Garamond" w:eastAsia="EB Garamond" w:hAnsi="EB Garamond" w:cs="EB Garamond"/>
          <w:sz w:val="24"/>
          <w:szCs w:val="24"/>
        </w:rPr>
        <w:t>were</w:t>
      </w:r>
      <w:proofErr w:type="gramEnd"/>
      <w:r w:rsidRPr="006D3CA3">
        <w:rPr>
          <w:rFonts w:ascii="EB Garamond" w:eastAsia="EB Garamond" w:hAnsi="EB Garamond" w:cs="EB Garamond"/>
          <w:sz w:val="24"/>
          <w:szCs w:val="24"/>
        </w:rPr>
        <w:t xml:space="preserve"> the ones Descartes knew quite well. Second, there are extrinsic harms; the consequences of believing all food in front of you might be poisoned are grave enough to override whatever small confidence you might have in that belief.</w:t>
      </w:r>
      <w:r w:rsidRPr="006D3CA3">
        <w:rPr>
          <w:rFonts w:ascii="EB Garamond" w:eastAsia="EB Garamond" w:hAnsi="EB Garamond" w:cs="EB Garamond"/>
          <w:sz w:val="24"/>
          <w:szCs w:val="24"/>
          <w:vertAlign w:val="superscript"/>
        </w:rPr>
        <w:footnoteReference w:id="31"/>
      </w:r>
    </w:p>
    <w:p w14:paraId="0000008F"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In the Aristotelian tradition, virtues are representative of a golden mean, wherein there exist two ends of the spectrum (vices) and the mean of each end is representative of a virtue. Such a mean is discernible only through </w:t>
      </w:r>
      <w:r w:rsidRPr="006D3CA3">
        <w:rPr>
          <w:rFonts w:ascii="EB Garamond" w:eastAsia="EB Garamond" w:hAnsi="EB Garamond" w:cs="EB Garamond"/>
          <w:i/>
          <w:sz w:val="24"/>
          <w:szCs w:val="24"/>
        </w:rPr>
        <w:t>phronesis</w:t>
      </w:r>
      <w:r w:rsidRPr="006D3CA3">
        <w:rPr>
          <w:rFonts w:ascii="EB Garamond" w:eastAsia="EB Garamond" w:hAnsi="EB Garamond" w:cs="EB Garamond"/>
          <w:sz w:val="24"/>
          <w:szCs w:val="24"/>
        </w:rPr>
        <w:t xml:space="preserve">, which adjudicates the appropriate response to these vices in order to seek cognitive prosperity. How, precisely, does </w:t>
      </w:r>
      <w:r w:rsidRPr="006D3CA3">
        <w:rPr>
          <w:rFonts w:ascii="EB Garamond" w:eastAsia="EB Garamond" w:hAnsi="EB Garamond" w:cs="EB Garamond"/>
          <w:i/>
          <w:sz w:val="24"/>
          <w:szCs w:val="24"/>
        </w:rPr>
        <w:t>phronesis</w:t>
      </w:r>
      <w:r w:rsidRPr="006D3CA3">
        <w:rPr>
          <w:rFonts w:ascii="EB Garamond" w:eastAsia="EB Garamond" w:hAnsi="EB Garamond" w:cs="EB Garamond"/>
          <w:sz w:val="24"/>
          <w:szCs w:val="24"/>
        </w:rPr>
        <w:t xml:space="preserve"> do this? In the right conditions belief in </w:t>
      </w:r>
      <w:r w:rsidRPr="006D3CA3">
        <w:rPr>
          <w:rFonts w:ascii="EB Garamond" w:eastAsia="EB Garamond" w:hAnsi="EB Garamond" w:cs="EB Garamond"/>
          <w:i/>
          <w:sz w:val="24"/>
          <w:szCs w:val="24"/>
        </w:rPr>
        <w:t>p</w:t>
      </w:r>
      <w:r w:rsidRPr="006D3CA3">
        <w:rPr>
          <w:rFonts w:ascii="EB Garamond" w:eastAsia="EB Garamond" w:hAnsi="EB Garamond" w:cs="EB Garamond"/>
          <w:sz w:val="24"/>
          <w:szCs w:val="24"/>
        </w:rPr>
        <w:t xml:space="preserve"> should, according to our confidence in </w:t>
      </w:r>
      <w:r w:rsidRPr="006D3CA3">
        <w:rPr>
          <w:rFonts w:ascii="EB Garamond" w:eastAsia="EB Garamond" w:hAnsi="EB Garamond" w:cs="EB Garamond"/>
          <w:i/>
          <w:sz w:val="24"/>
          <w:szCs w:val="24"/>
        </w:rPr>
        <w:t>p</w:t>
      </w:r>
      <w:r w:rsidRPr="006D3CA3">
        <w:rPr>
          <w:rFonts w:ascii="EB Garamond" w:eastAsia="EB Garamond" w:hAnsi="EB Garamond" w:cs="EB Garamond"/>
          <w:sz w:val="24"/>
          <w:szCs w:val="24"/>
        </w:rPr>
        <w:t xml:space="preserve">, ‘hit the target’ of knowing that </w:t>
      </w:r>
      <w:r w:rsidRPr="006D3CA3">
        <w:rPr>
          <w:rFonts w:ascii="EB Garamond" w:eastAsia="EB Garamond" w:hAnsi="EB Garamond" w:cs="EB Garamond"/>
          <w:i/>
          <w:sz w:val="24"/>
          <w:szCs w:val="24"/>
        </w:rPr>
        <w:t>p</w:t>
      </w:r>
      <w:r w:rsidRPr="006D3CA3">
        <w:rPr>
          <w:rFonts w:ascii="EB Garamond" w:eastAsia="EB Garamond" w:hAnsi="EB Garamond" w:cs="EB Garamond"/>
          <w:sz w:val="24"/>
          <w:szCs w:val="24"/>
        </w:rPr>
        <w:t xml:space="preserve">. Suppose that my many experiences cruising on Loch Ness and having never seen Nessie has led me to believe that if I cruise on Loch Ness tomorrow, I will not see Nessie. Given such well-supported belief, I am justified in believing that tomorrow I will not see Nessie. Now suppose that Nessie is spotted today, and such a </w:t>
      </w:r>
      <w:r w:rsidRPr="006D3CA3">
        <w:rPr>
          <w:rFonts w:ascii="EB Garamond" w:eastAsia="EB Garamond" w:hAnsi="EB Garamond" w:cs="EB Garamond"/>
          <w:sz w:val="24"/>
          <w:szCs w:val="24"/>
        </w:rPr>
        <w:lastRenderedPageBreak/>
        <w:t xml:space="preserve">spotting is credible. Given that in my previous sailings, no such sightings have occurred, maintaining my belief that I will not see Nessie tomorrow now seems to be an even greater risk. </w:t>
      </w:r>
      <w:r w:rsidRPr="006D3CA3">
        <w:rPr>
          <w:rFonts w:ascii="EB Garamond" w:eastAsia="EB Garamond" w:hAnsi="EB Garamond" w:cs="EB Garamond"/>
          <w:i/>
          <w:sz w:val="24"/>
          <w:szCs w:val="24"/>
        </w:rPr>
        <w:t xml:space="preserve">Phronesis </w:t>
      </w:r>
      <w:r w:rsidRPr="006D3CA3">
        <w:rPr>
          <w:rFonts w:ascii="EB Garamond" w:eastAsia="EB Garamond" w:hAnsi="EB Garamond" w:cs="EB Garamond"/>
          <w:sz w:val="24"/>
          <w:szCs w:val="24"/>
        </w:rPr>
        <w:t xml:space="preserve">then intervenes to mediate such risk. Our possibly being wrong should motivate us to consider whether or not such a belief is well-formed in light of our new evidence, and </w:t>
      </w:r>
      <w:r w:rsidRPr="006D3CA3">
        <w:rPr>
          <w:rFonts w:ascii="EB Garamond" w:eastAsia="EB Garamond" w:hAnsi="EB Garamond" w:cs="EB Garamond"/>
          <w:i/>
          <w:sz w:val="24"/>
          <w:szCs w:val="24"/>
        </w:rPr>
        <w:t>phronesis</w:t>
      </w:r>
      <w:r w:rsidRPr="006D3CA3">
        <w:rPr>
          <w:rFonts w:ascii="EB Garamond" w:eastAsia="EB Garamond" w:hAnsi="EB Garamond" w:cs="EB Garamond"/>
          <w:sz w:val="24"/>
          <w:szCs w:val="24"/>
        </w:rPr>
        <w:t xml:space="preserve"> may dictate (1) that there is at least a moderate chance that Nessie will resurface tomorrow and (2) the epistemic good of believing I will not see Nessie is not worth the risk of believing a falsehood. In this case, I might suspend belief. For a </w:t>
      </w:r>
      <w:proofErr w:type="spellStart"/>
      <w:r w:rsidRPr="0024660B">
        <w:rPr>
          <w:rFonts w:ascii="EB Garamond" w:eastAsia="EB Garamond" w:hAnsi="EB Garamond" w:cs="EB Garamond"/>
          <w:i/>
          <w:iCs/>
          <w:sz w:val="24"/>
          <w:szCs w:val="24"/>
        </w:rPr>
        <w:t>phronetic</w:t>
      </w:r>
      <w:proofErr w:type="spellEnd"/>
      <w:r w:rsidRPr="006D3CA3">
        <w:rPr>
          <w:rFonts w:ascii="EB Garamond" w:eastAsia="EB Garamond" w:hAnsi="EB Garamond" w:cs="EB Garamond"/>
          <w:sz w:val="24"/>
          <w:szCs w:val="24"/>
        </w:rPr>
        <w:t xml:space="preserve"> theory of doxastic courage to obtain, we should be concerned with both confidence and risk of harm. </w:t>
      </w:r>
    </w:p>
    <w:p w14:paraId="00000090"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It is, of course, important to recognize that credit</w:t>
      </w:r>
      <w:r w:rsidRPr="006D3CA3">
        <w:rPr>
          <w:rFonts w:ascii="EB Garamond" w:eastAsia="EB Garamond" w:hAnsi="EB Garamond" w:cs="EB Garamond"/>
          <w:sz w:val="24"/>
          <w:szCs w:val="24"/>
          <w:vertAlign w:val="superscript"/>
        </w:rPr>
        <w:footnoteReference w:id="32"/>
      </w:r>
      <w:r w:rsidRPr="006D3CA3">
        <w:rPr>
          <w:rFonts w:ascii="EB Garamond" w:eastAsia="EB Garamond" w:hAnsi="EB Garamond" w:cs="EB Garamond"/>
          <w:sz w:val="24"/>
          <w:szCs w:val="24"/>
        </w:rPr>
        <w:t xml:space="preserve"> for being courageous depends on the epistemic situation in which an agent is believing. It may be appropriate to credit a child for being courageous in approaching a cashier and ordering something for themself, while at the same time not crediting an adult for such an act. In an analogous way, it may be appropriate to credit a Cartesian meditator for acknowledging the risk of their being deceived by an Evil Demon (supposing they have seriously acknowledged it as a possibility</w:t>
      </w:r>
      <w:proofErr w:type="gramStart"/>
      <w:r w:rsidRPr="006D3CA3">
        <w:rPr>
          <w:rFonts w:ascii="EB Garamond" w:eastAsia="EB Garamond" w:hAnsi="EB Garamond" w:cs="EB Garamond"/>
          <w:sz w:val="24"/>
          <w:szCs w:val="24"/>
        </w:rPr>
        <w:t>), but</w:t>
      </w:r>
      <w:proofErr w:type="gramEnd"/>
      <w:r w:rsidRPr="006D3CA3">
        <w:rPr>
          <w:rFonts w:ascii="EB Garamond" w:eastAsia="EB Garamond" w:hAnsi="EB Garamond" w:cs="EB Garamond"/>
          <w:sz w:val="24"/>
          <w:szCs w:val="24"/>
        </w:rPr>
        <w:t xml:space="preserve"> believing that they have hands in spite of such a possibility. However, the average person does not necessarily deserve credit for believing they have hands, since although this is a well-formed belief, no risk is being entertained. </w:t>
      </w:r>
    </w:p>
    <w:p w14:paraId="00000091"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As a corollary to the above point, that someone believes something like “I have two hands” does not </w:t>
      </w:r>
      <w:r w:rsidRPr="006D3CA3">
        <w:rPr>
          <w:rFonts w:ascii="EB Garamond" w:eastAsia="EB Garamond" w:hAnsi="EB Garamond" w:cs="EB Garamond"/>
          <w:i/>
          <w:sz w:val="24"/>
          <w:szCs w:val="24"/>
        </w:rPr>
        <w:t>automatically</w:t>
      </w:r>
      <w:r w:rsidRPr="006D3CA3">
        <w:rPr>
          <w:rFonts w:ascii="EB Garamond" w:eastAsia="EB Garamond" w:hAnsi="EB Garamond" w:cs="EB Garamond"/>
          <w:sz w:val="24"/>
          <w:szCs w:val="24"/>
        </w:rPr>
        <w:t xml:space="preserve"> make this person doxastically courageous. Doxastic courage is a virtue of appropriate second-order reflection for believing reasonably. An agent is not doxastically courageous for </w:t>
      </w:r>
      <w:r w:rsidRPr="006D3CA3">
        <w:rPr>
          <w:rFonts w:ascii="EB Garamond" w:eastAsia="EB Garamond" w:hAnsi="EB Garamond" w:cs="EB Garamond"/>
          <w:i/>
          <w:sz w:val="24"/>
          <w:szCs w:val="24"/>
        </w:rPr>
        <w:t>merely</w:t>
      </w:r>
      <w:r w:rsidRPr="006D3CA3">
        <w:rPr>
          <w:rFonts w:ascii="EB Garamond" w:eastAsia="EB Garamond" w:hAnsi="EB Garamond" w:cs="EB Garamond"/>
          <w:sz w:val="24"/>
          <w:szCs w:val="24"/>
        </w:rPr>
        <w:t xml:space="preserve"> believing propositions with a large amount of evidence to back them. Instead, a person is doxastically courageous when they (consciously or unconsciously) acknowledge some level of risk—either believing too much based on too little evidence or believing too little based on excess fear of being incorrect—and decide that </w:t>
      </w:r>
      <w:r w:rsidRPr="006D3CA3">
        <w:rPr>
          <w:rFonts w:ascii="EB Garamond" w:eastAsia="EB Garamond" w:hAnsi="EB Garamond" w:cs="EB Garamond"/>
          <w:i/>
          <w:sz w:val="24"/>
          <w:szCs w:val="24"/>
        </w:rPr>
        <w:t>phronesis</w:t>
      </w:r>
      <w:r w:rsidRPr="006D3CA3">
        <w:rPr>
          <w:rFonts w:ascii="EB Garamond" w:eastAsia="EB Garamond" w:hAnsi="EB Garamond" w:cs="EB Garamond"/>
          <w:sz w:val="24"/>
          <w:szCs w:val="24"/>
        </w:rPr>
        <w:t xml:space="preserve"> should guide the appropriate disposition to adopt. With this in mind, we could only credit the Cartesian meditator for adjusting their confidence threshold to below certainty, acknowledging they are believing in spite of Evil Demon or dreaming doubts.</w:t>
      </w:r>
      <w:r w:rsidRPr="006D3CA3">
        <w:rPr>
          <w:rFonts w:ascii="EB Garamond" w:eastAsia="EB Garamond" w:hAnsi="EB Garamond" w:cs="EB Garamond"/>
          <w:sz w:val="24"/>
          <w:szCs w:val="24"/>
          <w:vertAlign w:val="superscript"/>
        </w:rPr>
        <w:footnoteReference w:id="33"/>
      </w:r>
      <w:r w:rsidRPr="006D3CA3">
        <w:rPr>
          <w:rFonts w:ascii="EB Garamond" w:eastAsia="EB Garamond" w:hAnsi="EB Garamond" w:cs="EB Garamond"/>
          <w:sz w:val="24"/>
          <w:szCs w:val="24"/>
        </w:rPr>
        <w:t xml:space="preserve"> It will be of great importance to be slightly more specific about where a generally </w:t>
      </w:r>
      <w:proofErr w:type="spellStart"/>
      <w:r w:rsidRPr="0024660B">
        <w:rPr>
          <w:rFonts w:ascii="EB Garamond" w:eastAsia="EB Garamond" w:hAnsi="EB Garamond" w:cs="EB Garamond"/>
          <w:i/>
          <w:sz w:val="24"/>
          <w:szCs w:val="24"/>
        </w:rPr>
        <w:t>phronetic</w:t>
      </w:r>
      <w:proofErr w:type="spellEnd"/>
      <w:r w:rsidRPr="006D3CA3">
        <w:rPr>
          <w:rFonts w:ascii="EB Garamond" w:eastAsia="EB Garamond" w:hAnsi="EB Garamond" w:cs="EB Garamond"/>
          <w:sz w:val="24"/>
          <w:szCs w:val="24"/>
        </w:rPr>
        <w:t xml:space="preserve"> confidence threshold should lie, and such specificity can only be determined by understanding the agency we have over belief and the full scope of harms associated with imprudent belief formation.</w:t>
      </w:r>
    </w:p>
    <w:p w14:paraId="00000092" w14:textId="77777777" w:rsidR="00B66D52" w:rsidRPr="006D3CA3" w:rsidRDefault="00B66D52">
      <w:pPr>
        <w:ind w:firstLine="720"/>
        <w:rPr>
          <w:rFonts w:ascii="EB Garamond" w:eastAsia="EB Garamond" w:hAnsi="EB Garamond" w:cs="EB Garamond"/>
          <w:sz w:val="24"/>
          <w:szCs w:val="24"/>
        </w:rPr>
      </w:pPr>
    </w:p>
    <w:p w14:paraId="00000093" w14:textId="77777777" w:rsidR="00B66D52" w:rsidRPr="006D3CA3" w:rsidRDefault="00B66D52">
      <w:pPr>
        <w:ind w:firstLine="720"/>
        <w:rPr>
          <w:rFonts w:ascii="EB Garamond" w:eastAsia="EB Garamond" w:hAnsi="EB Garamond" w:cs="EB Garamond"/>
          <w:sz w:val="24"/>
          <w:szCs w:val="24"/>
        </w:rPr>
      </w:pPr>
    </w:p>
    <w:p w14:paraId="00000094" w14:textId="46B3753D" w:rsidR="00B66D52" w:rsidRPr="00091D25" w:rsidRDefault="00000000" w:rsidP="00091D25">
      <w:pPr>
        <w:pStyle w:val="ListParagraph"/>
        <w:numPr>
          <w:ilvl w:val="1"/>
          <w:numId w:val="4"/>
        </w:numPr>
        <w:rPr>
          <w:rFonts w:ascii="EB Garamond" w:eastAsia="EB Garamond" w:hAnsi="EB Garamond" w:cs="EB Garamond"/>
          <w:sz w:val="24"/>
          <w:szCs w:val="24"/>
        </w:rPr>
      </w:pPr>
      <w:r w:rsidRPr="00091D25">
        <w:rPr>
          <w:rFonts w:ascii="EB Garamond" w:eastAsia="EB Garamond" w:hAnsi="EB Garamond" w:cs="EB Garamond"/>
          <w:sz w:val="24"/>
          <w:szCs w:val="24"/>
        </w:rPr>
        <w:t xml:space="preserve">A </w:t>
      </w:r>
      <w:proofErr w:type="spellStart"/>
      <w:r w:rsidRPr="0024660B">
        <w:rPr>
          <w:rFonts w:ascii="EB Garamond" w:eastAsia="EB Garamond" w:hAnsi="EB Garamond" w:cs="EB Garamond"/>
          <w:i/>
          <w:sz w:val="24"/>
          <w:szCs w:val="24"/>
        </w:rPr>
        <w:t>Phronetic</w:t>
      </w:r>
      <w:proofErr w:type="spellEnd"/>
      <w:r w:rsidRPr="00091D25">
        <w:rPr>
          <w:rFonts w:ascii="EB Garamond" w:eastAsia="EB Garamond" w:hAnsi="EB Garamond" w:cs="EB Garamond"/>
          <w:sz w:val="24"/>
          <w:szCs w:val="24"/>
        </w:rPr>
        <w:t xml:space="preserve"> Theory of Belief Formation </w:t>
      </w:r>
    </w:p>
    <w:p w14:paraId="00000095" w14:textId="77777777" w:rsidR="00B66D52" w:rsidRPr="006D3CA3" w:rsidRDefault="00B66D52">
      <w:pPr>
        <w:rPr>
          <w:rFonts w:ascii="EB Garamond" w:eastAsia="EB Garamond" w:hAnsi="EB Garamond" w:cs="EB Garamond"/>
          <w:sz w:val="24"/>
          <w:szCs w:val="24"/>
        </w:rPr>
      </w:pPr>
    </w:p>
    <w:p w14:paraId="00000096"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Belief is the only component of knowledge that we have some agency to change. We can choose to seek out evidence that detracts from the justification we possess, but our having justification depends on our finding evidence. We, in most cases, do not possess the capacity to change the truth of propositions.</w:t>
      </w:r>
      <w:r w:rsidRPr="006D3CA3">
        <w:rPr>
          <w:rFonts w:ascii="EB Garamond" w:eastAsia="EB Garamond" w:hAnsi="EB Garamond" w:cs="EB Garamond"/>
          <w:sz w:val="24"/>
          <w:szCs w:val="24"/>
          <w:vertAlign w:val="superscript"/>
        </w:rPr>
        <w:footnoteReference w:id="34"/>
      </w:r>
      <w:r w:rsidRPr="006D3CA3">
        <w:rPr>
          <w:rFonts w:ascii="EB Garamond" w:eastAsia="EB Garamond" w:hAnsi="EB Garamond" w:cs="EB Garamond"/>
          <w:sz w:val="24"/>
          <w:szCs w:val="24"/>
        </w:rPr>
        <w:t xml:space="preserve"> Therefore, the only possibly manipulable element of knowledge is belief. Some will contend that our belief is determined by the suggestion of our available evidence, which sways our belief in one way.</w:t>
      </w:r>
      <w:r w:rsidRPr="006D3CA3">
        <w:rPr>
          <w:rFonts w:ascii="EB Garamond" w:eastAsia="EB Garamond" w:hAnsi="EB Garamond" w:cs="EB Garamond"/>
          <w:sz w:val="24"/>
          <w:szCs w:val="24"/>
          <w:vertAlign w:val="superscript"/>
        </w:rPr>
        <w:footnoteReference w:id="35"/>
      </w:r>
      <w:r w:rsidRPr="006D3CA3">
        <w:rPr>
          <w:rFonts w:ascii="EB Garamond" w:eastAsia="EB Garamond" w:hAnsi="EB Garamond" w:cs="EB Garamond"/>
          <w:sz w:val="24"/>
          <w:szCs w:val="24"/>
        </w:rPr>
        <w:t xml:space="preserve"> This may be truly the case, but plausibly because the intellectual virtues compel us to believe that which is justified, as argued by Wright (2013). It is possible for someone to incontinently believe, “I did well on that exam,” even when all of their evidence is to the contrary, to avoid stress, to boost confidence, or for any other non-evidentiary reason.</w:t>
      </w:r>
      <w:r w:rsidRPr="006D3CA3">
        <w:rPr>
          <w:rFonts w:ascii="EB Garamond" w:eastAsia="EB Garamond" w:hAnsi="EB Garamond" w:cs="EB Garamond"/>
          <w:sz w:val="24"/>
          <w:szCs w:val="24"/>
          <w:vertAlign w:val="superscript"/>
        </w:rPr>
        <w:footnoteReference w:id="36"/>
      </w:r>
      <w:r w:rsidRPr="006D3CA3">
        <w:rPr>
          <w:rFonts w:ascii="EB Garamond" w:eastAsia="EB Garamond" w:hAnsi="EB Garamond" w:cs="EB Garamond"/>
          <w:sz w:val="24"/>
          <w:szCs w:val="24"/>
        </w:rPr>
        <w:t xml:space="preserve"> Thus, roughly speaking, belief is the one aspect of knowledge that we have the luxury of changing, with the relevant change to doxastic courage being the confidence threshold warranting belief. Like Descartes rightly suggested, the agent has control over the level of confidence at which we are willing to believe/suspend belief in propositions. Whether our present justification has at least some force in determining our belief is a separate discussion.</w:t>
      </w:r>
    </w:p>
    <w:p w14:paraId="00000097"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With our having this luxury, we are faced with a crossroads on whether or not we want to be right, wrong, not right, or not wrong. If the formal object of the intellect is truth (or knowledge), which has been explained earlier, then we will only find two of those options suitable: either ascertaining truths or avoiding falsehoods. The sole guarantee that we have of believing all truths is if we believe every proposition, such that for every true proposition we believe it, and for every false proposition we also believe it. Similarly, the sole guarantee that we will never be wrong is if we suspend belief about every proposition, such that for every false proposition we do not believe it, and for every true proposition we also do not believe it. If both of these options sound undesirable, that is because they both represent forms of deficiency in the exercise of doxastic control. Such a notion of belief is shared by Kierkegaard, who states:</w:t>
      </w:r>
    </w:p>
    <w:p w14:paraId="00000098" w14:textId="77777777" w:rsidR="00B66D52" w:rsidRPr="006D3CA3" w:rsidRDefault="00000000">
      <w:pPr>
        <w:ind w:left="1440"/>
        <w:rPr>
          <w:rFonts w:ascii="EB Garamond" w:eastAsia="EB Garamond" w:hAnsi="EB Garamond" w:cs="EB Garamond"/>
        </w:rPr>
      </w:pPr>
      <w:r w:rsidRPr="006D3CA3">
        <w:rPr>
          <w:rFonts w:ascii="EB Garamond" w:eastAsia="EB Garamond" w:hAnsi="EB Garamond" w:cs="EB Garamond"/>
        </w:rPr>
        <w:t xml:space="preserve"> </w:t>
      </w:r>
    </w:p>
    <w:p w14:paraId="00000099" w14:textId="77777777" w:rsidR="00B66D52" w:rsidRPr="006D3CA3" w:rsidRDefault="00000000">
      <w:pPr>
        <w:ind w:left="720"/>
        <w:rPr>
          <w:rFonts w:ascii="EB Garamond" w:eastAsia="EB Garamond" w:hAnsi="EB Garamond" w:cs="EB Garamond"/>
          <w:sz w:val="20"/>
          <w:szCs w:val="20"/>
        </w:rPr>
      </w:pPr>
      <w:r w:rsidRPr="006D3CA3">
        <w:rPr>
          <w:rFonts w:ascii="EB Garamond" w:eastAsia="EB Garamond" w:hAnsi="EB Garamond" w:cs="EB Garamond"/>
          <w:sz w:val="20"/>
          <w:szCs w:val="20"/>
        </w:rPr>
        <w:t>Indeed, one can be deceived in many ways; one can be deceived in believing what is untrue, but on the other hand, one is also deceived in not believing what is true; one can be deceived by appearances, but one can also be deceived by the superficiality of shrewdness, by the flattering conceit which is absolutely certain that it cannot be deceived. Which deception is most dangerous? (Kierkegaard, 2009, p. 23)</w:t>
      </w:r>
    </w:p>
    <w:p w14:paraId="0000009A" w14:textId="77777777" w:rsidR="00B66D52" w:rsidRPr="006D3CA3" w:rsidRDefault="00B66D52">
      <w:pPr>
        <w:ind w:left="720" w:firstLine="720"/>
        <w:rPr>
          <w:rFonts w:ascii="EB Garamond" w:eastAsia="EB Garamond" w:hAnsi="EB Garamond" w:cs="EB Garamond"/>
          <w:sz w:val="24"/>
          <w:szCs w:val="24"/>
        </w:rPr>
      </w:pPr>
    </w:p>
    <w:p w14:paraId="0000009B"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The doxastically courageous subject is not unduly afraid of falsity and tempers their thirst for truth to only that which they can know well. As such, it is an essential component of </w:t>
      </w:r>
      <w:proofErr w:type="gramStart"/>
      <w:r w:rsidRPr="006D3CA3">
        <w:rPr>
          <w:rFonts w:ascii="EB Garamond" w:eastAsia="EB Garamond" w:hAnsi="EB Garamond" w:cs="EB Garamond"/>
          <w:sz w:val="24"/>
          <w:szCs w:val="24"/>
        </w:rPr>
        <w:t>good-knowing</w:t>
      </w:r>
      <w:proofErr w:type="gramEnd"/>
      <w:r w:rsidRPr="006D3CA3">
        <w:rPr>
          <w:rFonts w:ascii="EB Garamond" w:eastAsia="EB Garamond" w:hAnsi="EB Garamond" w:cs="EB Garamond"/>
          <w:sz w:val="24"/>
          <w:szCs w:val="24"/>
        </w:rPr>
        <w:t>, the target for virtue epistemology. While all projects of doubt and certainty have truth as their goal, this approach distinguishes itself through its direct desire for cognitive prosperity. An excellent mind is a well-furnished one; not only does it possess justified true beliefs that do not rely on luck, but it does so abundantly, conducive to its flourishing. Cognitive prosperity is implicitly the target of most—if not all—theories of knowledge. In the case of Cartesian doubt, we sought to have cognitive prosperity</w:t>
      </w:r>
      <w:r w:rsidRPr="006D3CA3">
        <w:rPr>
          <w:rFonts w:ascii="EB Garamond" w:eastAsia="EB Garamond" w:hAnsi="EB Garamond" w:cs="EB Garamond"/>
          <w:sz w:val="24"/>
          <w:szCs w:val="24"/>
          <w:vertAlign w:val="superscript"/>
        </w:rPr>
        <w:footnoteReference w:id="37"/>
      </w:r>
      <w:r w:rsidRPr="006D3CA3">
        <w:rPr>
          <w:rFonts w:ascii="EB Garamond" w:eastAsia="EB Garamond" w:hAnsi="EB Garamond" w:cs="EB Garamond"/>
          <w:sz w:val="24"/>
          <w:szCs w:val="24"/>
        </w:rPr>
        <w:t xml:space="preserve"> by finding our Archimedean point of certainty from which we can have many guaranteed true beliefs. But, as it has been demonstrated before, not all systems achieve the end of cognitive prosperity equally. Systems like Cartesian doubt that suspend belief even in spite of incredibly persuasive evidence seem especially poor strategies for this end. We have established that any viable account of doubt may not universally undermine its apodictic axioms, capacity for reasoning, or its </w:t>
      </w:r>
      <w:proofErr w:type="spellStart"/>
      <w:r w:rsidRPr="006D3CA3">
        <w:rPr>
          <w:rFonts w:ascii="EB Garamond" w:eastAsia="EB Garamond" w:hAnsi="EB Garamond" w:cs="EB Garamond"/>
          <w:sz w:val="24"/>
          <w:szCs w:val="24"/>
        </w:rPr>
        <w:t>factive</w:t>
      </w:r>
      <w:proofErr w:type="spellEnd"/>
      <w:r w:rsidRPr="006D3CA3">
        <w:rPr>
          <w:rFonts w:ascii="EB Garamond" w:eastAsia="EB Garamond" w:hAnsi="EB Garamond" w:cs="EB Garamond"/>
          <w:sz w:val="24"/>
          <w:szCs w:val="24"/>
        </w:rPr>
        <w:t xml:space="preserve"> access to the external world.</w:t>
      </w:r>
    </w:p>
    <w:p w14:paraId="0000009C"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We would do well to add greater specificity to this account of doxastic courage, detailing more precisely where the boundaries between virtuous doubt and the extremes of vicious doubt lie. The question should be understood as: at what point does </w:t>
      </w:r>
      <w:r w:rsidRPr="006D3CA3">
        <w:rPr>
          <w:rFonts w:ascii="EB Garamond" w:eastAsia="EB Garamond" w:hAnsi="EB Garamond" w:cs="EB Garamond"/>
          <w:i/>
          <w:sz w:val="24"/>
          <w:szCs w:val="24"/>
        </w:rPr>
        <w:t>phronesis</w:t>
      </w:r>
      <w:r w:rsidRPr="006D3CA3">
        <w:rPr>
          <w:rFonts w:ascii="EB Garamond" w:eastAsia="EB Garamond" w:hAnsi="EB Garamond" w:cs="EB Garamond"/>
          <w:sz w:val="24"/>
          <w:szCs w:val="24"/>
        </w:rPr>
        <w:t xml:space="preserve"> instruct that I have enough evidence to believe some proposition </w:t>
      </w:r>
      <w:r w:rsidRPr="006D3CA3">
        <w:rPr>
          <w:rFonts w:ascii="EB Garamond" w:eastAsia="EB Garamond" w:hAnsi="EB Garamond" w:cs="EB Garamond"/>
          <w:i/>
          <w:sz w:val="24"/>
          <w:szCs w:val="24"/>
        </w:rPr>
        <w:t>p</w:t>
      </w:r>
      <w:r w:rsidRPr="006D3CA3">
        <w:rPr>
          <w:rFonts w:ascii="EB Garamond" w:eastAsia="EB Garamond" w:hAnsi="EB Garamond" w:cs="EB Garamond"/>
          <w:sz w:val="24"/>
          <w:szCs w:val="24"/>
        </w:rPr>
        <w:t>?  In other words, in cases where extrinsic cost of belief is less relevant, what should be the ideal confidence threshold to properly mitigate the intrinsic cost of believing falsehoods or failing to believe truths?</w:t>
      </w:r>
    </w:p>
    <w:p w14:paraId="0000009D"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We first know that if proposition </w:t>
      </w:r>
      <w:r w:rsidRPr="006D3CA3">
        <w:rPr>
          <w:rFonts w:ascii="EB Garamond" w:eastAsia="EB Garamond" w:hAnsi="EB Garamond" w:cs="EB Garamond"/>
          <w:i/>
          <w:sz w:val="24"/>
          <w:szCs w:val="24"/>
        </w:rPr>
        <w:t>p</w:t>
      </w:r>
      <w:r w:rsidRPr="006D3CA3">
        <w:rPr>
          <w:rFonts w:ascii="EB Garamond" w:eastAsia="EB Garamond" w:hAnsi="EB Garamond" w:cs="EB Garamond"/>
          <w:sz w:val="24"/>
          <w:szCs w:val="24"/>
        </w:rPr>
        <w:t xml:space="preserve"> is not immediate and obvious, we must have some kind of evidence for </w:t>
      </w:r>
      <w:r w:rsidRPr="006D3CA3">
        <w:rPr>
          <w:rFonts w:ascii="EB Garamond" w:eastAsia="EB Garamond" w:hAnsi="EB Garamond" w:cs="EB Garamond"/>
          <w:i/>
          <w:sz w:val="24"/>
          <w:szCs w:val="24"/>
        </w:rPr>
        <w:t>p.</w:t>
      </w:r>
      <w:r w:rsidRPr="006D3CA3">
        <w:rPr>
          <w:rFonts w:ascii="EB Garamond" w:eastAsia="EB Garamond" w:hAnsi="EB Garamond" w:cs="EB Garamond"/>
          <w:sz w:val="24"/>
          <w:szCs w:val="24"/>
          <w:vertAlign w:val="superscript"/>
        </w:rPr>
        <w:footnoteReference w:id="38"/>
      </w:r>
      <w:r w:rsidRPr="006D3CA3">
        <w:rPr>
          <w:rFonts w:ascii="EB Garamond" w:eastAsia="EB Garamond" w:hAnsi="EB Garamond" w:cs="EB Garamond"/>
          <w:sz w:val="24"/>
          <w:szCs w:val="24"/>
        </w:rPr>
        <w:t xml:space="preserve"> Evidence is some property (observational, logical, etc.) which counts in favor of </w:t>
      </w:r>
      <w:r w:rsidRPr="006D3CA3">
        <w:rPr>
          <w:rFonts w:ascii="EB Garamond" w:eastAsia="EB Garamond" w:hAnsi="EB Garamond" w:cs="EB Garamond"/>
          <w:i/>
          <w:sz w:val="24"/>
          <w:szCs w:val="24"/>
        </w:rPr>
        <w:t>p</w:t>
      </w:r>
      <w:r w:rsidRPr="006D3CA3">
        <w:rPr>
          <w:rFonts w:ascii="EB Garamond" w:eastAsia="EB Garamond" w:hAnsi="EB Garamond" w:cs="EB Garamond"/>
          <w:sz w:val="24"/>
          <w:szCs w:val="24"/>
        </w:rPr>
        <w:t xml:space="preserve">’s truth and against </w:t>
      </w:r>
      <w:r w:rsidRPr="006D3CA3">
        <w:rPr>
          <w:rFonts w:ascii="EB Garamond" w:eastAsia="EB Garamond" w:hAnsi="EB Garamond" w:cs="EB Garamond"/>
          <w:i/>
          <w:sz w:val="24"/>
          <w:szCs w:val="24"/>
        </w:rPr>
        <w:t>p</w:t>
      </w:r>
      <w:r w:rsidRPr="006D3CA3">
        <w:rPr>
          <w:rFonts w:ascii="EB Garamond" w:eastAsia="EB Garamond" w:hAnsi="EB Garamond" w:cs="EB Garamond"/>
          <w:sz w:val="24"/>
          <w:szCs w:val="24"/>
        </w:rPr>
        <w:t xml:space="preserve">’s being false. Embedded in this conception of evidence is relevance, wherein some part of your evidence must be related to </w:t>
      </w:r>
      <w:r w:rsidRPr="006D3CA3">
        <w:rPr>
          <w:rFonts w:ascii="EB Garamond" w:eastAsia="EB Garamond" w:hAnsi="EB Garamond" w:cs="EB Garamond"/>
          <w:i/>
          <w:sz w:val="24"/>
          <w:szCs w:val="24"/>
        </w:rPr>
        <w:t>p.</w:t>
      </w:r>
      <w:r w:rsidRPr="006D3CA3">
        <w:rPr>
          <w:rFonts w:ascii="EB Garamond" w:eastAsia="EB Garamond" w:hAnsi="EB Garamond" w:cs="EB Garamond"/>
          <w:sz w:val="24"/>
          <w:szCs w:val="24"/>
        </w:rPr>
        <w:t xml:space="preserve"> Yet, the mere possession of evidence at our disposal is insufficient for us to be fully confident in </w:t>
      </w:r>
      <w:r w:rsidRPr="006D3CA3">
        <w:rPr>
          <w:rFonts w:ascii="EB Garamond" w:eastAsia="EB Garamond" w:hAnsi="EB Garamond" w:cs="EB Garamond"/>
          <w:i/>
          <w:sz w:val="24"/>
          <w:szCs w:val="24"/>
        </w:rPr>
        <w:t>p</w:t>
      </w:r>
      <w:r w:rsidRPr="006D3CA3">
        <w:rPr>
          <w:rFonts w:ascii="EB Garamond" w:eastAsia="EB Garamond" w:hAnsi="EB Garamond" w:cs="EB Garamond"/>
          <w:sz w:val="24"/>
          <w:szCs w:val="24"/>
        </w:rPr>
        <w:t>.</w:t>
      </w:r>
    </w:p>
    <w:p w14:paraId="0000009E"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To see why, consider the case of a series of conflicting testimonies. You are told by a stranger that her name is Jill. Later in the day, a close friend, Thomas, tells you that the person you met earlier was not named Jill, and that she is actually a pathological liar. You tell another friend, Alvin, that according to Thomas, you met a person who lied to you about her name, and that she told you her name was Jill when in fact it was not. Alvin reveals to you that Thomas and Jill have been sworn enemies since childhood, and that Thomas often tells people that about Jill to dissuade them from associating with her. This process may iterate </w:t>
      </w:r>
      <w:r w:rsidRPr="006D3CA3">
        <w:rPr>
          <w:rFonts w:ascii="EB Garamond" w:eastAsia="EB Garamond" w:hAnsi="EB Garamond" w:cs="EB Garamond"/>
          <w:i/>
          <w:sz w:val="24"/>
          <w:szCs w:val="24"/>
        </w:rPr>
        <w:t>ad infinitum</w:t>
      </w:r>
      <w:r w:rsidRPr="006D3CA3">
        <w:rPr>
          <w:rFonts w:ascii="EB Garamond" w:eastAsia="EB Garamond" w:hAnsi="EB Garamond" w:cs="EB Garamond"/>
          <w:sz w:val="24"/>
          <w:szCs w:val="24"/>
        </w:rPr>
        <w:t>.</w:t>
      </w:r>
    </w:p>
    <w:p w14:paraId="0000009F"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lastRenderedPageBreak/>
        <w:t>The above case would be a nightmare for someone who endorsed the idea that we can believe any proposition on mere possession of some evidence. If we hold that the mere possession of evidence is sufficient to justify our beliefs, in this case the belief being the fact that the stranger you met is named Jill, then we are in for a whirlwind of conflicting beliefs. The reason that this is undesirable is not out of inconvenience. Rather there reaches a certain point down a potential infinite line of conflicting testimonies in which we would feel the need to ‘pull back.’  Such an adjustment to the threshold of justified belief would be problematic, arbitrarily changing the standard of what someone ought to believe in based on features of convenience. This demonstrates that the theory of belief is at best incomplete.</w:t>
      </w:r>
    </w:p>
    <w:p w14:paraId="000000A0" w14:textId="0457051A"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In each case of the conflicting testimony example, we receive evidence which functions as a defeater of the belief suggested by the piece of evidence presented before. To claim that we can feel justified in believing something appears to suggest that we also simultaneously feel justified in disregarding defeaters.</w:t>
      </w:r>
      <w:r w:rsidRPr="006D3CA3">
        <w:rPr>
          <w:rFonts w:ascii="EB Garamond" w:eastAsia="EB Garamond" w:hAnsi="EB Garamond" w:cs="EB Garamond"/>
          <w:sz w:val="24"/>
          <w:szCs w:val="24"/>
          <w:vertAlign w:val="superscript"/>
        </w:rPr>
        <w:footnoteReference w:id="39"/>
      </w:r>
      <w:r w:rsidRPr="006D3CA3">
        <w:rPr>
          <w:rFonts w:ascii="EB Garamond" w:eastAsia="EB Garamond" w:hAnsi="EB Garamond" w:cs="EB Garamond"/>
          <w:sz w:val="24"/>
          <w:szCs w:val="24"/>
        </w:rPr>
        <w:t xml:space="preserve"> Where the conflicting testimony example caused issue is precisely in each piece of evidence’s inability to engage with defeaters. If Jill had explained her tenuous relationship with Thomas earlier, we would be able to account for the defeater that Alvin </w:t>
      </w:r>
      <w:r w:rsidR="00106E0C" w:rsidRPr="006D3CA3">
        <w:rPr>
          <w:rFonts w:ascii="EB Garamond" w:eastAsia="EB Garamond" w:hAnsi="EB Garamond" w:cs="EB Garamond"/>
          <w:sz w:val="24"/>
          <w:szCs w:val="24"/>
        </w:rPr>
        <w:t>explained and</w:t>
      </w:r>
      <w:r w:rsidRPr="006D3CA3">
        <w:rPr>
          <w:rFonts w:ascii="EB Garamond" w:eastAsia="EB Garamond" w:hAnsi="EB Garamond" w:cs="EB Garamond"/>
          <w:sz w:val="24"/>
          <w:szCs w:val="24"/>
        </w:rPr>
        <w:t xml:space="preserve"> would have been less likely to instantly believe Thomas. Importantly, the possession of testimony from Jill regarding her name </w:t>
      </w:r>
      <w:r w:rsidRPr="006D3CA3">
        <w:rPr>
          <w:rFonts w:ascii="EB Garamond" w:eastAsia="EB Garamond" w:hAnsi="EB Garamond" w:cs="EB Garamond"/>
          <w:i/>
          <w:sz w:val="24"/>
          <w:szCs w:val="24"/>
        </w:rPr>
        <w:t>itself</w:t>
      </w:r>
      <w:r w:rsidRPr="006D3CA3">
        <w:rPr>
          <w:rFonts w:ascii="EB Garamond" w:eastAsia="EB Garamond" w:hAnsi="EB Garamond" w:cs="EB Garamond"/>
          <w:sz w:val="24"/>
          <w:szCs w:val="24"/>
        </w:rPr>
        <w:t xml:space="preserve"> makes it unlikely that the defeaters that follow from it will occur. This fact is what makes it reasonable to believe Jill when she first introduces herself. Inductive argumentation by nature assumes that future cases will resemble previous ones in relevant respects. In cases in which someone has told me their name, it has usually turned out to be what they claimed it was, so they have not been pathological liars. Therefore, induction has some implicit strength in neutralizing defeaters that should be acknowledged.</w:t>
      </w:r>
    </w:p>
    <w:p w14:paraId="000000A1"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Thus, the doxastically courageous subject is justified in believing some proposition </w:t>
      </w:r>
      <w:r w:rsidRPr="006D3CA3">
        <w:rPr>
          <w:rFonts w:ascii="EB Garamond" w:eastAsia="EB Garamond" w:hAnsi="EB Garamond" w:cs="EB Garamond"/>
          <w:i/>
          <w:sz w:val="24"/>
          <w:szCs w:val="24"/>
        </w:rPr>
        <w:t>p</w:t>
      </w:r>
      <w:r w:rsidRPr="006D3CA3">
        <w:rPr>
          <w:rFonts w:ascii="EB Garamond" w:eastAsia="EB Garamond" w:hAnsi="EB Garamond" w:cs="EB Garamond"/>
          <w:sz w:val="24"/>
          <w:szCs w:val="24"/>
        </w:rPr>
        <w:t xml:space="preserve"> if the subject is able to neutralize reasonable defeaters given the evidence they possess. In the above case, the defeater that “it is possible that Jill is a pathological liar” is neutralized by induction: in most cases where we have been told people’s names, they have not been pathological liars. As we proceed along the example, the inductive strength in neutralizing scarcely observed defeaters is minimized, as we have begun to see that we are in a situation that is unlike the many situations we have received testimony within before. As our situation adjusts, our confidence in Jill’s name is decreased, eventually justifying a suspension of belief. In this situation, then, it is not an arbitrary shift in the requirements for being justified in believing something which yields a change in results—i.e., that we begin to suspend belief about testimony— but the strength of our inductive evidence itself which shifts. Now we can provide a more exact definition of doxastic courage:</w:t>
      </w:r>
    </w:p>
    <w:p w14:paraId="000000A2" w14:textId="77777777" w:rsidR="00B66D52" w:rsidRPr="006D3CA3" w:rsidRDefault="00B66D52">
      <w:pPr>
        <w:rPr>
          <w:rFonts w:ascii="EB Garamond" w:eastAsia="EB Garamond" w:hAnsi="EB Garamond" w:cs="EB Garamond"/>
          <w:sz w:val="20"/>
          <w:szCs w:val="20"/>
        </w:rPr>
      </w:pPr>
    </w:p>
    <w:p w14:paraId="000000A3" w14:textId="77777777" w:rsidR="00B66D52" w:rsidRPr="006D3CA3" w:rsidRDefault="00000000">
      <w:pPr>
        <w:ind w:left="720"/>
        <w:jc w:val="both"/>
        <w:rPr>
          <w:rFonts w:ascii="EB Garamond" w:eastAsia="EB Garamond" w:hAnsi="EB Garamond" w:cs="EB Garamond"/>
          <w:sz w:val="20"/>
          <w:szCs w:val="20"/>
        </w:rPr>
      </w:pPr>
      <w:r w:rsidRPr="006D3CA3">
        <w:rPr>
          <w:rFonts w:ascii="EB Garamond" w:eastAsia="EB Garamond" w:hAnsi="EB Garamond" w:cs="EB Garamond"/>
          <w:sz w:val="20"/>
          <w:szCs w:val="20"/>
        </w:rPr>
        <w:t xml:space="preserve">An agent A exercises doxastic courage with respect to proposition </w:t>
      </w:r>
      <w:r w:rsidRPr="006D3CA3">
        <w:rPr>
          <w:rFonts w:ascii="EB Garamond" w:eastAsia="EB Garamond" w:hAnsi="EB Garamond" w:cs="EB Garamond"/>
          <w:i/>
          <w:sz w:val="20"/>
          <w:szCs w:val="20"/>
        </w:rPr>
        <w:t>p</w:t>
      </w:r>
      <w:r w:rsidRPr="006D3CA3">
        <w:rPr>
          <w:rFonts w:ascii="EB Garamond" w:eastAsia="EB Garamond" w:hAnsi="EB Garamond" w:cs="EB Garamond"/>
          <w:sz w:val="20"/>
          <w:szCs w:val="20"/>
        </w:rPr>
        <w:t xml:space="preserve"> </w:t>
      </w:r>
      <w:proofErr w:type="spellStart"/>
      <w:r w:rsidRPr="006D3CA3">
        <w:rPr>
          <w:rFonts w:ascii="EB Garamond" w:eastAsia="EB Garamond" w:hAnsi="EB Garamond" w:cs="EB Garamond"/>
          <w:sz w:val="20"/>
          <w:szCs w:val="20"/>
        </w:rPr>
        <w:t>iff</w:t>
      </w:r>
      <w:proofErr w:type="spellEnd"/>
      <w:r w:rsidRPr="006D3CA3">
        <w:rPr>
          <w:rFonts w:ascii="EB Garamond" w:eastAsia="EB Garamond" w:hAnsi="EB Garamond" w:cs="EB Garamond"/>
          <w:sz w:val="20"/>
          <w:szCs w:val="20"/>
        </w:rPr>
        <w:t xml:space="preserve"> A believes that </w:t>
      </w:r>
      <w:r w:rsidRPr="006D3CA3">
        <w:rPr>
          <w:rFonts w:ascii="EB Garamond" w:eastAsia="EB Garamond" w:hAnsi="EB Garamond" w:cs="EB Garamond"/>
          <w:i/>
          <w:sz w:val="20"/>
          <w:szCs w:val="20"/>
        </w:rPr>
        <w:t>p</w:t>
      </w:r>
      <w:r w:rsidRPr="006D3CA3">
        <w:rPr>
          <w:rFonts w:ascii="EB Garamond" w:eastAsia="EB Garamond" w:hAnsi="EB Garamond" w:cs="EB Garamond"/>
          <w:sz w:val="20"/>
          <w:szCs w:val="20"/>
        </w:rPr>
        <w:t xml:space="preserve"> only if (1) A’s total evidence is able to neutralize reasonable defeaters for </w:t>
      </w:r>
      <w:r w:rsidRPr="006D3CA3">
        <w:rPr>
          <w:rFonts w:ascii="EB Garamond" w:eastAsia="EB Garamond" w:hAnsi="EB Garamond" w:cs="EB Garamond"/>
          <w:i/>
          <w:sz w:val="20"/>
          <w:szCs w:val="20"/>
        </w:rPr>
        <w:t xml:space="preserve">p </w:t>
      </w:r>
      <w:r w:rsidRPr="006D3CA3">
        <w:rPr>
          <w:rFonts w:ascii="EB Garamond" w:eastAsia="EB Garamond" w:hAnsi="EB Garamond" w:cs="EB Garamond"/>
          <w:sz w:val="20"/>
          <w:szCs w:val="20"/>
        </w:rPr>
        <w:t xml:space="preserve">and (2) the cost of believing </w:t>
      </w:r>
      <w:r w:rsidRPr="006D3CA3">
        <w:rPr>
          <w:rFonts w:ascii="EB Garamond" w:eastAsia="EB Garamond" w:hAnsi="EB Garamond" w:cs="EB Garamond"/>
          <w:i/>
          <w:sz w:val="20"/>
          <w:szCs w:val="20"/>
        </w:rPr>
        <w:t>p</w:t>
      </w:r>
      <w:r w:rsidRPr="006D3CA3">
        <w:rPr>
          <w:rFonts w:ascii="EB Garamond" w:eastAsia="EB Garamond" w:hAnsi="EB Garamond" w:cs="EB Garamond"/>
          <w:sz w:val="20"/>
          <w:szCs w:val="20"/>
        </w:rPr>
        <w:t xml:space="preserve"> is not excessive relative to the epistemic good of believing </w:t>
      </w:r>
      <w:r w:rsidRPr="006D3CA3">
        <w:rPr>
          <w:rFonts w:ascii="EB Garamond" w:eastAsia="EB Garamond" w:hAnsi="EB Garamond" w:cs="EB Garamond"/>
          <w:i/>
          <w:sz w:val="20"/>
          <w:szCs w:val="20"/>
        </w:rPr>
        <w:t>p</w:t>
      </w:r>
      <w:r w:rsidRPr="006D3CA3">
        <w:rPr>
          <w:rFonts w:ascii="EB Garamond" w:eastAsia="EB Garamond" w:hAnsi="EB Garamond" w:cs="EB Garamond"/>
          <w:sz w:val="20"/>
          <w:szCs w:val="20"/>
        </w:rPr>
        <w:t>.</w:t>
      </w:r>
    </w:p>
    <w:p w14:paraId="000000A4" w14:textId="77777777" w:rsidR="00B66D52" w:rsidRPr="006D3CA3" w:rsidRDefault="00B66D52">
      <w:pPr>
        <w:ind w:firstLine="720"/>
        <w:rPr>
          <w:rFonts w:ascii="EB Garamond" w:eastAsia="EB Garamond" w:hAnsi="EB Garamond" w:cs="EB Garamond"/>
          <w:sz w:val="24"/>
          <w:szCs w:val="24"/>
        </w:rPr>
      </w:pPr>
    </w:p>
    <w:p w14:paraId="000000A5"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Having presented a picture of a doxastically courageous agent forming a reasonably justified belief, we can venture into the classical depiction of courage as bipartite. Courage is not </w:t>
      </w:r>
      <w:r w:rsidRPr="006D3CA3">
        <w:rPr>
          <w:rFonts w:ascii="EB Garamond" w:eastAsia="EB Garamond" w:hAnsi="EB Garamond" w:cs="EB Garamond"/>
          <w:i/>
          <w:sz w:val="24"/>
          <w:szCs w:val="24"/>
        </w:rPr>
        <w:t>merely</w:t>
      </w:r>
      <w:r w:rsidRPr="006D3CA3">
        <w:rPr>
          <w:rFonts w:ascii="EB Garamond" w:eastAsia="EB Garamond" w:hAnsi="EB Garamond" w:cs="EB Garamond"/>
          <w:sz w:val="24"/>
          <w:szCs w:val="24"/>
        </w:rPr>
        <w:t xml:space="preserve"> the golden mean between cowardice and brashness, but it is—like Aristotle noted: “a </w:t>
      </w:r>
      <w:proofErr w:type="spellStart"/>
      <w:r w:rsidRPr="006D3CA3">
        <w:rPr>
          <w:rFonts w:ascii="EB Garamond" w:eastAsia="EB Garamond" w:hAnsi="EB Garamond" w:cs="EB Garamond"/>
          <w:sz w:val="24"/>
          <w:szCs w:val="24"/>
        </w:rPr>
        <w:t>medial</w:t>
      </w:r>
      <w:proofErr w:type="spellEnd"/>
      <w:r w:rsidRPr="006D3CA3">
        <w:rPr>
          <w:rFonts w:ascii="EB Garamond" w:eastAsia="EB Garamond" w:hAnsi="EB Garamond" w:cs="EB Garamond"/>
          <w:sz w:val="24"/>
          <w:szCs w:val="24"/>
        </w:rPr>
        <w:t xml:space="preserve"> condition concerned with things that inspire confidence and fear in the circumstances we have described, and courage makes choices and endures things because it is noble to do so or shameful not to” (</w:t>
      </w:r>
      <w:r w:rsidRPr="006D3CA3">
        <w:rPr>
          <w:rFonts w:ascii="EB Garamond" w:eastAsia="EB Garamond" w:hAnsi="EB Garamond" w:cs="EB Garamond"/>
          <w:i/>
          <w:sz w:val="24"/>
          <w:szCs w:val="24"/>
        </w:rPr>
        <w:t>Nicomachean Ethics</w:t>
      </w:r>
      <w:r w:rsidRPr="006D3CA3">
        <w:rPr>
          <w:rFonts w:ascii="EB Garamond" w:eastAsia="EB Garamond" w:hAnsi="EB Garamond" w:cs="EB Garamond"/>
          <w:sz w:val="24"/>
          <w:szCs w:val="24"/>
        </w:rPr>
        <w:t xml:space="preserve">, III.7, 1116a5–15). Therefore, courage is a virtue consisting of intermediate fear and intermediate confidence. The doxastic vices described above as </w:t>
      </w:r>
      <w:proofErr w:type="gramStart"/>
      <w:r w:rsidRPr="006D3CA3">
        <w:rPr>
          <w:rFonts w:ascii="EB Garamond" w:eastAsia="EB Garamond" w:hAnsi="EB Garamond" w:cs="EB Garamond"/>
          <w:sz w:val="24"/>
          <w:szCs w:val="24"/>
        </w:rPr>
        <w:t>excess</w:t>
      </w:r>
      <w:proofErr w:type="gramEnd"/>
      <w:r w:rsidRPr="006D3CA3">
        <w:rPr>
          <w:rFonts w:ascii="EB Garamond" w:eastAsia="EB Garamond" w:hAnsi="EB Garamond" w:cs="EB Garamond"/>
          <w:sz w:val="24"/>
          <w:szCs w:val="24"/>
        </w:rPr>
        <w:t xml:space="preserve"> or deficiency can be further detailed </w:t>
      </w:r>
      <w:r w:rsidRPr="006D3CA3">
        <w:rPr>
          <w:rFonts w:ascii="EB Garamond" w:eastAsia="EB Garamond" w:hAnsi="EB Garamond" w:cs="EB Garamond"/>
          <w:i/>
          <w:sz w:val="24"/>
          <w:szCs w:val="24"/>
        </w:rPr>
        <w:t>in these terms</w:t>
      </w:r>
      <w:r w:rsidRPr="006D3CA3">
        <w:rPr>
          <w:rFonts w:ascii="EB Garamond" w:eastAsia="EB Garamond" w:hAnsi="EB Garamond" w:cs="EB Garamond"/>
          <w:sz w:val="24"/>
          <w:szCs w:val="24"/>
        </w:rPr>
        <w:t>. Dogmatism is an excess of confidence in one’s abilities, erroneously disregarding reasonable defeaters because one has judged oneself supremely qualified in judging. Gullibility is a deficiency in fear of believing falsehoods, allowing one to recklessly believe many things, possibly even holding mutually exclusive beliefs. Hyperbolic doubt is an excess of fear in believing wrongly, encouraging one to believe too little. Finally, anti-expertise is a deficiency of confidence where someone is thought to be unqualified in their beliefs.</w:t>
      </w:r>
    </w:p>
    <w:p w14:paraId="000000A6" w14:textId="42F694D1"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The Cartesian would state that to be doxastically courageous, we must be equipped with the capacity to deal with unreasonable defeaters as well. However, as discussed above, this and other similar models of methodological doubt (all forms of the vice I call hyperbolic doubt) prevent cognitive prosperity. The anti-expert would suggest that their own epistemic limitations are so severe that they are unqualified to reason between possibilities, passing along their doxastic responsibilities entirely to others without critical engagement.</w:t>
      </w:r>
      <w:r w:rsidRPr="006D3CA3">
        <w:rPr>
          <w:rFonts w:ascii="EB Garamond" w:eastAsia="EB Garamond" w:hAnsi="EB Garamond" w:cs="EB Garamond"/>
          <w:sz w:val="24"/>
          <w:szCs w:val="24"/>
          <w:vertAlign w:val="superscript"/>
        </w:rPr>
        <w:footnoteReference w:id="40"/>
      </w:r>
      <w:r w:rsidRPr="006D3CA3">
        <w:rPr>
          <w:rFonts w:ascii="EB Garamond" w:eastAsia="EB Garamond" w:hAnsi="EB Garamond" w:cs="EB Garamond"/>
          <w:sz w:val="24"/>
          <w:szCs w:val="24"/>
        </w:rPr>
        <w:t xml:space="preserve"> </w:t>
      </w:r>
      <w:r w:rsidRPr="006D3CA3">
        <w:rPr>
          <w:rFonts w:ascii="EB Garamond" w:eastAsia="EB Garamond" w:hAnsi="EB Garamond" w:cs="EB Garamond"/>
          <w:sz w:val="24"/>
          <w:szCs w:val="24"/>
          <w:highlight w:val="white"/>
        </w:rPr>
        <w:t>An especially deleterious form of this vice is the relinquishing of a well-formed belief given that another person merely possesses an opposing belief.</w:t>
      </w:r>
      <w:r w:rsidRPr="006D3CA3">
        <w:rPr>
          <w:rFonts w:ascii="EB Garamond" w:eastAsia="EB Garamond" w:hAnsi="EB Garamond" w:cs="EB Garamond"/>
          <w:sz w:val="24"/>
          <w:szCs w:val="24"/>
        </w:rPr>
        <w:t xml:space="preserve"> The gullible subject would suggest that we can accept the things we have evidence for believing in merely because we have evidence for it. Such an approach does not access cognitive prosperity either, since the unity of belief is what makes something </w:t>
      </w:r>
      <w:r w:rsidRPr="006D3CA3">
        <w:rPr>
          <w:rFonts w:ascii="EB Garamond" w:eastAsia="EB Garamond" w:hAnsi="EB Garamond" w:cs="EB Garamond"/>
          <w:i/>
          <w:sz w:val="24"/>
          <w:szCs w:val="24"/>
        </w:rPr>
        <w:t>truly</w:t>
      </w:r>
      <w:r w:rsidRPr="006D3CA3">
        <w:rPr>
          <w:rFonts w:ascii="EB Garamond" w:eastAsia="EB Garamond" w:hAnsi="EB Garamond" w:cs="EB Garamond"/>
          <w:sz w:val="24"/>
          <w:szCs w:val="24"/>
        </w:rPr>
        <w:t xml:space="preserve"> belief. For example, suppose a student of </w:t>
      </w:r>
      <w:r w:rsidR="00853DC1">
        <w:rPr>
          <w:rFonts w:ascii="EB Garamond" w:eastAsia="EB Garamond" w:hAnsi="EB Garamond" w:cs="EB Garamond"/>
          <w:sz w:val="24"/>
          <w:szCs w:val="24"/>
        </w:rPr>
        <w:t>b</w:t>
      </w:r>
      <w:r w:rsidRPr="006D3CA3">
        <w:rPr>
          <w:rFonts w:ascii="EB Garamond" w:eastAsia="EB Garamond" w:hAnsi="EB Garamond" w:cs="EB Garamond"/>
          <w:sz w:val="24"/>
          <w:szCs w:val="24"/>
        </w:rPr>
        <w:t>iology was familiar with the evidence for the one-gene-one-enzyme hypothesis and modern-day models of genetics, and on such a basis, believes both that a single gene may produce (1) only a single enzyme and (2) either a complete enzyme or parts of many possible enzymes.</w:t>
      </w:r>
      <w:r w:rsidRPr="006D3CA3">
        <w:rPr>
          <w:rFonts w:ascii="EB Garamond" w:eastAsia="EB Garamond" w:hAnsi="EB Garamond" w:cs="EB Garamond"/>
          <w:sz w:val="24"/>
          <w:szCs w:val="24"/>
          <w:vertAlign w:val="superscript"/>
        </w:rPr>
        <w:footnoteReference w:id="41"/>
      </w:r>
      <w:r w:rsidRPr="006D3CA3">
        <w:rPr>
          <w:rFonts w:ascii="EB Garamond" w:eastAsia="EB Garamond" w:hAnsi="EB Garamond" w:cs="EB Garamond"/>
          <w:sz w:val="24"/>
          <w:szCs w:val="24"/>
        </w:rPr>
        <w:t xml:space="preserve"> Putting aside concerns </w:t>
      </w:r>
      <w:r w:rsidRPr="006D3CA3">
        <w:rPr>
          <w:rFonts w:ascii="EB Garamond" w:eastAsia="EB Garamond" w:hAnsi="EB Garamond" w:cs="EB Garamond"/>
          <w:sz w:val="24"/>
          <w:szCs w:val="24"/>
        </w:rPr>
        <w:lastRenderedPageBreak/>
        <w:t xml:space="preserve">about whether it is logical to believe (1) and (2) simultaneously—as it plainly is not—it is suspect to claim that they can actually believe in both theories. As prediction-making creatures, we must have some kind of unity in belief. If you were to ask this student whether, given a particular gene, it </w:t>
      </w:r>
      <w:r w:rsidRPr="006D3CA3">
        <w:rPr>
          <w:rFonts w:ascii="EB Garamond" w:eastAsia="EB Garamond" w:hAnsi="EB Garamond" w:cs="EB Garamond"/>
          <w:i/>
          <w:sz w:val="24"/>
          <w:szCs w:val="24"/>
        </w:rPr>
        <w:t>must</w:t>
      </w:r>
      <w:r w:rsidRPr="006D3CA3">
        <w:rPr>
          <w:rFonts w:ascii="EB Garamond" w:eastAsia="EB Garamond" w:hAnsi="EB Garamond" w:cs="EB Garamond"/>
          <w:sz w:val="24"/>
          <w:szCs w:val="24"/>
        </w:rPr>
        <w:t xml:space="preserve"> produce a single enzyme, they must either say yes or no. If they say either, they do not believe both theories. </w:t>
      </w:r>
    </w:p>
    <w:p w14:paraId="000000A7" w14:textId="77777777" w:rsidR="00B66D52" w:rsidRPr="006D3CA3" w:rsidRDefault="00000000">
      <w:pPr>
        <w:ind w:firstLine="720"/>
        <w:rPr>
          <w:rFonts w:ascii="EB Garamond" w:eastAsia="EB Garamond" w:hAnsi="EB Garamond" w:cs="EB Garamond"/>
          <w:sz w:val="24"/>
          <w:szCs w:val="24"/>
          <w:highlight w:val="white"/>
        </w:rPr>
      </w:pPr>
      <w:r w:rsidRPr="006D3CA3">
        <w:rPr>
          <w:rFonts w:ascii="EB Garamond" w:eastAsia="EB Garamond" w:hAnsi="EB Garamond" w:cs="EB Garamond"/>
          <w:sz w:val="24"/>
          <w:szCs w:val="24"/>
          <w:highlight w:val="white"/>
        </w:rPr>
        <w:t xml:space="preserve">Doxastic courage ought to be distinguished clearly from dogmatism, which is a potent vice of the mind consisting in unsupported insistence that </w:t>
      </w:r>
      <w:r w:rsidRPr="006D3CA3">
        <w:rPr>
          <w:rFonts w:ascii="EB Garamond" w:eastAsia="EB Garamond" w:hAnsi="EB Garamond" w:cs="EB Garamond"/>
          <w:i/>
          <w:sz w:val="24"/>
          <w:szCs w:val="24"/>
          <w:highlight w:val="white"/>
        </w:rPr>
        <w:t>p</w:t>
      </w:r>
      <w:r w:rsidRPr="006D3CA3">
        <w:rPr>
          <w:rFonts w:ascii="EB Garamond" w:eastAsia="EB Garamond" w:hAnsi="EB Garamond" w:cs="EB Garamond"/>
          <w:sz w:val="24"/>
          <w:szCs w:val="24"/>
          <w:highlight w:val="white"/>
        </w:rPr>
        <w:t xml:space="preserve"> is true in the face of sufficiently reasonable defeaters. Dogmatism is often dispositional and arises from overconfidence in one's beliefs. Being a vice, it is more characterological than merely a single instance of improper belief formation. It is a bad habit of belief formation that is especially pernicious since it blocks belief revision even when evidence and reflection demand it.</w:t>
      </w:r>
      <w:r w:rsidRPr="006D3CA3">
        <w:rPr>
          <w:rFonts w:ascii="EB Garamond" w:eastAsia="EB Garamond" w:hAnsi="EB Garamond" w:cs="EB Garamond"/>
          <w:sz w:val="24"/>
          <w:szCs w:val="24"/>
          <w:highlight w:val="white"/>
          <w:vertAlign w:val="superscript"/>
        </w:rPr>
        <w:footnoteReference w:id="42"/>
      </w:r>
      <w:r w:rsidRPr="006D3CA3">
        <w:rPr>
          <w:rFonts w:ascii="EB Garamond" w:eastAsia="EB Garamond" w:hAnsi="EB Garamond" w:cs="EB Garamond"/>
          <w:sz w:val="24"/>
          <w:szCs w:val="24"/>
          <w:highlight w:val="white"/>
        </w:rPr>
        <w:t xml:space="preserve"> It is crucial to note that only defeaters that are reasonable within one’s epistemic context help determine whether someone has fallen into dogmatism; unreasonable defeaters pose a threat to our aim of responsible belief formation. One should not confuse doxastic courage with an intellectual perseverance that is fortuitous even when the evidence demands otherwise; such is not courage, but brashness.</w:t>
      </w:r>
      <w:r w:rsidRPr="006D3CA3">
        <w:rPr>
          <w:rFonts w:ascii="EB Garamond" w:eastAsia="EB Garamond" w:hAnsi="EB Garamond" w:cs="EB Garamond"/>
          <w:sz w:val="24"/>
          <w:szCs w:val="24"/>
          <w:highlight w:val="white"/>
          <w:vertAlign w:val="superscript"/>
        </w:rPr>
        <w:footnoteReference w:id="43"/>
      </w:r>
      <w:r w:rsidRPr="006D3CA3">
        <w:rPr>
          <w:rFonts w:ascii="EB Garamond" w:eastAsia="EB Garamond" w:hAnsi="EB Garamond" w:cs="EB Garamond"/>
          <w:sz w:val="24"/>
          <w:szCs w:val="24"/>
          <w:highlight w:val="white"/>
        </w:rPr>
        <w:t xml:space="preserve"> Inasmuch as dogmatism is a habit that seems to </w:t>
      </w:r>
      <w:r w:rsidRPr="006D3CA3">
        <w:rPr>
          <w:rFonts w:ascii="EB Garamond" w:eastAsia="EB Garamond" w:hAnsi="EB Garamond" w:cs="EB Garamond"/>
          <w:i/>
          <w:sz w:val="24"/>
          <w:szCs w:val="24"/>
          <w:highlight w:val="white"/>
        </w:rPr>
        <w:t>restrict</w:t>
      </w:r>
      <w:r w:rsidRPr="006D3CA3">
        <w:rPr>
          <w:rFonts w:ascii="EB Garamond" w:eastAsia="EB Garamond" w:hAnsi="EB Garamond" w:cs="EB Garamond"/>
          <w:sz w:val="24"/>
          <w:szCs w:val="24"/>
          <w:highlight w:val="white"/>
        </w:rPr>
        <w:t xml:space="preserve"> belief-adjustment in the face of countervailing evidence rather than engage with the evidence at hand, it can be easily distinguished from the aim of doxastic courage. </w:t>
      </w:r>
    </w:p>
    <w:p w14:paraId="000000A8" w14:textId="77777777" w:rsidR="00B66D52" w:rsidRPr="006D3CA3" w:rsidRDefault="00B66D52">
      <w:pPr>
        <w:ind w:firstLine="720"/>
        <w:rPr>
          <w:rFonts w:ascii="EB Garamond" w:eastAsia="EB Garamond" w:hAnsi="EB Garamond" w:cs="EB Garamond"/>
          <w:sz w:val="24"/>
          <w:szCs w:val="24"/>
          <w:highlight w:val="white"/>
        </w:rPr>
      </w:pPr>
    </w:p>
    <w:p w14:paraId="000000A9" w14:textId="77777777" w:rsidR="00B66D52" w:rsidRPr="006D3CA3" w:rsidRDefault="00000000">
      <w:pPr>
        <w:ind w:firstLine="360"/>
        <w:rPr>
          <w:rFonts w:ascii="EB Garamond" w:eastAsia="EB Garamond" w:hAnsi="EB Garamond" w:cs="EB Garamond"/>
          <w:sz w:val="24"/>
          <w:szCs w:val="24"/>
        </w:rPr>
      </w:pPr>
      <w:r w:rsidRPr="006D3CA3">
        <w:rPr>
          <w:rFonts w:ascii="EB Garamond" w:eastAsia="EB Garamond" w:hAnsi="EB Garamond" w:cs="EB Garamond"/>
          <w:sz w:val="24"/>
          <w:szCs w:val="24"/>
        </w:rPr>
        <w:t>5. Conclusion</w:t>
      </w:r>
    </w:p>
    <w:p w14:paraId="000000AA" w14:textId="77777777" w:rsidR="00B66D52" w:rsidRPr="006D3CA3" w:rsidRDefault="00B66D52">
      <w:pPr>
        <w:ind w:left="360"/>
        <w:rPr>
          <w:rFonts w:ascii="EB Garamond" w:eastAsia="EB Garamond" w:hAnsi="EB Garamond" w:cs="EB Garamond"/>
          <w:sz w:val="24"/>
          <w:szCs w:val="24"/>
        </w:rPr>
      </w:pPr>
    </w:p>
    <w:p w14:paraId="000000AB" w14:textId="0CC407A1"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Doxastic courage is a virtue of belief formation which finds its necessity from the inadequacy of Descartes’ methodological skepticism while invoking concepts discussed in the works of Aristotle and Aquinas. The Cartesian finds themself confronted with the problem of first dispensing with all their previous, erroneously held beliefs, and second, selecting infallible axioms that can withstand the most dramatic doubts conceivable. Descartes’ Archimedean pivot: the cogito, seems to not be infallible if we take such dramatic doubts seriously. However, Descartes is certainly correct that we tend to fall into error </w:t>
      </w:r>
      <w:r w:rsidR="00091D25" w:rsidRPr="006D3CA3">
        <w:rPr>
          <w:rFonts w:ascii="EB Garamond" w:eastAsia="EB Garamond" w:hAnsi="EB Garamond" w:cs="EB Garamond"/>
          <w:sz w:val="24"/>
          <w:szCs w:val="24"/>
        </w:rPr>
        <w:t>often and</w:t>
      </w:r>
      <w:r w:rsidRPr="006D3CA3">
        <w:rPr>
          <w:rFonts w:ascii="EB Garamond" w:eastAsia="EB Garamond" w:hAnsi="EB Garamond" w:cs="EB Garamond"/>
          <w:sz w:val="24"/>
          <w:szCs w:val="24"/>
        </w:rPr>
        <w:t xml:space="preserve"> thus must avoid believing recklessly.</w:t>
      </w:r>
    </w:p>
    <w:p w14:paraId="000000AC" w14:textId="77777777" w:rsidR="00B66D52" w:rsidRPr="006D3CA3" w:rsidRDefault="00000000">
      <w:pPr>
        <w:ind w:firstLine="720"/>
        <w:rPr>
          <w:rFonts w:ascii="EB Garamond" w:eastAsia="EB Garamond" w:hAnsi="EB Garamond" w:cs="EB Garamond"/>
          <w:sz w:val="24"/>
          <w:szCs w:val="24"/>
        </w:rPr>
      </w:pPr>
      <w:r w:rsidRPr="006D3CA3">
        <w:rPr>
          <w:rFonts w:ascii="EB Garamond" w:eastAsia="EB Garamond" w:hAnsi="EB Garamond" w:cs="EB Garamond"/>
          <w:sz w:val="24"/>
          <w:szCs w:val="24"/>
        </w:rPr>
        <w:t xml:space="preserve">We must avoid at least four vices when it comes to belief formation: dogmatism, gullibility, hyperbolic doubt, and anti-expertise. These vices can be roughly summarized as overconfidence in one’s capacity for belief formation, lack of fear of believing in error, excessive fear of believing in error, </w:t>
      </w:r>
      <w:r w:rsidRPr="006D3CA3">
        <w:rPr>
          <w:rFonts w:ascii="EB Garamond" w:eastAsia="EB Garamond" w:hAnsi="EB Garamond" w:cs="EB Garamond"/>
          <w:sz w:val="24"/>
          <w:szCs w:val="24"/>
        </w:rPr>
        <w:lastRenderedPageBreak/>
        <w:t xml:space="preserve">and </w:t>
      </w:r>
      <w:proofErr w:type="spellStart"/>
      <w:r w:rsidRPr="006D3CA3">
        <w:rPr>
          <w:rFonts w:ascii="EB Garamond" w:eastAsia="EB Garamond" w:hAnsi="EB Garamond" w:cs="EB Garamond"/>
          <w:sz w:val="24"/>
          <w:szCs w:val="24"/>
        </w:rPr>
        <w:t>underconfidence</w:t>
      </w:r>
      <w:proofErr w:type="spellEnd"/>
      <w:r w:rsidRPr="006D3CA3">
        <w:rPr>
          <w:rFonts w:ascii="EB Garamond" w:eastAsia="EB Garamond" w:hAnsi="EB Garamond" w:cs="EB Garamond"/>
          <w:sz w:val="24"/>
          <w:szCs w:val="24"/>
        </w:rPr>
        <w:t xml:space="preserve"> in one’s capacity for belief formation, respectively. With our target at cognitive prosperity and wishing to avoid said vices, we require </w:t>
      </w:r>
      <w:proofErr w:type="spellStart"/>
      <w:r w:rsidRPr="0024660B">
        <w:rPr>
          <w:rFonts w:ascii="EB Garamond" w:eastAsia="EB Garamond" w:hAnsi="EB Garamond" w:cs="EB Garamond"/>
          <w:i/>
          <w:iCs/>
          <w:sz w:val="24"/>
          <w:szCs w:val="24"/>
        </w:rPr>
        <w:t>phronetic</w:t>
      </w:r>
      <w:proofErr w:type="spellEnd"/>
      <w:r w:rsidRPr="006D3CA3">
        <w:rPr>
          <w:rFonts w:ascii="EB Garamond" w:eastAsia="EB Garamond" w:hAnsi="EB Garamond" w:cs="EB Garamond"/>
          <w:sz w:val="24"/>
          <w:szCs w:val="24"/>
        </w:rPr>
        <w:t xml:space="preserve"> belief formation, requiring us to reflect both upon our evidence and the force of justification that we expect our evidence to possess. Doxastic courage, then, functions by regulating our second-order attitudes regarding the justification we have for some belief,  </w:t>
      </w:r>
      <w:r w:rsidRPr="006D3CA3">
        <w:rPr>
          <w:rFonts w:ascii="EB Garamond" w:eastAsia="EB Garamond" w:hAnsi="EB Garamond" w:cs="EB Garamond"/>
          <w:i/>
          <w:sz w:val="24"/>
          <w:szCs w:val="24"/>
        </w:rPr>
        <w:t>p</w:t>
      </w:r>
      <w:r w:rsidRPr="006D3CA3">
        <w:rPr>
          <w:rFonts w:ascii="EB Garamond" w:eastAsia="EB Garamond" w:hAnsi="EB Garamond" w:cs="EB Garamond"/>
          <w:sz w:val="24"/>
          <w:szCs w:val="24"/>
        </w:rPr>
        <w:t xml:space="preserve">, and the relevant risks we face by believing  </w:t>
      </w:r>
      <w:r w:rsidRPr="006D3CA3">
        <w:rPr>
          <w:rFonts w:ascii="EB Garamond" w:eastAsia="EB Garamond" w:hAnsi="EB Garamond" w:cs="EB Garamond"/>
          <w:i/>
          <w:sz w:val="24"/>
          <w:szCs w:val="24"/>
        </w:rPr>
        <w:t>p</w:t>
      </w:r>
      <w:r w:rsidRPr="006D3CA3">
        <w:rPr>
          <w:rFonts w:ascii="EB Garamond" w:eastAsia="EB Garamond" w:hAnsi="EB Garamond" w:cs="EB Garamond"/>
          <w:sz w:val="24"/>
          <w:szCs w:val="24"/>
        </w:rPr>
        <w:t xml:space="preserve">, necessarily embracing some amount of uncertainty surrounding </w:t>
      </w:r>
      <w:r w:rsidRPr="006D3CA3">
        <w:rPr>
          <w:rFonts w:ascii="EB Garamond" w:eastAsia="EB Garamond" w:hAnsi="EB Garamond" w:cs="EB Garamond"/>
          <w:i/>
          <w:sz w:val="24"/>
          <w:szCs w:val="24"/>
        </w:rPr>
        <w:t>p</w:t>
      </w:r>
      <w:r w:rsidRPr="006D3CA3">
        <w:rPr>
          <w:rFonts w:ascii="EB Garamond" w:eastAsia="EB Garamond" w:hAnsi="EB Garamond" w:cs="EB Garamond"/>
          <w:sz w:val="24"/>
          <w:szCs w:val="24"/>
        </w:rPr>
        <w:t xml:space="preserve">. Doxastic courage avoids a brash lack of concern for belief in </w:t>
      </w:r>
      <w:r w:rsidRPr="006D3CA3">
        <w:rPr>
          <w:rFonts w:ascii="EB Garamond" w:eastAsia="EB Garamond" w:hAnsi="EB Garamond" w:cs="EB Garamond"/>
          <w:i/>
          <w:sz w:val="24"/>
          <w:szCs w:val="24"/>
        </w:rPr>
        <w:t xml:space="preserve">p </w:t>
      </w:r>
      <w:r w:rsidRPr="006D3CA3">
        <w:rPr>
          <w:rFonts w:ascii="EB Garamond" w:eastAsia="EB Garamond" w:hAnsi="EB Garamond" w:cs="EB Garamond"/>
          <w:sz w:val="24"/>
          <w:szCs w:val="24"/>
        </w:rPr>
        <w:t>over ~</w:t>
      </w:r>
      <w:r w:rsidRPr="006D3CA3">
        <w:rPr>
          <w:rFonts w:ascii="EB Garamond" w:eastAsia="EB Garamond" w:hAnsi="EB Garamond" w:cs="EB Garamond"/>
          <w:i/>
          <w:sz w:val="24"/>
          <w:szCs w:val="24"/>
        </w:rPr>
        <w:t>p</w:t>
      </w:r>
      <w:r w:rsidRPr="006D3CA3">
        <w:rPr>
          <w:rFonts w:ascii="EB Garamond" w:eastAsia="EB Garamond" w:hAnsi="EB Garamond" w:cs="EB Garamond"/>
          <w:sz w:val="24"/>
          <w:szCs w:val="24"/>
        </w:rPr>
        <w:t xml:space="preserve"> while at the same time preventing unsupported counter-possibilities of ~</w:t>
      </w:r>
      <w:r w:rsidRPr="006D3CA3">
        <w:rPr>
          <w:rFonts w:ascii="EB Garamond" w:eastAsia="EB Garamond" w:hAnsi="EB Garamond" w:cs="EB Garamond"/>
          <w:i/>
          <w:sz w:val="24"/>
          <w:szCs w:val="24"/>
        </w:rPr>
        <w:t>p</w:t>
      </w:r>
      <w:r w:rsidRPr="006D3CA3">
        <w:rPr>
          <w:rFonts w:ascii="EB Garamond" w:eastAsia="EB Garamond" w:hAnsi="EB Garamond" w:cs="EB Garamond"/>
          <w:sz w:val="24"/>
          <w:szCs w:val="24"/>
        </w:rPr>
        <w:t xml:space="preserve"> from defeating our evidential grounds for </w:t>
      </w:r>
      <w:r w:rsidRPr="006D3CA3">
        <w:rPr>
          <w:rFonts w:ascii="EB Garamond" w:eastAsia="EB Garamond" w:hAnsi="EB Garamond" w:cs="EB Garamond"/>
          <w:i/>
          <w:sz w:val="24"/>
          <w:szCs w:val="24"/>
        </w:rPr>
        <w:t>p</w:t>
      </w:r>
      <w:r w:rsidRPr="006D3CA3">
        <w:rPr>
          <w:rFonts w:ascii="EB Garamond" w:eastAsia="EB Garamond" w:hAnsi="EB Garamond" w:cs="EB Garamond"/>
          <w:sz w:val="24"/>
          <w:szCs w:val="24"/>
        </w:rPr>
        <w:t xml:space="preserve">. In short, it is a precondition for an appropriately scientific understanding of an uncertain world. </w:t>
      </w:r>
    </w:p>
    <w:p w14:paraId="69436105" w14:textId="77777777" w:rsidR="00091D25" w:rsidRDefault="00091D25">
      <w:pPr>
        <w:spacing w:before="240" w:after="240"/>
        <w:jc w:val="center"/>
        <w:rPr>
          <w:rFonts w:ascii="EB Garamond" w:eastAsia="EB Garamond" w:hAnsi="EB Garamond" w:cs="EB Garamond"/>
          <w:sz w:val="24"/>
          <w:szCs w:val="24"/>
        </w:rPr>
      </w:pPr>
    </w:p>
    <w:p w14:paraId="37BDF7CA" w14:textId="77777777" w:rsidR="00091D25" w:rsidRDefault="00091D25">
      <w:pPr>
        <w:spacing w:before="240" w:after="240"/>
        <w:jc w:val="center"/>
        <w:rPr>
          <w:rFonts w:ascii="EB Garamond" w:eastAsia="EB Garamond" w:hAnsi="EB Garamond" w:cs="EB Garamond"/>
          <w:sz w:val="24"/>
          <w:szCs w:val="24"/>
        </w:rPr>
      </w:pPr>
    </w:p>
    <w:p w14:paraId="2C519497" w14:textId="77777777" w:rsidR="00091D25" w:rsidRDefault="00091D25">
      <w:pPr>
        <w:spacing w:before="240" w:after="240"/>
        <w:jc w:val="center"/>
        <w:rPr>
          <w:rFonts w:ascii="EB Garamond" w:eastAsia="EB Garamond" w:hAnsi="EB Garamond" w:cs="EB Garamond"/>
          <w:sz w:val="24"/>
          <w:szCs w:val="24"/>
        </w:rPr>
      </w:pPr>
    </w:p>
    <w:p w14:paraId="288CFCFB" w14:textId="77777777" w:rsidR="00091D25" w:rsidRDefault="00091D25">
      <w:pPr>
        <w:spacing w:before="240" w:after="240"/>
        <w:jc w:val="center"/>
        <w:rPr>
          <w:rFonts w:ascii="EB Garamond" w:eastAsia="EB Garamond" w:hAnsi="EB Garamond" w:cs="EB Garamond"/>
          <w:sz w:val="24"/>
          <w:szCs w:val="24"/>
        </w:rPr>
      </w:pPr>
    </w:p>
    <w:p w14:paraId="6B044C43" w14:textId="77777777" w:rsidR="00091D25" w:rsidRDefault="00091D25">
      <w:pPr>
        <w:spacing w:before="240" w:after="240"/>
        <w:jc w:val="center"/>
        <w:rPr>
          <w:rFonts w:ascii="EB Garamond" w:eastAsia="EB Garamond" w:hAnsi="EB Garamond" w:cs="EB Garamond"/>
          <w:sz w:val="24"/>
          <w:szCs w:val="24"/>
        </w:rPr>
      </w:pPr>
    </w:p>
    <w:p w14:paraId="438C3ED9" w14:textId="77777777" w:rsidR="00091D25" w:rsidRDefault="00091D25">
      <w:pPr>
        <w:spacing w:before="240" w:after="240"/>
        <w:jc w:val="center"/>
        <w:rPr>
          <w:rFonts w:ascii="EB Garamond" w:eastAsia="EB Garamond" w:hAnsi="EB Garamond" w:cs="EB Garamond"/>
          <w:sz w:val="24"/>
          <w:szCs w:val="24"/>
        </w:rPr>
      </w:pPr>
    </w:p>
    <w:p w14:paraId="0B58CD95" w14:textId="77777777" w:rsidR="00091D25" w:rsidRDefault="00091D25">
      <w:pPr>
        <w:spacing w:before="240" w:after="240"/>
        <w:jc w:val="center"/>
        <w:rPr>
          <w:rFonts w:ascii="EB Garamond" w:eastAsia="EB Garamond" w:hAnsi="EB Garamond" w:cs="EB Garamond"/>
          <w:sz w:val="24"/>
          <w:szCs w:val="24"/>
        </w:rPr>
      </w:pPr>
    </w:p>
    <w:p w14:paraId="15F6809A" w14:textId="77777777" w:rsidR="00091D25" w:rsidRDefault="00091D25">
      <w:pPr>
        <w:spacing w:before="240" w:after="240"/>
        <w:jc w:val="center"/>
        <w:rPr>
          <w:rFonts w:ascii="EB Garamond" w:eastAsia="EB Garamond" w:hAnsi="EB Garamond" w:cs="EB Garamond"/>
          <w:sz w:val="24"/>
          <w:szCs w:val="24"/>
        </w:rPr>
      </w:pPr>
    </w:p>
    <w:p w14:paraId="04C4687A" w14:textId="77777777" w:rsidR="00091D25" w:rsidRDefault="00091D25">
      <w:pPr>
        <w:spacing w:before="240" w:after="240"/>
        <w:jc w:val="center"/>
        <w:rPr>
          <w:rFonts w:ascii="EB Garamond" w:eastAsia="EB Garamond" w:hAnsi="EB Garamond" w:cs="EB Garamond"/>
          <w:sz w:val="24"/>
          <w:szCs w:val="24"/>
        </w:rPr>
      </w:pPr>
    </w:p>
    <w:p w14:paraId="631CD844" w14:textId="77777777" w:rsidR="00091D25" w:rsidRDefault="00091D25">
      <w:pPr>
        <w:spacing w:before="240" w:after="240"/>
        <w:jc w:val="center"/>
        <w:rPr>
          <w:rFonts w:ascii="EB Garamond" w:eastAsia="EB Garamond" w:hAnsi="EB Garamond" w:cs="EB Garamond"/>
          <w:sz w:val="24"/>
          <w:szCs w:val="24"/>
        </w:rPr>
      </w:pPr>
    </w:p>
    <w:p w14:paraId="25DD005B" w14:textId="77777777" w:rsidR="00091D25" w:rsidRDefault="00091D25">
      <w:pPr>
        <w:spacing w:before="240" w:after="240"/>
        <w:jc w:val="center"/>
        <w:rPr>
          <w:rFonts w:ascii="EB Garamond" w:eastAsia="EB Garamond" w:hAnsi="EB Garamond" w:cs="EB Garamond"/>
          <w:sz w:val="24"/>
          <w:szCs w:val="24"/>
        </w:rPr>
      </w:pPr>
    </w:p>
    <w:p w14:paraId="43377232" w14:textId="77777777" w:rsidR="00091D25" w:rsidRDefault="00091D25">
      <w:pPr>
        <w:spacing w:before="240" w:after="240"/>
        <w:jc w:val="center"/>
        <w:rPr>
          <w:rFonts w:ascii="EB Garamond" w:eastAsia="EB Garamond" w:hAnsi="EB Garamond" w:cs="EB Garamond"/>
          <w:sz w:val="24"/>
          <w:szCs w:val="24"/>
        </w:rPr>
      </w:pPr>
    </w:p>
    <w:p w14:paraId="3A7E2EAC" w14:textId="77777777" w:rsidR="00091D25" w:rsidRDefault="00091D25">
      <w:pPr>
        <w:spacing w:before="240" w:after="240"/>
        <w:jc w:val="center"/>
        <w:rPr>
          <w:rFonts w:ascii="EB Garamond" w:eastAsia="EB Garamond" w:hAnsi="EB Garamond" w:cs="EB Garamond"/>
          <w:sz w:val="24"/>
          <w:szCs w:val="24"/>
        </w:rPr>
      </w:pPr>
    </w:p>
    <w:p w14:paraId="1C08F2E5" w14:textId="77777777" w:rsidR="00091D25" w:rsidRDefault="00091D25">
      <w:pPr>
        <w:spacing w:before="240" w:after="240"/>
        <w:jc w:val="center"/>
        <w:rPr>
          <w:rFonts w:ascii="EB Garamond" w:eastAsia="EB Garamond" w:hAnsi="EB Garamond" w:cs="EB Garamond"/>
          <w:sz w:val="24"/>
          <w:szCs w:val="24"/>
        </w:rPr>
      </w:pPr>
    </w:p>
    <w:p w14:paraId="22ED1780" w14:textId="77777777" w:rsidR="00091D25" w:rsidRDefault="00091D25">
      <w:pPr>
        <w:spacing w:before="240" w:after="240"/>
        <w:jc w:val="center"/>
        <w:rPr>
          <w:rFonts w:ascii="EB Garamond" w:eastAsia="EB Garamond" w:hAnsi="EB Garamond" w:cs="EB Garamond"/>
          <w:sz w:val="24"/>
          <w:szCs w:val="24"/>
        </w:rPr>
      </w:pPr>
    </w:p>
    <w:p w14:paraId="52E9F67D" w14:textId="77777777" w:rsidR="00091D25" w:rsidRDefault="00091D25">
      <w:pPr>
        <w:spacing w:before="240" w:after="240"/>
        <w:jc w:val="center"/>
        <w:rPr>
          <w:rFonts w:ascii="EB Garamond" w:eastAsia="EB Garamond" w:hAnsi="EB Garamond" w:cs="EB Garamond"/>
          <w:sz w:val="24"/>
          <w:szCs w:val="24"/>
        </w:rPr>
      </w:pPr>
    </w:p>
    <w:p w14:paraId="000000AD" w14:textId="7CAB4E5B" w:rsidR="00B66D52" w:rsidRPr="006D3CA3" w:rsidRDefault="00000000">
      <w:pPr>
        <w:spacing w:before="240" w:after="240"/>
        <w:jc w:val="center"/>
        <w:rPr>
          <w:rFonts w:ascii="EB Garamond" w:eastAsia="EB Garamond" w:hAnsi="EB Garamond" w:cs="EB Garamond"/>
          <w:sz w:val="24"/>
          <w:szCs w:val="24"/>
        </w:rPr>
      </w:pPr>
      <w:r w:rsidRPr="006D3CA3">
        <w:rPr>
          <w:rFonts w:ascii="EB Garamond" w:eastAsia="EB Garamond" w:hAnsi="EB Garamond" w:cs="EB Garamond"/>
          <w:sz w:val="24"/>
          <w:szCs w:val="24"/>
        </w:rPr>
        <w:lastRenderedPageBreak/>
        <w:t>References</w:t>
      </w:r>
    </w:p>
    <w:p w14:paraId="000000AE" w14:textId="77777777" w:rsidR="00B66D52" w:rsidRPr="006D3CA3" w:rsidRDefault="00000000">
      <w:pPr>
        <w:spacing w:before="240" w:after="240"/>
        <w:rPr>
          <w:rFonts w:ascii="EB Garamond" w:eastAsia="EB Garamond" w:hAnsi="EB Garamond" w:cs="EB Garamond"/>
          <w:sz w:val="24"/>
          <w:szCs w:val="24"/>
        </w:rPr>
      </w:pPr>
      <w:proofErr w:type="spellStart"/>
      <w:r w:rsidRPr="006D3CA3">
        <w:rPr>
          <w:rFonts w:ascii="EB Garamond" w:eastAsia="EB Garamond" w:hAnsi="EB Garamond" w:cs="EB Garamond"/>
          <w:sz w:val="24"/>
          <w:szCs w:val="24"/>
        </w:rPr>
        <w:t>Aberdein</w:t>
      </w:r>
      <w:proofErr w:type="spellEnd"/>
      <w:r w:rsidRPr="006D3CA3">
        <w:rPr>
          <w:rFonts w:ascii="EB Garamond" w:eastAsia="EB Garamond" w:hAnsi="EB Garamond" w:cs="EB Garamond"/>
          <w:sz w:val="24"/>
          <w:szCs w:val="24"/>
        </w:rPr>
        <w:t xml:space="preserve">, A. (2021). Courageous arguments and deep disagreements. </w:t>
      </w:r>
      <w:r w:rsidRPr="006D3CA3">
        <w:rPr>
          <w:rFonts w:ascii="EB Garamond" w:eastAsia="EB Garamond" w:hAnsi="EB Garamond" w:cs="EB Garamond"/>
          <w:i/>
          <w:sz w:val="24"/>
          <w:szCs w:val="24"/>
        </w:rPr>
        <w:t>Topoi, 40</w:t>
      </w:r>
      <w:r w:rsidRPr="006D3CA3">
        <w:rPr>
          <w:rFonts w:ascii="EB Garamond" w:eastAsia="EB Garamond" w:hAnsi="EB Garamond" w:cs="EB Garamond"/>
          <w:sz w:val="24"/>
          <w:szCs w:val="24"/>
        </w:rPr>
        <w:t>(5), 1205–1212. https://doi.org/10.1007/s11245-021-09756-4</w:t>
      </w:r>
    </w:p>
    <w:p w14:paraId="000000AF" w14:textId="77777777" w:rsidR="00B66D52" w:rsidRPr="006D3CA3" w:rsidRDefault="00000000">
      <w:pPr>
        <w:spacing w:before="240" w:after="240"/>
        <w:rPr>
          <w:rFonts w:ascii="EB Garamond" w:eastAsia="EB Garamond" w:hAnsi="EB Garamond" w:cs="EB Garamond"/>
          <w:sz w:val="24"/>
          <w:szCs w:val="24"/>
        </w:rPr>
      </w:pPr>
      <w:r w:rsidRPr="006D3CA3">
        <w:rPr>
          <w:rFonts w:ascii="EB Garamond" w:eastAsia="EB Garamond" w:hAnsi="EB Garamond" w:cs="EB Garamond"/>
          <w:sz w:val="24"/>
          <w:szCs w:val="24"/>
        </w:rPr>
        <w:t xml:space="preserve">Adam, C., &amp; Tannery, P. (1996). </w:t>
      </w:r>
      <w:r w:rsidRPr="006D3CA3">
        <w:rPr>
          <w:rFonts w:ascii="EB Garamond" w:eastAsia="EB Garamond" w:hAnsi="EB Garamond" w:cs="EB Garamond"/>
          <w:i/>
          <w:sz w:val="24"/>
          <w:szCs w:val="24"/>
        </w:rPr>
        <w:t>Oeuvres de Descartes</w:t>
      </w:r>
      <w:r w:rsidRPr="006D3CA3">
        <w:rPr>
          <w:rFonts w:ascii="EB Garamond" w:eastAsia="EB Garamond" w:hAnsi="EB Garamond" w:cs="EB Garamond"/>
          <w:sz w:val="24"/>
          <w:szCs w:val="24"/>
        </w:rPr>
        <w:t xml:space="preserve"> (Vols. I–XII). </w:t>
      </w:r>
      <w:proofErr w:type="spellStart"/>
      <w:r w:rsidRPr="006D3CA3">
        <w:rPr>
          <w:rFonts w:ascii="EB Garamond" w:eastAsia="EB Garamond" w:hAnsi="EB Garamond" w:cs="EB Garamond"/>
          <w:sz w:val="24"/>
          <w:szCs w:val="24"/>
        </w:rPr>
        <w:t>Vrin</w:t>
      </w:r>
      <w:proofErr w:type="spellEnd"/>
      <w:r w:rsidRPr="006D3CA3">
        <w:rPr>
          <w:rFonts w:ascii="EB Garamond" w:eastAsia="EB Garamond" w:hAnsi="EB Garamond" w:cs="EB Garamond"/>
          <w:sz w:val="24"/>
          <w:szCs w:val="24"/>
        </w:rPr>
        <w:t>.</w:t>
      </w:r>
    </w:p>
    <w:p w14:paraId="000000B0" w14:textId="77777777" w:rsidR="00B66D52" w:rsidRPr="006D3CA3" w:rsidRDefault="00000000">
      <w:pPr>
        <w:spacing w:before="240" w:after="240"/>
        <w:rPr>
          <w:rFonts w:ascii="EB Garamond" w:eastAsia="EB Garamond" w:hAnsi="EB Garamond" w:cs="EB Garamond"/>
          <w:sz w:val="24"/>
          <w:szCs w:val="24"/>
        </w:rPr>
      </w:pPr>
      <w:r w:rsidRPr="006D3CA3">
        <w:rPr>
          <w:rFonts w:ascii="EB Garamond" w:eastAsia="EB Garamond" w:hAnsi="EB Garamond" w:cs="EB Garamond"/>
          <w:sz w:val="24"/>
          <w:szCs w:val="24"/>
        </w:rPr>
        <w:t xml:space="preserve">Alston, W. P. (1989). </w:t>
      </w:r>
      <w:r w:rsidRPr="006D3CA3">
        <w:rPr>
          <w:rFonts w:ascii="EB Garamond" w:eastAsia="EB Garamond" w:hAnsi="EB Garamond" w:cs="EB Garamond"/>
          <w:i/>
          <w:sz w:val="24"/>
          <w:szCs w:val="24"/>
        </w:rPr>
        <w:t>Epistemic justification: Essays in the theory of knowledge</w:t>
      </w:r>
      <w:r w:rsidRPr="006D3CA3">
        <w:rPr>
          <w:rFonts w:ascii="EB Garamond" w:eastAsia="EB Garamond" w:hAnsi="EB Garamond" w:cs="EB Garamond"/>
          <w:sz w:val="24"/>
          <w:szCs w:val="24"/>
        </w:rPr>
        <w:t>. Cornell University Press.</w:t>
      </w:r>
    </w:p>
    <w:p w14:paraId="000000B1" w14:textId="77777777" w:rsidR="00B66D52" w:rsidRPr="006D3CA3" w:rsidRDefault="00000000">
      <w:pPr>
        <w:spacing w:before="240" w:after="240"/>
        <w:rPr>
          <w:rFonts w:ascii="EB Garamond" w:eastAsia="EB Garamond" w:hAnsi="EB Garamond" w:cs="EB Garamond"/>
          <w:sz w:val="24"/>
          <w:szCs w:val="24"/>
        </w:rPr>
      </w:pPr>
      <w:r w:rsidRPr="006D3CA3">
        <w:rPr>
          <w:rFonts w:ascii="EB Garamond" w:eastAsia="EB Garamond" w:hAnsi="EB Garamond" w:cs="EB Garamond"/>
          <w:sz w:val="24"/>
          <w:szCs w:val="24"/>
        </w:rPr>
        <w:t xml:space="preserve">Aristotle, &amp; Reeve, C. D. C. (2024). </w:t>
      </w:r>
      <w:r w:rsidRPr="006D3CA3">
        <w:rPr>
          <w:rFonts w:ascii="EB Garamond" w:eastAsia="EB Garamond" w:hAnsi="EB Garamond" w:cs="EB Garamond"/>
          <w:i/>
          <w:sz w:val="24"/>
          <w:szCs w:val="24"/>
        </w:rPr>
        <w:t>Nicomachean ethics</w:t>
      </w:r>
      <w:r w:rsidRPr="006D3CA3">
        <w:rPr>
          <w:rFonts w:ascii="EB Garamond" w:eastAsia="EB Garamond" w:hAnsi="EB Garamond" w:cs="EB Garamond"/>
          <w:sz w:val="24"/>
          <w:szCs w:val="24"/>
        </w:rPr>
        <w:t>. Hackett Publishing Company.</w:t>
      </w:r>
    </w:p>
    <w:p w14:paraId="000000B2" w14:textId="77777777" w:rsidR="00B66D52" w:rsidRPr="006D3CA3" w:rsidRDefault="00000000">
      <w:pPr>
        <w:spacing w:before="240" w:after="240"/>
        <w:rPr>
          <w:rFonts w:ascii="EB Garamond" w:eastAsia="EB Garamond" w:hAnsi="EB Garamond" w:cs="EB Garamond"/>
          <w:sz w:val="24"/>
          <w:szCs w:val="24"/>
        </w:rPr>
      </w:pPr>
      <w:r w:rsidRPr="006D3CA3">
        <w:rPr>
          <w:rFonts w:ascii="EB Garamond" w:eastAsia="EB Garamond" w:hAnsi="EB Garamond" w:cs="EB Garamond"/>
          <w:sz w:val="24"/>
          <w:szCs w:val="24"/>
        </w:rPr>
        <w:t xml:space="preserve">Baehr, J. S. (2012). </w:t>
      </w:r>
      <w:r w:rsidRPr="006D3CA3">
        <w:rPr>
          <w:rFonts w:ascii="EB Garamond" w:eastAsia="EB Garamond" w:hAnsi="EB Garamond" w:cs="EB Garamond"/>
          <w:i/>
          <w:sz w:val="24"/>
          <w:szCs w:val="24"/>
        </w:rPr>
        <w:t>The inquiring mind: On intellectual virtues and virtue epistemology</w:t>
      </w:r>
      <w:r w:rsidRPr="006D3CA3">
        <w:rPr>
          <w:rFonts w:ascii="EB Garamond" w:eastAsia="EB Garamond" w:hAnsi="EB Garamond" w:cs="EB Garamond"/>
          <w:sz w:val="24"/>
          <w:szCs w:val="24"/>
        </w:rPr>
        <w:t>. Oxford University Press.</w:t>
      </w:r>
    </w:p>
    <w:p w14:paraId="000000B3" w14:textId="77777777" w:rsidR="00B66D52" w:rsidRPr="006D3CA3" w:rsidRDefault="00000000">
      <w:pPr>
        <w:spacing w:before="240" w:after="240"/>
        <w:rPr>
          <w:rFonts w:ascii="EB Garamond" w:eastAsia="EB Garamond" w:hAnsi="EB Garamond" w:cs="EB Garamond"/>
          <w:sz w:val="24"/>
          <w:szCs w:val="24"/>
        </w:rPr>
      </w:pPr>
      <w:proofErr w:type="spellStart"/>
      <w:r w:rsidRPr="006D3CA3">
        <w:rPr>
          <w:rFonts w:ascii="EB Garamond" w:eastAsia="EB Garamond" w:hAnsi="EB Garamond" w:cs="EB Garamond"/>
          <w:sz w:val="24"/>
          <w:szCs w:val="24"/>
        </w:rPr>
        <w:t>Bauhn</w:t>
      </w:r>
      <w:proofErr w:type="spellEnd"/>
      <w:r w:rsidRPr="006D3CA3">
        <w:rPr>
          <w:rFonts w:ascii="EB Garamond" w:eastAsia="EB Garamond" w:hAnsi="EB Garamond" w:cs="EB Garamond"/>
          <w:sz w:val="24"/>
          <w:szCs w:val="24"/>
        </w:rPr>
        <w:t xml:space="preserve">, P. (2007). Two concepts of courage. </w:t>
      </w:r>
      <w:r w:rsidRPr="006D3CA3">
        <w:rPr>
          <w:rFonts w:ascii="EB Garamond" w:eastAsia="EB Garamond" w:hAnsi="EB Garamond" w:cs="EB Garamond"/>
          <w:i/>
          <w:sz w:val="24"/>
          <w:szCs w:val="24"/>
        </w:rPr>
        <w:t>Ethics, 1</w:t>
      </w:r>
      <w:r w:rsidRPr="006D3CA3">
        <w:rPr>
          <w:rFonts w:ascii="EB Garamond" w:eastAsia="EB Garamond" w:hAnsi="EB Garamond" w:cs="EB Garamond"/>
          <w:sz w:val="24"/>
          <w:szCs w:val="24"/>
        </w:rPr>
        <w:t>, 65–68.</w:t>
      </w:r>
      <w:hyperlink r:id="rId7">
        <w:r w:rsidR="00B66D52" w:rsidRPr="006D3CA3">
          <w:rPr>
            <w:rFonts w:ascii="EB Garamond" w:eastAsia="EB Garamond" w:hAnsi="EB Garamond" w:cs="EB Garamond"/>
            <w:sz w:val="24"/>
            <w:szCs w:val="24"/>
          </w:rPr>
          <w:t xml:space="preserve"> </w:t>
        </w:r>
      </w:hyperlink>
      <w:hyperlink r:id="rId8">
        <w:r w:rsidR="00B66D52" w:rsidRPr="006D3CA3">
          <w:rPr>
            <w:rFonts w:ascii="EB Garamond" w:eastAsia="EB Garamond" w:hAnsi="EB Garamond" w:cs="EB Garamond"/>
            <w:color w:val="1155CC"/>
            <w:sz w:val="24"/>
            <w:szCs w:val="24"/>
            <w:u w:val="single"/>
          </w:rPr>
          <w:t>https://doi.org/10.5840/wcp2120071276</w:t>
        </w:r>
      </w:hyperlink>
    </w:p>
    <w:p w14:paraId="000000B4" w14:textId="77777777" w:rsidR="00B66D52" w:rsidRPr="006D3CA3" w:rsidRDefault="00000000">
      <w:pPr>
        <w:spacing w:before="240" w:after="240"/>
        <w:rPr>
          <w:rFonts w:ascii="EB Garamond" w:eastAsia="EB Garamond" w:hAnsi="EB Garamond" w:cs="EB Garamond"/>
          <w:sz w:val="24"/>
          <w:szCs w:val="24"/>
        </w:rPr>
      </w:pPr>
      <w:r w:rsidRPr="006D3CA3">
        <w:rPr>
          <w:rFonts w:ascii="EB Garamond" w:eastAsia="EB Garamond" w:hAnsi="EB Garamond" w:cs="EB Garamond"/>
          <w:sz w:val="24"/>
          <w:szCs w:val="24"/>
        </w:rPr>
        <w:t xml:space="preserve">Broughton, J. (2002). </w:t>
      </w:r>
      <w:r w:rsidRPr="006D3CA3">
        <w:rPr>
          <w:rFonts w:ascii="EB Garamond" w:eastAsia="EB Garamond" w:hAnsi="EB Garamond" w:cs="EB Garamond"/>
          <w:i/>
          <w:sz w:val="24"/>
          <w:szCs w:val="24"/>
        </w:rPr>
        <w:t>Descartes’s method of doubt</w:t>
      </w:r>
      <w:r w:rsidRPr="006D3CA3">
        <w:rPr>
          <w:rFonts w:ascii="EB Garamond" w:eastAsia="EB Garamond" w:hAnsi="EB Garamond" w:cs="EB Garamond"/>
          <w:sz w:val="24"/>
          <w:szCs w:val="24"/>
        </w:rPr>
        <w:t>. Princeton University Press.</w:t>
      </w:r>
    </w:p>
    <w:p w14:paraId="000000B5" w14:textId="77777777" w:rsidR="00B66D52" w:rsidRPr="006D3CA3" w:rsidRDefault="00000000">
      <w:pPr>
        <w:spacing w:before="240" w:after="240"/>
        <w:rPr>
          <w:rFonts w:ascii="EB Garamond" w:eastAsia="EB Garamond" w:hAnsi="EB Garamond" w:cs="EB Garamond"/>
          <w:color w:val="1155CC"/>
          <w:sz w:val="24"/>
          <w:szCs w:val="24"/>
          <w:u w:val="single"/>
        </w:rPr>
      </w:pPr>
      <w:r w:rsidRPr="006D3CA3">
        <w:rPr>
          <w:rFonts w:ascii="EB Garamond" w:eastAsia="EB Garamond" w:hAnsi="EB Garamond" w:cs="EB Garamond"/>
          <w:sz w:val="24"/>
          <w:szCs w:val="24"/>
        </w:rPr>
        <w:t xml:space="preserve">Cunning, D. (2007). Descartes on the dubitability of the existence of self. </w:t>
      </w:r>
      <w:r w:rsidRPr="006D3CA3">
        <w:rPr>
          <w:rFonts w:ascii="EB Garamond" w:eastAsia="EB Garamond" w:hAnsi="EB Garamond" w:cs="EB Garamond"/>
          <w:i/>
          <w:sz w:val="24"/>
          <w:szCs w:val="24"/>
        </w:rPr>
        <w:t>Philosophy and Phenomenological Research, 74</w:t>
      </w:r>
      <w:r w:rsidRPr="006D3CA3">
        <w:rPr>
          <w:rFonts w:ascii="EB Garamond" w:eastAsia="EB Garamond" w:hAnsi="EB Garamond" w:cs="EB Garamond"/>
          <w:sz w:val="24"/>
          <w:szCs w:val="24"/>
        </w:rPr>
        <w:t>(1), 111–131.</w:t>
      </w:r>
      <w:hyperlink r:id="rId9">
        <w:r w:rsidR="00B66D52" w:rsidRPr="006D3CA3">
          <w:rPr>
            <w:rFonts w:ascii="EB Garamond" w:eastAsia="EB Garamond" w:hAnsi="EB Garamond" w:cs="EB Garamond"/>
            <w:sz w:val="24"/>
            <w:szCs w:val="24"/>
          </w:rPr>
          <w:t xml:space="preserve"> </w:t>
        </w:r>
      </w:hyperlink>
      <w:hyperlink r:id="rId10">
        <w:r w:rsidR="00B66D52" w:rsidRPr="006D3CA3">
          <w:rPr>
            <w:rFonts w:ascii="EB Garamond" w:eastAsia="EB Garamond" w:hAnsi="EB Garamond" w:cs="EB Garamond"/>
            <w:color w:val="1155CC"/>
            <w:sz w:val="24"/>
            <w:szCs w:val="24"/>
            <w:u w:val="single"/>
          </w:rPr>
          <w:t>https://doi.org/10.1111/j.1933-1592.2007.00005.x</w:t>
        </w:r>
      </w:hyperlink>
    </w:p>
    <w:p w14:paraId="000000B6" w14:textId="77777777" w:rsidR="00B66D52" w:rsidRPr="006D3CA3" w:rsidRDefault="00000000">
      <w:pPr>
        <w:spacing w:before="240" w:after="240"/>
        <w:rPr>
          <w:rFonts w:ascii="EB Garamond" w:eastAsia="EB Garamond" w:hAnsi="EB Garamond" w:cs="EB Garamond"/>
          <w:sz w:val="24"/>
          <w:szCs w:val="24"/>
        </w:rPr>
      </w:pPr>
      <w:r w:rsidRPr="006D3CA3">
        <w:rPr>
          <w:rFonts w:ascii="EB Garamond" w:eastAsia="EB Garamond" w:hAnsi="EB Garamond" w:cs="EB Garamond"/>
          <w:sz w:val="24"/>
          <w:szCs w:val="24"/>
        </w:rPr>
        <w:t xml:space="preserve">Descartes, R., Cottingham, J., Stoothoff, R., &amp; Murdoch, D. (2006). </w:t>
      </w:r>
      <w:r w:rsidRPr="006D3CA3">
        <w:rPr>
          <w:rFonts w:ascii="EB Garamond" w:eastAsia="EB Garamond" w:hAnsi="EB Garamond" w:cs="EB Garamond"/>
          <w:i/>
          <w:sz w:val="24"/>
          <w:szCs w:val="24"/>
        </w:rPr>
        <w:t>The philosophical writings of Descartes</w:t>
      </w:r>
      <w:r w:rsidRPr="006D3CA3">
        <w:rPr>
          <w:rFonts w:ascii="EB Garamond" w:eastAsia="EB Garamond" w:hAnsi="EB Garamond" w:cs="EB Garamond"/>
          <w:sz w:val="24"/>
          <w:szCs w:val="24"/>
        </w:rPr>
        <w:t>. Cambridge University Press.</w:t>
      </w:r>
    </w:p>
    <w:p w14:paraId="000000B7" w14:textId="77777777" w:rsidR="00B66D52" w:rsidRPr="006D3CA3" w:rsidRDefault="00000000">
      <w:pPr>
        <w:spacing w:before="240" w:after="240"/>
        <w:rPr>
          <w:rFonts w:ascii="EB Garamond" w:eastAsia="EB Garamond" w:hAnsi="EB Garamond" w:cs="EB Garamond"/>
          <w:sz w:val="24"/>
          <w:szCs w:val="24"/>
        </w:rPr>
      </w:pPr>
      <w:r w:rsidRPr="006D3CA3">
        <w:rPr>
          <w:rFonts w:ascii="EB Garamond" w:eastAsia="EB Garamond" w:hAnsi="EB Garamond" w:cs="EB Garamond"/>
          <w:sz w:val="24"/>
          <w:szCs w:val="24"/>
        </w:rPr>
        <w:t xml:space="preserve">Fleisher, W. (2023). Inquisitive reasons, intellectual courage, and the risks of inquiry. </w:t>
      </w:r>
      <w:r w:rsidRPr="006D3CA3">
        <w:rPr>
          <w:rFonts w:ascii="EB Garamond" w:eastAsia="EB Garamond" w:hAnsi="EB Garamond" w:cs="EB Garamond"/>
          <w:i/>
          <w:sz w:val="24"/>
          <w:szCs w:val="24"/>
        </w:rPr>
        <w:t>Philosophical Studies, 180</w:t>
      </w:r>
      <w:r w:rsidRPr="006D3CA3">
        <w:rPr>
          <w:rFonts w:ascii="EB Garamond" w:eastAsia="EB Garamond" w:hAnsi="EB Garamond" w:cs="EB Garamond"/>
          <w:sz w:val="24"/>
          <w:szCs w:val="24"/>
        </w:rPr>
        <w:t>(10), 2837–2858. https://doi.org/10.1007/s11098-023-01932-8</w:t>
      </w:r>
    </w:p>
    <w:p w14:paraId="000000B8" w14:textId="77777777" w:rsidR="00B66D52" w:rsidRPr="006D3CA3" w:rsidRDefault="00000000">
      <w:pPr>
        <w:spacing w:before="240" w:after="240"/>
        <w:rPr>
          <w:rFonts w:ascii="EB Garamond" w:eastAsia="EB Garamond" w:hAnsi="EB Garamond" w:cs="EB Garamond"/>
          <w:sz w:val="24"/>
          <w:szCs w:val="24"/>
        </w:rPr>
      </w:pPr>
      <w:r w:rsidRPr="006D3CA3">
        <w:rPr>
          <w:rFonts w:ascii="EB Garamond" w:eastAsia="EB Garamond" w:hAnsi="EB Garamond" w:cs="EB Garamond"/>
          <w:sz w:val="24"/>
          <w:szCs w:val="24"/>
        </w:rPr>
        <w:t xml:space="preserve">Gottlieb, J., &amp; </w:t>
      </w:r>
      <w:proofErr w:type="spellStart"/>
      <w:r w:rsidRPr="006D3CA3">
        <w:rPr>
          <w:rFonts w:ascii="EB Garamond" w:eastAsia="EB Garamond" w:hAnsi="EB Garamond" w:cs="EB Garamond"/>
          <w:sz w:val="24"/>
          <w:szCs w:val="24"/>
        </w:rPr>
        <w:t>Parvizian</w:t>
      </w:r>
      <w:proofErr w:type="spellEnd"/>
      <w:r w:rsidRPr="006D3CA3">
        <w:rPr>
          <w:rFonts w:ascii="EB Garamond" w:eastAsia="EB Garamond" w:hAnsi="EB Garamond" w:cs="EB Garamond"/>
          <w:sz w:val="24"/>
          <w:szCs w:val="24"/>
        </w:rPr>
        <w:t xml:space="preserve">, S. (2023). </w:t>
      </w:r>
      <w:r w:rsidRPr="006D3CA3">
        <w:rPr>
          <w:rFonts w:ascii="EB Garamond" w:eastAsia="EB Garamond" w:hAnsi="EB Garamond" w:cs="EB Garamond"/>
          <w:i/>
          <w:sz w:val="24"/>
          <w:szCs w:val="24"/>
        </w:rPr>
        <w:t>Descartes’ God is a deceiver, and that’s OK</w:t>
      </w:r>
      <w:r w:rsidRPr="006D3CA3">
        <w:rPr>
          <w:rFonts w:ascii="EB Garamond" w:eastAsia="EB Garamond" w:hAnsi="EB Garamond" w:cs="EB Garamond"/>
          <w:sz w:val="24"/>
          <w:szCs w:val="24"/>
        </w:rPr>
        <w:t xml:space="preserve">. </w:t>
      </w:r>
      <w:proofErr w:type="spellStart"/>
      <w:r w:rsidRPr="006D3CA3">
        <w:rPr>
          <w:rFonts w:ascii="EB Garamond" w:eastAsia="EB Garamond" w:hAnsi="EB Garamond" w:cs="EB Garamond"/>
          <w:i/>
          <w:sz w:val="24"/>
          <w:szCs w:val="24"/>
        </w:rPr>
        <w:t>Synthese</w:t>
      </w:r>
      <w:proofErr w:type="spellEnd"/>
      <w:r w:rsidRPr="006D3CA3">
        <w:rPr>
          <w:rFonts w:ascii="EB Garamond" w:eastAsia="EB Garamond" w:hAnsi="EB Garamond" w:cs="EB Garamond"/>
          <w:i/>
          <w:sz w:val="24"/>
          <w:szCs w:val="24"/>
        </w:rPr>
        <w:t>, 202</w:t>
      </w:r>
      <w:r w:rsidRPr="006D3CA3">
        <w:rPr>
          <w:rFonts w:ascii="EB Garamond" w:eastAsia="EB Garamond" w:hAnsi="EB Garamond" w:cs="EB Garamond"/>
          <w:sz w:val="24"/>
          <w:szCs w:val="24"/>
        </w:rPr>
        <w:t xml:space="preserve">(3), 1–29. </w:t>
      </w:r>
      <w:hyperlink r:id="rId11">
        <w:r w:rsidR="00B66D52" w:rsidRPr="006D3CA3">
          <w:rPr>
            <w:rFonts w:ascii="EB Garamond" w:eastAsia="EB Garamond" w:hAnsi="EB Garamond" w:cs="EB Garamond"/>
            <w:color w:val="1155CC"/>
            <w:sz w:val="24"/>
            <w:szCs w:val="24"/>
            <w:u w:val="single"/>
          </w:rPr>
          <w:t>https://doi.org/10.1007/s11229-023-04290-4</w:t>
        </w:r>
      </w:hyperlink>
    </w:p>
    <w:p w14:paraId="000000B9" w14:textId="77777777" w:rsidR="00B66D52" w:rsidRPr="006D3CA3" w:rsidRDefault="00000000">
      <w:pPr>
        <w:spacing w:before="240" w:after="240"/>
        <w:rPr>
          <w:rFonts w:ascii="EB Garamond" w:eastAsia="EB Garamond" w:hAnsi="EB Garamond" w:cs="EB Garamond"/>
          <w:color w:val="1155CC"/>
          <w:sz w:val="24"/>
          <w:szCs w:val="24"/>
          <w:u w:val="single"/>
        </w:rPr>
      </w:pPr>
      <w:r w:rsidRPr="006D3CA3">
        <w:rPr>
          <w:rFonts w:ascii="EB Garamond" w:eastAsia="EB Garamond" w:hAnsi="EB Garamond" w:cs="EB Garamond"/>
          <w:sz w:val="24"/>
          <w:szCs w:val="24"/>
        </w:rPr>
        <w:t xml:space="preserve">Hatfield, G. (2023). The senses and the fleshless eye: The </w:t>
      </w:r>
      <w:r w:rsidRPr="006D3CA3">
        <w:rPr>
          <w:rFonts w:ascii="EB Garamond" w:eastAsia="EB Garamond" w:hAnsi="EB Garamond" w:cs="EB Garamond"/>
          <w:i/>
          <w:sz w:val="24"/>
          <w:szCs w:val="24"/>
        </w:rPr>
        <w:t>Meditations</w:t>
      </w:r>
      <w:r w:rsidRPr="006D3CA3">
        <w:rPr>
          <w:rFonts w:ascii="EB Garamond" w:eastAsia="EB Garamond" w:hAnsi="EB Garamond" w:cs="EB Garamond"/>
          <w:sz w:val="24"/>
          <w:szCs w:val="24"/>
        </w:rPr>
        <w:t xml:space="preserve"> as cognitive exercises. In </w:t>
      </w:r>
      <w:r w:rsidRPr="006D3CA3">
        <w:rPr>
          <w:rFonts w:ascii="EB Garamond" w:eastAsia="EB Garamond" w:hAnsi="EB Garamond" w:cs="EB Garamond"/>
          <w:i/>
          <w:sz w:val="24"/>
          <w:szCs w:val="24"/>
        </w:rPr>
        <w:t>Essays on Descartes’ Meditations</w:t>
      </w:r>
      <w:r w:rsidRPr="006D3CA3">
        <w:rPr>
          <w:rFonts w:ascii="EB Garamond" w:eastAsia="EB Garamond" w:hAnsi="EB Garamond" w:cs="EB Garamond"/>
          <w:sz w:val="24"/>
          <w:szCs w:val="24"/>
        </w:rPr>
        <w:t xml:space="preserve"> (pp. 45–80).</w:t>
      </w:r>
      <w:hyperlink r:id="rId12">
        <w:r w:rsidR="00B66D52" w:rsidRPr="006D3CA3">
          <w:rPr>
            <w:rFonts w:ascii="EB Garamond" w:eastAsia="EB Garamond" w:hAnsi="EB Garamond" w:cs="EB Garamond"/>
            <w:sz w:val="24"/>
            <w:szCs w:val="24"/>
          </w:rPr>
          <w:t xml:space="preserve"> </w:t>
        </w:r>
      </w:hyperlink>
      <w:hyperlink r:id="rId13">
        <w:r w:rsidR="00B66D52" w:rsidRPr="006D3CA3">
          <w:rPr>
            <w:rFonts w:ascii="EB Garamond" w:eastAsia="EB Garamond" w:hAnsi="EB Garamond" w:cs="EB Garamond"/>
            <w:color w:val="1155CC"/>
            <w:sz w:val="24"/>
            <w:szCs w:val="24"/>
            <w:u w:val="single"/>
          </w:rPr>
          <w:t>https://doi.org/10.2307/jj.2711675.8</w:t>
        </w:r>
      </w:hyperlink>
    </w:p>
    <w:p w14:paraId="000000BA" w14:textId="77777777" w:rsidR="00B66D52" w:rsidRPr="006D3CA3" w:rsidRDefault="00000000">
      <w:pPr>
        <w:spacing w:before="240" w:after="240"/>
        <w:rPr>
          <w:rFonts w:ascii="EB Garamond" w:eastAsia="EB Garamond" w:hAnsi="EB Garamond" w:cs="EB Garamond"/>
          <w:color w:val="1155CC"/>
          <w:sz w:val="24"/>
          <w:szCs w:val="24"/>
          <w:u w:val="single"/>
        </w:rPr>
      </w:pPr>
      <w:r w:rsidRPr="006D3CA3">
        <w:rPr>
          <w:rFonts w:ascii="EB Garamond" w:eastAsia="EB Garamond" w:hAnsi="EB Garamond" w:cs="EB Garamond"/>
          <w:sz w:val="24"/>
          <w:szCs w:val="24"/>
        </w:rPr>
        <w:t xml:space="preserve">Heil, J. (1984). Doxastic incontinence. </w:t>
      </w:r>
      <w:r w:rsidRPr="006D3CA3">
        <w:rPr>
          <w:rFonts w:ascii="EB Garamond" w:eastAsia="EB Garamond" w:hAnsi="EB Garamond" w:cs="EB Garamond"/>
          <w:i/>
          <w:sz w:val="24"/>
          <w:szCs w:val="24"/>
        </w:rPr>
        <w:t>Mind, 93</w:t>
      </w:r>
      <w:r w:rsidRPr="006D3CA3">
        <w:rPr>
          <w:rFonts w:ascii="EB Garamond" w:eastAsia="EB Garamond" w:hAnsi="EB Garamond" w:cs="EB Garamond"/>
          <w:sz w:val="24"/>
          <w:szCs w:val="24"/>
        </w:rPr>
        <w:t>(369), 56–70.</w:t>
      </w:r>
      <w:hyperlink r:id="rId14">
        <w:r w:rsidR="00B66D52" w:rsidRPr="006D3CA3">
          <w:rPr>
            <w:rFonts w:ascii="EB Garamond" w:eastAsia="EB Garamond" w:hAnsi="EB Garamond" w:cs="EB Garamond"/>
            <w:sz w:val="24"/>
            <w:szCs w:val="24"/>
          </w:rPr>
          <w:t xml:space="preserve"> </w:t>
        </w:r>
      </w:hyperlink>
      <w:hyperlink r:id="rId15">
        <w:r w:rsidR="00B66D52" w:rsidRPr="006D3CA3">
          <w:rPr>
            <w:rFonts w:ascii="EB Garamond" w:eastAsia="EB Garamond" w:hAnsi="EB Garamond" w:cs="EB Garamond"/>
            <w:color w:val="1155CC"/>
            <w:sz w:val="24"/>
            <w:szCs w:val="24"/>
            <w:u w:val="single"/>
          </w:rPr>
          <w:t>https://doi.org/10.1093/mind/xciii.369.56</w:t>
        </w:r>
      </w:hyperlink>
    </w:p>
    <w:p w14:paraId="000000BB" w14:textId="77777777" w:rsidR="00B66D52" w:rsidRPr="006D3CA3" w:rsidRDefault="00000000">
      <w:pPr>
        <w:spacing w:before="240" w:after="240"/>
        <w:rPr>
          <w:rFonts w:ascii="EB Garamond" w:eastAsia="EB Garamond" w:hAnsi="EB Garamond" w:cs="EB Garamond"/>
          <w:sz w:val="24"/>
          <w:szCs w:val="24"/>
        </w:rPr>
      </w:pPr>
      <w:r w:rsidRPr="006D3CA3">
        <w:rPr>
          <w:rFonts w:ascii="EB Garamond" w:eastAsia="EB Garamond" w:hAnsi="EB Garamond" w:cs="EB Garamond"/>
          <w:sz w:val="24"/>
          <w:szCs w:val="24"/>
        </w:rPr>
        <w:t xml:space="preserve">Hintikka, J. (1967). Cogito, ergo sum: Inference or performance? In </w:t>
      </w:r>
      <w:r w:rsidRPr="006D3CA3">
        <w:rPr>
          <w:rFonts w:ascii="EB Garamond" w:eastAsia="EB Garamond" w:hAnsi="EB Garamond" w:cs="EB Garamond"/>
          <w:i/>
          <w:sz w:val="24"/>
          <w:szCs w:val="24"/>
        </w:rPr>
        <w:t>Descartes</w:t>
      </w:r>
      <w:r w:rsidRPr="006D3CA3">
        <w:rPr>
          <w:rFonts w:ascii="EB Garamond" w:eastAsia="EB Garamond" w:hAnsi="EB Garamond" w:cs="EB Garamond"/>
          <w:sz w:val="24"/>
          <w:szCs w:val="24"/>
        </w:rPr>
        <w:t xml:space="preserve"> (pp. 108–139).</w:t>
      </w:r>
      <w:hyperlink r:id="rId16">
        <w:r w:rsidR="00B66D52" w:rsidRPr="006D3CA3">
          <w:rPr>
            <w:rFonts w:ascii="EB Garamond" w:eastAsia="EB Garamond" w:hAnsi="EB Garamond" w:cs="EB Garamond"/>
            <w:sz w:val="24"/>
            <w:szCs w:val="24"/>
          </w:rPr>
          <w:t xml:space="preserve"> </w:t>
        </w:r>
      </w:hyperlink>
      <w:hyperlink r:id="rId17">
        <w:r w:rsidR="00B66D52" w:rsidRPr="006D3CA3">
          <w:rPr>
            <w:rFonts w:ascii="EB Garamond" w:eastAsia="EB Garamond" w:hAnsi="EB Garamond" w:cs="EB Garamond"/>
            <w:color w:val="1155CC"/>
            <w:sz w:val="24"/>
            <w:szCs w:val="24"/>
            <w:u w:val="single"/>
          </w:rPr>
          <w:t>https://doi.org/10.1007/978-1-349-15265-0_6</w:t>
        </w:r>
      </w:hyperlink>
    </w:p>
    <w:p w14:paraId="000000BC" w14:textId="77777777" w:rsidR="00B66D52" w:rsidRPr="006D3CA3" w:rsidRDefault="00000000">
      <w:pPr>
        <w:spacing w:before="240" w:after="240"/>
        <w:rPr>
          <w:rFonts w:ascii="EB Garamond" w:eastAsia="EB Garamond" w:hAnsi="EB Garamond" w:cs="EB Garamond"/>
          <w:sz w:val="24"/>
          <w:szCs w:val="24"/>
        </w:rPr>
      </w:pPr>
      <w:r w:rsidRPr="006D3CA3">
        <w:rPr>
          <w:rFonts w:ascii="EB Garamond" w:eastAsia="EB Garamond" w:hAnsi="EB Garamond" w:cs="EB Garamond"/>
          <w:sz w:val="24"/>
          <w:szCs w:val="24"/>
        </w:rPr>
        <w:lastRenderedPageBreak/>
        <w:t xml:space="preserve">Kidd, I. J. (2018). Epistemic courage and the harms of epistemic life. In H. </w:t>
      </w:r>
      <w:proofErr w:type="spellStart"/>
      <w:r w:rsidRPr="006D3CA3">
        <w:rPr>
          <w:rFonts w:ascii="EB Garamond" w:eastAsia="EB Garamond" w:hAnsi="EB Garamond" w:cs="EB Garamond"/>
          <w:sz w:val="24"/>
          <w:szCs w:val="24"/>
        </w:rPr>
        <w:t>Battaly</w:t>
      </w:r>
      <w:proofErr w:type="spellEnd"/>
      <w:r w:rsidRPr="006D3CA3">
        <w:rPr>
          <w:rFonts w:ascii="EB Garamond" w:eastAsia="EB Garamond" w:hAnsi="EB Garamond" w:cs="EB Garamond"/>
          <w:sz w:val="24"/>
          <w:szCs w:val="24"/>
        </w:rPr>
        <w:t xml:space="preserve"> (Ed.), </w:t>
      </w:r>
      <w:r w:rsidRPr="006D3CA3">
        <w:rPr>
          <w:rFonts w:ascii="EB Garamond" w:eastAsia="EB Garamond" w:hAnsi="EB Garamond" w:cs="EB Garamond"/>
          <w:i/>
          <w:sz w:val="24"/>
          <w:szCs w:val="24"/>
        </w:rPr>
        <w:t>The Routledge handbook of virtue epistemology</w:t>
      </w:r>
      <w:r w:rsidRPr="006D3CA3">
        <w:rPr>
          <w:rFonts w:ascii="EB Garamond" w:eastAsia="EB Garamond" w:hAnsi="EB Garamond" w:cs="EB Garamond"/>
          <w:sz w:val="24"/>
          <w:szCs w:val="24"/>
        </w:rPr>
        <w:t xml:space="preserve"> (pp. 287–297). Routledge.</w:t>
      </w:r>
    </w:p>
    <w:p w14:paraId="000000BD" w14:textId="77777777" w:rsidR="00B66D52" w:rsidRPr="006D3CA3" w:rsidRDefault="00000000">
      <w:pPr>
        <w:spacing w:before="240" w:after="240"/>
        <w:rPr>
          <w:rFonts w:ascii="EB Garamond" w:eastAsia="EB Garamond" w:hAnsi="EB Garamond" w:cs="EB Garamond"/>
          <w:sz w:val="24"/>
          <w:szCs w:val="24"/>
        </w:rPr>
      </w:pPr>
      <w:r w:rsidRPr="006D3CA3">
        <w:rPr>
          <w:rFonts w:ascii="EB Garamond" w:eastAsia="EB Garamond" w:hAnsi="EB Garamond" w:cs="EB Garamond"/>
          <w:sz w:val="24"/>
          <w:szCs w:val="24"/>
        </w:rPr>
        <w:t xml:space="preserve">Kierkegaard, S., Hong, H. V., &amp; Hong, E. H. (2009). </w:t>
      </w:r>
      <w:r w:rsidRPr="006D3CA3">
        <w:rPr>
          <w:rFonts w:ascii="EB Garamond" w:eastAsia="EB Garamond" w:hAnsi="EB Garamond" w:cs="EB Garamond"/>
          <w:i/>
          <w:sz w:val="24"/>
          <w:szCs w:val="24"/>
        </w:rPr>
        <w:t>Works of love</w:t>
      </w:r>
      <w:r w:rsidRPr="006D3CA3">
        <w:rPr>
          <w:rFonts w:ascii="EB Garamond" w:eastAsia="EB Garamond" w:hAnsi="EB Garamond" w:cs="EB Garamond"/>
          <w:sz w:val="24"/>
          <w:szCs w:val="24"/>
        </w:rPr>
        <w:t xml:space="preserve">. </w:t>
      </w:r>
      <w:proofErr w:type="spellStart"/>
      <w:r w:rsidRPr="006D3CA3">
        <w:rPr>
          <w:rFonts w:ascii="EB Garamond" w:eastAsia="EB Garamond" w:hAnsi="EB Garamond" w:cs="EB Garamond"/>
          <w:sz w:val="24"/>
          <w:szCs w:val="24"/>
        </w:rPr>
        <w:t>HarperPerennial</w:t>
      </w:r>
      <w:proofErr w:type="spellEnd"/>
      <w:r w:rsidRPr="006D3CA3">
        <w:rPr>
          <w:rFonts w:ascii="EB Garamond" w:eastAsia="EB Garamond" w:hAnsi="EB Garamond" w:cs="EB Garamond"/>
          <w:sz w:val="24"/>
          <w:szCs w:val="24"/>
        </w:rPr>
        <w:t xml:space="preserve"> </w:t>
      </w:r>
      <w:proofErr w:type="spellStart"/>
      <w:r w:rsidRPr="006D3CA3">
        <w:rPr>
          <w:rFonts w:ascii="EB Garamond" w:eastAsia="EB Garamond" w:hAnsi="EB Garamond" w:cs="EB Garamond"/>
          <w:sz w:val="24"/>
          <w:szCs w:val="24"/>
        </w:rPr>
        <w:t>ModernThought</w:t>
      </w:r>
      <w:proofErr w:type="spellEnd"/>
      <w:r w:rsidRPr="006D3CA3">
        <w:rPr>
          <w:rFonts w:ascii="EB Garamond" w:eastAsia="EB Garamond" w:hAnsi="EB Garamond" w:cs="EB Garamond"/>
          <w:sz w:val="24"/>
          <w:szCs w:val="24"/>
        </w:rPr>
        <w:t>.</w:t>
      </w:r>
    </w:p>
    <w:p w14:paraId="000000BE" w14:textId="77777777" w:rsidR="00B66D52" w:rsidRPr="006D3CA3" w:rsidRDefault="00000000">
      <w:pPr>
        <w:spacing w:before="240" w:after="240"/>
        <w:rPr>
          <w:rFonts w:ascii="EB Garamond" w:eastAsia="EB Garamond" w:hAnsi="EB Garamond" w:cs="EB Garamond"/>
          <w:sz w:val="24"/>
          <w:szCs w:val="24"/>
        </w:rPr>
      </w:pPr>
      <w:r w:rsidRPr="006D3CA3">
        <w:rPr>
          <w:rFonts w:ascii="EB Garamond" w:eastAsia="EB Garamond" w:hAnsi="EB Garamond" w:cs="EB Garamond"/>
          <w:sz w:val="24"/>
          <w:szCs w:val="24"/>
        </w:rPr>
        <w:t xml:space="preserve">Moore, G. E. (1939). Proof of an external world. In T. Baldwin (Ed.), </w:t>
      </w:r>
      <w:r w:rsidRPr="006D3CA3">
        <w:rPr>
          <w:rFonts w:ascii="EB Garamond" w:eastAsia="EB Garamond" w:hAnsi="EB Garamond" w:cs="EB Garamond"/>
          <w:i/>
          <w:sz w:val="24"/>
          <w:szCs w:val="24"/>
        </w:rPr>
        <w:t>G. E. Moore: Selected writings</w:t>
      </w:r>
      <w:r w:rsidRPr="006D3CA3">
        <w:rPr>
          <w:rFonts w:ascii="EB Garamond" w:eastAsia="EB Garamond" w:hAnsi="EB Garamond" w:cs="EB Garamond"/>
          <w:sz w:val="24"/>
          <w:szCs w:val="24"/>
        </w:rPr>
        <w:t xml:space="preserve"> (pp. 147–170). Routledge.</w:t>
      </w:r>
    </w:p>
    <w:p w14:paraId="000000BF" w14:textId="77777777" w:rsidR="00B66D52" w:rsidRPr="006D3CA3" w:rsidRDefault="00000000">
      <w:pPr>
        <w:spacing w:before="240" w:after="240"/>
        <w:rPr>
          <w:rFonts w:ascii="EB Garamond" w:eastAsia="EB Garamond" w:hAnsi="EB Garamond" w:cs="EB Garamond"/>
          <w:sz w:val="24"/>
          <w:szCs w:val="24"/>
        </w:rPr>
      </w:pPr>
      <w:r w:rsidRPr="006D3CA3">
        <w:rPr>
          <w:rFonts w:ascii="EB Garamond" w:eastAsia="EB Garamond" w:hAnsi="EB Garamond" w:cs="EB Garamond"/>
          <w:sz w:val="24"/>
          <w:szCs w:val="24"/>
        </w:rPr>
        <w:t xml:space="preserve">Mulryan, D. (2024). Dialogic courage and the practice of philosophy. </w:t>
      </w:r>
      <w:r w:rsidRPr="006D3CA3">
        <w:rPr>
          <w:rFonts w:ascii="EB Garamond" w:eastAsia="EB Garamond" w:hAnsi="EB Garamond" w:cs="EB Garamond"/>
          <w:i/>
          <w:sz w:val="24"/>
          <w:szCs w:val="24"/>
        </w:rPr>
        <w:t>Educational Theory, 74</w:t>
      </w:r>
      <w:r w:rsidRPr="006D3CA3">
        <w:rPr>
          <w:rFonts w:ascii="EB Garamond" w:eastAsia="EB Garamond" w:hAnsi="EB Garamond" w:cs="EB Garamond"/>
          <w:sz w:val="24"/>
          <w:szCs w:val="24"/>
        </w:rPr>
        <w:t>(3), 275–292.</w:t>
      </w:r>
      <w:hyperlink r:id="rId18">
        <w:r w:rsidR="00B66D52" w:rsidRPr="006D3CA3">
          <w:rPr>
            <w:rFonts w:ascii="EB Garamond" w:eastAsia="EB Garamond" w:hAnsi="EB Garamond" w:cs="EB Garamond"/>
            <w:sz w:val="24"/>
            <w:szCs w:val="24"/>
          </w:rPr>
          <w:t xml:space="preserve"> </w:t>
        </w:r>
      </w:hyperlink>
      <w:hyperlink r:id="rId19">
        <w:r w:rsidR="00B66D52" w:rsidRPr="006D3CA3">
          <w:rPr>
            <w:rFonts w:ascii="EB Garamond" w:eastAsia="EB Garamond" w:hAnsi="EB Garamond" w:cs="EB Garamond"/>
            <w:color w:val="1155CC"/>
            <w:sz w:val="24"/>
            <w:szCs w:val="24"/>
            <w:u w:val="single"/>
          </w:rPr>
          <w:t>https://doi.org/10.1111/edth.12616</w:t>
        </w:r>
      </w:hyperlink>
    </w:p>
    <w:p w14:paraId="000000C0" w14:textId="77777777" w:rsidR="00B66D52" w:rsidRPr="006D3CA3" w:rsidRDefault="00000000">
      <w:pPr>
        <w:spacing w:before="240" w:after="240"/>
        <w:rPr>
          <w:rFonts w:ascii="EB Garamond" w:eastAsia="EB Garamond" w:hAnsi="EB Garamond" w:cs="EB Garamond"/>
          <w:color w:val="1155CC"/>
          <w:sz w:val="24"/>
          <w:szCs w:val="24"/>
          <w:u w:val="single"/>
        </w:rPr>
      </w:pPr>
      <w:r w:rsidRPr="006D3CA3">
        <w:rPr>
          <w:rFonts w:ascii="EB Garamond" w:eastAsia="EB Garamond" w:hAnsi="EB Garamond" w:cs="EB Garamond"/>
          <w:sz w:val="24"/>
          <w:szCs w:val="24"/>
        </w:rPr>
        <w:t xml:space="preserve">Newman, L., &amp; Nelson, A. (1999). Circumventing Cartesian circles. </w:t>
      </w:r>
      <w:proofErr w:type="spellStart"/>
      <w:r w:rsidRPr="006D3CA3">
        <w:rPr>
          <w:rFonts w:ascii="EB Garamond" w:eastAsia="EB Garamond" w:hAnsi="EB Garamond" w:cs="EB Garamond"/>
          <w:i/>
          <w:sz w:val="24"/>
          <w:szCs w:val="24"/>
        </w:rPr>
        <w:t>Noûs</w:t>
      </w:r>
      <w:proofErr w:type="spellEnd"/>
      <w:r w:rsidRPr="006D3CA3">
        <w:rPr>
          <w:rFonts w:ascii="EB Garamond" w:eastAsia="EB Garamond" w:hAnsi="EB Garamond" w:cs="EB Garamond"/>
          <w:i/>
          <w:sz w:val="24"/>
          <w:szCs w:val="24"/>
        </w:rPr>
        <w:t>, 33</w:t>
      </w:r>
      <w:r w:rsidRPr="006D3CA3">
        <w:rPr>
          <w:rFonts w:ascii="EB Garamond" w:eastAsia="EB Garamond" w:hAnsi="EB Garamond" w:cs="EB Garamond"/>
          <w:sz w:val="24"/>
          <w:szCs w:val="24"/>
        </w:rPr>
        <w:t>(3), 370–404.</w:t>
      </w:r>
      <w:hyperlink r:id="rId20">
        <w:r w:rsidR="00B66D52" w:rsidRPr="006D3CA3">
          <w:rPr>
            <w:rFonts w:ascii="EB Garamond" w:eastAsia="EB Garamond" w:hAnsi="EB Garamond" w:cs="EB Garamond"/>
            <w:sz w:val="24"/>
            <w:szCs w:val="24"/>
          </w:rPr>
          <w:t xml:space="preserve"> </w:t>
        </w:r>
      </w:hyperlink>
      <w:hyperlink r:id="rId21">
        <w:r w:rsidR="00B66D52" w:rsidRPr="006D3CA3">
          <w:rPr>
            <w:rFonts w:ascii="EB Garamond" w:eastAsia="EB Garamond" w:hAnsi="EB Garamond" w:cs="EB Garamond"/>
            <w:color w:val="1155CC"/>
            <w:sz w:val="24"/>
            <w:szCs w:val="24"/>
            <w:u w:val="single"/>
          </w:rPr>
          <w:t>https://doi.org/10.1111/0029-4624.00160</w:t>
        </w:r>
      </w:hyperlink>
    </w:p>
    <w:p w14:paraId="000000C1" w14:textId="77777777" w:rsidR="00B66D52" w:rsidRPr="006D3CA3" w:rsidRDefault="00000000">
      <w:pPr>
        <w:spacing w:before="240" w:after="240"/>
        <w:rPr>
          <w:rFonts w:ascii="EB Garamond" w:eastAsia="EB Garamond" w:hAnsi="EB Garamond" w:cs="EB Garamond"/>
          <w:color w:val="1155CC"/>
          <w:sz w:val="24"/>
          <w:szCs w:val="24"/>
          <w:u w:val="single"/>
        </w:rPr>
      </w:pPr>
      <w:r w:rsidRPr="006D3CA3">
        <w:rPr>
          <w:rFonts w:ascii="EB Garamond" w:eastAsia="EB Garamond" w:hAnsi="EB Garamond" w:cs="EB Garamond"/>
          <w:sz w:val="24"/>
          <w:szCs w:val="24"/>
        </w:rPr>
        <w:t xml:space="preserve">Newman, L. (2009). Ideas, pictures, and the directness of perception in Descartes and Locke. </w:t>
      </w:r>
      <w:r w:rsidRPr="006D3CA3">
        <w:rPr>
          <w:rFonts w:ascii="EB Garamond" w:eastAsia="EB Garamond" w:hAnsi="EB Garamond" w:cs="EB Garamond"/>
          <w:i/>
          <w:sz w:val="24"/>
          <w:szCs w:val="24"/>
        </w:rPr>
        <w:t>Philosophical Issues, 19</w:t>
      </w:r>
      <w:r w:rsidRPr="006D3CA3">
        <w:rPr>
          <w:rFonts w:ascii="EB Garamond" w:eastAsia="EB Garamond" w:hAnsi="EB Garamond" w:cs="EB Garamond"/>
          <w:sz w:val="24"/>
          <w:szCs w:val="24"/>
        </w:rPr>
        <w:t>(1), 359–382.</w:t>
      </w:r>
      <w:hyperlink r:id="rId22">
        <w:r w:rsidR="00B66D52" w:rsidRPr="006D3CA3">
          <w:rPr>
            <w:rFonts w:ascii="EB Garamond" w:eastAsia="EB Garamond" w:hAnsi="EB Garamond" w:cs="EB Garamond"/>
            <w:sz w:val="24"/>
            <w:szCs w:val="24"/>
          </w:rPr>
          <w:t xml:space="preserve"> </w:t>
        </w:r>
      </w:hyperlink>
      <w:hyperlink r:id="rId23">
        <w:r w:rsidR="00B66D52" w:rsidRPr="006D3CA3">
          <w:rPr>
            <w:rFonts w:ascii="EB Garamond" w:eastAsia="EB Garamond" w:hAnsi="EB Garamond" w:cs="EB Garamond"/>
            <w:color w:val="1155CC"/>
            <w:sz w:val="24"/>
            <w:szCs w:val="24"/>
            <w:u w:val="single"/>
          </w:rPr>
          <w:t>https://doi.org/10.1111/j.1747-9991.2008.00187.x</w:t>
        </w:r>
      </w:hyperlink>
    </w:p>
    <w:p w14:paraId="000000C2" w14:textId="77777777" w:rsidR="00B66D52" w:rsidRPr="006D3CA3" w:rsidRDefault="00000000">
      <w:pPr>
        <w:spacing w:before="240" w:after="240"/>
        <w:ind w:right="600"/>
        <w:rPr>
          <w:rFonts w:ascii="EB Garamond" w:eastAsia="EB Garamond" w:hAnsi="EB Garamond" w:cs="EB Garamond"/>
          <w:color w:val="1155CC"/>
          <w:sz w:val="24"/>
          <w:szCs w:val="24"/>
          <w:u w:val="single"/>
        </w:rPr>
      </w:pPr>
      <w:r w:rsidRPr="006D3CA3">
        <w:rPr>
          <w:rFonts w:ascii="EB Garamond" w:eastAsia="EB Garamond" w:hAnsi="EB Garamond" w:cs="EB Garamond"/>
          <w:sz w:val="24"/>
          <w:szCs w:val="24"/>
        </w:rPr>
        <w:t xml:space="preserve">Pianalto, M. (2012). Moral courage and facing others. </w:t>
      </w:r>
      <w:r w:rsidRPr="006D3CA3">
        <w:rPr>
          <w:rFonts w:ascii="EB Garamond" w:eastAsia="EB Garamond" w:hAnsi="EB Garamond" w:cs="EB Garamond"/>
          <w:i/>
          <w:sz w:val="24"/>
          <w:szCs w:val="24"/>
        </w:rPr>
        <w:t>International Journal of Philosophical Studies, 20</w:t>
      </w:r>
      <w:r w:rsidRPr="006D3CA3">
        <w:rPr>
          <w:rFonts w:ascii="EB Garamond" w:eastAsia="EB Garamond" w:hAnsi="EB Garamond" w:cs="EB Garamond"/>
          <w:sz w:val="24"/>
          <w:szCs w:val="24"/>
        </w:rPr>
        <w:t>(2), 165–184.</w:t>
      </w:r>
      <w:hyperlink r:id="rId24">
        <w:r w:rsidR="00B66D52" w:rsidRPr="006D3CA3">
          <w:rPr>
            <w:rFonts w:ascii="EB Garamond" w:eastAsia="EB Garamond" w:hAnsi="EB Garamond" w:cs="EB Garamond"/>
            <w:sz w:val="24"/>
            <w:szCs w:val="24"/>
          </w:rPr>
          <w:t xml:space="preserve"> </w:t>
        </w:r>
      </w:hyperlink>
      <w:hyperlink r:id="rId25">
        <w:r w:rsidR="00B66D52" w:rsidRPr="006D3CA3">
          <w:rPr>
            <w:rFonts w:ascii="EB Garamond" w:eastAsia="EB Garamond" w:hAnsi="EB Garamond" w:cs="EB Garamond"/>
            <w:color w:val="1155CC"/>
            <w:sz w:val="24"/>
            <w:szCs w:val="24"/>
            <w:u w:val="single"/>
          </w:rPr>
          <w:t>https://doi.org/10.1080/09672559.2012.668308</w:t>
        </w:r>
      </w:hyperlink>
    </w:p>
    <w:p w14:paraId="000000C3" w14:textId="77777777" w:rsidR="00B66D52" w:rsidRPr="006D3CA3" w:rsidRDefault="00000000">
      <w:pPr>
        <w:spacing w:before="240" w:after="240"/>
        <w:rPr>
          <w:rFonts w:ascii="EB Garamond" w:eastAsia="EB Garamond" w:hAnsi="EB Garamond" w:cs="EB Garamond"/>
          <w:sz w:val="24"/>
          <w:szCs w:val="24"/>
        </w:rPr>
      </w:pPr>
      <w:r w:rsidRPr="006D3CA3">
        <w:rPr>
          <w:rFonts w:ascii="EB Garamond" w:eastAsia="EB Garamond" w:hAnsi="EB Garamond" w:cs="EB Garamond"/>
          <w:sz w:val="24"/>
          <w:szCs w:val="24"/>
        </w:rPr>
        <w:t xml:space="preserve">Rinard, S. (2018). Reasoning one's way out of skepticism. In K. McCain &amp; T. Poston (Eds.), </w:t>
      </w:r>
      <w:r w:rsidRPr="006D3CA3">
        <w:rPr>
          <w:rFonts w:ascii="EB Garamond" w:eastAsia="EB Garamond" w:hAnsi="EB Garamond" w:cs="EB Garamond"/>
          <w:i/>
          <w:sz w:val="24"/>
          <w:szCs w:val="24"/>
        </w:rPr>
        <w:t>The mystery of skepticism: New explorations</w:t>
      </w:r>
      <w:r w:rsidRPr="006D3CA3">
        <w:rPr>
          <w:rFonts w:ascii="EB Garamond" w:eastAsia="EB Garamond" w:hAnsi="EB Garamond" w:cs="EB Garamond"/>
          <w:sz w:val="24"/>
          <w:szCs w:val="24"/>
        </w:rPr>
        <w:t>. Brill.</w:t>
      </w:r>
    </w:p>
    <w:p w14:paraId="000000C4" w14:textId="77777777" w:rsidR="00B66D52" w:rsidRPr="006D3CA3" w:rsidRDefault="00000000">
      <w:pPr>
        <w:spacing w:before="240" w:after="240"/>
        <w:rPr>
          <w:rFonts w:ascii="EB Garamond" w:eastAsia="EB Garamond" w:hAnsi="EB Garamond" w:cs="EB Garamond"/>
          <w:sz w:val="24"/>
          <w:szCs w:val="24"/>
        </w:rPr>
      </w:pPr>
      <w:proofErr w:type="spellStart"/>
      <w:r w:rsidRPr="006D3CA3">
        <w:rPr>
          <w:rFonts w:ascii="EB Garamond" w:eastAsia="EB Garamond" w:hAnsi="EB Garamond" w:cs="EB Garamond"/>
          <w:sz w:val="24"/>
          <w:szCs w:val="24"/>
        </w:rPr>
        <w:t>Schönbaumsfeld</w:t>
      </w:r>
      <w:proofErr w:type="spellEnd"/>
      <w:r w:rsidRPr="006D3CA3">
        <w:rPr>
          <w:rFonts w:ascii="EB Garamond" w:eastAsia="EB Garamond" w:hAnsi="EB Garamond" w:cs="EB Garamond"/>
          <w:sz w:val="24"/>
          <w:szCs w:val="24"/>
        </w:rPr>
        <w:t xml:space="preserve">, G. (2016). </w:t>
      </w:r>
      <w:r w:rsidRPr="006D3CA3">
        <w:rPr>
          <w:rFonts w:ascii="EB Garamond" w:eastAsia="EB Garamond" w:hAnsi="EB Garamond" w:cs="EB Garamond"/>
          <w:i/>
          <w:sz w:val="24"/>
          <w:szCs w:val="24"/>
        </w:rPr>
        <w:t>The illusion of doubt</w:t>
      </w:r>
      <w:r w:rsidRPr="006D3CA3">
        <w:rPr>
          <w:rFonts w:ascii="EB Garamond" w:eastAsia="EB Garamond" w:hAnsi="EB Garamond" w:cs="EB Garamond"/>
          <w:sz w:val="24"/>
          <w:szCs w:val="24"/>
        </w:rPr>
        <w:t>. Oxford University Press.</w:t>
      </w:r>
    </w:p>
    <w:p w14:paraId="000000C5" w14:textId="77777777" w:rsidR="00B66D52" w:rsidRPr="006D3CA3" w:rsidRDefault="00000000">
      <w:pPr>
        <w:spacing w:before="240" w:after="240"/>
        <w:rPr>
          <w:rFonts w:ascii="EB Garamond" w:eastAsia="EB Garamond" w:hAnsi="EB Garamond" w:cs="EB Garamond"/>
          <w:color w:val="1155CC"/>
          <w:sz w:val="24"/>
          <w:szCs w:val="24"/>
          <w:u w:val="single"/>
        </w:rPr>
      </w:pPr>
      <w:r w:rsidRPr="006D3CA3">
        <w:rPr>
          <w:rFonts w:ascii="EB Garamond" w:eastAsia="EB Garamond" w:hAnsi="EB Garamond" w:cs="EB Garamond"/>
          <w:sz w:val="24"/>
          <w:szCs w:val="24"/>
        </w:rPr>
        <w:t xml:space="preserve">Slezak, P. (1983). Descartes’s diagonal deduction. </w:t>
      </w:r>
      <w:r w:rsidRPr="006D3CA3">
        <w:rPr>
          <w:rFonts w:ascii="EB Garamond" w:eastAsia="EB Garamond" w:hAnsi="EB Garamond" w:cs="EB Garamond"/>
          <w:i/>
          <w:sz w:val="24"/>
          <w:szCs w:val="24"/>
        </w:rPr>
        <w:t>The British Journal for the Philosophy of Science, 34</w:t>
      </w:r>
      <w:r w:rsidRPr="006D3CA3">
        <w:rPr>
          <w:rFonts w:ascii="EB Garamond" w:eastAsia="EB Garamond" w:hAnsi="EB Garamond" w:cs="EB Garamond"/>
          <w:sz w:val="24"/>
          <w:szCs w:val="24"/>
        </w:rPr>
        <w:t>(1), 13–36.</w:t>
      </w:r>
      <w:hyperlink r:id="rId26">
        <w:r w:rsidR="00B66D52" w:rsidRPr="006D3CA3">
          <w:rPr>
            <w:rFonts w:ascii="EB Garamond" w:eastAsia="EB Garamond" w:hAnsi="EB Garamond" w:cs="EB Garamond"/>
            <w:sz w:val="24"/>
            <w:szCs w:val="24"/>
          </w:rPr>
          <w:t xml:space="preserve"> </w:t>
        </w:r>
      </w:hyperlink>
      <w:hyperlink r:id="rId27">
        <w:r w:rsidR="00B66D52" w:rsidRPr="006D3CA3">
          <w:rPr>
            <w:rFonts w:ascii="EB Garamond" w:eastAsia="EB Garamond" w:hAnsi="EB Garamond" w:cs="EB Garamond"/>
            <w:color w:val="1155CC"/>
            <w:sz w:val="24"/>
            <w:szCs w:val="24"/>
            <w:u w:val="single"/>
          </w:rPr>
          <w:t>https://doi.org/10.1093/bjps/34.1.13</w:t>
        </w:r>
      </w:hyperlink>
    </w:p>
    <w:p w14:paraId="000000C6" w14:textId="77777777" w:rsidR="00B66D52" w:rsidRPr="006D3CA3" w:rsidRDefault="00000000">
      <w:pPr>
        <w:spacing w:before="240" w:after="240"/>
        <w:rPr>
          <w:rFonts w:ascii="EB Garamond" w:eastAsia="EB Garamond" w:hAnsi="EB Garamond" w:cs="EB Garamond"/>
          <w:color w:val="1155CC"/>
          <w:sz w:val="24"/>
          <w:szCs w:val="24"/>
          <w:u w:val="single"/>
        </w:rPr>
      </w:pPr>
      <w:r w:rsidRPr="006D3CA3">
        <w:rPr>
          <w:rFonts w:ascii="EB Garamond" w:eastAsia="EB Garamond" w:hAnsi="EB Garamond" w:cs="EB Garamond"/>
          <w:sz w:val="24"/>
          <w:szCs w:val="24"/>
        </w:rPr>
        <w:t xml:space="preserve">Smith, M. (2024). Is it ever rational to hold inconsistent beliefs? </w:t>
      </w:r>
      <w:r w:rsidRPr="006D3CA3">
        <w:rPr>
          <w:rFonts w:ascii="EB Garamond" w:eastAsia="EB Garamond" w:hAnsi="EB Garamond" w:cs="EB Garamond"/>
          <w:i/>
          <w:sz w:val="24"/>
          <w:szCs w:val="24"/>
        </w:rPr>
        <w:t>Philosophical Studies</w:t>
      </w:r>
      <w:r w:rsidRPr="006D3CA3">
        <w:rPr>
          <w:rFonts w:ascii="EB Garamond" w:eastAsia="EB Garamond" w:hAnsi="EB Garamond" w:cs="EB Garamond"/>
          <w:sz w:val="24"/>
          <w:szCs w:val="24"/>
        </w:rPr>
        <w:t>.</w:t>
      </w:r>
      <w:hyperlink r:id="rId28">
        <w:r w:rsidR="00B66D52" w:rsidRPr="006D3CA3">
          <w:rPr>
            <w:rFonts w:ascii="EB Garamond" w:eastAsia="EB Garamond" w:hAnsi="EB Garamond" w:cs="EB Garamond"/>
            <w:sz w:val="24"/>
            <w:szCs w:val="24"/>
          </w:rPr>
          <w:t xml:space="preserve"> </w:t>
        </w:r>
      </w:hyperlink>
      <w:hyperlink r:id="rId29">
        <w:r w:rsidR="00B66D52" w:rsidRPr="006D3CA3">
          <w:rPr>
            <w:rFonts w:ascii="EB Garamond" w:eastAsia="EB Garamond" w:hAnsi="EB Garamond" w:cs="EB Garamond"/>
            <w:color w:val="1155CC"/>
            <w:sz w:val="24"/>
            <w:szCs w:val="24"/>
            <w:u w:val="single"/>
          </w:rPr>
          <w:t>https://doi.org/10.1007/s11098-024-02198-4</w:t>
        </w:r>
      </w:hyperlink>
    </w:p>
    <w:p w14:paraId="000000C7" w14:textId="77777777" w:rsidR="00B66D52" w:rsidRPr="006D3CA3" w:rsidRDefault="00000000">
      <w:pPr>
        <w:spacing w:before="240" w:after="240"/>
        <w:rPr>
          <w:rFonts w:ascii="EB Garamond" w:eastAsia="EB Garamond" w:hAnsi="EB Garamond" w:cs="EB Garamond"/>
          <w:sz w:val="24"/>
          <w:szCs w:val="24"/>
        </w:rPr>
      </w:pPr>
      <w:r w:rsidRPr="006D3CA3">
        <w:rPr>
          <w:rFonts w:ascii="EB Garamond" w:eastAsia="EB Garamond" w:hAnsi="EB Garamond" w:cs="EB Garamond"/>
          <w:sz w:val="24"/>
          <w:szCs w:val="24"/>
        </w:rPr>
        <w:t xml:space="preserve">Sosa, E. (1991). </w:t>
      </w:r>
      <w:r w:rsidRPr="006D3CA3">
        <w:rPr>
          <w:rFonts w:ascii="EB Garamond" w:eastAsia="EB Garamond" w:hAnsi="EB Garamond" w:cs="EB Garamond"/>
          <w:i/>
          <w:sz w:val="24"/>
          <w:szCs w:val="24"/>
        </w:rPr>
        <w:t>Knowledge in perspective</w:t>
      </w:r>
      <w:r w:rsidRPr="006D3CA3">
        <w:rPr>
          <w:rFonts w:ascii="EB Garamond" w:eastAsia="EB Garamond" w:hAnsi="EB Garamond" w:cs="EB Garamond"/>
          <w:sz w:val="24"/>
          <w:szCs w:val="24"/>
        </w:rPr>
        <w:t>. Cambridge University Press.</w:t>
      </w:r>
    </w:p>
    <w:p w14:paraId="000000C8" w14:textId="77777777" w:rsidR="00B66D52" w:rsidRPr="006D3CA3" w:rsidRDefault="00000000">
      <w:pPr>
        <w:spacing w:before="240" w:after="240"/>
        <w:rPr>
          <w:rFonts w:ascii="EB Garamond" w:eastAsia="EB Garamond" w:hAnsi="EB Garamond" w:cs="EB Garamond"/>
          <w:sz w:val="24"/>
          <w:szCs w:val="24"/>
        </w:rPr>
      </w:pPr>
      <w:r w:rsidRPr="006D3CA3">
        <w:rPr>
          <w:rFonts w:ascii="EB Garamond" w:eastAsia="EB Garamond" w:hAnsi="EB Garamond" w:cs="EB Garamond"/>
          <w:sz w:val="24"/>
          <w:szCs w:val="24"/>
        </w:rPr>
        <w:t xml:space="preserve">Sosa, E. (1997). How to resolve the Pyrrhonian problematic: A lesson from Descartes. </w:t>
      </w:r>
      <w:r w:rsidRPr="006D3CA3">
        <w:rPr>
          <w:rFonts w:ascii="EB Garamond" w:eastAsia="EB Garamond" w:hAnsi="EB Garamond" w:cs="EB Garamond"/>
          <w:i/>
          <w:sz w:val="24"/>
          <w:szCs w:val="24"/>
        </w:rPr>
        <w:t>Philosophical Studies, 85</w:t>
      </w:r>
      <w:r w:rsidRPr="006D3CA3">
        <w:rPr>
          <w:rFonts w:ascii="EB Garamond" w:eastAsia="EB Garamond" w:hAnsi="EB Garamond" w:cs="EB Garamond"/>
          <w:sz w:val="24"/>
          <w:szCs w:val="24"/>
        </w:rPr>
        <w:t>, 229–249.</w:t>
      </w:r>
    </w:p>
    <w:p w14:paraId="000000C9" w14:textId="77777777" w:rsidR="00B66D52" w:rsidRPr="006D3CA3" w:rsidRDefault="00000000">
      <w:pPr>
        <w:spacing w:before="240" w:after="240"/>
        <w:rPr>
          <w:rFonts w:ascii="EB Garamond" w:eastAsia="EB Garamond" w:hAnsi="EB Garamond" w:cs="EB Garamond"/>
          <w:sz w:val="24"/>
          <w:szCs w:val="24"/>
        </w:rPr>
      </w:pPr>
      <w:r w:rsidRPr="006D3CA3">
        <w:rPr>
          <w:rFonts w:ascii="EB Garamond" w:eastAsia="EB Garamond" w:hAnsi="EB Garamond" w:cs="EB Garamond"/>
          <w:sz w:val="24"/>
          <w:szCs w:val="24"/>
        </w:rPr>
        <w:t xml:space="preserve">Sosa, E. (2010). </w:t>
      </w:r>
      <w:r w:rsidRPr="006D3CA3">
        <w:rPr>
          <w:rFonts w:ascii="EB Garamond" w:eastAsia="EB Garamond" w:hAnsi="EB Garamond" w:cs="EB Garamond"/>
          <w:i/>
          <w:sz w:val="24"/>
          <w:szCs w:val="24"/>
        </w:rPr>
        <w:t>Knowing full well</w:t>
      </w:r>
      <w:r w:rsidRPr="006D3CA3">
        <w:rPr>
          <w:rFonts w:ascii="EB Garamond" w:eastAsia="EB Garamond" w:hAnsi="EB Garamond" w:cs="EB Garamond"/>
          <w:sz w:val="24"/>
          <w:szCs w:val="24"/>
        </w:rPr>
        <w:t>. Princeton University Press.</w:t>
      </w:r>
    </w:p>
    <w:p w14:paraId="000000CA" w14:textId="77777777" w:rsidR="00B66D52" w:rsidRPr="006D3CA3" w:rsidRDefault="00000000">
      <w:pPr>
        <w:spacing w:before="240" w:after="240"/>
        <w:rPr>
          <w:rFonts w:ascii="EB Garamond" w:eastAsia="EB Garamond" w:hAnsi="EB Garamond" w:cs="EB Garamond"/>
          <w:sz w:val="24"/>
          <w:szCs w:val="24"/>
        </w:rPr>
      </w:pPr>
      <w:r w:rsidRPr="006D3CA3">
        <w:rPr>
          <w:rFonts w:ascii="EB Garamond" w:eastAsia="EB Garamond" w:hAnsi="EB Garamond" w:cs="EB Garamond"/>
          <w:sz w:val="24"/>
          <w:szCs w:val="24"/>
        </w:rPr>
        <w:lastRenderedPageBreak/>
        <w:t xml:space="preserve">Steup, M. (2008). Doxastic freedom. </w:t>
      </w:r>
      <w:proofErr w:type="spellStart"/>
      <w:r w:rsidRPr="006D3CA3">
        <w:rPr>
          <w:rFonts w:ascii="EB Garamond" w:eastAsia="EB Garamond" w:hAnsi="EB Garamond" w:cs="EB Garamond"/>
          <w:i/>
          <w:sz w:val="24"/>
          <w:szCs w:val="24"/>
        </w:rPr>
        <w:t>Synthese</w:t>
      </w:r>
      <w:proofErr w:type="spellEnd"/>
      <w:r w:rsidRPr="006D3CA3">
        <w:rPr>
          <w:rFonts w:ascii="EB Garamond" w:eastAsia="EB Garamond" w:hAnsi="EB Garamond" w:cs="EB Garamond"/>
          <w:i/>
          <w:sz w:val="24"/>
          <w:szCs w:val="24"/>
        </w:rPr>
        <w:t>, 161</w:t>
      </w:r>
      <w:r w:rsidRPr="006D3CA3">
        <w:rPr>
          <w:rFonts w:ascii="EB Garamond" w:eastAsia="EB Garamond" w:hAnsi="EB Garamond" w:cs="EB Garamond"/>
          <w:sz w:val="24"/>
          <w:szCs w:val="24"/>
        </w:rPr>
        <w:t>, 375–392. https://doi.org/10.1007/s11229-006-9090-4</w:t>
      </w:r>
    </w:p>
    <w:p w14:paraId="000000CB" w14:textId="77777777" w:rsidR="00B66D52" w:rsidRPr="006D3CA3" w:rsidRDefault="00000000">
      <w:pPr>
        <w:spacing w:before="240" w:after="240"/>
        <w:rPr>
          <w:rFonts w:ascii="EB Garamond" w:eastAsia="EB Garamond" w:hAnsi="EB Garamond" w:cs="EB Garamond"/>
          <w:color w:val="1155CC"/>
          <w:sz w:val="24"/>
          <w:szCs w:val="24"/>
          <w:u w:val="single"/>
        </w:rPr>
      </w:pPr>
      <w:r w:rsidRPr="006D3CA3">
        <w:rPr>
          <w:rFonts w:ascii="EB Garamond" w:eastAsia="EB Garamond" w:hAnsi="EB Garamond" w:cs="EB Garamond"/>
          <w:sz w:val="24"/>
          <w:szCs w:val="24"/>
        </w:rPr>
        <w:t xml:space="preserve">Stuchlik, J. (2017). Circling to </w:t>
      </w:r>
      <w:proofErr w:type="spellStart"/>
      <w:r w:rsidRPr="006D3CA3">
        <w:rPr>
          <w:rFonts w:ascii="EB Garamond" w:eastAsia="EB Garamond" w:hAnsi="EB Garamond" w:cs="EB Garamond"/>
          <w:sz w:val="24"/>
          <w:szCs w:val="24"/>
        </w:rPr>
        <w:t>scientia</w:t>
      </w:r>
      <w:proofErr w:type="spellEnd"/>
      <w:r w:rsidRPr="006D3CA3">
        <w:rPr>
          <w:rFonts w:ascii="EB Garamond" w:eastAsia="EB Garamond" w:hAnsi="EB Garamond" w:cs="EB Garamond"/>
          <w:sz w:val="24"/>
          <w:szCs w:val="24"/>
        </w:rPr>
        <w:t xml:space="preserve">: Reading Descartes in light of the debate between Stoic dogmatists and Academic skeptics. </w:t>
      </w:r>
      <w:r w:rsidRPr="006D3CA3">
        <w:rPr>
          <w:rFonts w:ascii="EB Garamond" w:eastAsia="EB Garamond" w:hAnsi="EB Garamond" w:cs="EB Garamond"/>
          <w:i/>
          <w:sz w:val="24"/>
          <w:szCs w:val="24"/>
        </w:rPr>
        <w:t>Journal of the History of Philosophy, 55</w:t>
      </w:r>
      <w:r w:rsidRPr="006D3CA3">
        <w:rPr>
          <w:rFonts w:ascii="EB Garamond" w:eastAsia="EB Garamond" w:hAnsi="EB Garamond" w:cs="EB Garamond"/>
          <w:sz w:val="24"/>
          <w:szCs w:val="24"/>
        </w:rPr>
        <w:t>(1), 55–81.</w:t>
      </w:r>
      <w:hyperlink r:id="rId30">
        <w:r w:rsidR="00B66D52" w:rsidRPr="006D3CA3">
          <w:rPr>
            <w:rFonts w:ascii="EB Garamond" w:eastAsia="EB Garamond" w:hAnsi="EB Garamond" w:cs="EB Garamond"/>
            <w:sz w:val="24"/>
            <w:szCs w:val="24"/>
          </w:rPr>
          <w:t xml:space="preserve"> </w:t>
        </w:r>
      </w:hyperlink>
      <w:hyperlink r:id="rId31">
        <w:r w:rsidR="00B66D52" w:rsidRPr="006D3CA3">
          <w:rPr>
            <w:rFonts w:ascii="EB Garamond" w:eastAsia="EB Garamond" w:hAnsi="EB Garamond" w:cs="EB Garamond"/>
            <w:color w:val="1155CC"/>
            <w:sz w:val="24"/>
            <w:szCs w:val="24"/>
            <w:u w:val="single"/>
          </w:rPr>
          <w:t>https://doi.org/10.1353/hph.2017.0002</w:t>
        </w:r>
      </w:hyperlink>
    </w:p>
    <w:p w14:paraId="000000CC" w14:textId="77777777" w:rsidR="00B66D52" w:rsidRPr="006D3CA3" w:rsidRDefault="00000000">
      <w:pPr>
        <w:spacing w:before="240" w:after="240"/>
        <w:rPr>
          <w:rFonts w:ascii="EB Garamond" w:eastAsia="EB Garamond" w:hAnsi="EB Garamond" w:cs="EB Garamond"/>
          <w:sz w:val="24"/>
          <w:szCs w:val="24"/>
        </w:rPr>
      </w:pPr>
      <w:r w:rsidRPr="006D3CA3">
        <w:rPr>
          <w:rFonts w:ascii="EB Garamond" w:eastAsia="EB Garamond" w:hAnsi="EB Garamond" w:cs="EB Garamond"/>
          <w:sz w:val="24"/>
          <w:szCs w:val="24"/>
        </w:rPr>
        <w:t xml:space="preserve">Thomas Aquinas. (1265–1274/1955). </w:t>
      </w:r>
      <w:r w:rsidRPr="006D3CA3">
        <w:rPr>
          <w:rFonts w:ascii="EB Garamond" w:eastAsia="EB Garamond" w:hAnsi="EB Garamond" w:cs="EB Garamond"/>
          <w:i/>
          <w:sz w:val="24"/>
          <w:szCs w:val="24"/>
        </w:rPr>
        <w:t>The Summa Theologica</w:t>
      </w:r>
      <w:r w:rsidRPr="006D3CA3">
        <w:rPr>
          <w:rFonts w:ascii="EB Garamond" w:eastAsia="EB Garamond" w:hAnsi="EB Garamond" w:cs="EB Garamond"/>
          <w:sz w:val="24"/>
          <w:szCs w:val="24"/>
        </w:rPr>
        <w:t xml:space="preserve"> (Fathers of the English Dominican Province, Trans.; D. J. Sullivan, Rev.). </w:t>
      </w:r>
      <w:proofErr w:type="spellStart"/>
      <w:r w:rsidRPr="006D3CA3">
        <w:rPr>
          <w:rFonts w:ascii="EB Garamond" w:eastAsia="EB Garamond" w:hAnsi="EB Garamond" w:cs="EB Garamond"/>
          <w:sz w:val="24"/>
          <w:szCs w:val="24"/>
        </w:rPr>
        <w:t>Encyclopaedia</w:t>
      </w:r>
      <w:proofErr w:type="spellEnd"/>
      <w:r w:rsidRPr="006D3CA3">
        <w:rPr>
          <w:rFonts w:ascii="EB Garamond" w:eastAsia="EB Garamond" w:hAnsi="EB Garamond" w:cs="EB Garamond"/>
          <w:sz w:val="24"/>
          <w:szCs w:val="24"/>
        </w:rPr>
        <w:t xml:space="preserve"> Britannica.</w:t>
      </w:r>
    </w:p>
    <w:p w14:paraId="000000CD" w14:textId="77777777" w:rsidR="00B66D52" w:rsidRPr="006D3CA3" w:rsidRDefault="00000000">
      <w:pPr>
        <w:spacing w:before="240" w:after="240"/>
        <w:rPr>
          <w:rFonts w:ascii="EB Garamond" w:eastAsia="EB Garamond" w:hAnsi="EB Garamond" w:cs="EB Garamond"/>
          <w:color w:val="1155CC"/>
          <w:sz w:val="24"/>
          <w:szCs w:val="24"/>
          <w:u w:val="single"/>
        </w:rPr>
      </w:pPr>
      <w:r w:rsidRPr="006D3CA3">
        <w:rPr>
          <w:rFonts w:ascii="EB Garamond" w:eastAsia="EB Garamond" w:hAnsi="EB Garamond" w:cs="EB Garamond"/>
          <w:sz w:val="24"/>
          <w:szCs w:val="24"/>
        </w:rPr>
        <w:t xml:space="preserve">Veber, M. (2019). Why not persuade the skeptic? A critique of unambitious epistemology. </w:t>
      </w:r>
      <w:r w:rsidRPr="006D3CA3">
        <w:rPr>
          <w:rFonts w:ascii="EB Garamond" w:eastAsia="EB Garamond" w:hAnsi="EB Garamond" w:cs="EB Garamond"/>
          <w:i/>
          <w:sz w:val="24"/>
          <w:szCs w:val="24"/>
        </w:rPr>
        <w:t>International Journal for the Study of Skepticism, 9</w:t>
      </w:r>
      <w:r w:rsidRPr="006D3CA3">
        <w:rPr>
          <w:rFonts w:ascii="EB Garamond" w:eastAsia="EB Garamond" w:hAnsi="EB Garamond" w:cs="EB Garamond"/>
          <w:sz w:val="24"/>
          <w:szCs w:val="24"/>
        </w:rPr>
        <w:t>(4), 314–338.</w:t>
      </w:r>
      <w:hyperlink r:id="rId32">
        <w:r w:rsidR="00B66D52" w:rsidRPr="006D3CA3">
          <w:rPr>
            <w:rFonts w:ascii="EB Garamond" w:eastAsia="EB Garamond" w:hAnsi="EB Garamond" w:cs="EB Garamond"/>
            <w:sz w:val="24"/>
            <w:szCs w:val="24"/>
          </w:rPr>
          <w:t xml:space="preserve"> </w:t>
        </w:r>
      </w:hyperlink>
      <w:hyperlink r:id="rId33">
        <w:r w:rsidR="00B66D52" w:rsidRPr="006D3CA3">
          <w:rPr>
            <w:rFonts w:ascii="EB Garamond" w:eastAsia="EB Garamond" w:hAnsi="EB Garamond" w:cs="EB Garamond"/>
            <w:color w:val="1155CC"/>
            <w:sz w:val="24"/>
            <w:szCs w:val="24"/>
            <w:u w:val="single"/>
          </w:rPr>
          <w:t>https://doi.org/10.1163/22105700-20191366</w:t>
        </w:r>
      </w:hyperlink>
    </w:p>
    <w:p w14:paraId="000000CE" w14:textId="77777777" w:rsidR="00B66D52" w:rsidRPr="006D3CA3" w:rsidRDefault="00000000">
      <w:pPr>
        <w:spacing w:before="240" w:after="240"/>
        <w:rPr>
          <w:rFonts w:ascii="EB Garamond" w:eastAsia="EB Garamond" w:hAnsi="EB Garamond" w:cs="EB Garamond"/>
          <w:sz w:val="24"/>
          <w:szCs w:val="24"/>
        </w:rPr>
      </w:pPr>
      <w:r w:rsidRPr="006D3CA3">
        <w:rPr>
          <w:rFonts w:ascii="EB Garamond" w:eastAsia="EB Garamond" w:hAnsi="EB Garamond" w:cs="EB Garamond"/>
          <w:sz w:val="24"/>
          <w:szCs w:val="24"/>
        </w:rPr>
        <w:t xml:space="preserve">Walton, D. N. (1986). </w:t>
      </w:r>
      <w:r w:rsidRPr="006D3CA3">
        <w:rPr>
          <w:rFonts w:ascii="EB Garamond" w:eastAsia="EB Garamond" w:hAnsi="EB Garamond" w:cs="EB Garamond"/>
          <w:i/>
          <w:sz w:val="24"/>
          <w:szCs w:val="24"/>
        </w:rPr>
        <w:t>Courage: A Philosophical Investigation</w:t>
      </w:r>
      <w:r w:rsidRPr="006D3CA3">
        <w:rPr>
          <w:rFonts w:ascii="EB Garamond" w:eastAsia="EB Garamond" w:hAnsi="EB Garamond" w:cs="EB Garamond"/>
          <w:sz w:val="24"/>
          <w:szCs w:val="24"/>
        </w:rPr>
        <w:t>. University of California Press.</w:t>
      </w:r>
    </w:p>
    <w:p w14:paraId="000000CF" w14:textId="77777777" w:rsidR="00B66D52" w:rsidRPr="006D3CA3" w:rsidRDefault="00000000">
      <w:pPr>
        <w:spacing w:before="240" w:after="240"/>
        <w:rPr>
          <w:rFonts w:ascii="EB Garamond" w:eastAsia="EB Garamond" w:hAnsi="EB Garamond" w:cs="EB Garamond"/>
          <w:sz w:val="24"/>
          <w:szCs w:val="24"/>
        </w:rPr>
      </w:pPr>
      <w:r w:rsidRPr="006D3CA3">
        <w:rPr>
          <w:rFonts w:ascii="EB Garamond" w:eastAsia="EB Garamond" w:hAnsi="EB Garamond" w:cs="EB Garamond"/>
          <w:sz w:val="24"/>
          <w:szCs w:val="24"/>
        </w:rPr>
        <w:t xml:space="preserve">Williams, B. (1970). Deciding to believe. In H. E. Kiefer &amp; M. K. Munitz (Eds.), </w:t>
      </w:r>
      <w:r w:rsidRPr="006D3CA3">
        <w:rPr>
          <w:rFonts w:ascii="EB Garamond" w:eastAsia="EB Garamond" w:hAnsi="EB Garamond" w:cs="EB Garamond"/>
          <w:i/>
          <w:sz w:val="24"/>
          <w:szCs w:val="24"/>
        </w:rPr>
        <w:t>Language, belief, and metaphysics</w:t>
      </w:r>
      <w:r w:rsidRPr="006D3CA3">
        <w:rPr>
          <w:rFonts w:ascii="EB Garamond" w:eastAsia="EB Garamond" w:hAnsi="EB Garamond" w:cs="EB Garamond"/>
          <w:sz w:val="24"/>
          <w:szCs w:val="24"/>
        </w:rPr>
        <w:t xml:space="preserve"> (pp. 95–111). SUNY Press.</w:t>
      </w:r>
    </w:p>
    <w:p w14:paraId="000000D0" w14:textId="77777777" w:rsidR="00B66D52" w:rsidRPr="006D3CA3" w:rsidRDefault="00000000">
      <w:pPr>
        <w:spacing w:before="240" w:after="240"/>
        <w:rPr>
          <w:rFonts w:ascii="EB Garamond" w:eastAsia="EB Garamond" w:hAnsi="EB Garamond" w:cs="EB Garamond"/>
          <w:sz w:val="24"/>
          <w:szCs w:val="24"/>
        </w:rPr>
      </w:pPr>
      <w:r w:rsidRPr="006D3CA3">
        <w:rPr>
          <w:rFonts w:ascii="EB Garamond" w:eastAsia="EB Garamond" w:hAnsi="EB Garamond" w:cs="EB Garamond"/>
          <w:sz w:val="24"/>
          <w:szCs w:val="24"/>
        </w:rPr>
        <w:t xml:space="preserve">Wittgenstein, L. (1972). </w:t>
      </w:r>
      <w:r w:rsidRPr="006D3CA3">
        <w:rPr>
          <w:rFonts w:ascii="EB Garamond" w:eastAsia="EB Garamond" w:hAnsi="EB Garamond" w:cs="EB Garamond"/>
          <w:i/>
          <w:sz w:val="24"/>
          <w:szCs w:val="24"/>
        </w:rPr>
        <w:t>On certainty</w:t>
      </w:r>
      <w:r w:rsidRPr="006D3CA3">
        <w:rPr>
          <w:rFonts w:ascii="EB Garamond" w:eastAsia="EB Garamond" w:hAnsi="EB Garamond" w:cs="EB Garamond"/>
          <w:sz w:val="24"/>
          <w:szCs w:val="24"/>
        </w:rPr>
        <w:t>. Harper and Row.</w:t>
      </w:r>
    </w:p>
    <w:p w14:paraId="000000D1" w14:textId="77777777" w:rsidR="00B66D52" w:rsidRPr="006D3CA3" w:rsidRDefault="00000000">
      <w:pPr>
        <w:spacing w:before="240" w:after="240"/>
        <w:rPr>
          <w:rFonts w:ascii="EB Garamond" w:eastAsia="EB Garamond" w:hAnsi="EB Garamond" w:cs="EB Garamond"/>
          <w:color w:val="1155CC"/>
          <w:sz w:val="24"/>
          <w:szCs w:val="24"/>
          <w:u w:val="single"/>
        </w:rPr>
      </w:pPr>
      <w:r w:rsidRPr="006D3CA3">
        <w:rPr>
          <w:rFonts w:ascii="EB Garamond" w:eastAsia="EB Garamond" w:hAnsi="EB Garamond" w:cs="EB Garamond"/>
          <w:sz w:val="24"/>
          <w:szCs w:val="24"/>
        </w:rPr>
        <w:t xml:space="preserve">Wright, S. (2013). A neo-Stoic approach to epistemic agency. </w:t>
      </w:r>
      <w:r w:rsidRPr="006D3CA3">
        <w:rPr>
          <w:rFonts w:ascii="EB Garamond" w:eastAsia="EB Garamond" w:hAnsi="EB Garamond" w:cs="EB Garamond"/>
          <w:i/>
          <w:sz w:val="24"/>
          <w:szCs w:val="24"/>
        </w:rPr>
        <w:t>Philosophical Issues, 23</w:t>
      </w:r>
      <w:r w:rsidRPr="006D3CA3">
        <w:rPr>
          <w:rFonts w:ascii="EB Garamond" w:eastAsia="EB Garamond" w:hAnsi="EB Garamond" w:cs="EB Garamond"/>
          <w:sz w:val="24"/>
          <w:szCs w:val="24"/>
        </w:rPr>
        <w:t>(1), 262–275.</w:t>
      </w:r>
      <w:hyperlink r:id="rId34">
        <w:r w:rsidR="00B66D52" w:rsidRPr="006D3CA3">
          <w:rPr>
            <w:rFonts w:ascii="EB Garamond" w:eastAsia="EB Garamond" w:hAnsi="EB Garamond" w:cs="EB Garamond"/>
            <w:sz w:val="24"/>
            <w:szCs w:val="24"/>
          </w:rPr>
          <w:t xml:space="preserve"> </w:t>
        </w:r>
      </w:hyperlink>
      <w:hyperlink r:id="rId35">
        <w:r w:rsidR="00B66D52" w:rsidRPr="006D3CA3">
          <w:rPr>
            <w:rFonts w:ascii="EB Garamond" w:eastAsia="EB Garamond" w:hAnsi="EB Garamond" w:cs="EB Garamond"/>
            <w:color w:val="1155CC"/>
            <w:sz w:val="24"/>
            <w:szCs w:val="24"/>
            <w:u w:val="single"/>
          </w:rPr>
          <w:t>https://doi.org/10.1111/phis.12013</w:t>
        </w:r>
      </w:hyperlink>
    </w:p>
    <w:p w14:paraId="000000D2" w14:textId="77777777" w:rsidR="00B66D52" w:rsidRPr="006D3CA3" w:rsidRDefault="00000000">
      <w:pPr>
        <w:spacing w:before="240" w:after="240"/>
        <w:rPr>
          <w:rFonts w:ascii="EB Garamond" w:eastAsia="EB Garamond" w:hAnsi="EB Garamond" w:cs="EB Garamond"/>
          <w:sz w:val="24"/>
          <w:szCs w:val="24"/>
        </w:rPr>
      </w:pPr>
      <w:r w:rsidRPr="006D3CA3">
        <w:rPr>
          <w:rFonts w:ascii="EB Garamond" w:eastAsia="EB Garamond" w:hAnsi="EB Garamond" w:cs="EB Garamond"/>
          <w:sz w:val="24"/>
          <w:szCs w:val="24"/>
        </w:rPr>
        <w:t xml:space="preserve">Zagzebski, L. (1994). The inescapability of Gettier problems. </w:t>
      </w:r>
      <w:r w:rsidRPr="006D3CA3">
        <w:rPr>
          <w:rFonts w:ascii="EB Garamond" w:eastAsia="EB Garamond" w:hAnsi="EB Garamond" w:cs="EB Garamond"/>
          <w:i/>
          <w:sz w:val="24"/>
          <w:szCs w:val="24"/>
        </w:rPr>
        <w:t>The Philosophical Quarterly, 44</w:t>
      </w:r>
      <w:r w:rsidRPr="006D3CA3">
        <w:rPr>
          <w:rFonts w:ascii="EB Garamond" w:eastAsia="EB Garamond" w:hAnsi="EB Garamond" w:cs="EB Garamond"/>
          <w:sz w:val="24"/>
          <w:szCs w:val="24"/>
        </w:rPr>
        <w:t>(174), 65–73.</w:t>
      </w:r>
    </w:p>
    <w:p w14:paraId="000000D3" w14:textId="77777777" w:rsidR="00B66D52" w:rsidRPr="006D3CA3" w:rsidRDefault="00000000">
      <w:pPr>
        <w:spacing w:before="240" w:after="240"/>
        <w:rPr>
          <w:rFonts w:ascii="EB Garamond" w:eastAsia="EB Garamond" w:hAnsi="EB Garamond" w:cs="EB Garamond"/>
          <w:sz w:val="24"/>
          <w:szCs w:val="24"/>
        </w:rPr>
      </w:pPr>
      <w:r w:rsidRPr="006D3CA3">
        <w:rPr>
          <w:rFonts w:ascii="EB Garamond" w:eastAsia="EB Garamond" w:hAnsi="EB Garamond" w:cs="EB Garamond"/>
          <w:sz w:val="24"/>
          <w:szCs w:val="24"/>
        </w:rPr>
        <w:t xml:space="preserve">Zagzebski, L. (1996). </w:t>
      </w:r>
      <w:r w:rsidRPr="006D3CA3">
        <w:rPr>
          <w:rFonts w:ascii="EB Garamond" w:eastAsia="EB Garamond" w:hAnsi="EB Garamond" w:cs="EB Garamond"/>
          <w:i/>
          <w:sz w:val="24"/>
          <w:szCs w:val="24"/>
        </w:rPr>
        <w:t>Virtues of the mind</w:t>
      </w:r>
      <w:r w:rsidRPr="006D3CA3">
        <w:rPr>
          <w:rFonts w:ascii="EB Garamond" w:eastAsia="EB Garamond" w:hAnsi="EB Garamond" w:cs="EB Garamond"/>
          <w:sz w:val="24"/>
          <w:szCs w:val="24"/>
        </w:rPr>
        <w:t>. Cambridge University Press.</w:t>
      </w:r>
    </w:p>
    <w:p w14:paraId="000000D4" w14:textId="77777777" w:rsidR="00B66D52" w:rsidRPr="006D3CA3" w:rsidRDefault="00B66D52">
      <w:pPr>
        <w:rPr>
          <w:rFonts w:ascii="EB Garamond" w:eastAsia="EB Garamond" w:hAnsi="EB Garamond" w:cs="EB Garamond"/>
          <w:sz w:val="24"/>
          <w:szCs w:val="24"/>
        </w:rPr>
      </w:pPr>
    </w:p>
    <w:p w14:paraId="000000D5" w14:textId="77777777" w:rsidR="00B66D52" w:rsidRPr="006D3CA3" w:rsidRDefault="00B66D52">
      <w:pPr>
        <w:rPr>
          <w:rFonts w:ascii="EB Garamond" w:eastAsia="EB Garamond" w:hAnsi="EB Garamond" w:cs="EB Garamond"/>
          <w:sz w:val="24"/>
          <w:szCs w:val="24"/>
        </w:rPr>
      </w:pPr>
    </w:p>
    <w:sectPr w:rsidR="00B66D52" w:rsidRPr="006D3CA3">
      <w:headerReference w:type="default" r:id="rId36"/>
      <w:footerReference w:type="default" r:id="rId37"/>
      <w:footerReference w:type="first" r:id="rId38"/>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49A09" w14:textId="77777777" w:rsidR="00A02313" w:rsidRDefault="00A02313">
      <w:pPr>
        <w:spacing w:line="240" w:lineRule="auto"/>
      </w:pPr>
      <w:r>
        <w:separator/>
      </w:r>
    </w:p>
  </w:endnote>
  <w:endnote w:type="continuationSeparator" w:id="0">
    <w:p w14:paraId="467D2F5B" w14:textId="77777777" w:rsidR="00A02313" w:rsidRDefault="00A023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E2B163A-BF17-8F44-89B0-BAFDAE1B3B36}"/>
  </w:font>
  <w:font w:name="Arial">
    <w:panose1 w:val="020B0604020202020204"/>
    <w:charset w:val="00"/>
    <w:family w:val="swiss"/>
    <w:pitch w:val="variable"/>
    <w:sig w:usb0="E0002AFF" w:usb1="C0007843" w:usb2="00000009" w:usb3="00000000" w:csb0="000001FF" w:csb1="00000000"/>
    <w:embedRegular r:id="rId2" w:fontKey="{7E6DBFF4-F35F-CB4D-9CD7-0185CDE36CF1}"/>
    <w:embedItalic r:id="rId3" w:fontKey="{4C55A22D-AF6F-7646-A070-EA66B24B1622}"/>
  </w:font>
  <w:font w:name="EB Garamond">
    <w:panose1 w:val="00000000000000000000"/>
    <w:charset w:val="00"/>
    <w:family w:val="auto"/>
    <w:pitch w:val="variable"/>
    <w:sig w:usb0="E00002FF" w:usb1="5201E4FB" w:usb2="00000028" w:usb3="00000000" w:csb0="0000019F" w:csb1="00000000"/>
    <w:embedRegular r:id="rId4" w:fontKey="{A7246C1F-7E4F-7F4A-98C6-79ECE60B0068}"/>
    <w:embedBold r:id="rId5" w:fontKey="{65B66618-3306-1449-A349-B78C26C01C63}"/>
    <w:embedItalic r:id="rId6" w:fontKey="{39309EFC-5660-FE4D-86DD-C71766FB3520}"/>
  </w:font>
  <w:font w:name="Nova Mono">
    <w:panose1 w:val="020B0604020202020204"/>
    <w:charset w:val="00"/>
    <w:family w:val="auto"/>
    <w:pitch w:val="default"/>
  </w:font>
  <w:font w:name="Andika">
    <w:charset w:val="00"/>
    <w:family w:val="auto"/>
    <w:pitch w:val="default"/>
    <w:embedRegular r:id="rId8" w:fontKey="{5B5B0D02-B130-204A-9C61-3F5716A81B70}"/>
  </w:font>
  <w:font w:name="Calibri">
    <w:panose1 w:val="020F0502020204030204"/>
    <w:charset w:val="00"/>
    <w:family w:val="swiss"/>
    <w:pitch w:val="variable"/>
    <w:sig w:usb0="E0002AFF" w:usb1="C000247B" w:usb2="00000009" w:usb3="00000000" w:csb0="000001FF" w:csb1="00000000"/>
    <w:embedRegular r:id="rId9" w:fontKey="{8719C2D0-1603-1544-9073-723D5FF0E777}"/>
  </w:font>
  <w:font w:name="Cambria">
    <w:panose1 w:val="02040503050406030204"/>
    <w:charset w:val="00"/>
    <w:family w:val="roman"/>
    <w:pitch w:val="variable"/>
    <w:sig w:usb0="E00002FF" w:usb1="400004FF" w:usb2="00000000" w:usb3="00000000" w:csb0="0000019F" w:csb1="00000000"/>
    <w:embedRegular r:id="rId10" w:fontKey="{0ABE7C50-4B84-B440-BFCC-7A540533D7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7" w14:textId="2B887651" w:rsidR="00B66D52" w:rsidRDefault="00000000">
    <w:pPr>
      <w:jc w:val="right"/>
      <w:rPr>
        <w:rFonts w:ascii="EB Garamond" w:eastAsia="EB Garamond" w:hAnsi="EB Garamond" w:cs="EB Garamond"/>
      </w:rPr>
    </w:pPr>
    <w:r>
      <w:rPr>
        <w:rFonts w:ascii="EB Garamond" w:eastAsia="EB Garamond" w:hAnsi="EB Garamond" w:cs="EB Garamond"/>
      </w:rPr>
      <w:fldChar w:fldCharType="begin"/>
    </w:r>
    <w:r>
      <w:rPr>
        <w:rFonts w:ascii="EB Garamond" w:eastAsia="EB Garamond" w:hAnsi="EB Garamond" w:cs="EB Garamond"/>
      </w:rPr>
      <w:instrText>PAGE</w:instrText>
    </w:r>
    <w:r>
      <w:rPr>
        <w:rFonts w:ascii="EB Garamond" w:eastAsia="EB Garamond" w:hAnsi="EB Garamond" w:cs="EB Garamond"/>
      </w:rPr>
      <w:fldChar w:fldCharType="separate"/>
    </w:r>
    <w:r w:rsidR="006D3CA3">
      <w:rPr>
        <w:rFonts w:ascii="EB Garamond" w:eastAsia="EB Garamond" w:hAnsi="EB Garamond" w:cs="EB Garamond"/>
        <w:noProof/>
      </w:rPr>
      <w:t>1</w:t>
    </w:r>
    <w:r>
      <w:rPr>
        <w:rFonts w:ascii="EB Garamond" w:eastAsia="EB Garamond" w:hAnsi="EB Garamond" w:cs="EB Garamond"/>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6" w14:textId="77777777" w:rsidR="00B66D52" w:rsidRDefault="00B66D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BC804A" w14:textId="77777777" w:rsidR="00A02313" w:rsidRDefault="00A02313">
      <w:pPr>
        <w:spacing w:line="240" w:lineRule="auto"/>
      </w:pPr>
      <w:r>
        <w:separator/>
      </w:r>
    </w:p>
  </w:footnote>
  <w:footnote w:type="continuationSeparator" w:id="0">
    <w:p w14:paraId="0E40634A" w14:textId="77777777" w:rsidR="00A02313" w:rsidRDefault="00A02313">
      <w:pPr>
        <w:spacing w:line="240" w:lineRule="auto"/>
      </w:pPr>
      <w:r>
        <w:continuationSeparator/>
      </w:r>
    </w:p>
  </w:footnote>
  <w:footnote w:id="1">
    <w:p w14:paraId="000000D8" w14:textId="77777777" w:rsidR="00B66D52" w:rsidRPr="004322D3" w:rsidRDefault="00000000">
      <w:pPr>
        <w:spacing w:line="240" w:lineRule="auto"/>
        <w:rPr>
          <w:rFonts w:ascii="EB Garamond" w:eastAsia="EB Garamond" w:hAnsi="EB Garamond" w:cs="EB Garamond"/>
          <w:sz w:val="20"/>
          <w:szCs w:val="20"/>
        </w:rPr>
      </w:pPr>
      <w:r w:rsidRPr="004322D3">
        <w:rPr>
          <w:rFonts w:ascii="EB Garamond" w:hAnsi="EB Garamond" w:cs="EB Garamond"/>
          <w:vertAlign w:val="superscript"/>
        </w:rPr>
        <w:footnoteRef/>
      </w:r>
      <w:r w:rsidRPr="004322D3">
        <w:rPr>
          <w:rFonts w:ascii="EB Garamond" w:eastAsia="EB Garamond" w:hAnsi="EB Garamond" w:cs="EB Garamond"/>
          <w:sz w:val="20"/>
          <w:szCs w:val="20"/>
        </w:rPr>
        <w:t xml:space="preserve"> I will not be taking a precise stance on the question of whether to endorse Virtue </w:t>
      </w:r>
      <w:proofErr w:type="spellStart"/>
      <w:r w:rsidRPr="004322D3">
        <w:rPr>
          <w:rFonts w:ascii="EB Garamond" w:eastAsia="EB Garamond" w:hAnsi="EB Garamond" w:cs="EB Garamond"/>
          <w:sz w:val="20"/>
          <w:szCs w:val="20"/>
        </w:rPr>
        <w:t>Reliabilism</w:t>
      </w:r>
      <w:proofErr w:type="spellEnd"/>
      <w:r w:rsidRPr="004322D3">
        <w:rPr>
          <w:rFonts w:ascii="EB Garamond" w:eastAsia="EB Garamond" w:hAnsi="EB Garamond" w:cs="EB Garamond"/>
          <w:sz w:val="20"/>
          <w:szCs w:val="20"/>
        </w:rPr>
        <w:t xml:space="preserve"> (cf. Sosa, 1991) or Virtue </w:t>
      </w:r>
      <w:proofErr w:type="spellStart"/>
      <w:r w:rsidRPr="004322D3">
        <w:rPr>
          <w:rFonts w:ascii="EB Garamond" w:eastAsia="EB Garamond" w:hAnsi="EB Garamond" w:cs="EB Garamond"/>
          <w:sz w:val="20"/>
          <w:szCs w:val="20"/>
        </w:rPr>
        <w:t>Responsibilism</w:t>
      </w:r>
      <w:proofErr w:type="spellEnd"/>
      <w:r w:rsidRPr="004322D3">
        <w:rPr>
          <w:rFonts w:ascii="EB Garamond" w:eastAsia="EB Garamond" w:hAnsi="EB Garamond" w:cs="EB Garamond"/>
          <w:sz w:val="20"/>
          <w:szCs w:val="20"/>
        </w:rPr>
        <w:t xml:space="preserve"> (cf. Zagzebski, 1996), as I think that either view can adopt doxastic courage without tension.</w:t>
      </w:r>
    </w:p>
  </w:footnote>
  <w:footnote w:id="2">
    <w:p w14:paraId="000000D9" w14:textId="77777777" w:rsidR="00B66D52" w:rsidRPr="004322D3" w:rsidRDefault="00000000">
      <w:pPr>
        <w:spacing w:line="240" w:lineRule="auto"/>
        <w:rPr>
          <w:rFonts w:ascii="EB Garamond" w:eastAsia="EB Garamond" w:hAnsi="EB Garamond" w:cs="EB Garamond"/>
          <w:sz w:val="20"/>
          <w:szCs w:val="20"/>
        </w:rPr>
      </w:pPr>
      <w:r w:rsidRPr="004322D3">
        <w:rPr>
          <w:rFonts w:ascii="EB Garamond" w:hAnsi="EB Garamond" w:cs="EB Garamond"/>
          <w:vertAlign w:val="superscript"/>
        </w:rPr>
        <w:footnoteRef/>
      </w:r>
      <w:r w:rsidRPr="004322D3">
        <w:rPr>
          <w:rFonts w:ascii="EB Garamond" w:eastAsia="EB Garamond" w:hAnsi="EB Garamond" w:cs="EB Garamond"/>
          <w:sz w:val="20"/>
          <w:szCs w:val="20"/>
        </w:rPr>
        <w:t xml:space="preserve"> On the telic view, which I adopt for the sake of the paper, cognitive prosperity need not be reduced solely to doxastic </w:t>
      </w:r>
      <w:proofErr w:type="gramStart"/>
      <w:r w:rsidRPr="004322D3">
        <w:rPr>
          <w:rFonts w:ascii="EB Garamond" w:eastAsia="EB Garamond" w:hAnsi="EB Garamond" w:cs="EB Garamond"/>
          <w:sz w:val="20"/>
          <w:szCs w:val="20"/>
        </w:rPr>
        <w:t>accuracy, but</w:t>
      </w:r>
      <w:proofErr w:type="gramEnd"/>
      <w:r w:rsidRPr="004322D3">
        <w:rPr>
          <w:rFonts w:ascii="EB Garamond" w:eastAsia="EB Garamond" w:hAnsi="EB Garamond" w:cs="EB Garamond"/>
          <w:sz w:val="20"/>
          <w:szCs w:val="20"/>
        </w:rPr>
        <w:t xml:space="preserve"> also can include intellectual flourishing which results from appropriate second-order security and confidence in our beliefs.</w:t>
      </w:r>
    </w:p>
  </w:footnote>
  <w:footnote w:id="3">
    <w:p w14:paraId="000000DA" w14:textId="77777777" w:rsidR="00B66D52" w:rsidRPr="004322D3" w:rsidRDefault="00000000">
      <w:pPr>
        <w:spacing w:line="240" w:lineRule="auto"/>
        <w:rPr>
          <w:rFonts w:ascii="EB Garamond" w:eastAsia="EB Garamond" w:hAnsi="EB Garamond" w:cs="EB Garamond"/>
          <w:sz w:val="20"/>
          <w:szCs w:val="20"/>
        </w:rPr>
      </w:pPr>
      <w:r w:rsidRPr="004322D3">
        <w:rPr>
          <w:rFonts w:ascii="EB Garamond" w:hAnsi="EB Garamond" w:cs="EB Garamond"/>
          <w:vertAlign w:val="superscript"/>
        </w:rPr>
        <w:footnoteRef/>
      </w:r>
      <w:r w:rsidRPr="004322D3">
        <w:rPr>
          <w:rFonts w:ascii="EB Garamond" w:eastAsia="EB Garamond" w:hAnsi="EB Garamond" w:cs="EB Garamond"/>
          <w:sz w:val="20"/>
          <w:szCs w:val="20"/>
        </w:rPr>
        <w:t xml:space="preserve"> In referring to my virtue epistemology as </w:t>
      </w:r>
      <w:r w:rsidRPr="004322D3">
        <w:rPr>
          <w:rFonts w:ascii="EB Garamond" w:eastAsia="EB Garamond" w:hAnsi="EB Garamond" w:cs="EB Garamond"/>
          <w:i/>
          <w:sz w:val="20"/>
          <w:szCs w:val="20"/>
        </w:rPr>
        <w:t>telic</w:t>
      </w:r>
      <w:r w:rsidRPr="004322D3">
        <w:rPr>
          <w:rFonts w:ascii="EB Garamond" w:eastAsia="EB Garamond" w:hAnsi="EB Garamond" w:cs="EB Garamond"/>
          <w:sz w:val="20"/>
          <w:szCs w:val="20"/>
        </w:rPr>
        <w:t>, my aim is not to claim that deontic or consequentialist epistemological frameworks are not also oriented towards knowledge. Instead, I am claiming that virtue epistemology locates epistemic success within the telos of an agent’s character; an excellent mind, as I suggested in the introduction, is one that pursues truth in a way that is conducive to flourishing.</w:t>
      </w:r>
    </w:p>
  </w:footnote>
  <w:footnote w:id="4">
    <w:p w14:paraId="00000104" w14:textId="77777777" w:rsidR="00B66D52" w:rsidRPr="004322D3" w:rsidRDefault="00000000">
      <w:pPr>
        <w:spacing w:line="240" w:lineRule="auto"/>
        <w:rPr>
          <w:rFonts w:ascii="EB Garamond" w:eastAsia="EB Garamond" w:hAnsi="EB Garamond" w:cs="EB Garamond"/>
          <w:sz w:val="20"/>
          <w:szCs w:val="20"/>
        </w:rPr>
      </w:pPr>
      <w:r w:rsidRPr="004322D3">
        <w:rPr>
          <w:rFonts w:ascii="EB Garamond" w:hAnsi="EB Garamond" w:cs="EB Garamond"/>
          <w:vertAlign w:val="superscript"/>
        </w:rPr>
        <w:footnoteRef/>
      </w:r>
      <w:r w:rsidRPr="004322D3">
        <w:rPr>
          <w:rFonts w:ascii="EB Garamond" w:eastAsia="EB Garamond" w:hAnsi="EB Garamond" w:cs="EB Garamond"/>
          <w:sz w:val="20"/>
          <w:szCs w:val="20"/>
        </w:rPr>
        <w:t xml:space="preserve"> The relevant belief condition, or requirement for which one should believe, is confidence. I will use the term ‘confidence threshold’ in later portions of the paper to refer to the level of justification one needs to have to believe with justification.</w:t>
      </w:r>
    </w:p>
  </w:footnote>
  <w:footnote w:id="5">
    <w:p w14:paraId="000000DB" w14:textId="77777777" w:rsidR="00B66D52" w:rsidRPr="00106E0C" w:rsidRDefault="00000000">
      <w:pPr>
        <w:spacing w:line="240" w:lineRule="auto"/>
        <w:rPr>
          <w:rFonts w:ascii="EB Garamond" w:eastAsia="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 I am using ‘can’ to represent freedom in the will. The agent </w:t>
      </w:r>
      <w:r w:rsidRPr="00106E0C">
        <w:rPr>
          <w:rFonts w:ascii="EB Garamond" w:eastAsia="EB Garamond" w:hAnsi="EB Garamond" w:cs="EB Garamond"/>
          <w:i/>
          <w:sz w:val="20"/>
          <w:szCs w:val="20"/>
        </w:rPr>
        <w:t>can</w:t>
      </w:r>
      <w:r w:rsidRPr="00106E0C">
        <w:rPr>
          <w:rFonts w:ascii="EB Garamond" w:eastAsia="EB Garamond" w:hAnsi="EB Garamond" w:cs="EB Garamond"/>
          <w:sz w:val="20"/>
          <w:szCs w:val="20"/>
        </w:rPr>
        <w:t xml:space="preserve"> do </w:t>
      </w:r>
      <w:proofErr w:type="gramStart"/>
      <w:r w:rsidRPr="00106E0C">
        <w:rPr>
          <w:rFonts w:ascii="EB Garamond" w:eastAsia="EB Garamond" w:hAnsi="EB Garamond" w:cs="EB Garamond"/>
          <w:sz w:val="20"/>
          <w:szCs w:val="20"/>
        </w:rPr>
        <w:t>this, but</w:t>
      </w:r>
      <w:proofErr w:type="gramEnd"/>
      <w:r w:rsidRPr="00106E0C">
        <w:rPr>
          <w:rFonts w:ascii="EB Garamond" w:eastAsia="EB Garamond" w:hAnsi="EB Garamond" w:cs="EB Garamond"/>
          <w:sz w:val="20"/>
          <w:szCs w:val="20"/>
        </w:rPr>
        <w:t xml:space="preserve"> is not epistemically permitted in doing so in all cases.</w:t>
      </w:r>
    </w:p>
  </w:footnote>
  <w:footnote w:id="6">
    <w:p w14:paraId="000000F8" w14:textId="77777777" w:rsidR="00B66D52" w:rsidRPr="00106E0C" w:rsidRDefault="00000000">
      <w:pPr>
        <w:spacing w:line="240" w:lineRule="auto"/>
        <w:rPr>
          <w:rFonts w:ascii="EB Garamond" w:eastAsia="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 'AT' = Adam and Tannery (1904); 'CSM' = Cottingham, Stoothoff, and Murdoch (1984). Numbers correspond to volume and page, respectively.</w:t>
      </w:r>
    </w:p>
  </w:footnote>
  <w:footnote w:id="7">
    <w:p w14:paraId="000000DC" w14:textId="77777777" w:rsidR="00B66D52" w:rsidRPr="00106E0C" w:rsidRDefault="00000000">
      <w:pPr>
        <w:spacing w:line="240" w:lineRule="auto"/>
        <w:rPr>
          <w:rFonts w:ascii="EB Garamond" w:eastAsia="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See (AT 8A:24; CSM 1:123) or (AT 8A:16; CSM 1:119). Absolute certainty in the context of Cartesian doubt is synonymous with necessary truth one can come to know introspectively (e.g., ‘I think; therefore, I am’).</w:t>
      </w:r>
    </w:p>
  </w:footnote>
  <w:footnote w:id="8">
    <w:p w14:paraId="000000DD" w14:textId="77777777" w:rsidR="00B66D52" w:rsidRPr="00106E0C" w:rsidRDefault="00000000">
      <w:pPr>
        <w:spacing w:line="240" w:lineRule="auto"/>
        <w:rPr>
          <w:rFonts w:ascii="EB Garamond" w:eastAsia="EB Garamond" w:hAnsi="EB Garamond" w:cs="EB Garamond"/>
          <w:sz w:val="20"/>
          <w:szCs w:val="20"/>
          <w:highlight w:val="white"/>
        </w:rPr>
      </w:pPr>
      <w:r w:rsidRPr="00106E0C">
        <w:rPr>
          <w:rFonts w:ascii="EB Garamond" w:hAnsi="EB Garamond" w:cs="EB Garamond"/>
          <w:vertAlign w:val="superscript"/>
        </w:rPr>
        <w:footnoteRef/>
      </w:r>
      <w:r w:rsidRPr="00106E0C">
        <w:rPr>
          <w:rFonts w:ascii="EB Garamond" w:eastAsia="EB Garamond" w:hAnsi="EB Garamond" w:cs="EB Garamond"/>
          <w:sz w:val="20"/>
          <w:szCs w:val="20"/>
          <w:highlight w:val="white"/>
        </w:rPr>
        <w:t xml:space="preserve"> Hyperbolic doubt is, by Descartes’ lights, a pejorative term: “the exaggerated (</w:t>
      </w:r>
      <w:proofErr w:type="spellStart"/>
      <w:r w:rsidRPr="00106E0C">
        <w:rPr>
          <w:rFonts w:ascii="EB Garamond" w:eastAsia="EB Garamond" w:hAnsi="EB Garamond" w:cs="EB Garamond"/>
          <w:sz w:val="20"/>
          <w:szCs w:val="20"/>
          <w:highlight w:val="white"/>
        </w:rPr>
        <w:t>hyperbolicae</w:t>
      </w:r>
      <w:proofErr w:type="spellEnd"/>
      <w:r w:rsidRPr="00106E0C">
        <w:rPr>
          <w:rFonts w:ascii="EB Garamond" w:eastAsia="EB Garamond" w:hAnsi="EB Garamond" w:cs="EB Garamond"/>
          <w:sz w:val="20"/>
          <w:szCs w:val="20"/>
          <w:highlight w:val="white"/>
        </w:rPr>
        <w:t xml:space="preserve">) doubts of the last few days should be dismissed as laughable” (AT 7:91, CSM 2:61). In that I will be criticizing this intellectual vice for its extreme nature and the—according to Descartes—laughable doubts which it permits, it is apt to use this terminology solely in referring to the vice and not to Descartes’ method of doubt, which I refer to as Cartesian doubt. </w:t>
      </w:r>
    </w:p>
  </w:footnote>
  <w:footnote w:id="9">
    <w:p w14:paraId="000000DE" w14:textId="77777777" w:rsidR="00B66D52" w:rsidRPr="00106E0C" w:rsidRDefault="00000000">
      <w:pPr>
        <w:spacing w:line="240" w:lineRule="auto"/>
        <w:rPr>
          <w:rFonts w:ascii="EB Garamond" w:eastAsia="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 “All knowledge [</w:t>
      </w:r>
      <w:proofErr w:type="spellStart"/>
      <w:r w:rsidRPr="00106E0C">
        <w:rPr>
          <w:rFonts w:ascii="EB Garamond" w:eastAsia="EB Garamond" w:hAnsi="EB Garamond" w:cs="EB Garamond"/>
          <w:i/>
          <w:sz w:val="20"/>
          <w:szCs w:val="20"/>
        </w:rPr>
        <w:t>scientia</w:t>
      </w:r>
      <w:proofErr w:type="spellEnd"/>
      <w:r w:rsidRPr="00106E0C">
        <w:rPr>
          <w:rFonts w:ascii="EB Garamond" w:eastAsia="EB Garamond" w:hAnsi="EB Garamond" w:cs="EB Garamond"/>
          <w:sz w:val="20"/>
          <w:szCs w:val="20"/>
        </w:rPr>
        <w:t>] is certain and evident cognition.” (AT 10:362, CSM 1:10)</w:t>
      </w:r>
    </w:p>
  </w:footnote>
  <w:footnote w:id="10">
    <w:p w14:paraId="000000DF" w14:textId="77777777" w:rsidR="00B66D52" w:rsidRPr="00106E0C" w:rsidRDefault="00000000">
      <w:pPr>
        <w:spacing w:line="240" w:lineRule="auto"/>
        <w:rPr>
          <w:rFonts w:ascii="EB Garamond" w:eastAsia="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 “Those long chains composed of very simple and easy reasoning, which geometers customarily use to arrive at their most difficult demonstrations, had given me occasion to suppose that all the things which can fall under human knowledge are interconnected in the same way.” (AT 6:19, CSM 1:120).</w:t>
      </w:r>
    </w:p>
  </w:footnote>
  <w:footnote w:id="11">
    <w:p w14:paraId="000000FF" w14:textId="77777777" w:rsidR="00B66D52" w:rsidRPr="00106E0C" w:rsidRDefault="00000000">
      <w:pPr>
        <w:spacing w:line="240" w:lineRule="auto"/>
        <w:rPr>
          <w:rFonts w:ascii="EB Garamond" w:eastAsia="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 This metaphysics of ideas is described extensively in Newman (2009).</w:t>
      </w:r>
    </w:p>
  </w:footnote>
  <w:footnote w:id="12">
    <w:p w14:paraId="00000100" w14:textId="77777777" w:rsidR="00B66D52" w:rsidRPr="00106E0C" w:rsidRDefault="00000000">
      <w:pPr>
        <w:spacing w:line="240" w:lineRule="auto"/>
        <w:rPr>
          <w:rFonts w:ascii="EB Garamond" w:eastAsia="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 Descartes makes it clear that certainty “does not lie in the senses but solely in the understanding, when it possesses evident perceptions” (AT 9B:7, CSM 1:182). Further detail regarding how Descartes defines ideas and thoughts can be found in (AT 7:160-161, CSM 2:113-114).</w:t>
      </w:r>
    </w:p>
  </w:footnote>
  <w:footnote w:id="13">
    <w:p w14:paraId="00000101" w14:textId="77777777" w:rsidR="00B66D52" w:rsidRPr="00106E0C" w:rsidRDefault="00000000">
      <w:pPr>
        <w:spacing w:line="240" w:lineRule="auto"/>
        <w:rPr>
          <w:rFonts w:ascii="EB Garamond" w:eastAsia="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 By ‘the good case’, I am referring to the set of cases in which the external world is as we believe it to be. By 'bad case', I am referring to the set of cases in which the world is not as we believe it to be.</w:t>
      </w:r>
    </w:p>
  </w:footnote>
  <w:footnote w:id="14">
    <w:p w14:paraId="00000102" w14:textId="77777777" w:rsidR="00B66D52" w:rsidRPr="00106E0C" w:rsidRDefault="00000000">
      <w:pPr>
        <w:spacing w:line="240" w:lineRule="auto"/>
        <w:rPr>
          <w:rFonts w:ascii="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 “Yet when I turn to the things themselves which I think I perceive very clearly, I am so convinced by them that I spontaneously declare: let whoever can do so deceive me, he will never bring it about that I am nothing, so long as I continue to think I am something; or make it true at some future time that I have never existed, since it is now true that I exist; or bring it about that two and three added together are more or less than five, or anything of this kind in which I see a manifest contradiction” (AT 7:36, CSM 2:25).</w:t>
      </w:r>
    </w:p>
  </w:footnote>
  <w:footnote w:id="15">
    <w:p w14:paraId="00000103" w14:textId="77777777" w:rsidR="00B66D52" w:rsidRPr="00106E0C" w:rsidRDefault="00000000">
      <w:pPr>
        <w:spacing w:line="240" w:lineRule="auto"/>
        <w:rPr>
          <w:rFonts w:ascii="EB Garamond" w:eastAsia="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 By ‘C&amp;D rule’, I am referring to the guarantee of the reliability of our clear and distinct perceptions suggested by Descartes to follow necessarily from God’s perfections.</w:t>
      </w:r>
    </w:p>
  </w:footnote>
  <w:footnote w:id="16">
    <w:p w14:paraId="000000E0" w14:textId="77777777" w:rsidR="00B66D52" w:rsidRPr="00106E0C" w:rsidRDefault="00000000">
      <w:pPr>
        <w:spacing w:line="240" w:lineRule="auto"/>
        <w:rPr>
          <w:rFonts w:ascii="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 A reason for attributing this model to Descartes is that he, in </w:t>
      </w:r>
      <w:r w:rsidRPr="00106E0C">
        <w:rPr>
          <w:rFonts w:ascii="EB Garamond" w:eastAsia="EB Garamond" w:hAnsi="EB Garamond" w:cs="EB Garamond"/>
          <w:i/>
          <w:sz w:val="20"/>
          <w:szCs w:val="20"/>
        </w:rPr>
        <w:t>The Search for Truth</w:t>
      </w:r>
      <w:r w:rsidRPr="00106E0C">
        <w:rPr>
          <w:rFonts w:ascii="EB Garamond" w:eastAsia="EB Garamond" w:hAnsi="EB Garamond" w:cs="EB Garamond"/>
          <w:sz w:val="20"/>
          <w:szCs w:val="20"/>
        </w:rPr>
        <w:t>, mentions the Pyrrhonian problem and purports to have found a solution (AT 10:512-3, CSM 2:408-9). Further mentions of the Academics occurs in (AT 7:130, CSM 2:94). This interpretation seems to be favored by the secondary literature as well, such as in Sosa (1997), Newman and Nelson (1999), and Stuchlik (2017).</w:t>
      </w:r>
    </w:p>
  </w:footnote>
  <w:footnote w:id="17">
    <w:p w14:paraId="000000F6" w14:textId="77777777" w:rsidR="00B66D52" w:rsidRPr="00106E0C" w:rsidRDefault="00000000">
      <w:pPr>
        <w:spacing w:line="240" w:lineRule="auto"/>
        <w:rPr>
          <w:rFonts w:ascii="EB Garamond" w:eastAsia="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 Descartes hedges against this in </w:t>
      </w:r>
      <w:r w:rsidRPr="00106E0C">
        <w:rPr>
          <w:rFonts w:ascii="EB Garamond" w:eastAsia="EB Garamond" w:hAnsi="EB Garamond" w:cs="EB Garamond"/>
          <w:i/>
          <w:sz w:val="20"/>
          <w:szCs w:val="20"/>
        </w:rPr>
        <w:t>The Search for Truth</w:t>
      </w:r>
      <w:r w:rsidRPr="00106E0C">
        <w:rPr>
          <w:rFonts w:ascii="EB Garamond" w:eastAsia="EB Garamond" w:hAnsi="EB Garamond" w:cs="EB Garamond"/>
          <w:sz w:val="20"/>
          <w:szCs w:val="20"/>
        </w:rPr>
        <w:t xml:space="preserve"> by claiming we needn’t doubt that we have an understanding of existence, doubt, thinking, etc. and thus can ground the cogito, since all we need to do is experience it (cf. AT 10:523-4; CSM 2:417), but ones’ only reason for being grounded in this statement is an assumption of what doubt must be based upon what seems correct to us. Cartesian doubt </w:t>
      </w:r>
      <w:r w:rsidRPr="00106E0C">
        <w:rPr>
          <w:rFonts w:ascii="EB Garamond" w:eastAsia="EB Garamond" w:hAnsi="EB Garamond" w:cs="EB Garamond"/>
          <w:i/>
          <w:sz w:val="20"/>
          <w:szCs w:val="20"/>
        </w:rPr>
        <w:t>necessitates</w:t>
      </w:r>
      <w:r w:rsidRPr="00106E0C">
        <w:rPr>
          <w:rFonts w:ascii="EB Garamond" w:eastAsia="EB Garamond" w:hAnsi="EB Garamond" w:cs="EB Garamond"/>
          <w:sz w:val="20"/>
          <w:szCs w:val="20"/>
        </w:rPr>
        <w:t xml:space="preserve"> we be certain in these assumptions before we ground our beliefs.</w:t>
      </w:r>
    </w:p>
  </w:footnote>
  <w:footnote w:id="18">
    <w:p w14:paraId="000000E1" w14:textId="77777777" w:rsidR="00B66D52" w:rsidRDefault="00000000">
      <w:pPr>
        <w:spacing w:line="240" w:lineRule="auto"/>
        <w:rPr>
          <w:rFonts w:ascii="EB Garamond" w:eastAsia="EB Garamond" w:hAnsi="EB Garamond" w:cs="EB Garamond"/>
          <w:sz w:val="20"/>
          <w:szCs w:val="20"/>
        </w:rPr>
      </w:pPr>
      <w:r>
        <w:rPr>
          <w:vertAlign w:val="superscript"/>
        </w:rPr>
        <w:footnoteRef/>
      </w:r>
      <w:r>
        <w:rPr>
          <w:rFonts w:ascii="EB Garamond" w:eastAsia="EB Garamond" w:hAnsi="EB Garamond" w:cs="EB Garamond"/>
          <w:sz w:val="20"/>
          <w:szCs w:val="20"/>
        </w:rPr>
        <w:t xml:space="preserve"> “Let us now review all the actions of the intellect by means of which we are able to arrive at a knowledge of things with no fear of being mistaken. We recognize only two: intuition and deduction. By ‘intuition’</w:t>
      </w:r>
      <w:r>
        <w:rPr>
          <w:rFonts w:ascii="EB Garamond" w:eastAsia="EB Garamond" w:hAnsi="EB Garamond" w:cs="EB Garamond"/>
          <w:i/>
          <w:sz w:val="20"/>
          <w:szCs w:val="20"/>
        </w:rPr>
        <w:t xml:space="preserve"> </w:t>
      </w:r>
      <w:r>
        <w:rPr>
          <w:rFonts w:ascii="EB Garamond" w:eastAsia="EB Garamond" w:hAnsi="EB Garamond" w:cs="EB Garamond"/>
          <w:sz w:val="20"/>
          <w:szCs w:val="20"/>
        </w:rPr>
        <w:t>I [mean], … the conception of a clear and attentive mind, which is so easy and distinct that there can be no room for doubt” (Rules, AT 10:368; CSM 1:14)</w:t>
      </w:r>
    </w:p>
  </w:footnote>
  <w:footnote w:id="19">
    <w:p w14:paraId="000000E2" w14:textId="77777777" w:rsidR="00B66D52" w:rsidRPr="00106E0C" w:rsidRDefault="00000000">
      <w:pPr>
        <w:spacing w:line="240" w:lineRule="auto"/>
        <w:rPr>
          <w:rFonts w:ascii="EB Garamond" w:eastAsia="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 Slezak (</w:t>
      </w:r>
      <w:r w:rsidRPr="00106E0C">
        <w:rPr>
          <w:rFonts w:ascii="EB Garamond" w:eastAsia="EB Garamond" w:hAnsi="EB Garamond" w:cs="EB Garamond"/>
          <w:color w:val="333333"/>
          <w:sz w:val="20"/>
          <w:szCs w:val="20"/>
          <w:highlight w:val="white"/>
        </w:rPr>
        <w:t>1983).</w:t>
      </w:r>
    </w:p>
  </w:footnote>
  <w:footnote w:id="20">
    <w:p w14:paraId="000000E3" w14:textId="77777777" w:rsidR="00B66D52" w:rsidRPr="00106E0C" w:rsidRDefault="00000000">
      <w:pPr>
        <w:spacing w:line="240" w:lineRule="auto"/>
        <w:rPr>
          <w:rFonts w:ascii="EB Garamond" w:eastAsia="EB Garamond" w:hAnsi="EB Garamond" w:cs="EB Garamond"/>
          <w:color w:val="333333"/>
          <w:sz w:val="20"/>
          <w:szCs w:val="20"/>
          <w:highlight w:val="white"/>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 </w:t>
      </w:r>
      <w:r w:rsidRPr="00106E0C">
        <w:rPr>
          <w:rFonts w:ascii="EB Garamond" w:eastAsia="EB Garamond" w:hAnsi="EB Garamond" w:cs="EB Garamond"/>
          <w:color w:val="333333"/>
          <w:sz w:val="20"/>
          <w:szCs w:val="20"/>
          <w:highlight w:val="white"/>
        </w:rPr>
        <w:t>Broughton (2002, p. 100).</w:t>
      </w:r>
    </w:p>
  </w:footnote>
  <w:footnote w:id="21">
    <w:p w14:paraId="000000E4" w14:textId="77777777" w:rsidR="00B66D52" w:rsidRPr="00106E0C" w:rsidRDefault="00000000">
      <w:pPr>
        <w:spacing w:line="240" w:lineRule="auto"/>
        <w:rPr>
          <w:rFonts w:ascii="EB Garamond" w:eastAsia="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 Aside from the main objection I sketch for this point, there is also a line from Descartes which suggests against their more inferential depiction of the argument: “[a]s for other mental operations which dialectic claims to direct with the help of those already mentioned, they are of no use here, or rather should be reckoned a positive hindrance, for nothing can be added to the clear light of reason which does not in some way dim it” (AT 10:372-373; CSM 1:16). Slezak’s diagonal deduction model seems more resistant to this, though.</w:t>
      </w:r>
    </w:p>
  </w:footnote>
  <w:footnote w:id="22">
    <w:p w14:paraId="000000E5" w14:textId="77777777" w:rsidR="00B66D52" w:rsidRPr="00106E0C" w:rsidRDefault="00000000">
      <w:pPr>
        <w:spacing w:line="240" w:lineRule="auto"/>
        <w:rPr>
          <w:rFonts w:ascii="EB Garamond" w:eastAsia="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  Cf. AT 8A:16; CSM 1:203.</w:t>
      </w:r>
    </w:p>
  </w:footnote>
  <w:footnote w:id="23">
    <w:p w14:paraId="000000E6" w14:textId="77777777" w:rsidR="00B66D52" w:rsidRPr="00106E0C" w:rsidRDefault="00000000">
      <w:pPr>
        <w:spacing w:line="240" w:lineRule="auto"/>
        <w:rPr>
          <w:rFonts w:ascii="EB Garamond" w:eastAsia="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Gottlieb &amp; </w:t>
      </w:r>
      <w:proofErr w:type="spellStart"/>
      <w:r w:rsidRPr="00106E0C">
        <w:rPr>
          <w:rFonts w:ascii="EB Garamond" w:eastAsia="EB Garamond" w:hAnsi="EB Garamond" w:cs="EB Garamond"/>
          <w:sz w:val="20"/>
          <w:szCs w:val="20"/>
        </w:rPr>
        <w:t>Parvizian</w:t>
      </w:r>
      <w:proofErr w:type="spellEnd"/>
      <w:r w:rsidRPr="00106E0C">
        <w:rPr>
          <w:rFonts w:ascii="EB Garamond" w:eastAsia="EB Garamond" w:hAnsi="EB Garamond" w:cs="EB Garamond"/>
          <w:sz w:val="20"/>
          <w:szCs w:val="20"/>
        </w:rPr>
        <w:t xml:space="preserve"> (2023) argue Descartes’ God is permitted to be a non-malicious deceiver but that deception regarding fundamental facts leads to psychological harm, and that one cannot non-maliciously create the conditions for psychological harm. Yet, such psychological harm would be the result of pursuing something contrary to the will of the Pyrrhonian God presented above, and therefore pursuing something incongruent with goodness itself could conceivably allow for psychological harm as a consequence.</w:t>
      </w:r>
    </w:p>
  </w:footnote>
  <w:footnote w:id="24">
    <w:p w14:paraId="000000E7" w14:textId="77777777" w:rsidR="00B66D52" w:rsidRPr="00106E0C" w:rsidRDefault="00000000">
      <w:pPr>
        <w:spacing w:line="240" w:lineRule="auto"/>
        <w:rPr>
          <w:rFonts w:ascii="EB Garamond" w:eastAsia="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 It seems that they must justify this. Hatfield (1986, p. 71) writes, “the problem is not to carry out proofs (which might well be assented to, given the definitions and axioms), but to discover the axioms themselves (which are hopelessly obscured by the prejudices of the senses).” Section 3.1 is intended to prove that </w:t>
      </w:r>
      <w:r w:rsidRPr="00106E0C">
        <w:rPr>
          <w:rFonts w:ascii="EB Garamond" w:eastAsia="EB Garamond" w:hAnsi="EB Garamond" w:cs="EB Garamond"/>
          <w:i/>
          <w:sz w:val="20"/>
          <w:szCs w:val="20"/>
        </w:rPr>
        <w:t>they cannot do this</w:t>
      </w:r>
      <w:r w:rsidRPr="00106E0C">
        <w:rPr>
          <w:rFonts w:ascii="EB Garamond" w:eastAsia="EB Garamond" w:hAnsi="EB Garamond" w:cs="EB Garamond"/>
          <w:sz w:val="20"/>
          <w:szCs w:val="20"/>
        </w:rPr>
        <w:t>, though.</w:t>
      </w:r>
    </w:p>
  </w:footnote>
  <w:footnote w:id="25">
    <w:p w14:paraId="000000E8" w14:textId="77777777" w:rsidR="00B66D52" w:rsidRPr="00106E0C" w:rsidRDefault="00000000">
      <w:pPr>
        <w:spacing w:line="240" w:lineRule="auto"/>
        <w:rPr>
          <w:rFonts w:ascii="EB Garamond" w:eastAsia="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 Descartes writes to Regius that “if we lack knowledge of God, we can imagine that the conclusions are uncertain even though we remember that they were deduced from clear principles: because perhaps our nature is such that we go wrong even in the most evident matters. Consequently, even at the moment when we deduced them from those principles, we did not have knowledge of them, but only a conviction of them.” (CSMK 147, AT 3:64-65).</w:t>
      </w:r>
    </w:p>
    <w:p w14:paraId="000000E9" w14:textId="77777777" w:rsidR="00B66D52" w:rsidRDefault="00B66D52">
      <w:pPr>
        <w:spacing w:line="240" w:lineRule="auto"/>
        <w:rPr>
          <w:rFonts w:ascii="EB Garamond" w:eastAsia="EB Garamond" w:hAnsi="EB Garamond" w:cs="EB Garamond"/>
          <w:sz w:val="20"/>
          <w:szCs w:val="20"/>
        </w:rPr>
      </w:pPr>
    </w:p>
  </w:footnote>
  <w:footnote w:id="26">
    <w:p w14:paraId="000000EA" w14:textId="77777777" w:rsidR="00B66D52" w:rsidRPr="00106E0C" w:rsidRDefault="00000000">
      <w:pPr>
        <w:spacing w:line="240" w:lineRule="auto"/>
        <w:rPr>
          <w:rFonts w:ascii="EB Garamond" w:eastAsia="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 One solution to this problem would be to assert that Descartes’ C&amp;D-granting God is itself a clear and distinct axiom without need of justification, but it seems like such a composite axiom must in some way be justified. Descartes thinks that consistent meditation will make it so that we may in fact treat the C&amp;D-granting God as a singular axiom even though the means by which we justify it are composite, but as we have shown before, this move doesn’t succeed.</w:t>
      </w:r>
    </w:p>
  </w:footnote>
  <w:footnote w:id="27">
    <w:p w14:paraId="000000EB" w14:textId="77777777" w:rsidR="00B66D52" w:rsidRPr="00106E0C" w:rsidRDefault="00000000">
      <w:pPr>
        <w:spacing w:line="240" w:lineRule="auto"/>
        <w:rPr>
          <w:rFonts w:ascii="EB Garamond" w:eastAsia="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 For the opposite perspective, see Veber (2019) or Rinard (2018). Though I am not outright providing the skeptical Cartesian doubter with a reason to believe that the faculties are completely reliable, much in this paper should be taken as reasons for why these forms of methodological doubt are not apt to maintain.</w:t>
      </w:r>
    </w:p>
  </w:footnote>
  <w:footnote w:id="28">
    <w:p w14:paraId="000000EC" w14:textId="77777777" w:rsidR="00B66D52" w:rsidRPr="00106E0C" w:rsidRDefault="00000000">
      <w:pPr>
        <w:spacing w:line="240" w:lineRule="auto"/>
        <w:rPr>
          <w:rFonts w:ascii="EB Garamond" w:eastAsia="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 This issue gets a more robust treatment by </w:t>
      </w:r>
      <w:proofErr w:type="spellStart"/>
      <w:r w:rsidRPr="00106E0C">
        <w:rPr>
          <w:rFonts w:ascii="EB Garamond" w:eastAsia="EB Garamond" w:hAnsi="EB Garamond" w:cs="EB Garamond"/>
          <w:sz w:val="20"/>
          <w:szCs w:val="20"/>
        </w:rPr>
        <w:t>Zagzebski</w:t>
      </w:r>
      <w:proofErr w:type="spellEnd"/>
      <w:r w:rsidRPr="00106E0C">
        <w:rPr>
          <w:rFonts w:ascii="EB Garamond" w:eastAsia="EB Garamond" w:hAnsi="EB Garamond" w:cs="EB Garamond"/>
          <w:sz w:val="20"/>
          <w:szCs w:val="20"/>
        </w:rPr>
        <w:t xml:space="preserve"> (1994) in “The Inescapability of Gettier Problems.” In attempting to undermine the exactness of epistemic projects, the reader would be excused in thinking that my view is more aligned with virtue-</w:t>
      </w:r>
      <w:proofErr w:type="spellStart"/>
      <w:r w:rsidRPr="00106E0C">
        <w:rPr>
          <w:rFonts w:ascii="EB Garamond" w:eastAsia="EB Garamond" w:hAnsi="EB Garamond" w:cs="EB Garamond"/>
          <w:sz w:val="20"/>
          <w:szCs w:val="20"/>
        </w:rPr>
        <w:t>responsibilism</w:t>
      </w:r>
      <w:proofErr w:type="spellEnd"/>
      <w:r w:rsidRPr="00106E0C">
        <w:rPr>
          <w:rFonts w:ascii="EB Garamond" w:eastAsia="EB Garamond" w:hAnsi="EB Garamond" w:cs="EB Garamond"/>
          <w:sz w:val="20"/>
          <w:szCs w:val="20"/>
        </w:rPr>
        <w:t xml:space="preserve">, despite the fact that I believe the theory of belief formation that I sketch is compatible with virtue </w:t>
      </w:r>
      <w:proofErr w:type="spellStart"/>
      <w:r w:rsidRPr="00106E0C">
        <w:rPr>
          <w:rFonts w:ascii="EB Garamond" w:eastAsia="EB Garamond" w:hAnsi="EB Garamond" w:cs="EB Garamond"/>
          <w:sz w:val="20"/>
          <w:szCs w:val="20"/>
        </w:rPr>
        <w:t>reliabilism</w:t>
      </w:r>
      <w:proofErr w:type="spellEnd"/>
      <w:r w:rsidRPr="00106E0C">
        <w:rPr>
          <w:rFonts w:ascii="EB Garamond" w:eastAsia="EB Garamond" w:hAnsi="EB Garamond" w:cs="EB Garamond"/>
          <w:sz w:val="20"/>
          <w:szCs w:val="20"/>
        </w:rPr>
        <w:t>.</w:t>
      </w:r>
    </w:p>
  </w:footnote>
  <w:footnote w:id="29">
    <w:p w14:paraId="000000ED" w14:textId="77777777" w:rsidR="00B66D52" w:rsidRPr="00106E0C" w:rsidRDefault="00000000">
      <w:pPr>
        <w:spacing w:line="240" w:lineRule="auto"/>
        <w:rPr>
          <w:rFonts w:ascii="EB Garamond" w:eastAsia="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 Kidd (2018) addresses the nature of some of these harms and how epistemic courage manifests in response to them.</w:t>
      </w:r>
    </w:p>
  </w:footnote>
  <w:footnote w:id="30">
    <w:p w14:paraId="000000EE" w14:textId="77777777" w:rsidR="00B66D52" w:rsidRPr="00106E0C" w:rsidRDefault="00000000">
      <w:pPr>
        <w:spacing w:line="240" w:lineRule="auto"/>
        <w:rPr>
          <w:rFonts w:ascii="EB Garamond" w:eastAsia="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 Similar views are sketched in </w:t>
      </w:r>
      <w:proofErr w:type="spellStart"/>
      <w:r w:rsidRPr="00106E0C">
        <w:rPr>
          <w:rFonts w:ascii="EB Garamond" w:eastAsia="EB Garamond" w:hAnsi="EB Garamond" w:cs="EB Garamond"/>
          <w:sz w:val="20"/>
          <w:szCs w:val="20"/>
        </w:rPr>
        <w:t>Bauhn</w:t>
      </w:r>
      <w:proofErr w:type="spellEnd"/>
      <w:r w:rsidRPr="00106E0C">
        <w:rPr>
          <w:rFonts w:ascii="EB Garamond" w:eastAsia="EB Garamond" w:hAnsi="EB Garamond" w:cs="EB Garamond"/>
          <w:sz w:val="20"/>
          <w:szCs w:val="20"/>
        </w:rPr>
        <w:t xml:space="preserve"> (2007) and </w:t>
      </w:r>
      <w:proofErr w:type="spellStart"/>
      <w:r w:rsidRPr="00106E0C">
        <w:rPr>
          <w:rFonts w:ascii="EB Garamond" w:eastAsia="EB Garamond" w:hAnsi="EB Garamond" w:cs="EB Garamond"/>
          <w:sz w:val="20"/>
          <w:szCs w:val="20"/>
        </w:rPr>
        <w:t>Pinalto</w:t>
      </w:r>
      <w:proofErr w:type="spellEnd"/>
      <w:r w:rsidRPr="00106E0C">
        <w:rPr>
          <w:rFonts w:ascii="EB Garamond" w:eastAsia="EB Garamond" w:hAnsi="EB Garamond" w:cs="EB Garamond"/>
          <w:sz w:val="20"/>
          <w:szCs w:val="20"/>
        </w:rPr>
        <w:t xml:space="preserve"> (2012), with </w:t>
      </w:r>
      <w:proofErr w:type="spellStart"/>
      <w:r w:rsidRPr="00106E0C">
        <w:rPr>
          <w:rFonts w:ascii="EB Garamond" w:eastAsia="EB Garamond" w:hAnsi="EB Garamond" w:cs="EB Garamond"/>
          <w:sz w:val="20"/>
          <w:szCs w:val="20"/>
        </w:rPr>
        <w:t>Bauhn</w:t>
      </w:r>
      <w:proofErr w:type="spellEnd"/>
      <w:r w:rsidRPr="00106E0C">
        <w:rPr>
          <w:rFonts w:ascii="EB Garamond" w:eastAsia="EB Garamond" w:hAnsi="EB Garamond" w:cs="EB Garamond"/>
          <w:sz w:val="20"/>
          <w:szCs w:val="20"/>
        </w:rPr>
        <w:t xml:space="preserve"> placing an emphasis on social harm facing those with the “courage of conviction.”</w:t>
      </w:r>
    </w:p>
  </w:footnote>
  <w:footnote w:id="31">
    <w:p w14:paraId="000000FD" w14:textId="77777777" w:rsidR="00B66D52" w:rsidRPr="00106E0C" w:rsidRDefault="00000000">
      <w:pPr>
        <w:spacing w:line="240" w:lineRule="auto"/>
        <w:rPr>
          <w:rFonts w:ascii="EB Garamond" w:eastAsia="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 Fleisher (2023) makes a complementary argument against the “evidence-only” accounts of epistemic normativity, highlighting the importance of what he calls “inquisitive reasons” for guiding inquiry.</w:t>
      </w:r>
    </w:p>
  </w:footnote>
  <w:footnote w:id="32">
    <w:p w14:paraId="000000FA" w14:textId="77777777" w:rsidR="00B66D52" w:rsidRPr="00106E0C" w:rsidRDefault="00000000">
      <w:pPr>
        <w:spacing w:line="240" w:lineRule="auto"/>
        <w:rPr>
          <w:rFonts w:ascii="EB Garamond" w:eastAsia="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 Credit here is not being used similarly to social credit but, like Sosa notes in </w:t>
      </w:r>
      <w:r w:rsidRPr="00106E0C">
        <w:rPr>
          <w:rFonts w:ascii="EB Garamond" w:eastAsia="EB Garamond" w:hAnsi="EB Garamond" w:cs="EB Garamond"/>
          <w:i/>
          <w:sz w:val="20"/>
          <w:szCs w:val="20"/>
        </w:rPr>
        <w:t>Knowing Full Well</w:t>
      </w:r>
      <w:r w:rsidRPr="00106E0C">
        <w:rPr>
          <w:rFonts w:ascii="EB Garamond" w:eastAsia="EB Garamond" w:hAnsi="EB Garamond" w:cs="EB Garamond"/>
          <w:sz w:val="20"/>
          <w:szCs w:val="20"/>
        </w:rPr>
        <w:t xml:space="preserve">, as instead a more of a causal notion. That is, when we credit something, we are saying “causal responsibility for a certain good outcome is attributed to the entity “credited” (at least partially) for that outcome” (p.86). </w:t>
      </w:r>
    </w:p>
  </w:footnote>
  <w:footnote w:id="33">
    <w:p w14:paraId="000000FB" w14:textId="77777777" w:rsidR="00B66D52" w:rsidRPr="00106E0C" w:rsidRDefault="00000000">
      <w:pPr>
        <w:spacing w:line="240" w:lineRule="auto"/>
        <w:rPr>
          <w:rFonts w:ascii="EB Garamond" w:eastAsia="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 This discussion is reminiscent of that of Aristotle, where he concludes that the drunkard, animal, and optimist are not courageous (</w:t>
      </w:r>
      <w:r w:rsidRPr="00106E0C">
        <w:rPr>
          <w:rFonts w:ascii="EB Garamond" w:eastAsia="EB Garamond" w:hAnsi="EB Garamond" w:cs="EB Garamond"/>
          <w:i/>
          <w:sz w:val="20"/>
          <w:szCs w:val="20"/>
        </w:rPr>
        <w:t>Nicomachean Ethics</w:t>
      </w:r>
      <w:r w:rsidRPr="00106E0C">
        <w:rPr>
          <w:rFonts w:ascii="EB Garamond" w:eastAsia="EB Garamond" w:hAnsi="EB Garamond" w:cs="EB Garamond"/>
          <w:sz w:val="20"/>
          <w:szCs w:val="20"/>
        </w:rPr>
        <w:t>, III.8, 1117a30–1117b10).</w:t>
      </w:r>
    </w:p>
  </w:footnote>
  <w:footnote w:id="34">
    <w:p w14:paraId="000000EF" w14:textId="17205854" w:rsidR="00B66D52" w:rsidRPr="00106E0C" w:rsidRDefault="00000000">
      <w:pPr>
        <w:spacing w:line="240" w:lineRule="auto"/>
        <w:rPr>
          <w:rFonts w:ascii="EB Garamond" w:eastAsia="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 There exist exceptions to this, of course. </w:t>
      </w:r>
      <w:r w:rsidR="00106E0C" w:rsidRPr="00106E0C">
        <w:rPr>
          <w:rFonts w:ascii="EB Garamond" w:eastAsia="EB Garamond" w:hAnsi="EB Garamond" w:cs="EB Garamond"/>
          <w:sz w:val="20"/>
          <w:szCs w:val="20"/>
        </w:rPr>
        <w:t>Believing a</w:t>
      </w:r>
      <w:r w:rsidRPr="00106E0C">
        <w:rPr>
          <w:rFonts w:ascii="EB Garamond" w:eastAsia="EB Garamond" w:hAnsi="EB Garamond" w:cs="EB Garamond"/>
          <w:sz w:val="20"/>
          <w:szCs w:val="20"/>
        </w:rPr>
        <w:t xml:space="preserve"> statement such as “I have at least one belief” does seem to have an effect on its truth. Similarly, many readings of the Cogito, such as the performative reading (Hintikka 1962), require the thought of the Cogito to demonstrate its truth.</w:t>
      </w:r>
    </w:p>
  </w:footnote>
  <w:footnote w:id="35">
    <w:p w14:paraId="000000F0" w14:textId="77777777" w:rsidR="00B66D52" w:rsidRPr="00106E0C" w:rsidRDefault="00000000">
      <w:pPr>
        <w:spacing w:line="240" w:lineRule="auto"/>
        <w:rPr>
          <w:rFonts w:ascii="EB Garamond" w:eastAsia="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 Whether we have direct doxastic control is hotly debated: see </w:t>
      </w:r>
      <w:r w:rsidRPr="00106E0C">
        <w:rPr>
          <w:rFonts w:ascii="EB Garamond" w:eastAsia="EB Garamond" w:hAnsi="EB Garamond" w:cs="EB Garamond"/>
          <w:sz w:val="20"/>
          <w:szCs w:val="20"/>
          <w:highlight w:val="white"/>
        </w:rPr>
        <w:t>Williams (1970), Steup (2008), Alston (1989).</w:t>
      </w:r>
      <w:r w:rsidRPr="00106E0C">
        <w:rPr>
          <w:rFonts w:ascii="EB Garamond" w:eastAsia="EB Garamond" w:hAnsi="EB Garamond" w:cs="EB Garamond"/>
          <w:sz w:val="20"/>
          <w:szCs w:val="20"/>
        </w:rPr>
        <w:t xml:space="preserve"> For my purposes, it suffices that we have the capacity to believe or withhold belief when presented with overwhelmingly uncontested evidence.</w:t>
      </w:r>
    </w:p>
  </w:footnote>
  <w:footnote w:id="36">
    <w:p w14:paraId="000000F1" w14:textId="6E487644" w:rsidR="00B66D52" w:rsidRPr="00106E0C" w:rsidRDefault="00000000">
      <w:pPr>
        <w:spacing w:line="240" w:lineRule="auto"/>
        <w:rPr>
          <w:rFonts w:ascii="EB Garamond" w:eastAsia="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 Heil (1984) </w:t>
      </w:r>
      <w:r w:rsidR="00106E0C">
        <w:rPr>
          <w:rFonts w:ascii="EB Garamond" w:eastAsia="EB Garamond" w:hAnsi="EB Garamond" w:cs="EB Garamond"/>
          <w:sz w:val="20"/>
          <w:szCs w:val="20"/>
        </w:rPr>
        <w:t>defends that it is possible to believe incontinently, as the foregoing examples illustrate.</w:t>
      </w:r>
    </w:p>
  </w:footnote>
  <w:footnote w:id="37">
    <w:p w14:paraId="000000F9" w14:textId="77777777" w:rsidR="00B66D52" w:rsidRDefault="00000000">
      <w:pPr>
        <w:spacing w:line="240" w:lineRule="auto"/>
        <w:rPr>
          <w:rFonts w:ascii="EB Garamond" w:eastAsia="EB Garamond" w:hAnsi="EB Garamond" w:cs="EB Garamond"/>
          <w:sz w:val="20"/>
          <w:szCs w:val="20"/>
        </w:rPr>
      </w:pPr>
      <w:r>
        <w:rPr>
          <w:vertAlign w:val="superscript"/>
        </w:rPr>
        <w:footnoteRef/>
      </w:r>
      <w:r>
        <w:rPr>
          <w:rFonts w:ascii="EB Garamond" w:eastAsia="EB Garamond" w:hAnsi="EB Garamond" w:cs="EB Garamond"/>
          <w:sz w:val="20"/>
          <w:szCs w:val="20"/>
        </w:rPr>
        <w:t xml:space="preserve"> “There are two points here which we should keep in mind: we should never assume to be true anything which is false; and our goal should be to attain knowledge of all things.” (AT 10:372, CSM 1:16)</w:t>
      </w:r>
    </w:p>
  </w:footnote>
  <w:footnote w:id="38">
    <w:p w14:paraId="000000F2" w14:textId="77777777" w:rsidR="00B66D52" w:rsidRDefault="00000000">
      <w:pPr>
        <w:spacing w:line="240" w:lineRule="auto"/>
        <w:rPr>
          <w:rFonts w:ascii="EB Garamond" w:eastAsia="EB Garamond" w:hAnsi="EB Garamond" w:cs="EB Garamond"/>
          <w:i/>
          <w:sz w:val="20"/>
          <w:szCs w:val="20"/>
        </w:rPr>
      </w:pPr>
      <w:r>
        <w:rPr>
          <w:vertAlign w:val="superscript"/>
        </w:rPr>
        <w:footnoteRef/>
      </w:r>
      <w:r>
        <w:rPr>
          <w:rFonts w:ascii="EB Garamond" w:eastAsia="EB Garamond" w:hAnsi="EB Garamond" w:cs="EB Garamond"/>
          <w:sz w:val="20"/>
          <w:szCs w:val="20"/>
        </w:rPr>
        <w:t xml:space="preserve"> This is not to claim that </w:t>
      </w:r>
      <w:r>
        <w:rPr>
          <w:rFonts w:ascii="EB Garamond" w:eastAsia="EB Garamond" w:hAnsi="EB Garamond" w:cs="EB Garamond"/>
          <w:i/>
          <w:sz w:val="20"/>
          <w:szCs w:val="20"/>
        </w:rPr>
        <w:t>p</w:t>
      </w:r>
      <w:r>
        <w:rPr>
          <w:rFonts w:ascii="EB Garamond" w:eastAsia="EB Garamond" w:hAnsi="EB Garamond" w:cs="EB Garamond"/>
          <w:sz w:val="20"/>
          <w:szCs w:val="20"/>
        </w:rPr>
        <w:t xml:space="preserve">’s being immediate and obvious is not itself evidence for </w:t>
      </w:r>
      <w:r>
        <w:rPr>
          <w:rFonts w:ascii="EB Garamond" w:eastAsia="EB Garamond" w:hAnsi="EB Garamond" w:cs="EB Garamond"/>
          <w:i/>
          <w:sz w:val="20"/>
          <w:szCs w:val="20"/>
        </w:rPr>
        <w:t>p.</w:t>
      </w:r>
    </w:p>
  </w:footnote>
  <w:footnote w:id="39">
    <w:p w14:paraId="000000F3" w14:textId="77777777" w:rsidR="00B66D52" w:rsidRPr="00106E0C" w:rsidRDefault="00000000">
      <w:pPr>
        <w:spacing w:line="240" w:lineRule="auto"/>
        <w:rPr>
          <w:rFonts w:ascii="EB Garamond" w:eastAsia="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 There may exist situations in which two beliefs can be considered justified, these two beliefs can be contradictory, and we may </w:t>
      </w:r>
      <w:r w:rsidRPr="00106E0C">
        <w:rPr>
          <w:rFonts w:ascii="EB Garamond" w:eastAsia="EB Garamond" w:hAnsi="EB Garamond" w:cs="EB Garamond"/>
          <w:i/>
          <w:sz w:val="20"/>
          <w:szCs w:val="20"/>
        </w:rPr>
        <w:t>tolerate</w:t>
      </w:r>
      <w:r w:rsidRPr="00106E0C">
        <w:rPr>
          <w:rFonts w:ascii="EB Garamond" w:eastAsia="EB Garamond" w:hAnsi="EB Garamond" w:cs="EB Garamond"/>
          <w:sz w:val="20"/>
          <w:szCs w:val="20"/>
        </w:rPr>
        <w:t xml:space="preserve"> the inconsistency. For such cases, see Smith (2024). </w:t>
      </w:r>
    </w:p>
  </w:footnote>
  <w:footnote w:id="40">
    <w:p w14:paraId="000000F4" w14:textId="77777777" w:rsidR="00B66D52" w:rsidRPr="00106E0C" w:rsidRDefault="00000000">
      <w:pPr>
        <w:spacing w:line="240" w:lineRule="auto"/>
        <w:rPr>
          <w:rFonts w:ascii="EB Garamond" w:eastAsia="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 There may be a relationship between hyperbolic doubt and anti-expertise. As Descartes argues: “For from the fact that he is so </w:t>
      </w:r>
      <w:proofErr w:type="gramStart"/>
      <w:r w:rsidRPr="00106E0C">
        <w:rPr>
          <w:rFonts w:ascii="EB Garamond" w:eastAsia="EB Garamond" w:hAnsi="EB Garamond" w:cs="EB Garamond"/>
          <w:sz w:val="20"/>
          <w:szCs w:val="20"/>
        </w:rPr>
        <w:t>afraid, but</w:t>
      </w:r>
      <w:proofErr w:type="gramEnd"/>
      <w:r w:rsidRPr="00106E0C">
        <w:rPr>
          <w:rFonts w:ascii="EB Garamond" w:eastAsia="EB Garamond" w:hAnsi="EB Garamond" w:cs="EB Garamond"/>
          <w:sz w:val="20"/>
          <w:szCs w:val="20"/>
        </w:rPr>
        <w:t xml:space="preserve"> does not know for certain that he should not distrust himself, it follows that he should indeed distrust himself.” (AT 7:476; CSM 2:321)</w:t>
      </w:r>
    </w:p>
  </w:footnote>
  <w:footnote w:id="41">
    <w:p w14:paraId="000000F5" w14:textId="77777777" w:rsidR="00B66D52" w:rsidRPr="00106E0C" w:rsidRDefault="00000000">
      <w:pPr>
        <w:spacing w:line="240" w:lineRule="auto"/>
        <w:rPr>
          <w:rFonts w:ascii="EB Garamond" w:eastAsia="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 I am not asserting that the evidence for the one-gene-one-enzyme hypothesis is not also evidence for the more modern models of genetics. The first hypothesis is merely an overgeneralization of the way some genes function by applying this mechanism to all genes.</w:t>
      </w:r>
    </w:p>
  </w:footnote>
  <w:footnote w:id="42">
    <w:p w14:paraId="000000FC" w14:textId="77777777" w:rsidR="00B66D52" w:rsidRPr="00106E0C" w:rsidRDefault="00000000">
      <w:pPr>
        <w:spacing w:line="240" w:lineRule="auto"/>
        <w:rPr>
          <w:rFonts w:ascii="EB Garamond" w:eastAsia="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 Mulryan (2024) importantly outlines a parallel account of dialogic courage, where the agora of public discourse is threatened by habits of dogma and intellectual coercion. Socratic interrogation, he argues, is uniquely suited to create the existential loss-of-footing that motivates careful belief formation.</w:t>
      </w:r>
    </w:p>
  </w:footnote>
  <w:footnote w:id="43">
    <w:p w14:paraId="000000FE" w14:textId="77777777" w:rsidR="00B66D52" w:rsidRPr="00106E0C" w:rsidRDefault="00000000">
      <w:pPr>
        <w:spacing w:line="240" w:lineRule="auto"/>
        <w:rPr>
          <w:rFonts w:ascii="EB Garamond" w:eastAsia="EB Garamond" w:hAnsi="EB Garamond" w:cs="EB Garamond"/>
          <w:sz w:val="20"/>
          <w:szCs w:val="20"/>
        </w:rPr>
      </w:pPr>
      <w:r w:rsidRPr="00106E0C">
        <w:rPr>
          <w:rFonts w:ascii="EB Garamond" w:hAnsi="EB Garamond" w:cs="EB Garamond"/>
          <w:vertAlign w:val="superscript"/>
        </w:rPr>
        <w:footnoteRef/>
      </w:r>
      <w:r w:rsidRPr="00106E0C">
        <w:rPr>
          <w:rFonts w:ascii="EB Garamond" w:eastAsia="EB Garamond" w:hAnsi="EB Garamond" w:cs="EB Garamond"/>
          <w:sz w:val="20"/>
          <w:szCs w:val="20"/>
        </w:rPr>
        <w:t xml:space="preserve"> </w:t>
      </w:r>
      <w:proofErr w:type="spellStart"/>
      <w:r w:rsidRPr="00106E0C">
        <w:rPr>
          <w:rFonts w:ascii="EB Garamond" w:eastAsia="EB Garamond" w:hAnsi="EB Garamond" w:cs="EB Garamond"/>
          <w:sz w:val="20"/>
          <w:szCs w:val="20"/>
        </w:rPr>
        <w:t>Aberdein</w:t>
      </w:r>
      <w:proofErr w:type="spellEnd"/>
      <w:r w:rsidRPr="00106E0C">
        <w:rPr>
          <w:rFonts w:ascii="EB Garamond" w:eastAsia="EB Garamond" w:hAnsi="EB Garamond" w:cs="EB Garamond"/>
          <w:sz w:val="20"/>
          <w:szCs w:val="20"/>
        </w:rPr>
        <w:t xml:space="preserve"> (2021) critiques notions of intellectual courage that are framed as perseverance, noting that deep disagreements may present a case in which perseverance should come to an end. Such an example is analogous to doxastic courage, where prudence instructs us to avoid both intrinsic and extrinsic harms in believing.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7" w14:textId="77777777" w:rsidR="00B66D52" w:rsidRDefault="00B66D5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D271B"/>
    <w:multiLevelType w:val="multilevel"/>
    <w:tmpl w:val="F064EC5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4C8A190A"/>
    <w:multiLevelType w:val="multilevel"/>
    <w:tmpl w:val="FA820B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66516E88"/>
    <w:multiLevelType w:val="multilevel"/>
    <w:tmpl w:val="3D9041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6090F1F"/>
    <w:multiLevelType w:val="multilevel"/>
    <w:tmpl w:val="ADFE63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10561053">
    <w:abstractNumId w:val="0"/>
  </w:num>
  <w:num w:numId="2" w16cid:durableId="2100129682">
    <w:abstractNumId w:val="3"/>
  </w:num>
  <w:num w:numId="3" w16cid:durableId="925071323">
    <w:abstractNumId w:val="2"/>
  </w:num>
  <w:num w:numId="4" w16cid:durableId="7124599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D52"/>
    <w:rsid w:val="00091D25"/>
    <w:rsid w:val="00106E0C"/>
    <w:rsid w:val="0024660B"/>
    <w:rsid w:val="00331D48"/>
    <w:rsid w:val="004322D3"/>
    <w:rsid w:val="00561E57"/>
    <w:rsid w:val="005F0958"/>
    <w:rsid w:val="005F432D"/>
    <w:rsid w:val="005F6EF9"/>
    <w:rsid w:val="006D3CA3"/>
    <w:rsid w:val="007D4E6B"/>
    <w:rsid w:val="00853DC1"/>
    <w:rsid w:val="008B0E00"/>
    <w:rsid w:val="008C5782"/>
    <w:rsid w:val="00A02313"/>
    <w:rsid w:val="00A4447D"/>
    <w:rsid w:val="00B225C8"/>
    <w:rsid w:val="00B66D52"/>
    <w:rsid w:val="00C85AD6"/>
    <w:rsid w:val="00D90B32"/>
    <w:rsid w:val="00DC0B64"/>
    <w:rsid w:val="00EC1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FB105"/>
  <w15:docId w15:val="{AAEAAF32-EF9F-254C-93A6-3E67BAFE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091D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2307/jj.2711675.8" TargetMode="External"/><Relationship Id="rId18" Type="http://schemas.openxmlformats.org/officeDocument/2006/relationships/hyperlink" Target="https://doi.org/10.1111/edth.12616" TargetMode="External"/><Relationship Id="rId26" Type="http://schemas.openxmlformats.org/officeDocument/2006/relationships/hyperlink" Target="https://doi.org/10.1093/bjps/34.1.13" TargetMode="External"/><Relationship Id="rId39" Type="http://schemas.openxmlformats.org/officeDocument/2006/relationships/fontTable" Target="fontTable.xml"/><Relationship Id="rId21" Type="http://schemas.openxmlformats.org/officeDocument/2006/relationships/hyperlink" Target="https://doi.org/10.1111/0029-4624.00160" TargetMode="External"/><Relationship Id="rId34" Type="http://schemas.openxmlformats.org/officeDocument/2006/relationships/hyperlink" Target="https://doi.org/10.1111/phis.12013" TargetMode="External"/><Relationship Id="rId7" Type="http://schemas.openxmlformats.org/officeDocument/2006/relationships/hyperlink" Target="https://doi.org/10.5840/wcp2120071276" TargetMode="External"/><Relationship Id="rId12" Type="http://schemas.openxmlformats.org/officeDocument/2006/relationships/hyperlink" Target="https://doi.org/10.2307/jj.2711675.8" TargetMode="External"/><Relationship Id="rId17" Type="http://schemas.openxmlformats.org/officeDocument/2006/relationships/hyperlink" Target="https://doi.org/10.1007/978-1-349-15265-0_6" TargetMode="External"/><Relationship Id="rId25" Type="http://schemas.openxmlformats.org/officeDocument/2006/relationships/hyperlink" Target="https://doi.org/10.1080/09672559.2012.668308" TargetMode="External"/><Relationship Id="rId33" Type="http://schemas.openxmlformats.org/officeDocument/2006/relationships/hyperlink" Target="https://doi.org/10.1163/22105700-20191366"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oi.org/10.1007/978-1-349-15265-0_6" TargetMode="External"/><Relationship Id="rId20" Type="http://schemas.openxmlformats.org/officeDocument/2006/relationships/hyperlink" Target="https://doi.org/10.1111/0029-4624.00160" TargetMode="External"/><Relationship Id="rId29" Type="http://schemas.openxmlformats.org/officeDocument/2006/relationships/hyperlink" Target="https://doi.org/10.1007/s11098-024-02198-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7/s11229-023-04290-4" TargetMode="External"/><Relationship Id="rId24" Type="http://schemas.openxmlformats.org/officeDocument/2006/relationships/hyperlink" Target="https://doi.org/10.1080/09672559.2012.668308" TargetMode="External"/><Relationship Id="rId32" Type="http://schemas.openxmlformats.org/officeDocument/2006/relationships/hyperlink" Target="https://doi.org/10.1163/22105700-20191366"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93/mind/xciii.369.56" TargetMode="External"/><Relationship Id="rId23" Type="http://schemas.openxmlformats.org/officeDocument/2006/relationships/hyperlink" Target="https://doi.org/10.1111/j.1747-9991.2008.00187.x" TargetMode="External"/><Relationship Id="rId28" Type="http://schemas.openxmlformats.org/officeDocument/2006/relationships/hyperlink" Target="https://doi.org/10.1007/s11098-024-02198-4" TargetMode="External"/><Relationship Id="rId36" Type="http://schemas.openxmlformats.org/officeDocument/2006/relationships/header" Target="header1.xml"/><Relationship Id="rId10" Type="http://schemas.openxmlformats.org/officeDocument/2006/relationships/hyperlink" Target="https://doi.org/10.1111/j.1933-1592.2007.00005.x" TargetMode="External"/><Relationship Id="rId19" Type="http://schemas.openxmlformats.org/officeDocument/2006/relationships/hyperlink" Target="https://doi.org/10.1111/edth.12616" TargetMode="External"/><Relationship Id="rId31" Type="http://schemas.openxmlformats.org/officeDocument/2006/relationships/hyperlink" Target="https://doi.org/10.1353/hph.2017.0002" TargetMode="External"/><Relationship Id="rId4" Type="http://schemas.openxmlformats.org/officeDocument/2006/relationships/webSettings" Target="webSettings.xml"/><Relationship Id="rId9" Type="http://schemas.openxmlformats.org/officeDocument/2006/relationships/hyperlink" Target="https://doi.org/10.1111/j.1933-1592.2007.00005.x" TargetMode="External"/><Relationship Id="rId14" Type="http://schemas.openxmlformats.org/officeDocument/2006/relationships/hyperlink" Target="https://doi.org/10.1093/mind/xciii.369.56" TargetMode="External"/><Relationship Id="rId22" Type="http://schemas.openxmlformats.org/officeDocument/2006/relationships/hyperlink" Target="https://doi.org/10.1111/j.1747-9991.2008.00187.x" TargetMode="External"/><Relationship Id="rId27" Type="http://schemas.openxmlformats.org/officeDocument/2006/relationships/hyperlink" Target="https://doi.org/10.1093/bjps/34.1.13" TargetMode="External"/><Relationship Id="rId30" Type="http://schemas.openxmlformats.org/officeDocument/2006/relationships/hyperlink" Target="https://doi.org/10.1353/hph.2017.0002" TargetMode="External"/><Relationship Id="rId35" Type="http://schemas.openxmlformats.org/officeDocument/2006/relationships/hyperlink" Target="https://doi.org/10.1111/phis.12013" TargetMode="External"/><Relationship Id="rId8" Type="http://schemas.openxmlformats.org/officeDocument/2006/relationships/hyperlink" Target="https://doi.org/10.5840/wcp2120071276"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9429</Words>
  <Characters>53747</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Nicholas Randazzo</cp:lastModifiedBy>
  <cp:revision>7</cp:revision>
  <dcterms:created xsi:type="dcterms:W3CDTF">2025-10-08T17:25:00Z</dcterms:created>
  <dcterms:modified xsi:type="dcterms:W3CDTF">2025-10-08T17:53:00Z</dcterms:modified>
</cp:coreProperties>
</file>