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E3F21" w14:textId="7CB95A59" w:rsidR="00DF4BA6" w:rsidRPr="00A36463" w:rsidRDefault="00F96C3B" w:rsidP="00966822">
      <w:pPr>
        <w:jc w:val="center"/>
        <w:rPr>
          <w:rFonts w:ascii="Garamond" w:hAnsi="Garamond"/>
          <w:b/>
          <w:bCs/>
          <w:sz w:val="28"/>
          <w:szCs w:val="28"/>
        </w:rPr>
      </w:pPr>
      <w:r w:rsidRPr="00A36463">
        <w:rPr>
          <w:rFonts w:ascii="Garamond" w:hAnsi="Garamond"/>
          <w:b/>
          <w:bCs/>
          <w:sz w:val="28"/>
          <w:szCs w:val="28"/>
        </w:rPr>
        <w:t xml:space="preserve">Recent </w:t>
      </w:r>
      <w:r w:rsidR="00547A1A" w:rsidRPr="00A36463">
        <w:rPr>
          <w:rFonts w:ascii="Garamond" w:hAnsi="Garamond"/>
          <w:b/>
          <w:bCs/>
          <w:sz w:val="28"/>
          <w:szCs w:val="28"/>
        </w:rPr>
        <w:t>W</w:t>
      </w:r>
      <w:r w:rsidRPr="00A36463">
        <w:rPr>
          <w:rFonts w:ascii="Garamond" w:hAnsi="Garamond"/>
          <w:b/>
          <w:bCs/>
          <w:sz w:val="28"/>
          <w:szCs w:val="28"/>
        </w:rPr>
        <w:t>ork on Freedom in Kant</w:t>
      </w:r>
      <w:r w:rsidR="00A36463">
        <w:rPr>
          <w:rStyle w:val="FootnoteReference"/>
          <w:rFonts w:ascii="Garamond" w:hAnsi="Garamond"/>
          <w:b/>
          <w:bCs/>
          <w:sz w:val="28"/>
          <w:szCs w:val="28"/>
        </w:rPr>
        <w:footnoteReference w:id="1"/>
      </w:r>
    </w:p>
    <w:p w14:paraId="2462867A" w14:textId="72CDB568" w:rsidR="00A36463" w:rsidRPr="00A36463" w:rsidRDefault="00A36463" w:rsidP="00966822">
      <w:pPr>
        <w:jc w:val="center"/>
        <w:rPr>
          <w:rFonts w:ascii="Garamond" w:hAnsi="Garamond"/>
          <w:b/>
          <w:bCs/>
          <w:sz w:val="28"/>
          <w:szCs w:val="28"/>
        </w:rPr>
      </w:pPr>
    </w:p>
    <w:p w14:paraId="58B554BC" w14:textId="1D9EA724" w:rsidR="00A36463" w:rsidRPr="00A36463" w:rsidRDefault="00A36463" w:rsidP="00966822">
      <w:pPr>
        <w:jc w:val="center"/>
        <w:rPr>
          <w:rFonts w:ascii="Garamond" w:hAnsi="Garamond"/>
        </w:rPr>
      </w:pPr>
      <w:r w:rsidRPr="00A36463">
        <w:rPr>
          <w:rFonts w:ascii="Garamond" w:hAnsi="Garamond"/>
        </w:rPr>
        <w:t xml:space="preserve">(Penultimate Draft. Final version </w:t>
      </w:r>
      <w:hyperlink r:id="rId8" w:history="1">
        <w:r w:rsidRPr="00A36463">
          <w:rPr>
            <w:rStyle w:val="Hyperlink"/>
            <w:rFonts w:ascii="Garamond" w:hAnsi="Garamond"/>
          </w:rPr>
          <w:t>now available at the British Journal for the History of Philosophy</w:t>
        </w:r>
      </w:hyperlink>
      <w:r w:rsidRPr="00A36463">
        <w:rPr>
          <w:rFonts w:ascii="Garamond" w:hAnsi="Garamond"/>
        </w:rPr>
        <w:t>)</w:t>
      </w:r>
    </w:p>
    <w:p w14:paraId="4BA73BB2" w14:textId="69AA0B88" w:rsidR="00966822" w:rsidRPr="00A36463" w:rsidRDefault="00966822" w:rsidP="00966822">
      <w:pPr>
        <w:jc w:val="center"/>
        <w:rPr>
          <w:rFonts w:ascii="Garamond" w:hAnsi="Garamond"/>
          <w:sz w:val="28"/>
          <w:szCs w:val="28"/>
        </w:rPr>
      </w:pPr>
    </w:p>
    <w:p w14:paraId="0D9E8AEE" w14:textId="77F126F1" w:rsidR="00244E01" w:rsidRPr="00A36463" w:rsidRDefault="00244E01" w:rsidP="00244E01">
      <w:pPr>
        <w:rPr>
          <w:rFonts w:ascii="Garamond" w:hAnsi="Garamond"/>
          <w:shd w:val="clear" w:color="auto" w:fill="FFFFFF"/>
        </w:rPr>
      </w:pPr>
      <w:proofErr w:type="spellStart"/>
      <w:r w:rsidRPr="00A36463">
        <w:rPr>
          <w:rFonts w:ascii="Garamond" w:hAnsi="Garamond"/>
          <w:shd w:val="clear" w:color="auto" w:fill="FFFFFF"/>
        </w:rPr>
        <w:t>Bacin</w:t>
      </w:r>
      <w:proofErr w:type="spellEnd"/>
      <w:r w:rsidRPr="00A36463">
        <w:rPr>
          <w:rFonts w:ascii="Garamond" w:hAnsi="Garamond"/>
          <w:shd w:val="clear" w:color="auto" w:fill="FFFFFF"/>
        </w:rPr>
        <w:t xml:space="preserve">, S., &amp; </w:t>
      </w:r>
      <w:proofErr w:type="spellStart"/>
      <w:r w:rsidRPr="00A36463">
        <w:rPr>
          <w:rFonts w:ascii="Garamond" w:hAnsi="Garamond"/>
          <w:shd w:val="clear" w:color="auto" w:fill="FFFFFF"/>
        </w:rPr>
        <w:t>Sensen</w:t>
      </w:r>
      <w:proofErr w:type="spellEnd"/>
      <w:r w:rsidRPr="00A36463">
        <w:rPr>
          <w:rFonts w:ascii="Garamond" w:hAnsi="Garamond"/>
          <w:shd w:val="clear" w:color="auto" w:fill="FFFFFF"/>
        </w:rPr>
        <w:t>, O. (Eds.). (2018). </w:t>
      </w:r>
      <w:r w:rsidRPr="00A36463">
        <w:rPr>
          <w:rFonts w:ascii="Garamond" w:hAnsi="Garamond"/>
          <w:i/>
          <w:iCs/>
          <w:shd w:val="clear" w:color="auto" w:fill="FFFFFF"/>
        </w:rPr>
        <w:t>The Emergence of Autonomy in Kant's Moral Philosophy</w:t>
      </w:r>
      <w:r w:rsidRPr="00A36463">
        <w:rPr>
          <w:rFonts w:ascii="Garamond" w:hAnsi="Garamond"/>
          <w:shd w:val="clear" w:color="auto" w:fill="FFFFFF"/>
        </w:rPr>
        <w:t>. Cambridge University Press.</w:t>
      </w:r>
    </w:p>
    <w:p w14:paraId="796FEA54" w14:textId="77777777" w:rsidR="00244E01" w:rsidRPr="00A36463" w:rsidRDefault="00244E01" w:rsidP="00244E01">
      <w:pPr>
        <w:rPr>
          <w:rFonts w:ascii="Garamond" w:hAnsi="Garamond"/>
          <w:shd w:val="clear" w:color="auto" w:fill="FFFFFF"/>
        </w:rPr>
      </w:pPr>
    </w:p>
    <w:p w14:paraId="16449153" w14:textId="557D7F3E" w:rsidR="00244E01" w:rsidRPr="00A36463" w:rsidRDefault="00244E01" w:rsidP="00244E01">
      <w:pPr>
        <w:rPr>
          <w:rFonts w:ascii="Garamond" w:hAnsi="Garamond"/>
          <w:shd w:val="clear" w:color="auto" w:fill="FFFFFF"/>
        </w:rPr>
      </w:pPr>
      <w:r w:rsidRPr="00A36463">
        <w:rPr>
          <w:rFonts w:ascii="Garamond" w:hAnsi="Garamond"/>
          <w:shd w:val="clear" w:color="auto" w:fill="FFFFFF"/>
        </w:rPr>
        <w:t>Moran, K. A. (Ed.). (2018). </w:t>
      </w:r>
      <w:r w:rsidRPr="00A36463">
        <w:rPr>
          <w:rFonts w:ascii="Garamond" w:hAnsi="Garamond"/>
          <w:i/>
          <w:iCs/>
          <w:shd w:val="clear" w:color="auto" w:fill="FFFFFF"/>
        </w:rPr>
        <w:t>Kant on freedom and spontaneity</w:t>
      </w:r>
      <w:r w:rsidRPr="00A36463">
        <w:rPr>
          <w:rFonts w:ascii="Garamond" w:hAnsi="Garamond"/>
          <w:shd w:val="clear" w:color="auto" w:fill="FFFFFF"/>
        </w:rPr>
        <w:t>. Cambridge University Press.</w:t>
      </w:r>
    </w:p>
    <w:p w14:paraId="4A874890" w14:textId="77777777" w:rsidR="00244E01" w:rsidRPr="00A36463" w:rsidRDefault="00244E01" w:rsidP="00244E01">
      <w:pPr>
        <w:rPr>
          <w:rFonts w:ascii="Garamond" w:hAnsi="Garamond"/>
          <w:shd w:val="clear" w:color="auto" w:fill="FFFFFF"/>
        </w:rPr>
      </w:pPr>
    </w:p>
    <w:p w14:paraId="5F87CDDB" w14:textId="77777777" w:rsidR="00244E01" w:rsidRPr="00A36463" w:rsidRDefault="00244E01" w:rsidP="00244E01">
      <w:pPr>
        <w:rPr>
          <w:rFonts w:ascii="Garamond" w:hAnsi="Garamond"/>
          <w:shd w:val="clear" w:color="auto" w:fill="FFFFFF"/>
        </w:rPr>
      </w:pPr>
      <w:r w:rsidRPr="00A36463">
        <w:rPr>
          <w:rFonts w:ascii="Garamond" w:hAnsi="Garamond"/>
          <w:shd w:val="clear" w:color="auto" w:fill="FFFFFF"/>
        </w:rPr>
        <w:t>Watkins, E. (Ed.). (2017). </w:t>
      </w:r>
      <w:r w:rsidRPr="00A36463">
        <w:rPr>
          <w:rFonts w:ascii="Garamond" w:hAnsi="Garamond"/>
          <w:i/>
          <w:iCs/>
          <w:shd w:val="clear" w:color="auto" w:fill="FFFFFF"/>
        </w:rPr>
        <w:t>Kant on Persons and Agency</w:t>
      </w:r>
      <w:r w:rsidRPr="00A36463">
        <w:rPr>
          <w:rFonts w:ascii="Garamond" w:hAnsi="Garamond"/>
          <w:shd w:val="clear" w:color="auto" w:fill="FFFFFF"/>
        </w:rPr>
        <w:t>. Cambridge University Press.</w:t>
      </w:r>
    </w:p>
    <w:p w14:paraId="649AA25B" w14:textId="1B5372A0" w:rsidR="00F96C3B" w:rsidRPr="00A36463" w:rsidRDefault="00F96C3B" w:rsidP="00C8224B">
      <w:pPr>
        <w:rPr>
          <w:rFonts w:ascii="Garamond" w:hAnsi="Garamond"/>
        </w:rPr>
      </w:pPr>
    </w:p>
    <w:p w14:paraId="6B611760" w14:textId="29C569E3" w:rsidR="00F96C3B" w:rsidRPr="00A36463" w:rsidRDefault="00F96C3B" w:rsidP="00C8224B">
      <w:pPr>
        <w:rPr>
          <w:rFonts w:ascii="Garamond" w:hAnsi="Garamond"/>
        </w:rPr>
      </w:pPr>
    </w:p>
    <w:p w14:paraId="2DBF7ADB" w14:textId="1F5C075E" w:rsidR="0051676B" w:rsidRPr="00A36463" w:rsidRDefault="00F96C3B" w:rsidP="006153A8">
      <w:pPr>
        <w:ind w:firstLine="720"/>
        <w:rPr>
          <w:rFonts w:ascii="Garamond" w:hAnsi="Garamond"/>
        </w:rPr>
      </w:pPr>
      <w:r w:rsidRPr="00A36463">
        <w:rPr>
          <w:rFonts w:ascii="Garamond" w:hAnsi="Garamond"/>
        </w:rPr>
        <w:t xml:space="preserve">Freedom </w:t>
      </w:r>
      <w:r w:rsidR="00D944EA" w:rsidRPr="00A36463">
        <w:rPr>
          <w:rFonts w:ascii="Garamond" w:hAnsi="Garamond"/>
        </w:rPr>
        <w:t>lies</w:t>
      </w:r>
      <w:r w:rsidRPr="00A36463">
        <w:rPr>
          <w:rFonts w:ascii="Garamond" w:hAnsi="Garamond"/>
        </w:rPr>
        <w:t xml:space="preserve"> at the heart of Kant’s philosophy</w:t>
      </w:r>
      <w:r w:rsidR="00547A1A" w:rsidRPr="00A36463">
        <w:rPr>
          <w:rFonts w:ascii="Garamond" w:hAnsi="Garamond"/>
        </w:rPr>
        <w:t xml:space="preserve">. </w:t>
      </w:r>
      <w:r w:rsidRPr="00A36463">
        <w:rPr>
          <w:rFonts w:ascii="Garamond" w:hAnsi="Garamond"/>
        </w:rPr>
        <w:t xml:space="preserve">Three recent edited collections </w:t>
      </w:r>
      <w:r w:rsidR="007A6711" w:rsidRPr="00A36463">
        <w:rPr>
          <w:rFonts w:ascii="Garamond" w:hAnsi="Garamond"/>
        </w:rPr>
        <w:t>(all published by</w:t>
      </w:r>
      <w:r w:rsidRPr="00A36463">
        <w:rPr>
          <w:rFonts w:ascii="Garamond" w:hAnsi="Garamond"/>
        </w:rPr>
        <w:t xml:space="preserve"> Cambridge University Press</w:t>
      </w:r>
      <w:r w:rsidR="007A6711" w:rsidRPr="00A36463">
        <w:rPr>
          <w:rFonts w:ascii="Garamond" w:hAnsi="Garamond"/>
        </w:rPr>
        <w:t>)</w:t>
      </w:r>
      <w:r w:rsidRPr="00A36463">
        <w:rPr>
          <w:rFonts w:ascii="Garamond" w:hAnsi="Garamond"/>
        </w:rPr>
        <w:t xml:space="preserve"> explore this key </w:t>
      </w:r>
      <w:r w:rsidR="00B47E31" w:rsidRPr="00A36463">
        <w:rPr>
          <w:rFonts w:ascii="Garamond" w:hAnsi="Garamond"/>
        </w:rPr>
        <w:t>idea</w:t>
      </w:r>
      <w:r w:rsidRPr="00A36463">
        <w:rPr>
          <w:rFonts w:ascii="Garamond" w:hAnsi="Garamond"/>
        </w:rPr>
        <w:t xml:space="preserve"> in different ways</w:t>
      </w:r>
      <w:r w:rsidR="00547A1A" w:rsidRPr="00A36463">
        <w:rPr>
          <w:rFonts w:ascii="Garamond" w:hAnsi="Garamond"/>
        </w:rPr>
        <w:t xml:space="preserve">, </w:t>
      </w:r>
      <w:r w:rsidR="008007C6" w:rsidRPr="00A36463">
        <w:rPr>
          <w:rFonts w:ascii="Garamond" w:hAnsi="Garamond"/>
        </w:rPr>
        <w:t>alongside</w:t>
      </w:r>
      <w:r w:rsidR="00547A1A" w:rsidRPr="00A36463">
        <w:rPr>
          <w:rFonts w:ascii="Garamond" w:hAnsi="Garamond"/>
        </w:rPr>
        <w:t xml:space="preserve"> other </w:t>
      </w:r>
      <w:r w:rsidR="008007C6" w:rsidRPr="00A36463">
        <w:rPr>
          <w:rFonts w:ascii="Garamond" w:hAnsi="Garamond"/>
        </w:rPr>
        <w:t xml:space="preserve">related </w:t>
      </w:r>
      <w:r w:rsidR="00B47E31" w:rsidRPr="00A36463">
        <w:rPr>
          <w:rFonts w:ascii="Garamond" w:hAnsi="Garamond"/>
        </w:rPr>
        <w:t>concepts</w:t>
      </w:r>
      <w:r w:rsidR="00547A1A" w:rsidRPr="00A36463">
        <w:rPr>
          <w:rFonts w:ascii="Garamond" w:hAnsi="Garamond"/>
        </w:rPr>
        <w:t xml:space="preserve"> such as spontaneity, autonomy, </w:t>
      </w:r>
      <w:proofErr w:type="gramStart"/>
      <w:r w:rsidR="00547A1A" w:rsidRPr="00A36463">
        <w:rPr>
          <w:rFonts w:ascii="Garamond" w:hAnsi="Garamond"/>
        </w:rPr>
        <w:t>agency</w:t>
      </w:r>
      <w:proofErr w:type="gramEnd"/>
      <w:r w:rsidR="00547A1A" w:rsidRPr="00A36463">
        <w:rPr>
          <w:rFonts w:ascii="Garamond" w:hAnsi="Garamond"/>
        </w:rPr>
        <w:t xml:space="preserve"> and personhood.</w:t>
      </w:r>
      <w:r w:rsidR="00E1758A" w:rsidRPr="00A36463">
        <w:rPr>
          <w:rFonts w:ascii="Garamond" w:hAnsi="Garamond"/>
        </w:rPr>
        <w:t xml:space="preserve"> </w:t>
      </w:r>
      <w:r w:rsidR="0051676B" w:rsidRPr="00A36463">
        <w:rPr>
          <w:rFonts w:ascii="Garamond" w:hAnsi="Garamond"/>
        </w:rPr>
        <w:t xml:space="preserve">These concepts play important roles </w:t>
      </w:r>
      <w:r w:rsidR="00B47E31" w:rsidRPr="00A36463">
        <w:rPr>
          <w:rFonts w:ascii="Garamond" w:hAnsi="Garamond"/>
        </w:rPr>
        <w:t>throughout Kant’s system of thought</w:t>
      </w:r>
      <w:r w:rsidR="0051676B" w:rsidRPr="00A36463">
        <w:rPr>
          <w:rFonts w:ascii="Garamond" w:hAnsi="Garamond"/>
        </w:rPr>
        <w:t xml:space="preserve">, and the collections reflect this breadth. For instance, spontaneity is an important part of Kant’s theoretical philosophy, where </w:t>
      </w:r>
      <w:r w:rsidR="00CB5FE4" w:rsidRPr="00A36463">
        <w:rPr>
          <w:rFonts w:ascii="Garamond" w:hAnsi="Garamond"/>
        </w:rPr>
        <w:t>cognition involves some form of free activity</w:t>
      </w:r>
      <w:r w:rsidR="0051676B" w:rsidRPr="00A36463">
        <w:rPr>
          <w:rFonts w:ascii="Garamond" w:hAnsi="Garamond"/>
        </w:rPr>
        <w:t>. Freedom is also a crucial part of Kant’s practical philosophy, in that i</w:t>
      </w:r>
      <w:r w:rsidR="006E116C" w:rsidRPr="00A36463">
        <w:rPr>
          <w:rFonts w:ascii="Garamond" w:hAnsi="Garamond"/>
        </w:rPr>
        <w:t>t is</w:t>
      </w:r>
      <w:r w:rsidR="0051676B" w:rsidRPr="00A36463">
        <w:rPr>
          <w:rFonts w:ascii="Garamond" w:hAnsi="Garamond"/>
        </w:rPr>
        <w:t xml:space="preserve"> both what makes us </w:t>
      </w:r>
      <w:r w:rsidR="006E116C" w:rsidRPr="00A36463">
        <w:rPr>
          <w:rFonts w:ascii="Garamond" w:hAnsi="Garamond"/>
        </w:rPr>
        <w:t xml:space="preserve">moral agents </w:t>
      </w:r>
      <w:r w:rsidR="00CB5FE4" w:rsidRPr="00A36463">
        <w:rPr>
          <w:rFonts w:ascii="Garamond" w:hAnsi="Garamond"/>
        </w:rPr>
        <w:t>capable of acting for the sake of the moral law</w:t>
      </w:r>
      <w:r w:rsidR="0051676B" w:rsidRPr="00A36463">
        <w:rPr>
          <w:rFonts w:ascii="Garamond" w:hAnsi="Garamond"/>
        </w:rPr>
        <w:t xml:space="preserve">, but also what gives us our distinctive moral status as ends in ourselves. This </w:t>
      </w:r>
      <w:r w:rsidR="00870280" w:rsidRPr="00A36463">
        <w:rPr>
          <w:rFonts w:ascii="Garamond" w:hAnsi="Garamond"/>
        </w:rPr>
        <w:t xml:space="preserve">in turn is </w:t>
      </w:r>
      <w:r w:rsidR="0051676B" w:rsidRPr="00A36463">
        <w:rPr>
          <w:rFonts w:ascii="Garamond" w:hAnsi="Garamond"/>
        </w:rPr>
        <w:t xml:space="preserve">tightly related to autonomy, </w:t>
      </w:r>
      <w:r w:rsidR="00CB5FE4" w:rsidRPr="00A36463">
        <w:rPr>
          <w:rFonts w:ascii="Garamond" w:hAnsi="Garamond"/>
        </w:rPr>
        <w:t>as we give the moral law to ourselves</w:t>
      </w:r>
      <w:r w:rsidR="006E116C" w:rsidRPr="00A36463">
        <w:rPr>
          <w:rFonts w:ascii="Garamond" w:hAnsi="Garamond"/>
        </w:rPr>
        <w:t>. And both freedom and autonomy</w:t>
      </w:r>
      <w:r w:rsidR="00CB5FE4" w:rsidRPr="00A36463">
        <w:rPr>
          <w:rFonts w:ascii="Garamond" w:hAnsi="Garamond"/>
        </w:rPr>
        <w:t xml:space="preserve"> </w:t>
      </w:r>
      <w:r w:rsidR="0051676B" w:rsidRPr="00A36463">
        <w:rPr>
          <w:rFonts w:ascii="Garamond" w:hAnsi="Garamond"/>
        </w:rPr>
        <w:t xml:space="preserve">play a foundational element in Kant’s political philosophy. </w:t>
      </w:r>
    </w:p>
    <w:p w14:paraId="0DF18116" w14:textId="77777777" w:rsidR="0051676B" w:rsidRPr="00A36463" w:rsidRDefault="0051676B" w:rsidP="00C8224B">
      <w:pPr>
        <w:rPr>
          <w:rFonts w:ascii="Garamond" w:hAnsi="Garamond"/>
        </w:rPr>
      </w:pPr>
    </w:p>
    <w:p w14:paraId="7295F6E4" w14:textId="5E22EF22" w:rsidR="007A6711" w:rsidRPr="00A36463" w:rsidRDefault="00547A1A" w:rsidP="003F231C">
      <w:pPr>
        <w:ind w:firstLine="720"/>
        <w:rPr>
          <w:rFonts w:ascii="Garamond" w:hAnsi="Garamond"/>
          <w:b/>
          <w:bCs/>
        </w:rPr>
      </w:pPr>
      <w:r w:rsidRPr="00A36463">
        <w:rPr>
          <w:rFonts w:ascii="Garamond" w:hAnsi="Garamond"/>
        </w:rPr>
        <w:t>In what follows, I briefly summarise each of the collections</w:t>
      </w:r>
      <w:r w:rsidR="006E116C" w:rsidRPr="00A36463">
        <w:rPr>
          <w:rFonts w:ascii="Garamond" w:hAnsi="Garamond"/>
        </w:rPr>
        <w:t xml:space="preserve">. </w:t>
      </w:r>
      <w:r w:rsidR="00CB5FE4" w:rsidRPr="00A36463">
        <w:rPr>
          <w:rFonts w:ascii="Garamond" w:hAnsi="Garamond"/>
        </w:rPr>
        <w:t xml:space="preserve">After </w:t>
      </w:r>
      <w:r w:rsidR="006E116C" w:rsidRPr="00A36463">
        <w:rPr>
          <w:rFonts w:ascii="Garamond" w:hAnsi="Garamond"/>
        </w:rPr>
        <w:t>doing so,</w:t>
      </w:r>
      <w:r w:rsidR="00CB5FE4" w:rsidRPr="00A36463">
        <w:rPr>
          <w:rFonts w:ascii="Garamond" w:hAnsi="Garamond"/>
        </w:rPr>
        <w:t xml:space="preserve"> I offer </w:t>
      </w:r>
      <w:r w:rsidRPr="00A36463">
        <w:rPr>
          <w:rFonts w:ascii="Garamond" w:hAnsi="Garamond"/>
        </w:rPr>
        <w:t xml:space="preserve">some general remarks about the state of </w:t>
      </w:r>
      <w:r w:rsidR="00D66B29" w:rsidRPr="00A36463">
        <w:rPr>
          <w:rFonts w:ascii="Garamond" w:hAnsi="Garamond"/>
        </w:rPr>
        <w:t>the literature</w:t>
      </w:r>
      <w:r w:rsidRPr="00A36463">
        <w:rPr>
          <w:rFonts w:ascii="Garamond" w:hAnsi="Garamond"/>
        </w:rPr>
        <w:t>.</w:t>
      </w:r>
      <w:r w:rsidR="008007C6" w:rsidRPr="00A36463">
        <w:rPr>
          <w:rFonts w:ascii="Garamond" w:hAnsi="Garamond"/>
        </w:rPr>
        <w:t xml:space="preserve"> </w:t>
      </w:r>
      <w:r w:rsidR="007C6219" w:rsidRPr="00A36463">
        <w:rPr>
          <w:rFonts w:ascii="Garamond" w:hAnsi="Garamond"/>
        </w:rPr>
        <w:t>In reading these collections, I</w:t>
      </w:r>
      <w:r w:rsidR="00CB5FE4" w:rsidRPr="00A36463">
        <w:rPr>
          <w:rFonts w:ascii="Garamond" w:hAnsi="Garamond"/>
        </w:rPr>
        <w:t xml:space="preserve"> came </w:t>
      </w:r>
      <w:r w:rsidR="008007C6" w:rsidRPr="00A36463">
        <w:rPr>
          <w:rFonts w:ascii="Garamond" w:hAnsi="Garamond"/>
        </w:rPr>
        <w:t>to think</w:t>
      </w:r>
      <w:r w:rsidR="007C6219" w:rsidRPr="00A36463">
        <w:rPr>
          <w:rFonts w:ascii="Garamond" w:hAnsi="Garamond"/>
        </w:rPr>
        <w:t xml:space="preserve"> that scholarship</w:t>
      </w:r>
      <w:r w:rsidR="00A10E80" w:rsidRPr="00A36463">
        <w:rPr>
          <w:rFonts w:ascii="Garamond" w:hAnsi="Garamond"/>
        </w:rPr>
        <w:t xml:space="preserve"> on </w:t>
      </w:r>
      <w:r w:rsidR="008007C6" w:rsidRPr="00A36463">
        <w:rPr>
          <w:rFonts w:ascii="Garamond" w:hAnsi="Garamond"/>
        </w:rPr>
        <w:t>freedom in Kant</w:t>
      </w:r>
      <w:r w:rsidR="00A10E80" w:rsidRPr="00A36463">
        <w:rPr>
          <w:rFonts w:ascii="Garamond" w:hAnsi="Garamond"/>
        </w:rPr>
        <w:t xml:space="preserve"> </w:t>
      </w:r>
      <w:r w:rsidR="007C6219" w:rsidRPr="00A36463">
        <w:rPr>
          <w:rFonts w:ascii="Garamond" w:hAnsi="Garamond"/>
        </w:rPr>
        <w:t>is in</w:t>
      </w:r>
      <w:r w:rsidR="00A10E80" w:rsidRPr="00A36463">
        <w:rPr>
          <w:rFonts w:ascii="Garamond" w:hAnsi="Garamond"/>
        </w:rPr>
        <w:t xml:space="preserve"> a</w:t>
      </w:r>
      <w:r w:rsidR="007C6219" w:rsidRPr="00A36463">
        <w:rPr>
          <w:rFonts w:ascii="Garamond" w:hAnsi="Garamond"/>
        </w:rPr>
        <w:t xml:space="preserve"> good place</w:t>
      </w:r>
      <w:r w:rsidR="008007C6" w:rsidRPr="00A36463">
        <w:rPr>
          <w:rFonts w:ascii="Garamond" w:hAnsi="Garamond"/>
        </w:rPr>
        <w:t>.</w:t>
      </w:r>
      <w:r w:rsidR="00EB0623" w:rsidRPr="00A36463">
        <w:rPr>
          <w:rFonts w:ascii="Garamond" w:hAnsi="Garamond"/>
        </w:rPr>
        <w:t xml:space="preserve"> </w:t>
      </w:r>
      <w:r w:rsidR="008007C6" w:rsidRPr="00A36463">
        <w:rPr>
          <w:rFonts w:ascii="Garamond" w:hAnsi="Garamond"/>
        </w:rPr>
        <w:t>W</w:t>
      </w:r>
      <w:r w:rsidR="007C6219" w:rsidRPr="00A36463">
        <w:rPr>
          <w:rFonts w:ascii="Garamond" w:hAnsi="Garamond"/>
        </w:rPr>
        <w:t xml:space="preserve">e now have a serious, </w:t>
      </w:r>
      <w:proofErr w:type="gramStart"/>
      <w:r w:rsidR="007C6219" w:rsidRPr="00A36463">
        <w:rPr>
          <w:rFonts w:ascii="Garamond" w:hAnsi="Garamond"/>
        </w:rPr>
        <w:t>sympathetic</w:t>
      </w:r>
      <w:proofErr w:type="gramEnd"/>
      <w:r w:rsidR="007C6219" w:rsidRPr="00A36463">
        <w:rPr>
          <w:rFonts w:ascii="Garamond" w:hAnsi="Garamond"/>
        </w:rPr>
        <w:t xml:space="preserve"> and fairly comprehensive understanding of Kant’s views on freedom (amongst other things). My </w:t>
      </w:r>
      <w:r w:rsidR="00F87C0C" w:rsidRPr="00A36463">
        <w:rPr>
          <w:rFonts w:ascii="Garamond" w:hAnsi="Garamond"/>
        </w:rPr>
        <w:t>only</w:t>
      </w:r>
      <w:r w:rsidR="007C6219" w:rsidRPr="00A36463">
        <w:rPr>
          <w:rFonts w:ascii="Garamond" w:hAnsi="Garamond"/>
        </w:rPr>
        <w:t xml:space="preserve"> concern is that this charity and sympathetic understanding is </w:t>
      </w:r>
      <w:r w:rsidR="00F87C0C" w:rsidRPr="00A36463">
        <w:rPr>
          <w:rFonts w:ascii="Garamond" w:hAnsi="Garamond"/>
        </w:rPr>
        <w:t xml:space="preserve">generally </w:t>
      </w:r>
      <w:r w:rsidR="007C6219" w:rsidRPr="00A36463">
        <w:rPr>
          <w:rFonts w:ascii="Garamond" w:hAnsi="Garamond"/>
        </w:rPr>
        <w:t>not extended to objections to Kant, which leaves the literature a little one-sided.</w:t>
      </w:r>
    </w:p>
    <w:p w14:paraId="33AF8C80" w14:textId="77777777" w:rsidR="007A6711" w:rsidRPr="00A36463" w:rsidRDefault="007A6711" w:rsidP="00C8224B">
      <w:pPr>
        <w:rPr>
          <w:rFonts w:ascii="Garamond" w:hAnsi="Garamond"/>
        </w:rPr>
      </w:pPr>
    </w:p>
    <w:p w14:paraId="20BEC5CE" w14:textId="425AFE58" w:rsidR="004B32A1" w:rsidRPr="00A36463" w:rsidRDefault="006E116C" w:rsidP="003F231C">
      <w:pPr>
        <w:ind w:firstLine="720"/>
        <w:rPr>
          <w:rFonts w:ascii="Garamond" w:hAnsi="Garamond"/>
        </w:rPr>
      </w:pPr>
      <w:r w:rsidRPr="00A36463">
        <w:rPr>
          <w:rFonts w:ascii="Garamond" w:hAnsi="Garamond"/>
        </w:rPr>
        <w:t xml:space="preserve">Let us begin with Kate Moran’s (2018) collection on </w:t>
      </w:r>
      <w:r w:rsidRPr="00A36463">
        <w:rPr>
          <w:rFonts w:ascii="Garamond" w:hAnsi="Garamond"/>
          <w:i/>
          <w:iCs/>
        </w:rPr>
        <w:t>Freedom and Spontaneity</w:t>
      </w:r>
      <w:r w:rsidRPr="00A36463">
        <w:rPr>
          <w:rFonts w:ascii="Garamond" w:hAnsi="Garamond"/>
        </w:rPr>
        <w:t xml:space="preserve">. I begin here, as this is perhaps the broadest of the three collections, exploring different ideas of freedom in Kant’s theoretical, </w:t>
      </w:r>
      <w:proofErr w:type="gramStart"/>
      <w:r w:rsidRPr="00A36463">
        <w:rPr>
          <w:rFonts w:ascii="Garamond" w:hAnsi="Garamond"/>
        </w:rPr>
        <w:t>practical</w:t>
      </w:r>
      <w:proofErr w:type="gramEnd"/>
      <w:r w:rsidRPr="00A36463">
        <w:rPr>
          <w:rFonts w:ascii="Garamond" w:hAnsi="Garamond"/>
        </w:rPr>
        <w:t xml:space="preserve"> and political philosophy</w:t>
      </w:r>
      <w:r w:rsidR="00165CE3" w:rsidRPr="00A36463">
        <w:rPr>
          <w:rFonts w:ascii="Garamond" w:hAnsi="Garamond"/>
        </w:rPr>
        <w:t xml:space="preserve">. It </w:t>
      </w:r>
      <w:r w:rsidR="002D62BE" w:rsidRPr="00A36463">
        <w:rPr>
          <w:rFonts w:ascii="Garamond" w:hAnsi="Garamond"/>
        </w:rPr>
        <w:t>is an original and rewarding collection, with chapters that display high levels of scholarship, but also offer some bold and interesting new avenues for work on freedom in Kant</w:t>
      </w:r>
      <w:r w:rsidR="00A71F34" w:rsidRPr="00A36463">
        <w:rPr>
          <w:rFonts w:ascii="Garamond" w:hAnsi="Garamond"/>
        </w:rPr>
        <w:t xml:space="preserve">. </w:t>
      </w:r>
      <w:r w:rsidR="00F86199" w:rsidRPr="00A36463">
        <w:rPr>
          <w:rFonts w:ascii="Garamond" w:hAnsi="Garamond"/>
        </w:rPr>
        <w:t xml:space="preserve">The collection stems from a 2013 conference in honour of Paul Guyer. </w:t>
      </w:r>
      <w:r w:rsidR="00966822" w:rsidRPr="00A36463">
        <w:rPr>
          <w:rFonts w:ascii="Garamond" w:hAnsi="Garamond"/>
        </w:rPr>
        <w:t xml:space="preserve">Its contributors include </w:t>
      </w:r>
      <w:r w:rsidR="007C6219" w:rsidRPr="00A36463">
        <w:rPr>
          <w:rFonts w:ascii="Garamond" w:hAnsi="Garamond"/>
        </w:rPr>
        <w:t>a good mix of early career and established philos</w:t>
      </w:r>
      <w:r w:rsidR="00C05A50" w:rsidRPr="00A36463">
        <w:rPr>
          <w:rFonts w:ascii="Garamond" w:hAnsi="Garamond"/>
        </w:rPr>
        <w:t>o</w:t>
      </w:r>
      <w:r w:rsidR="007C6219" w:rsidRPr="00A36463">
        <w:rPr>
          <w:rFonts w:ascii="Garamond" w:hAnsi="Garamond"/>
        </w:rPr>
        <w:t xml:space="preserve">phers, </w:t>
      </w:r>
      <w:r w:rsidR="00966822" w:rsidRPr="00A36463">
        <w:rPr>
          <w:rFonts w:ascii="Garamond" w:hAnsi="Garamond"/>
        </w:rPr>
        <w:t xml:space="preserve">former students of Guyer, notable Kant scholars, and Guyer himself. The book is split into </w:t>
      </w:r>
      <w:r w:rsidR="007A6711" w:rsidRPr="00A36463">
        <w:rPr>
          <w:rFonts w:ascii="Garamond" w:hAnsi="Garamond"/>
        </w:rPr>
        <w:t>four</w:t>
      </w:r>
      <w:r w:rsidR="00966822" w:rsidRPr="00A36463">
        <w:rPr>
          <w:rFonts w:ascii="Garamond" w:hAnsi="Garamond"/>
        </w:rPr>
        <w:t xml:space="preserve"> main sections, covering: 1) Spontaneity, 2) Value and Freedom, 3) Autonomy, and 4) Kant’s Political Philosophy.</w:t>
      </w:r>
    </w:p>
    <w:p w14:paraId="7A14D355" w14:textId="61DA8E0F" w:rsidR="008A6B2D" w:rsidRPr="00A36463" w:rsidRDefault="008A6B2D" w:rsidP="00C8224B">
      <w:pPr>
        <w:rPr>
          <w:rFonts w:ascii="Garamond" w:hAnsi="Garamond"/>
        </w:rPr>
      </w:pPr>
    </w:p>
    <w:p w14:paraId="5925A812" w14:textId="053F566A" w:rsidR="00A1614C" w:rsidRPr="00A36463" w:rsidRDefault="008A6B2D" w:rsidP="003F231C">
      <w:pPr>
        <w:ind w:firstLine="720"/>
        <w:rPr>
          <w:rFonts w:ascii="Garamond" w:hAnsi="Garamond"/>
        </w:rPr>
      </w:pPr>
      <w:r w:rsidRPr="00A36463">
        <w:rPr>
          <w:rFonts w:ascii="Garamond" w:hAnsi="Garamond"/>
        </w:rPr>
        <w:t>In</w:t>
      </w:r>
      <w:r w:rsidR="00112F7F" w:rsidRPr="00A36463">
        <w:rPr>
          <w:rFonts w:ascii="Garamond" w:hAnsi="Garamond"/>
        </w:rPr>
        <w:t xml:space="preserve"> her helpful introduction, Moran characterises spontaneity as “action of the mind or will that </w:t>
      </w:r>
      <w:proofErr w:type="gramStart"/>
      <w:r w:rsidR="00112F7F" w:rsidRPr="00A36463">
        <w:rPr>
          <w:rFonts w:ascii="Garamond" w:hAnsi="Garamond"/>
        </w:rPr>
        <w:t>is</w:t>
      </w:r>
      <w:proofErr w:type="gramEnd"/>
      <w:r w:rsidR="00112F7F" w:rsidRPr="00A36463">
        <w:rPr>
          <w:rFonts w:ascii="Garamond" w:hAnsi="Garamond"/>
        </w:rPr>
        <w:t xml:space="preserve"> not determined by a prior external stimulus”</w:t>
      </w:r>
      <w:r w:rsidR="00A10E80" w:rsidRPr="00A36463">
        <w:rPr>
          <w:rFonts w:ascii="Garamond" w:hAnsi="Garamond"/>
        </w:rPr>
        <w:t xml:space="preserve"> (2018: 1)</w:t>
      </w:r>
      <w:r w:rsidR="00112F7F" w:rsidRPr="00A36463">
        <w:rPr>
          <w:rFonts w:ascii="Garamond" w:hAnsi="Garamond"/>
        </w:rPr>
        <w:t>.</w:t>
      </w:r>
      <w:r w:rsidRPr="00A36463">
        <w:rPr>
          <w:rFonts w:ascii="Garamond" w:hAnsi="Garamond"/>
        </w:rPr>
        <w:t xml:space="preserve"> </w:t>
      </w:r>
      <w:r w:rsidR="00112F7F" w:rsidRPr="00A36463">
        <w:rPr>
          <w:rFonts w:ascii="Garamond" w:hAnsi="Garamond"/>
        </w:rPr>
        <w:t xml:space="preserve">The first section of the book </w:t>
      </w:r>
      <w:r w:rsidR="00F86199" w:rsidRPr="00A36463">
        <w:rPr>
          <w:rFonts w:ascii="Garamond" w:hAnsi="Garamond"/>
        </w:rPr>
        <w:t>looks at this activity</w:t>
      </w:r>
      <w:r w:rsidR="00112F7F" w:rsidRPr="00A36463">
        <w:rPr>
          <w:rFonts w:ascii="Garamond" w:hAnsi="Garamond"/>
        </w:rPr>
        <w:t xml:space="preserve"> in different aspects of Kant’s theoretical philosophy. </w:t>
      </w:r>
      <w:r w:rsidR="00F86199" w:rsidRPr="00A36463">
        <w:rPr>
          <w:rFonts w:ascii="Garamond" w:hAnsi="Garamond"/>
        </w:rPr>
        <w:t xml:space="preserve">The chapters do not always explicitly address Kant’s concept of spontaneity </w:t>
      </w:r>
      <w:r w:rsidR="00F86199" w:rsidRPr="00A36463">
        <w:rPr>
          <w:rFonts w:ascii="Garamond" w:hAnsi="Garamond"/>
          <w:i/>
          <w:iCs/>
        </w:rPr>
        <w:t>per se</w:t>
      </w:r>
      <w:r w:rsidR="00F86199" w:rsidRPr="00A36463">
        <w:rPr>
          <w:rFonts w:ascii="Garamond" w:hAnsi="Garamond"/>
        </w:rPr>
        <w:t xml:space="preserve">, but they do consider ways in which our cognition actively synthesizes, and our judgement is free. </w:t>
      </w:r>
      <w:r w:rsidR="003358A0" w:rsidRPr="00A36463">
        <w:rPr>
          <w:rFonts w:ascii="Garamond" w:hAnsi="Garamond"/>
        </w:rPr>
        <w:t xml:space="preserve">Rolf-Peter </w:t>
      </w:r>
      <w:proofErr w:type="spellStart"/>
      <w:r w:rsidR="003358A0" w:rsidRPr="00A36463">
        <w:rPr>
          <w:rFonts w:ascii="Garamond" w:hAnsi="Garamond"/>
        </w:rPr>
        <w:t>Horstmann</w:t>
      </w:r>
      <w:proofErr w:type="spellEnd"/>
      <w:r w:rsidR="003358A0" w:rsidRPr="00A36463">
        <w:rPr>
          <w:rFonts w:ascii="Garamond" w:hAnsi="Garamond"/>
        </w:rPr>
        <w:t xml:space="preserve"> </w:t>
      </w:r>
      <w:r w:rsidR="00EA1744" w:rsidRPr="00A36463">
        <w:rPr>
          <w:rFonts w:ascii="Garamond" w:hAnsi="Garamond"/>
        </w:rPr>
        <w:t xml:space="preserve">begins the </w:t>
      </w:r>
      <w:r w:rsidR="00F86199" w:rsidRPr="00A36463">
        <w:rPr>
          <w:rFonts w:ascii="Garamond" w:hAnsi="Garamond"/>
        </w:rPr>
        <w:t>section</w:t>
      </w:r>
      <w:r w:rsidR="00EA1744" w:rsidRPr="00A36463">
        <w:rPr>
          <w:rFonts w:ascii="Garamond" w:hAnsi="Garamond"/>
        </w:rPr>
        <w:t xml:space="preserve"> with a dense </w:t>
      </w:r>
      <w:r w:rsidR="00357D0F" w:rsidRPr="00A36463">
        <w:rPr>
          <w:rFonts w:ascii="Garamond" w:hAnsi="Garamond"/>
        </w:rPr>
        <w:t xml:space="preserve">and thoughtful </w:t>
      </w:r>
      <w:r w:rsidR="00EA1744" w:rsidRPr="00A36463">
        <w:rPr>
          <w:rFonts w:ascii="Garamond" w:hAnsi="Garamond"/>
        </w:rPr>
        <w:t>discussion of the relationship</w:t>
      </w:r>
      <w:r w:rsidR="00357D0F" w:rsidRPr="00A36463">
        <w:rPr>
          <w:rFonts w:ascii="Garamond" w:hAnsi="Garamond"/>
        </w:rPr>
        <w:t xml:space="preserve"> </w:t>
      </w:r>
      <w:r w:rsidR="003358A0" w:rsidRPr="00A36463">
        <w:rPr>
          <w:rFonts w:ascii="Garamond" w:hAnsi="Garamond"/>
        </w:rPr>
        <w:t>between the understanding and the imagination</w:t>
      </w:r>
      <w:r w:rsidR="00EA1744" w:rsidRPr="00A36463">
        <w:rPr>
          <w:rFonts w:ascii="Garamond" w:hAnsi="Garamond"/>
        </w:rPr>
        <w:t xml:space="preserve">. He argues that the imagination plays a different role </w:t>
      </w:r>
      <w:r w:rsidR="00F87C0C" w:rsidRPr="00A36463">
        <w:rPr>
          <w:rFonts w:ascii="Garamond" w:hAnsi="Garamond"/>
        </w:rPr>
        <w:t>than</w:t>
      </w:r>
      <w:r w:rsidR="00EA1744" w:rsidRPr="00A36463">
        <w:rPr>
          <w:rFonts w:ascii="Garamond" w:hAnsi="Garamond"/>
        </w:rPr>
        <w:t xml:space="preserve"> the </w:t>
      </w:r>
      <w:r w:rsidR="00EA1744" w:rsidRPr="00A36463">
        <w:rPr>
          <w:rFonts w:ascii="Garamond" w:hAnsi="Garamond"/>
        </w:rPr>
        <w:lastRenderedPageBreak/>
        <w:t>understanding, in that it</w:t>
      </w:r>
      <w:r w:rsidR="003358A0" w:rsidRPr="00A36463">
        <w:rPr>
          <w:rFonts w:ascii="Garamond" w:hAnsi="Garamond"/>
        </w:rPr>
        <w:t xml:space="preserve"> </w:t>
      </w:r>
      <w:r w:rsidR="003358A0" w:rsidRPr="00A36463">
        <w:rPr>
          <w:rFonts w:ascii="Garamond" w:hAnsi="Garamond"/>
          <w:i/>
          <w:iCs/>
        </w:rPr>
        <w:t>apprehends</w:t>
      </w:r>
      <w:r w:rsidR="003358A0" w:rsidRPr="00A36463">
        <w:rPr>
          <w:rFonts w:ascii="Garamond" w:hAnsi="Garamond"/>
        </w:rPr>
        <w:t>, transform</w:t>
      </w:r>
      <w:r w:rsidR="00EA1744" w:rsidRPr="00A36463">
        <w:rPr>
          <w:rFonts w:ascii="Garamond" w:hAnsi="Garamond"/>
        </w:rPr>
        <w:t>ing</w:t>
      </w:r>
      <w:r w:rsidR="003358A0" w:rsidRPr="00A36463">
        <w:rPr>
          <w:rFonts w:ascii="Garamond" w:hAnsi="Garamond"/>
        </w:rPr>
        <w:t xml:space="preserve"> mere sensations into perceptions.</w:t>
      </w:r>
      <w:r w:rsidR="00547A1A" w:rsidRPr="00A36463">
        <w:rPr>
          <w:rFonts w:ascii="Garamond" w:hAnsi="Garamond"/>
        </w:rPr>
        <w:t xml:space="preserve"> </w:t>
      </w:r>
      <w:r w:rsidR="00357D0F" w:rsidRPr="00A36463">
        <w:rPr>
          <w:rFonts w:ascii="Garamond" w:hAnsi="Garamond"/>
        </w:rPr>
        <w:t>In the second chapter, Brian Chance provides a compelling account of Kant’s departure from Wolff’s view of the understanding, and its significance for the critical project.</w:t>
      </w:r>
      <w:r w:rsidR="00547A1A" w:rsidRPr="00A36463">
        <w:rPr>
          <w:rFonts w:ascii="Garamond" w:hAnsi="Garamond"/>
        </w:rPr>
        <w:t xml:space="preserve"> </w:t>
      </w:r>
      <w:r w:rsidR="00357D0F" w:rsidRPr="00A36463">
        <w:rPr>
          <w:rFonts w:ascii="Garamond" w:hAnsi="Garamond"/>
        </w:rPr>
        <w:t xml:space="preserve">In chapter 3, Michael </w:t>
      </w:r>
      <w:proofErr w:type="spellStart"/>
      <w:r w:rsidR="00357D0F" w:rsidRPr="00A36463">
        <w:rPr>
          <w:rFonts w:ascii="Garamond" w:hAnsi="Garamond"/>
        </w:rPr>
        <w:t>Rohlf</w:t>
      </w:r>
      <w:proofErr w:type="spellEnd"/>
      <w:r w:rsidR="00357D0F" w:rsidRPr="00A36463">
        <w:rPr>
          <w:rFonts w:ascii="Garamond" w:hAnsi="Garamond"/>
        </w:rPr>
        <w:t xml:space="preserve"> puts forward an interesting and original analysis of </w:t>
      </w:r>
      <w:r w:rsidR="00357D0F" w:rsidRPr="00A36463">
        <w:rPr>
          <w:rFonts w:ascii="Garamond" w:hAnsi="Garamond" w:cstheme="minorHAnsi"/>
        </w:rPr>
        <w:t>§</w:t>
      </w:r>
      <w:r w:rsidR="00357D0F" w:rsidRPr="00A36463">
        <w:rPr>
          <w:rFonts w:ascii="Garamond" w:hAnsi="Garamond"/>
        </w:rPr>
        <w:t>26 of the B-deduction, arguing that in this section we can find independent support for transcendental idealism, and in particular, an argument that our representations of space and time are singular.</w:t>
      </w:r>
      <w:r w:rsidR="00547A1A" w:rsidRPr="00A36463">
        <w:rPr>
          <w:rFonts w:ascii="Garamond" w:hAnsi="Garamond"/>
        </w:rPr>
        <w:t xml:space="preserve"> </w:t>
      </w:r>
      <w:r w:rsidR="004D2446" w:rsidRPr="00A36463">
        <w:rPr>
          <w:rFonts w:ascii="Garamond" w:hAnsi="Garamond"/>
        </w:rPr>
        <w:t xml:space="preserve">Chapter 4 is an excellent discussion of taste by Jennifer Dole. Dole proposes her own candidate for the a priori principle of judgement of taste in Kant, </w:t>
      </w:r>
      <w:r w:rsidR="00F87C0C" w:rsidRPr="00A36463">
        <w:rPr>
          <w:rFonts w:ascii="Garamond" w:hAnsi="Garamond"/>
        </w:rPr>
        <w:t xml:space="preserve">namely </w:t>
      </w:r>
      <w:r w:rsidR="004D2446" w:rsidRPr="00A36463">
        <w:rPr>
          <w:rFonts w:ascii="Garamond" w:hAnsi="Garamond"/>
        </w:rPr>
        <w:t>that is our shared cognitive nature</w:t>
      </w:r>
      <w:r w:rsidR="00F87C0C" w:rsidRPr="00A36463">
        <w:rPr>
          <w:rFonts w:ascii="Garamond" w:hAnsi="Garamond"/>
        </w:rPr>
        <w:t xml:space="preserve">, </w:t>
      </w:r>
      <w:r w:rsidR="004D2446" w:rsidRPr="00A36463">
        <w:rPr>
          <w:rFonts w:ascii="Garamond" w:hAnsi="Garamond"/>
        </w:rPr>
        <w:t>and makes a convincing case for this</w:t>
      </w:r>
      <w:r w:rsidR="00F87C0C" w:rsidRPr="00A36463">
        <w:rPr>
          <w:rFonts w:ascii="Garamond" w:hAnsi="Garamond"/>
        </w:rPr>
        <w:t xml:space="preserve"> </w:t>
      </w:r>
      <w:r w:rsidR="004D2446" w:rsidRPr="00A36463">
        <w:rPr>
          <w:rFonts w:ascii="Garamond" w:hAnsi="Garamond"/>
        </w:rPr>
        <w:t>over rival views.</w:t>
      </w:r>
      <w:r w:rsidR="00F86199" w:rsidRPr="00A36463">
        <w:rPr>
          <w:rFonts w:ascii="Garamond" w:hAnsi="Garamond"/>
        </w:rPr>
        <w:t xml:space="preserve"> </w:t>
      </w:r>
    </w:p>
    <w:p w14:paraId="4B2E68A5" w14:textId="4E716C90" w:rsidR="00A71F34" w:rsidRPr="00A36463" w:rsidRDefault="00A71F34" w:rsidP="00C8224B">
      <w:pPr>
        <w:rPr>
          <w:rFonts w:ascii="Garamond" w:hAnsi="Garamond"/>
        </w:rPr>
      </w:pPr>
    </w:p>
    <w:p w14:paraId="72FBDBA9" w14:textId="207CBAF9" w:rsidR="00A71F34" w:rsidRPr="00A36463" w:rsidRDefault="00112F7F" w:rsidP="003F231C">
      <w:pPr>
        <w:ind w:firstLine="720"/>
        <w:rPr>
          <w:rFonts w:ascii="Garamond" w:hAnsi="Garamond"/>
        </w:rPr>
      </w:pPr>
      <w:r w:rsidRPr="00A36463">
        <w:rPr>
          <w:rFonts w:ascii="Garamond" w:hAnsi="Garamond"/>
        </w:rPr>
        <w:t xml:space="preserve">The second section of the book turns to freedom in Kant’s practical philosophy, and its relationship to value. </w:t>
      </w:r>
      <w:r w:rsidR="00A10E80" w:rsidRPr="00A36463">
        <w:rPr>
          <w:rFonts w:ascii="Garamond" w:hAnsi="Garamond"/>
        </w:rPr>
        <w:t xml:space="preserve">In chapter 5, </w:t>
      </w:r>
      <w:r w:rsidR="00F46681" w:rsidRPr="00A36463">
        <w:rPr>
          <w:rFonts w:ascii="Garamond" w:hAnsi="Garamond"/>
        </w:rPr>
        <w:t>Patricia</w:t>
      </w:r>
      <w:r w:rsidR="00A71F34" w:rsidRPr="00A36463">
        <w:rPr>
          <w:rFonts w:ascii="Garamond" w:hAnsi="Garamond"/>
        </w:rPr>
        <w:t xml:space="preserve"> </w:t>
      </w:r>
      <w:proofErr w:type="spellStart"/>
      <w:r w:rsidR="00A71F34" w:rsidRPr="00A36463">
        <w:rPr>
          <w:rFonts w:ascii="Garamond" w:hAnsi="Garamond"/>
        </w:rPr>
        <w:t>Kitcher</w:t>
      </w:r>
      <w:proofErr w:type="spellEnd"/>
      <w:r w:rsidR="00A10E80" w:rsidRPr="00A36463">
        <w:rPr>
          <w:rFonts w:ascii="Garamond" w:hAnsi="Garamond"/>
        </w:rPr>
        <w:t xml:space="preserve"> </w:t>
      </w:r>
      <w:r w:rsidR="00F87C0C" w:rsidRPr="00A36463">
        <w:rPr>
          <w:rFonts w:ascii="Garamond" w:hAnsi="Garamond"/>
        </w:rPr>
        <w:t>considers</w:t>
      </w:r>
      <w:r w:rsidR="00A71F34" w:rsidRPr="00A36463">
        <w:rPr>
          <w:rFonts w:ascii="Garamond" w:hAnsi="Garamond"/>
        </w:rPr>
        <w:t xml:space="preserve"> </w:t>
      </w:r>
      <w:r w:rsidR="00F87C0C" w:rsidRPr="00A36463">
        <w:rPr>
          <w:rFonts w:ascii="Garamond" w:hAnsi="Garamond"/>
        </w:rPr>
        <w:t>freedom, the formula of humanity and the highest good</w:t>
      </w:r>
      <w:r w:rsidR="00A10E80" w:rsidRPr="00A36463">
        <w:rPr>
          <w:rFonts w:ascii="Garamond" w:hAnsi="Garamond"/>
        </w:rPr>
        <w:t xml:space="preserve">, with </w:t>
      </w:r>
      <w:r w:rsidR="00F87C0C" w:rsidRPr="00A36463">
        <w:rPr>
          <w:rFonts w:ascii="Garamond" w:hAnsi="Garamond"/>
        </w:rPr>
        <w:t xml:space="preserve">an intriguing discussion of how we can recognise </w:t>
      </w:r>
      <w:r w:rsidR="00A71F34" w:rsidRPr="00A36463">
        <w:rPr>
          <w:rFonts w:ascii="Garamond" w:hAnsi="Garamond"/>
        </w:rPr>
        <w:t>others’ freedom (95-6)</w:t>
      </w:r>
      <w:r w:rsidR="00F46681" w:rsidRPr="00A36463">
        <w:rPr>
          <w:rFonts w:ascii="Garamond" w:hAnsi="Garamond"/>
        </w:rPr>
        <w:t>.</w:t>
      </w:r>
      <w:r w:rsidR="00A71F34" w:rsidRPr="00A36463">
        <w:rPr>
          <w:rFonts w:ascii="Garamond" w:hAnsi="Garamond"/>
        </w:rPr>
        <w:t xml:space="preserve"> </w:t>
      </w:r>
      <w:r w:rsidR="00F46681" w:rsidRPr="00A36463">
        <w:rPr>
          <w:rFonts w:ascii="Garamond" w:hAnsi="Garamond"/>
        </w:rPr>
        <w:t>S</w:t>
      </w:r>
      <w:r w:rsidR="00A71F34" w:rsidRPr="00A36463">
        <w:rPr>
          <w:rFonts w:ascii="Garamond" w:hAnsi="Garamond"/>
        </w:rPr>
        <w:t xml:space="preserve">he offers her own suggestion of how this is possible on Kant’s account (99-100), where we automatically respect other rational beings, in a similar way to which we automatically respect the moral law. Thorpe </w:t>
      </w:r>
      <w:r w:rsidR="00547A1A" w:rsidRPr="00A36463">
        <w:rPr>
          <w:rFonts w:ascii="Garamond" w:hAnsi="Garamond"/>
        </w:rPr>
        <w:t>takes up</w:t>
      </w:r>
      <w:r w:rsidR="00A71F34" w:rsidRPr="00A36463">
        <w:rPr>
          <w:rFonts w:ascii="Garamond" w:hAnsi="Garamond"/>
        </w:rPr>
        <w:t xml:space="preserve"> similar issues in chapter 6, </w:t>
      </w:r>
      <w:r w:rsidR="00547A1A" w:rsidRPr="00A36463">
        <w:rPr>
          <w:rFonts w:ascii="Garamond" w:hAnsi="Garamond"/>
        </w:rPr>
        <w:t>exploring our</w:t>
      </w:r>
      <w:r w:rsidR="00A71F34" w:rsidRPr="00A36463">
        <w:rPr>
          <w:rFonts w:ascii="Garamond" w:hAnsi="Garamond"/>
        </w:rPr>
        <w:t xml:space="preserve"> capacity to recognise the humanity of others. This is an </w:t>
      </w:r>
      <w:r w:rsidR="00F87C0C" w:rsidRPr="00A36463">
        <w:rPr>
          <w:rFonts w:ascii="Garamond" w:hAnsi="Garamond"/>
        </w:rPr>
        <w:t>impressive</w:t>
      </w:r>
      <w:r w:rsidR="00A71F34" w:rsidRPr="00A36463">
        <w:rPr>
          <w:rFonts w:ascii="Garamond" w:hAnsi="Garamond"/>
        </w:rPr>
        <w:t>, original, inter-</w:t>
      </w:r>
      <w:r w:rsidR="00F46681" w:rsidRPr="00A36463">
        <w:rPr>
          <w:rFonts w:ascii="Garamond" w:hAnsi="Garamond"/>
        </w:rPr>
        <w:t>disciplinary</w:t>
      </w:r>
      <w:r w:rsidR="00A71F34" w:rsidRPr="00A36463">
        <w:rPr>
          <w:rFonts w:ascii="Garamond" w:hAnsi="Garamond"/>
        </w:rPr>
        <w:t xml:space="preserve"> </w:t>
      </w:r>
      <w:r w:rsidR="00F87C0C" w:rsidRPr="00A36463">
        <w:rPr>
          <w:rFonts w:ascii="Garamond" w:hAnsi="Garamond"/>
        </w:rPr>
        <w:t>discussion</w:t>
      </w:r>
      <w:r w:rsidR="00F46681" w:rsidRPr="00A36463">
        <w:rPr>
          <w:rFonts w:ascii="Garamond" w:hAnsi="Garamond"/>
        </w:rPr>
        <w:t>. Thorpe</w:t>
      </w:r>
      <w:r w:rsidR="00A71F34" w:rsidRPr="00A36463">
        <w:rPr>
          <w:rFonts w:ascii="Garamond" w:hAnsi="Garamond"/>
        </w:rPr>
        <w:t xml:space="preserve"> draw</w:t>
      </w:r>
      <w:r w:rsidR="00F46681" w:rsidRPr="00A36463">
        <w:rPr>
          <w:rFonts w:ascii="Garamond" w:hAnsi="Garamond"/>
        </w:rPr>
        <w:t>s</w:t>
      </w:r>
      <w:r w:rsidR="00A71F34" w:rsidRPr="00A36463">
        <w:rPr>
          <w:rFonts w:ascii="Garamond" w:hAnsi="Garamond"/>
        </w:rPr>
        <w:t xml:space="preserve"> upon developmental psychology to argue that our capacity to engage in joint co-operative activities is the most promising way to think about how we can recognise morally relevant others.</w:t>
      </w:r>
    </w:p>
    <w:p w14:paraId="732506A9" w14:textId="6E7D699E" w:rsidR="00A71F34" w:rsidRPr="00A36463" w:rsidRDefault="00A71F34" w:rsidP="00C8224B">
      <w:pPr>
        <w:rPr>
          <w:rFonts w:ascii="Garamond" w:hAnsi="Garamond"/>
        </w:rPr>
      </w:pPr>
    </w:p>
    <w:p w14:paraId="5C49D140" w14:textId="1064C01B" w:rsidR="00A71F34" w:rsidRPr="00A36463" w:rsidRDefault="00D13397" w:rsidP="003F231C">
      <w:pPr>
        <w:ind w:firstLine="720"/>
        <w:rPr>
          <w:rFonts w:ascii="Garamond" w:hAnsi="Garamond"/>
        </w:rPr>
      </w:pPr>
      <w:r w:rsidRPr="00A36463">
        <w:rPr>
          <w:rFonts w:ascii="Garamond" w:hAnsi="Garamond"/>
        </w:rPr>
        <w:t xml:space="preserve">I agree with both </w:t>
      </w:r>
      <w:proofErr w:type="spellStart"/>
      <w:r w:rsidRPr="00A36463">
        <w:rPr>
          <w:rFonts w:ascii="Garamond" w:hAnsi="Garamond"/>
        </w:rPr>
        <w:t>Kitcher</w:t>
      </w:r>
      <w:proofErr w:type="spellEnd"/>
      <w:r w:rsidRPr="00A36463">
        <w:rPr>
          <w:rFonts w:ascii="Garamond" w:hAnsi="Garamond"/>
        </w:rPr>
        <w:t xml:space="preserve"> and Thorpe’s accounts of how we recognise others. But </w:t>
      </w:r>
      <w:r w:rsidR="00F87C0C" w:rsidRPr="00A36463">
        <w:rPr>
          <w:rFonts w:ascii="Garamond" w:hAnsi="Garamond"/>
        </w:rPr>
        <w:t>I was unsure whether</w:t>
      </w:r>
      <w:r w:rsidR="00547A1A" w:rsidRPr="00A36463">
        <w:rPr>
          <w:rFonts w:ascii="Garamond" w:hAnsi="Garamond"/>
        </w:rPr>
        <w:t xml:space="preserve"> we can </w:t>
      </w:r>
      <w:r w:rsidRPr="00A36463">
        <w:rPr>
          <w:rFonts w:ascii="Garamond" w:hAnsi="Garamond"/>
        </w:rPr>
        <w:t xml:space="preserve">accommodate these accounts into Kant’s own framework. After all, Kant is very careful about what respect for the moral law is. It is one unique peculiar feeling, and not any sort of </w:t>
      </w:r>
      <w:r w:rsidRPr="00A36463">
        <w:rPr>
          <w:rFonts w:ascii="Garamond" w:hAnsi="Garamond"/>
          <w:i/>
          <w:iCs/>
        </w:rPr>
        <w:t>intuition</w:t>
      </w:r>
      <w:r w:rsidRPr="00A36463">
        <w:rPr>
          <w:rFonts w:ascii="Garamond" w:hAnsi="Garamond"/>
        </w:rPr>
        <w:t>.</w:t>
      </w:r>
      <w:r w:rsidR="00F87C0C" w:rsidRPr="00A36463">
        <w:rPr>
          <w:rStyle w:val="FootnoteReference"/>
          <w:rFonts w:ascii="Garamond" w:hAnsi="Garamond"/>
        </w:rPr>
        <w:footnoteReference w:id="2"/>
      </w:r>
      <w:r w:rsidRPr="00A36463">
        <w:rPr>
          <w:rFonts w:ascii="Garamond" w:hAnsi="Garamond"/>
        </w:rPr>
        <w:t xml:space="preserve"> </w:t>
      </w:r>
      <w:r w:rsidR="00547A1A" w:rsidRPr="00A36463">
        <w:rPr>
          <w:rFonts w:ascii="Garamond" w:hAnsi="Garamond"/>
        </w:rPr>
        <w:t>One</w:t>
      </w:r>
      <w:r w:rsidRPr="00A36463">
        <w:rPr>
          <w:rFonts w:ascii="Garamond" w:hAnsi="Garamond"/>
        </w:rPr>
        <w:t xml:space="preserve"> question for </w:t>
      </w:r>
      <w:proofErr w:type="spellStart"/>
      <w:r w:rsidRPr="00A36463">
        <w:rPr>
          <w:rFonts w:ascii="Garamond" w:hAnsi="Garamond"/>
        </w:rPr>
        <w:t>Kitcher</w:t>
      </w:r>
      <w:proofErr w:type="spellEnd"/>
      <w:r w:rsidRPr="00A36463">
        <w:rPr>
          <w:rFonts w:ascii="Garamond" w:hAnsi="Garamond"/>
        </w:rPr>
        <w:t xml:space="preserve"> is then: What exactly is our ability to automatically respect other rational beings? Is this also a feeling? My worry is it looks like some sort of </w:t>
      </w:r>
      <w:r w:rsidRPr="00A36463">
        <w:rPr>
          <w:rFonts w:ascii="Garamond" w:hAnsi="Garamond"/>
          <w:i/>
          <w:iCs/>
        </w:rPr>
        <w:t>intuition</w:t>
      </w:r>
      <w:r w:rsidRPr="00A36463">
        <w:rPr>
          <w:rFonts w:ascii="Garamond" w:hAnsi="Garamond"/>
        </w:rPr>
        <w:t xml:space="preserve"> of others’ noumenal natures, something that is not going to be easy to reconcile with </w:t>
      </w:r>
      <w:r w:rsidR="00C57F3F" w:rsidRPr="00A36463">
        <w:rPr>
          <w:rFonts w:ascii="Garamond" w:hAnsi="Garamond"/>
        </w:rPr>
        <w:t xml:space="preserve">the epistemic limits of </w:t>
      </w:r>
      <w:r w:rsidRPr="00A36463">
        <w:rPr>
          <w:rFonts w:ascii="Garamond" w:hAnsi="Garamond"/>
        </w:rPr>
        <w:t xml:space="preserve">transcendental idealism. And a </w:t>
      </w:r>
      <w:r w:rsidR="00C57F3F" w:rsidRPr="00A36463">
        <w:rPr>
          <w:rFonts w:ascii="Garamond" w:hAnsi="Garamond"/>
        </w:rPr>
        <w:t xml:space="preserve">related </w:t>
      </w:r>
      <w:r w:rsidRPr="00A36463">
        <w:rPr>
          <w:rFonts w:ascii="Garamond" w:hAnsi="Garamond"/>
        </w:rPr>
        <w:t xml:space="preserve">question for Thorpe is: How are the kinds of </w:t>
      </w:r>
      <w:r w:rsidRPr="00A36463">
        <w:rPr>
          <w:rFonts w:ascii="Garamond" w:hAnsi="Garamond"/>
          <w:i/>
          <w:iCs/>
        </w:rPr>
        <w:t>natural</w:t>
      </w:r>
      <w:r w:rsidRPr="00A36463">
        <w:rPr>
          <w:rFonts w:ascii="Garamond" w:hAnsi="Garamond"/>
        </w:rPr>
        <w:t xml:space="preserve"> practices he discusses capable of revealing information about the </w:t>
      </w:r>
      <w:r w:rsidRPr="00A36463">
        <w:rPr>
          <w:rFonts w:ascii="Garamond" w:hAnsi="Garamond"/>
          <w:i/>
          <w:iCs/>
        </w:rPr>
        <w:t>noumenal</w:t>
      </w:r>
      <w:r w:rsidRPr="00A36463">
        <w:rPr>
          <w:rFonts w:ascii="Garamond" w:hAnsi="Garamond"/>
        </w:rPr>
        <w:t xml:space="preserve"> status of other</w:t>
      </w:r>
      <w:r w:rsidR="00F46681" w:rsidRPr="00A36463">
        <w:rPr>
          <w:rFonts w:ascii="Garamond" w:hAnsi="Garamond"/>
        </w:rPr>
        <w:t>s</w:t>
      </w:r>
      <w:r w:rsidRPr="00A36463">
        <w:rPr>
          <w:rFonts w:ascii="Garamond" w:hAnsi="Garamond"/>
        </w:rPr>
        <w:t>?</w:t>
      </w:r>
    </w:p>
    <w:p w14:paraId="599472A3" w14:textId="2EFEB69A" w:rsidR="00D13397" w:rsidRPr="00A36463" w:rsidRDefault="00D13397" w:rsidP="00C8224B">
      <w:pPr>
        <w:rPr>
          <w:rFonts w:ascii="Garamond" w:hAnsi="Garamond"/>
        </w:rPr>
      </w:pPr>
    </w:p>
    <w:p w14:paraId="76B78717" w14:textId="29C9FEF7" w:rsidR="00A1614C" w:rsidRPr="00A36463" w:rsidRDefault="003D5D05" w:rsidP="003F231C">
      <w:pPr>
        <w:ind w:firstLine="720"/>
        <w:rPr>
          <w:rFonts w:ascii="Garamond" w:hAnsi="Garamond"/>
        </w:rPr>
      </w:pPr>
      <w:r w:rsidRPr="00A36463">
        <w:rPr>
          <w:rFonts w:ascii="Garamond" w:hAnsi="Garamond"/>
        </w:rPr>
        <w:t xml:space="preserve">In chapter 9, Julian </w:t>
      </w:r>
      <w:proofErr w:type="spellStart"/>
      <w:r w:rsidRPr="00A36463">
        <w:rPr>
          <w:rFonts w:ascii="Garamond" w:hAnsi="Garamond"/>
        </w:rPr>
        <w:t>Wuerth</w:t>
      </w:r>
      <w:proofErr w:type="spellEnd"/>
      <w:r w:rsidRPr="00A36463">
        <w:rPr>
          <w:rFonts w:ascii="Garamond" w:hAnsi="Garamond"/>
        </w:rPr>
        <w:t xml:space="preserve"> offers a convincing critique of </w:t>
      </w:r>
      <w:r w:rsidR="00D13397" w:rsidRPr="00A36463">
        <w:rPr>
          <w:rFonts w:ascii="Garamond" w:hAnsi="Garamond"/>
        </w:rPr>
        <w:t>various constructivist accounts of Kant’s meta-ethics, and argues that Korsgaard makes a similar mistake to the one Prichard warned of, namely providing non-moral reasons to be moral.</w:t>
      </w:r>
      <w:r w:rsidR="00E75431" w:rsidRPr="00A36463">
        <w:rPr>
          <w:rFonts w:ascii="Garamond" w:hAnsi="Garamond"/>
        </w:rPr>
        <w:t xml:space="preserve"> </w:t>
      </w:r>
      <w:r w:rsidRPr="00A36463">
        <w:rPr>
          <w:rFonts w:ascii="Garamond" w:hAnsi="Garamond"/>
        </w:rPr>
        <w:t xml:space="preserve">Frederick Rauscher </w:t>
      </w:r>
      <w:proofErr w:type="gramStart"/>
      <w:r w:rsidR="00547A1A" w:rsidRPr="00A36463">
        <w:rPr>
          <w:rFonts w:ascii="Garamond" w:hAnsi="Garamond"/>
        </w:rPr>
        <w:t>continues on</w:t>
      </w:r>
      <w:proofErr w:type="gramEnd"/>
      <w:r w:rsidR="00547A1A" w:rsidRPr="00A36463">
        <w:rPr>
          <w:rFonts w:ascii="Garamond" w:hAnsi="Garamond"/>
        </w:rPr>
        <w:t xml:space="preserve"> this </w:t>
      </w:r>
      <w:r w:rsidRPr="00A36463">
        <w:rPr>
          <w:rFonts w:ascii="Garamond" w:hAnsi="Garamond"/>
        </w:rPr>
        <w:t>theme in chapter 10, arguing against Guyer’s emphasis on Kant’s</w:t>
      </w:r>
      <w:r w:rsidR="00A10E80" w:rsidRPr="00A36463">
        <w:rPr>
          <w:rFonts w:ascii="Garamond" w:hAnsi="Garamond"/>
        </w:rPr>
        <w:t xml:space="preserve"> </w:t>
      </w:r>
      <w:r w:rsidR="00431E59" w:rsidRPr="00A36463">
        <w:rPr>
          <w:rFonts w:ascii="Garamond" w:hAnsi="Garamond"/>
        </w:rPr>
        <w:t>claim</w:t>
      </w:r>
      <w:r w:rsidRPr="00A36463">
        <w:rPr>
          <w:rFonts w:ascii="Garamond" w:hAnsi="Garamond"/>
        </w:rPr>
        <w:t xml:space="preserve"> that freedom is the inner value of the world. In general, Rauscher attempts to argue against value realism in Kant. He ends by offering a suggestion as to how to overcome the </w:t>
      </w:r>
      <w:r w:rsidR="00A1614C" w:rsidRPr="00A36463">
        <w:rPr>
          <w:rFonts w:ascii="Garamond" w:hAnsi="Garamond"/>
          <w:i/>
          <w:iCs/>
        </w:rPr>
        <w:t>arbitrariness</w:t>
      </w:r>
      <w:r w:rsidRPr="00A36463">
        <w:rPr>
          <w:rFonts w:ascii="Garamond" w:hAnsi="Garamond"/>
        </w:rPr>
        <w:t xml:space="preserve"> objection associated with anti-realism. The arbitrariness objection is that, if humanity and freedom </w:t>
      </w:r>
      <w:r w:rsidR="00547A1A" w:rsidRPr="00A36463">
        <w:rPr>
          <w:rFonts w:ascii="Garamond" w:hAnsi="Garamond"/>
        </w:rPr>
        <w:t>are not</w:t>
      </w:r>
      <w:r w:rsidRPr="00A36463">
        <w:rPr>
          <w:rFonts w:ascii="Garamond" w:hAnsi="Garamond"/>
        </w:rPr>
        <w:t xml:space="preserve"> independently valuable, why does practical reason have to assign value to them? Couldn’t practical reason equally assign value to something else? Rauscher’s suggestion is that “there is a ground for practical reason to assign value to humanity because in doing so practical reason is assigning value to its own free exercise. Reason valuing itself should be no surprise” (166)</w:t>
      </w:r>
      <w:r w:rsidR="00A10E80" w:rsidRPr="00A36463">
        <w:rPr>
          <w:rFonts w:ascii="Garamond" w:hAnsi="Garamond"/>
        </w:rPr>
        <w:t>.</w:t>
      </w:r>
      <w:r w:rsidRPr="00A36463">
        <w:rPr>
          <w:rFonts w:ascii="Garamond" w:hAnsi="Garamond"/>
        </w:rPr>
        <w:t xml:space="preserve"> Rauscher might be right that reason values itself, but </w:t>
      </w:r>
      <w:r w:rsidR="00F46681" w:rsidRPr="00A36463">
        <w:rPr>
          <w:rFonts w:ascii="Garamond" w:hAnsi="Garamond"/>
        </w:rPr>
        <w:t>it</w:t>
      </w:r>
      <w:r w:rsidR="007A263A" w:rsidRPr="00A36463">
        <w:rPr>
          <w:rFonts w:ascii="Garamond" w:hAnsi="Garamond"/>
        </w:rPr>
        <w:t xml:space="preserve"> i</w:t>
      </w:r>
      <w:r w:rsidR="00F46681" w:rsidRPr="00A36463">
        <w:rPr>
          <w:rFonts w:ascii="Garamond" w:hAnsi="Garamond"/>
        </w:rPr>
        <w:t>s not clear this solves the</w:t>
      </w:r>
      <w:r w:rsidRPr="00A36463">
        <w:rPr>
          <w:rFonts w:ascii="Garamond" w:hAnsi="Garamond"/>
        </w:rPr>
        <w:t xml:space="preserve"> arbitrariness issue. </w:t>
      </w:r>
      <w:proofErr w:type="gramStart"/>
      <w:r w:rsidR="00C57F3F" w:rsidRPr="00A36463">
        <w:rPr>
          <w:rFonts w:ascii="Garamond" w:hAnsi="Garamond"/>
        </w:rPr>
        <w:t>Let</w:t>
      </w:r>
      <w:r w:rsidR="007A263A" w:rsidRPr="00A36463">
        <w:rPr>
          <w:rFonts w:ascii="Garamond" w:hAnsi="Garamond"/>
        </w:rPr>
        <w:t>’</w:t>
      </w:r>
      <w:r w:rsidR="00C57F3F" w:rsidRPr="00A36463">
        <w:rPr>
          <w:rFonts w:ascii="Garamond" w:hAnsi="Garamond"/>
        </w:rPr>
        <w:t>s</w:t>
      </w:r>
      <w:proofErr w:type="gramEnd"/>
      <w:r w:rsidR="00C57F3F" w:rsidRPr="00A36463">
        <w:rPr>
          <w:rFonts w:ascii="Garamond" w:hAnsi="Garamond"/>
        </w:rPr>
        <w:t xml:space="preserve"> say that God values their own divine nature. This does</w:t>
      </w:r>
      <w:r w:rsidR="00A10E80" w:rsidRPr="00A36463">
        <w:rPr>
          <w:rFonts w:ascii="Garamond" w:hAnsi="Garamond"/>
        </w:rPr>
        <w:t xml:space="preserve"> not</w:t>
      </w:r>
      <w:r w:rsidR="00C57F3F" w:rsidRPr="00A36463">
        <w:rPr>
          <w:rFonts w:ascii="Garamond" w:hAnsi="Garamond"/>
        </w:rPr>
        <w:t xml:space="preserve"> overcome Euthyphro style arbitrariness worries.</w:t>
      </w:r>
      <w:r w:rsidR="00430E96" w:rsidRPr="00A36463">
        <w:rPr>
          <w:rFonts w:ascii="Garamond" w:hAnsi="Garamond"/>
        </w:rPr>
        <w:t xml:space="preserve"> For the question still remains as to whether God is right to value their own nature in this way, and this seems hard to answer positively unless that nature has an independent value, that explains their valuing of it – if it does not, this valuing looks groundless and arbitrary.</w:t>
      </w:r>
      <w:r w:rsidR="00C57F3F" w:rsidRPr="00A36463">
        <w:rPr>
          <w:rFonts w:ascii="Garamond" w:hAnsi="Garamond"/>
        </w:rPr>
        <w:t xml:space="preserve"> The fact that it</w:t>
      </w:r>
      <w:r w:rsidR="00A10E80" w:rsidRPr="00A36463">
        <w:rPr>
          <w:rFonts w:ascii="Garamond" w:hAnsi="Garamond"/>
        </w:rPr>
        <w:t xml:space="preserve"> is</w:t>
      </w:r>
      <w:r w:rsidR="00C57F3F" w:rsidRPr="00A36463">
        <w:rPr>
          <w:rFonts w:ascii="Garamond" w:hAnsi="Garamond"/>
        </w:rPr>
        <w:t xml:space="preserve"> not surprising that God values themsel</w:t>
      </w:r>
      <w:r w:rsidR="00431E59" w:rsidRPr="00A36463">
        <w:rPr>
          <w:rFonts w:ascii="Garamond" w:hAnsi="Garamond"/>
        </w:rPr>
        <w:t>f</w:t>
      </w:r>
      <w:r w:rsidR="00C57F3F" w:rsidRPr="00A36463">
        <w:rPr>
          <w:rFonts w:ascii="Garamond" w:hAnsi="Garamond"/>
        </w:rPr>
        <w:t xml:space="preserve"> </w:t>
      </w:r>
      <w:r w:rsidR="007A263A" w:rsidRPr="00A36463">
        <w:rPr>
          <w:rFonts w:ascii="Garamond" w:hAnsi="Garamond"/>
        </w:rPr>
        <w:t>does not</w:t>
      </w:r>
      <w:r w:rsidR="00C57F3F" w:rsidRPr="00A36463">
        <w:rPr>
          <w:rFonts w:ascii="Garamond" w:hAnsi="Garamond"/>
        </w:rPr>
        <w:t xml:space="preserve"> </w:t>
      </w:r>
      <w:r w:rsidR="00C57F3F" w:rsidRPr="00A36463">
        <w:rPr>
          <w:rFonts w:ascii="Garamond" w:hAnsi="Garamond"/>
        </w:rPr>
        <w:lastRenderedPageBreak/>
        <w:t xml:space="preserve">address this. </w:t>
      </w:r>
      <w:r w:rsidRPr="00A36463">
        <w:rPr>
          <w:rFonts w:ascii="Garamond" w:hAnsi="Garamond"/>
        </w:rPr>
        <w:t>After all, all sorts of things might value</w:t>
      </w:r>
      <w:r w:rsidR="00F46681" w:rsidRPr="00A36463">
        <w:rPr>
          <w:rFonts w:ascii="Garamond" w:hAnsi="Garamond"/>
        </w:rPr>
        <w:t xml:space="preserve"> themselves</w:t>
      </w:r>
      <w:r w:rsidRPr="00A36463">
        <w:rPr>
          <w:rFonts w:ascii="Garamond" w:hAnsi="Garamond"/>
        </w:rPr>
        <w:t xml:space="preserve">, but </w:t>
      </w:r>
      <w:r w:rsidR="00547A1A" w:rsidRPr="00A36463">
        <w:rPr>
          <w:rFonts w:ascii="Garamond" w:hAnsi="Garamond"/>
        </w:rPr>
        <w:t xml:space="preserve">that </w:t>
      </w:r>
      <w:r w:rsidRPr="00A36463">
        <w:rPr>
          <w:rFonts w:ascii="Garamond" w:hAnsi="Garamond"/>
        </w:rPr>
        <w:t>does</w:t>
      </w:r>
      <w:r w:rsidR="007A263A" w:rsidRPr="00A36463">
        <w:rPr>
          <w:rFonts w:ascii="Garamond" w:hAnsi="Garamond"/>
        </w:rPr>
        <w:t xml:space="preserve"> </w:t>
      </w:r>
      <w:r w:rsidRPr="00A36463">
        <w:rPr>
          <w:rFonts w:ascii="Garamond" w:hAnsi="Garamond"/>
        </w:rPr>
        <w:t>n</w:t>
      </w:r>
      <w:r w:rsidR="007A263A" w:rsidRPr="00A36463">
        <w:rPr>
          <w:rFonts w:ascii="Garamond" w:hAnsi="Garamond"/>
        </w:rPr>
        <w:t>o</w:t>
      </w:r>
      <w:r w:rsidRPr="00A36463">
        <w:rPr>
          <w:rFonts w:ascii="Garamond" w:hAnsi="Garamond"/>
        </w:rPr>
        <w:t>t make them thereby valuable</w:t>
      </w:r>
      <w:r w:rsidR="00A1614C" w:rsidRPr="00A36463">
        <w:rPr>
          <w:rFonts w:ascii="Garamond" w:hAnsi="Garamond"/>
        </w:rPr>
        <w:t>; Donald Trump thinks he</w:t>
      </w:r>
      <w:r w:rsidR="007A263A" w:rsidRPr="00A36463">
        <w:rPr>
          <w:rFonts w:ascii="Garamond" w:hAnsi="Garamond"/>
        </w:rPr>
        <w:t xml:space="preserve"> i</w:t>
      </w:r>
      <w:r w:rsidR="00A1614C" w:rsidRPr="00A36463">
        <w:rPr>
          <w:rFonts w:ascii="Garamond" w:hAnsi="Garamond"/>
        </w:rPr>
        <w:t xml:space="preserve">s an excellent thinker, but he </w:t>
      </w:r>
      <w:r w:rsidR="00F46681" w:rsidRPr="00A36463">
        <w:rPr>
          <w:rFonts w:ascii="Garamond" w:hAnsi="Garamond"/>
        </w:rPr>
        <w:t>is not</w:t>
      </w:r>
      <w:r w:rsidR="00A1614C" w:rsidRPr="00A36463">
        <w:rPr>
          <w:rFonts w:ascii="Garamond" w:hAnsi="Garamond"/>
        </w:rPr>
        <w:t>!</w:t>
      </w:r>
    </w:p>
    <w:p w14:paraId="5EFE00B0" w14:textId="77777777" w:rsidR="00112F7F" w:rsidRPr="00A36463" w:rsidRDefault="00112F7F" w:rsidP="00C8224B">
      <w:pPr>
        <w:rPr>
          <w:rFonts w:ascii="Garamond" w:hAnsi="Garamond"/>
        </w:rPr>
      </w:pPr>
    </w:p>
    <w:p w14:paraId="5A3B94BC" w14:textId="39ACC060" w:rsidR="00A1614C" w:rsidRPr="00A36463" w:rsidRDefault="00112F7F" w:rsidP="003F231C">
      <w:pPr>
        <w:ind w:firstLine="720"/>
        <w:rPr>
          <w:rFonts w:ascii="Garamond" w:hAnsi="Garamond"/>
        </w:rPr>
      </w:pPr>
      <w:r w:rsidRPr="00A36463">
        <w:rPr>
          <w:rFonts w:ascii="Garamond" w:hAnsi="Garamond"/>
        </w:rPr>
        <w:t xml:space="preserve">The third section of the book turns from freedom and value to Kant’s conception of autonomy. </w:t>
      </w:r>
      <w:r w:rsidR="00A1614C" w:rsidRPr="00A36463">
        <w:rPr>
          <w:rFonts w:ascii="Garamond" w:hAnsi="Garamond"/>
        </w:rPr>
        <w:t xml:space="preserve">Karl </w:t>
      </w:r>
      <w:proofErr w:type="spellStart"/>
      <w:r w:rsidR="00A1614C" w:rsidRPr="00A36463">
        <w:rPr>
          <w:rFonts w:ascii="Garamond" w:hAnsi="Garamond"/>
        </w:rPr>
        <w:t>Ameriks</w:t>
      </w:r>
      <w:proofErr w:type="spellEnd"/>
      <w:r w:rsidR="002D62BE" w:rsidRPr="00A36463">
        <w:rPr>
          <w:rFonts w:ascii="Garamond" w:hAnsi="Garamond"/>
        </w:rPr>
        <w:t xml:space="preserve"> begins with</w:t>
      </w:r>
      <w:r w:rsidR="00A1614C" w:rsidRPr="00A36463">
        <w:rPr>
          <w:rFonts w:ascii="Garamond" w:hAnsi="Garamond"/>
        </w:rPr>
        <w:t xml:space="preserve"> </w:t>
      </w:r>
      <w:r w:rsidR="000969E6" w:rsidRPr="00A36463">
        <w:rPr>
          <w:rFonts w:ascii="Garamond" w:hAnsi="Garamond"/>
        </w:rPr>
        <w:t xml:space="preserve">an illuminating </w:t>
      </w:r>
      <w:r w:rsidR="00A1614C" w:rsidRPr="00A36463">
        <w:rPr>
          <w:rFonts w:ascii="Garamond" w:hAnsi="Garamond"/>
        </w:rPr>
        <w:t xml:space="preserve">discussion of the German verb </w:t>
      </w:r>
      <w:proofErr w:type="spellStart"/>
      <w:r w:rsidR="00A1614C" w:rsidRPr="00A36463">
        <w:rPr>
          <w:rFonts w:ascii="Garamond" w:hAnsi="Garamond"/>
          <w:i/>
          <w:iCs/>
        </w:rPr>
        <w:t>bestimmen</w:t>
      </w:r>
      <w:proofErr w:type="spellEnd"/>
      <w:r w:rsidR="00A1614C" w:rsidRPr="00A36463">
        <w:rPr>
          <w:rFonts w:ascii="Garamond" w:hAnsi="Garamond"/>
          <w:i/>
          <w:iCs/>
        </w:rPr>
        <w:t xml:space="preserve"> </w:t>
      </w:r>
      <w:r w:rsidR="00A1614C" w:rsidRPr="00A36463">
        <w:rPr>
          <w:rFonts w:ascii="Garamond" w:hAnsi="Garamond"/>
        </w:rPr>
        <w:t>(usually translated in English as ‘determine’), and the different sense of</w:t>
      </w:r>
      <w:r w:rsidR="00A1614C" w:rsidRPr="00A36463">
        <w:rPr>
          <w:rFonts w:ascii="Garamond" w:hAnsi="Garamond"/>
          <w:i/>
          <w:iCs/>
        </w:rPr>
        <w:t xml:space="preserve"> </w:t>
      </w:r>
      <w:proofErr w:type="spellStart"/>
      <w:r w:rsidR="00A1614C" w:rsidRPr="00A36463">
        <w:rPr>
          <w:rFonts w:ascii="Garamond" w:hAnsi="Garamond"/>
          <w:i/>
          <w:iCs/>
        </w:rPr>
        <w:t>selbstbestimmung</w:t>
      </w:r>
      <w:proofErr w:type="spellEnd"/>
      <w:r w:rsidR="00A1614C" w:rsidRPr="00A36463">
        <w:rPr>
          <w:rFonts w:ascii="Garamond" w:hAnsi="Garamond"/>
          <w:i/>
          <w:iCs/>
        </w:rPr>
        <w:t xml:space="preserve"> </w:t>
      </w:r>
      <w:r w:rsidR="00A1614C" w:rsidRPr="00A36463">
        <w:rPr>
          <w:rFonts w:ascii="Garamond" w:hAnsi="Garamond"/>
        </w:rPr>
        <w:t>(or self-determination) in Kant.</w:t>
      </w:r>
      <w:r w:rsidR="000969E6" w:rsidRPr="00A36463">
        <w:rPr>
          <w:rFonts w:ascii="Garamond" w:hAnsi="Garamond"/>
        </w:rPr>
        <w:t xml:space="preserve"> In doing so, he looks to steer a middle course between understanding autonomy in Kant as either too subjective or too law-like.</w:t>
      </w:r>
    </w:p>
    <w:p w14:paraId="678F0404" w14:textId="7499F168" w:rsidR="00A1614C" w:rsidRPr="00A36463" w:rsidRDefault="00A1614C" w:rsidP="00C8224B">
      <w:pPr>
        <w:rPr>
          <w:rFonts w:ascii="Garamond" w:hAnsi="Garamond"/>
        </w:rPr>
      </w:pPr>
    </w:p>
    <w:p w14:paraId="50CF0875" w14:textId="3D97DA11" w:rsidR="00A1614C" w:rsidRPr="00A36463" w:rsidRDefault="00A1614C" w:rsidP="003F231C">
      <w:pPr>
        <w:ind w:firstLine="720"/>
        <w:rPr>
          <w:rFonts w:ascii="Garamond" w:hAnsi="Garamond"/>
        </w:rPr>
      </w:pPr>
      <w:r w:rsidRPr="00A36463">
        <w:rPr>
          <w:rFonts w:ascii="Garamond" w:hAnsi="Garamond"/>
        </w:rPr>
        <w:t>Chapter 10 is</w:t>
      </w:r>
      <w:r w:rsidR="002D62BE" w:rsidRPr="00A36463">
        <w:rPr>
          <w:rFonts w:ascii="Garamond" w:hAnsi="Garamond"/>
        </w:rPr>
        <w:t xml:space="preserve"> Kate Moran’s</w:t>
      </w:r>
      <w:r w:rsidRPr="00A36463">
        <w:rPr>
          <w:rFonts w:ascii="Garamond" w:hAnsi="Garamond"/>
        </w:rPr>
        <w:t xml:space="preserve"> excellent discussion of inclination, need and moral misery. Moran explores Kant’s</w:t>
      </w:r>
      <w:r w:rsidR="002D62BE" w:rsidRPr="00A36463">
        <w:rPr>
          <w:rFonts w:ascii="Garamond" w:hAnsi="Garamond"/>
        </w:rPr>
        <w:t xml:space="preserve"> notorious claim</w:t>
      </w:r>
      <w:r w:rsidRPr="00A36463">
        <w:rPr>
          <w:rFonts w:ascii="Garamond" w:hAnsi="Garamond"/>
        </w:rPr>
        <w:t xml:space="preserve"> that “the inclinations themselves, as sources of need, are so far from having absolute worth – so as to make one wish for them as such – that to be entirely free from them must rather be the universal wish of every rational being” (</w:t>
      </w:r>
      <w:r w:rsidR="000969E6" w:rsidRPr="00A36463">
        <w:rPr>
          <w:rFonts w:ascii="Garamond" w:hAnsi="Garamond"/>
        </w:rPr>
        <w:t>IV</w:t>
      </w:r>
      <w:r w:rsidRPr="00A36463">
        <w:rPr>
          <w:rFonts w:ascii="Garamond" w:hAnsi="Garamond"/>
        </w:rPr>
        <w:t>: 428</w:t>
      </w:r>
      <w:r w:rsidR="000969E6" w:rsidRPr="00A36463">
        <w:rPr>
          <w:rFonts w:ascii="Garamond" w:hAnsi="Garamond"/>
        </w:rPr>
        <w:t>. 14-17</w:t>
      </w:r>
      <w:r w:rsidRPr="00A36463">
        <w:rPr>
          <w:rFonts w:ascii="Garamond" w:hAnsi="Garamond"/>
        </w:rPr>
        <w:t>)</w:t>
      </w:r>
      <w:r w:rsidR="000969E6" w:rsidRPr="00A36463">
        <w:rPr>
          <w:rFonts w:ascii="Garamond" w:hAnsi="Garamond"/>
        </w:rPr>
        <w:t>.</w:t>
      </w:r>
      <w:r w:rsidRPr="00A36463">
        <w:rPr>
          <w:rFonts w:ascii="Garamond" w:hAnsi="Garamond"/>
        </w:rPr>
        <w:t xml:space="preserve"> Too often, the temptation is to </w:t>
      </w:r>
      <w:r w:rsidR="00547A1A" w:rsidRPr="00A36463">
        <w:rPr>
          <w:rFonts w:ascii="Garamond" w:hAnsi="Garamond"/>
        </w:rPr>
        <w:t>ignore</w:t>
      </w:r>
      <w:r w:rsidRPr="00A36463">
        <w:rPr>
          <w:rFonts w:ascii="Garamond" w:hAnsi="Garamond"/>
        </w:rPr>
        <w:t xml:space="preserve"> – or explain away – such passages, where Kant clearly states something that doe</w:t>
      </w:r>
      <w:r w:rsidR="002D62BE" w:rsidRPr="00A36463">
        <w:rPr>
          <w:rFonts w:ascii="Garamond" w:hAnsi="Garamond"/>
        </w:rPr>
        <w:t>s not</w:t>
      </w:r>
      <w:r w:rsidRPr="00A36463">
        <w:rPr>
          <w:rFonts w:ascii="Garamond" w:hAnsi="Garamond"/>
        </w:rPr>
        <w:t xml:space="preserve"> chime with our contemporary sensibilities. But Moran takes Kant’s claim seriously, and attempt</w:t>
      </w:r>
      <w:r w:rsidR="0014777A" w:rsidRPr="00A36463">
        <w:rPr>
          <w:rFonts w:ascii="Garamond" w:hAnsi="Garamond"/>
        </w:rPr>
        <w:t>s</w:t>
      </w:r>
      <w:r w:rsidRPr="00A36463">
        <w:rPr>
          <w:rFonts w:ascii="Garamond" w:hAnsi="Garamond"/>
        </w:rPr>
        <w:t xml:space="preserve"> to defend it, arguing that </w:t>
      </w:r>
      <w:r w:rsidR="002D62BE" w:rsidRPr="00A36463">
        <w:rPr>
          <w:rFonts w:ascii="Garamond" w:hAnsi="Garamond"/>
        </w:rPr>
        <w:t>he</w:t>
      </w:r>
      <w:r w:rsidRPr="00A36463">
        <w:rPr>
          <w:rFonts w:ascii="Garamond" w:hAnsi="Garamond"/>
        </w:rPr>
        <w:t xml:space="preserve"> is primarily worried about inclinations </w:t>
      </w:r>
      <w:r w:rsidRPr="00A36463">
        <w:rPr>
          <w:rFonts w:ascii="Garamond" w:hAnsi="Garamond"/>
          <w:i/>
          <w:iCs/>
        </w:rPr>
        <w:t>as a source of need</w:t>
      </w:r>
      <w:r w:rsidRPr="00A36463">
        <w:rPr>
          <w:rFonts w:ascii="Garamond" w:hAnsi="Garamond"/>
        </w:rPr>
        <w:t xml:space="preserve">, rather than inclinations themselves. </w:t>
      </w:r>
      <w:r w:rsidR="0014777A" w:rsidRPr="00A36463">
        <w:rPr>
          <w:rFonts w:ascii="Garamond" w:hAnsi="Garamond"/>
        </w:rPr>
        <w:t xml:space="preserve">Inclinations as a source of need are troublesome, Moran argues, because they hinder our pursuit of independence. I found this one of the best treatments of this issue </w:t>
      </w:r>
      <w:r w:rsidR="007A263A" w:rsidRPr="00A36463">
        <w:rPr>
          <w:rFonts w:ascii="Garamond" w:hAnsi="Garamond"/>
        </w:rPr>
        <w:t>I have</w:t>
      </w:r>
      <w:r w:rsidR="0014777A" w:rsidRPr="00A36463">
        <w:rPr>
          <w:rFonts w:ascii="Garamond" w:hAnsi="Garamond"/>
        </w:rPr>
        <w:t xml:space="preserve"> read. And given this, it </w:t>
      </w:r>
      <w:r w:rsidR="003358A0" w:rsidRPr="00A36463">
        <w:rPr>
          <w:rFonts w:ascii="Garamond" w:hAnsi="Garamond"/>
        </w:rPr>
        <w:t>invites</w:t>
      </w:r>
      <w:r w:rsidR="0014777A" w:rsidRPr="00A36463">
        <w:rPr>
          <w:rFonts w:ascii="Garamond" w:hAnsi="Garamond"/>
        </w:rPr>
        <w:t xml:space="preserve"> further </w:t>
      </w:r>
      <w:r w:rsidR="003358A0" w:rsidRPr="00A36463">
        <w:rPr>
          <w:rFonts w:ascii="Garamond" w:hAnsi="Garamond"/>
        </w:rPr>
        <w:t>discussion</w:t>
      </w:r>
      <w:r w:rsidR="0014777A" w:rsidRPr="00A36463">
        <w:rPr>
          <w:rFonts w:ascii="Garamond" w:hAnsi="Garamond"/>
        </w:rPr>
        <w:t xml:space="preserve">. For one, we are humans, </w:t>
      </w:r>
      <w:r w:rsidR="007A263A" w:rsidRPr="00A36463">
        <w:rPr>
          <w:rFonts w:ascii="Garamond" w:hAnsi="Garamond"/>
        </w:rPr>
        <w:t>we are</w:t>
      </w:r>
      <w:r w:rsidR="0014777A" w:rsidRPr="00A36463">
        <w:rPr>
          <w:rFonts w:ascii="Garamond" w:hAnsi="Garamond"/>
        </w:rPr>
        <w:t xml:space="preserve"> not independent, </w:t>
      </w:r>
      <w:proofErr w:type="gramStart"/>
      <w:r w:rsidR="0014777A" w:rsidRPr="00A36463">
        <w:rPr>
          <w:rFonts w:ascii="Garamond" w:hAnsi="Garamond"/>
        </w:rPr>
        <w:t>we</w:t>
      </w:r>
      <w:r w:rsidR="007A263A" w:rsidRPr="00A36463">
        <w:rPr>
          <w:rFonts w:ascii="Garamond" w:hAnsi="Garamond"/>
        </w:rPr>
        <w:t>’</w:t>
      </w:r>
      <w:r w:rsidR="0014777A" w:rsidRPr="00A36463">
        <w:rPr>
          <w:rFonts w:ascii="Garamond" w:hAnsi="Garamond"/>
        </w:rPr>
        <w:t>re</w:t>
      </w:r>
      <w:proofErr w:type="gramEnd"/>
      <w:r w:rsidR="0014777A" w:rsidRPr="00A36463">
        <w:rPr>
          <w:rFonts w:ascii="Garamond" w:hAnsi="Garamond"/>
        </w:rPr>
        <w:t xml:space="preserve"> vulnerable dependent beings. A</w:t>
      </w:r>
      <w:r w:rsidR="000969E6" w:rsidRPr="00A36463">
        <w:rPr>
          <w:rFonts w:ascii="Garamond" w:hAnsi="Garamond"/>
        </w:rPr>
        <w:t xml:space="preserve"> </w:t>
      </w:r>
      <w:r w:rsidR="0014777A" w:rsidRPr="00A36463">
        <w:rPr>
          <w:rFonts w:ascii="Garamond" w:hAnsi="Garamond"/>
        </w:rPr>
        <w:t xml:space="preserve">general worry with Kant is that </w:t>
      </w:r>
      <w:r w:rsidR="000969E6" w:rsidRPr="00A36463">
        <w:rPr>
          <w:rFonts w:ascii="Garamond" w:hAnsi="Garamond"/>
        </w:rPr>
        <w:t>he sees this as</w:t>
      </w:r>
      <w:r w:rsidR="0014777A" w:rsidRPr="00A36463">
        <w:rPr>
          <w:rFonts w:ascii="Garamond" w:hAnsi="Garamond"/>
        </w:rPr>
        <w:t xml:space="preserve"> a hindrance rather than an acknowledgement of our real nature. A</w:t>
      </w:r>
      <w:r w:rsidR="000969E6" w:rsidRPr="00A36463">
        <w:rPr>
          <w:rFonts w:ascii="Garamond" w:hAnsi="Garamond"/>
        </w:rPr>
        <w:t>nd a</w:t>
      </w:r>
      <w:r w:rsidR="0014777A" w:rsidRPr="00A36463">
        <w:rPr>
          <w:rFonts w:ascii="Garamond" w:hAnsi="Garamond"/>
        </w:rPr>
        <w:t xml:space="preserve">fter all, </w:t>
      </w:r>
      <w:r w:rsidR="00547A1A" w:rsidRPr="00A36463">
        <w:rPr>
          <w:rFonts w:ascii="Garamond" w:hAnsi="Garamond"/>
        </w:rPr>
        <w:t>what is</w:t>
      </w:r>
      <w:r w:rsidR="0014777A" w:rsidRPr="00A36463">
        <w:rPr>
          <w:rFonts w:ascii="Garamond" w:hAnsi="Garamond"/>
        </w:rPr>
        <w:t xml:space="preserve"> wrong with having needs, being vulnerable, and depending on others?</w:t>
      </w:r>
    </w:p>
    <w:p w14:paraId="16D41DC6" w14:textId="6286E46F" w:rsidR="0014777A" w:rsidRPr="00A36463" w:rsidRDefault="0014777A" w:rsidP="00C8224B">
      <w:pPr>
        <w:rPr>
          <w:rFonts w:ascii="Garamond" w:hAnsi="Garamond"/>
        </w:rPr>
      </w:pPr>
    </w:p>
    <w:p w14:paraId="57278F4F" w14:textId="70CBD42C" w:rsidR="00A8151D" w:rsidRPr="00A36463" w:rsidRDefault="000969E6" w:rsidP="003F231C">
      <w:pPr>
        <w:ind w:firstLine="720"/>
        <w:rPr>
          <w:rFonts w:ascii="Garamond" w:hAnsi="Garamond"/>
          <w:b/>
          <w:bCs/>
        </w:rPr>
      </w:pPr>
      <w:r w:rsidRPr="00A36463">
        <w:rPr>
          <w:rFonts w:ascii="Garamond" w:hAnsi="Garamond"/>
        </w:rPr>
        <w:t xml:space="preserve">In chapter 10, </w:t>
      </w:r>
      <w:r w:rsidR="0014777A" w:rsidRPr="00A36463">
        <w:rPr>
          <w:rFonts w:ascii="Garamond" w:hAnsi="Garamond"/>
        </w:rPr>
        <w:t xml:space="preserve">Barbara Herman provides a thoughtful and thought-provoking discussion of religion and the highest good in Kant. One minor complaint concerns her discussion of Kant’s notorious claim that reason is timeless. Herman offers a deflationary account of this claim, arguing that: “In a sense, every course of reason is timeless (e.g. a contradiction is timelessly invalid). A course of reasoning </w:t>
      </w:r>
      <w:r w:rsidR="00D94125" w:rsidRPr="00A36463">
        <w:rPr>
          <w:rFonts w:ascii="Garamond" w:hAnsi="Garamond"/>
        </w:rPr>
        <w:t xml:space="preserve">may be manifest at a time, realized or </w:t>
      </w:r>
      <w:r w:rsidR="00A8151D" w:rsidRPr="00A36463">
        <w:rPr>
          <w:rFonts w:ascii="Garamond" w:hAnsi="Garamond"/>
        </w:rPr>
        <w:t>recognised in time, but its correctness i</w:t>
      </w:r>
      <w:r w:rsidR="007D1E11" w:rsidRPr="00A36463">
        <w:rPr>
          <w:rFonts w:ascii="Garamond" w:hAnsi="Garamond"/>
        </w:rPr>
        <w:t>s</w:t>
      </w:r>
      <w:r w:rsidR="00A8151D" w:rsidRPr="00A36463">
        <w:rPr>
          <w:rFonts w:ascii="Garamond" w:hAnsi="Garamond"/>
        </w:rPr>
        <w:t xml:space="preserve"> not a function of any act of reasoning” (221-22). This is true, but it doesn’t seem </w:t>
      </w:r>
      <w:r w:rsidR="007D1E11" w:rsidRPr="00A36463">
        <w:rPr>
          <w:rFonts w:ascii="Garamond" w:hAnsi="Garamond"/>
        </w:rPr>
        <w:t>to really address Kant’s claim</w:t>
      </w:r>
      <w:r w:rsidR="00A8151D" w:rsidRPr="00A36463">
        <w:rPr>
          <w:rFonts w:ascii="Garamond" w:hAnsi="Garamond"/>
        </w:rPr>
        <w:t xml:space="preserve">. After all, this is not the sense of timelessness that </w:t>
      </w:r>
      <w:r w:rsidRPr="00A36463">
        <w:rPr>
          <w:rFonts w:ascii="Garamond" w:hAnsi="Garamond"/>
        </w:rPr>
        <w:t>he</w:t>
      </w:r>
      <w:r w:rsidR="00A8151D" w:rsidRPr="00A36463">
        <w:rPr>
          <w:rFonts w:ascii="Garamond" w:hAnsi="Garamond"/>
        </w:rPr>
        <w:t xml:space="preserve"> is talking about</w:t>
      </w:r>
      <w:r w:rsidR="007D1E11" w:rsidRPr="00A36463">
        <w:rPr>
          <w:rFonts w:ascii="Garamond" w:hAnsi="Garamond"/>
        </w:rPr>
        <w:t xml:space="preserve">; </w:t>
      </w:r>
      <w:r w:rsidRPr="00A36463">
        <w:rPr>
          <w:rFonts w:ascii="Garamond" w:hAnsi="Garamond"/>
        </w:rPr>
        <w:t>Kant</w:t>
      </w:r>
      <w:r w:rsidR="007D1E11" w:rsidRPr="00A36463">
        <w:rPr>
          <w:rFonts w:ascii="Garamond" w:hAnsi="Garamond"/>
        </w:rPr>
        <w:t xml:space="preserve"> </w:t>
      </w:r>
      <w:r w:rsidR="00A8151D" w:rsidRPr="00A36463">
        <w:rPr>
          <w:rFonts w:ascii="Garamond" w:hAnsi="Garamond"/>
        </w:rPr>
        <w:t>is clear that things-in-themselves are not in time (</w:t>
      </w:r>
      <w:r w:rsidR="007D1E11" w:rsidRPr="00A36463">
        <w:rPr>
          <w:rFonts w:ascii="Garamond" w:hAnsi="Garamond"/>
        </w:rPr>
        <w:t>A32-6/B49-53, A539/B567</w:t>
      </w:r>
      <w:r w:rsidR="00A8151D" w:rsidRPr="00A36463">
        <w:rPr>
          <w:rFonts w:ascii="Garamond" w:hAnsi="Garamond"/>
        </w:rPr>
        <w:t>), and that transcendental freedom is not in time either (</w:t>
      </w:r>
      <w:r w:rsidR="007D1E11" w:rsidRPr="00A36463">
        <w:rPr>
          <w:rFonts w:ascii="Garamond" w:hAnsi="Garamond"/>
        </w:rPr>
        <w:t>A539/B567, and R6343</w:t>
      </w:r>
      <w:r w:rsidR="00A8151D" w:rsidRPr="00A36463">
        <w:rPr>
          <w:rFonts w:ascii="Garamond" w:hAnsi="Garamond"/>
        </w:rPr>
        <w:t>).</w:t>
      </w:r>
      <w:r w:rsidR="007D1E11" w:rsidRPr="00A36463">
        <w:rPr>
          <w:rFonts w:ascii="Garamond" w:hAnsi="Garamond"/>
        </w:rPr>
        <w:t xml:space="preserve"> </w:t>
      </w:r>
      <w:r w:rsidRPr="00A36463">
        <w:rPr>
          <w:rFonts w:ascii="Garamond" w:hAnsi="Garamond"/>
        </w:rPr>
        <w:t>T</w:t>
      </w:r>
      <w:r w:rsidR="007D1E11" w:rsidRPr="00A36463">
        <w:rPr>
          <w:rFonts w:ascii="Garamond" w:hAnsi="Garamond"/>
        </w:rPr>
        <w:t xml:space="preserve">he contrast with Moran’s chapter is </w:t>
      </w:r>
      <w:r w:rsidRPr="00A36463">
        <w:rPr>
          <w:rFonts w:ascii="Garamond" w:hAnsi="Garamond"/>
        </w:rPr>
        <w:t>worth noting</w:t>
      </w:r>
      <w:r w:rsidR="007D1E11" w:rsidRPr="00A36463">
        <w:rPr>
          <w:rFonts w:ascii="Garamond" w:hAnsi="Garamond"/>
        </w:rPr>
        <w:t>. Kan</w:t>
      </w:r>
      <w:r w:rsidRPr="00A36463">
        <w:rPr>
          <w:rFonts w:ascii="Garamond" w:hAnsi="Garamond"/>
        </w:rPr>
        <w:t xml:space="preserve">t’s philosophy contains a variety of strange, intriguing and puzzling claims, and </w:t>
      </w:r>
      <w:r w:rsidR="007D1E11" w:rsidRPr="00A36463">
        <w:rPr>
          <w:rFonts w:ascii="Garamond" w:hAnsi="Garamond"/>
        </w:rPr>
        <w:t xml:space="preserve">I think these are worth taking head on, rather than </w:t>
      </w:r>
      <w:r w:rsidRPr="00A36463">
        <w:rPr>
          <w:rFonts w:ascii="Garamond" w:hAnsi="Garamond"/>
        </w:rPr>
        <w:t>side-stepping.</w:t>
      </w:r>
    </w:p>
    <w:p w14:paraId="75A31661" w14:textId="0C9E86B2" w:rsidR="00A8151D" w:rsidRPr="00A36463" w:rsidRDefault="00A8151D" w:rsidP="00C8224B">
      <w:pPr>
        <w:rPr>
          <w:rFonts w:ascii="Garamond" w:hAnsi="Garamond"/>
        </w:rPr>
      </w:pPr>
    </w:p>
    <w:p w14:paraId="4178F676" w14:textId="0F0B0950" w:rsidR="00F96C3B" w:rsidRPr="00A36463" w:rsidRDefault="00112F7F" w:rsidP="003F231C">
      <w:pPr>
        <w:ind w:firstLine="720"/>
        <w:rPr>
          <w:rFonts w:ascii="Garamond" w:hAnsi="Garamond"/>
          <w:b/>
          <w:bCs/>
        </w:rPr>
      </w:pPr>
      <w:r w:rsidRPr="00A36463">
        <w:rPr>
          <w:rFonts w:ascii="Garamond" w:hAnsi="Garamond"/>
        </w:rPr>
        <w:t xml:space="preserve">The fourth section of the book concerns </w:t>
      </w:r>
      <w:r w:rsidR="0076073D" w:rsidRPr="00A36463">
        <w:rPr>
          <w:rFonts w:ascii="Garamond" w:hAnsi="Garamond"/>
        </w:rPr>
        <w:t>Kant’s political philosophy</w:t>
      </w:r>
      <w:r w:rsidRPr="00A36463">
        <w:rPr>
          <w:rFonts w:ascii="Garamond" w:hAnsi="Garamond"/>
        </w:rPr>
        <w:t xml:space="preserve">. Here, </w:t>
      </w:r>
      <w:r w:rsidR="00A8151D" w:rsidRPr="00A36463">
        <w:rPr>
          <w:rFonts w:ascii="Garamond" w:hAnsi="Garamond"/>
        </w:rPr>
        <w:t>Allen Wood</w:t>
      </w:r>
      <w:r w:rsidR="004A5BF1" w:rsidRPr="00A36463">
        <w:rPr>
          <w:rFonts w:ascii="Garamond" w:hAnsi="Garamond"/>
        </w:rPr>
        <w:t xml:space="preserve"> </w:t>
      </w:r>
      <w:r w:rsidR="00A8151D" w:rsidRPr="00A36463">
        <w:rPr>
          <w:rFonts w:ascii="Garamond" w:hAnsi="Garamond"/>
        </w:rPr>
        <w:t xml:space="preserve">looks to reframe the separation between Kant’s ethics and </w:t>
      </w:r>
      <w:r w:rsidR="004A5BF1" w:rsidRPr="00A36463">
        <w:rPr>
          <w:rFonts w:ascii="Garamond" w:hAnsi="Garamond"/>
        </w:rPr>
        <w:t>right</w:t>
      </w:r>
      <w:r w:rsidRPr="00A36463">
        <w:rPr>
          <w:rFonts w:ascii="Garamond" w:hAnsi="Garamond"/>
        </w:rPr>
        <w:t>. In doing so,</w:t>
      </w:r>
      <w:r w:rsidR="004A5BF1" w:rsidRPr="00A36463">
        <w:rPr>
          <w:rFonts w:ascii="Garamond" w:hAnsi="Garamond"/>
        </w:rPr>
        <w:t xml:space="preserve"> he departs from Guyer, in thinking that the theory </w:t>
      </w:r>
      <w:r w:rsidR="000969E6" w:rsidRPr="00A36463">
        <w:rPr>
          <w:rFonts w:ascii="Garamond" w:hAnsi="Garamond"/>
        </w:rPr>
        <w:t xml:space="preserve">of right </w:t>
      </w:r>
      <w:r w:rsidR="004A5BF1" w:rsidRPr="00A36463">
        <w:rPr>
          <w:rFonts w:ascii="Garamond" w:hAnsi="Garamond"/>
        </w:rPr>
        <w:t xml:space="preserve">“is based solely on the formal consistency of external freedom according to universal law” (249), which </w:t>
      </w:r>
      <w:r w:rsidRPr="00A36463">
        <w:rPr>
          <w:rFonts w:ascii="Garamond" w:hAnsi="Garamond"/>
        </w:rPr>
        <w:t>Wood</w:t>
      </w:r>
      <w:r w:rsidR="004A5BF1" w:rsidRPr="00A36463">
        <w:rPr>
          <w:rFonts w:ascii="Garamond" w:hAnsi="Garamond"/>
        </w:rPr>
        <w:t xml:space="preserve"> sees as “wholly independent of ethics” (249).</w:t>
      </w:r>
      <w:r w:rsidR="007D1E11" w:rsidRPr="00A36463">
        <w:rPr>
          <w:rFonts w:ascii="Garamond" w:hAnsi="Garamond"/>
        </w:rPr>
        <w:t xml:space="preserve"> </w:t>
      </w:r>
      <w:r w:rsidR="003358A0" w:rsidRPr="00A36463">
        <w:rPr>
          <w:rFonts w:ascii="Garamond" w:hAnsi="Garamond"/>
        </w:rPr>
        <w:t xml:space="preserve">In chapter 13, </w:t>
      </w:r>
      <w:r w:rsidR="004A5BF1" w:rsidRPr="00A36463">
        <w:rPr>
          <w:rFonts w:ascii="Garamond" w:hAnsi="Garamond"/>
        </w:rPr>
        <w:t>Michael Nance and Jeppe Von Platz provide a</w:t>
      </w:r>
      <w:r w:rsidR="000969E6" w:rsidRPr="00A36463">
        <w:rPr>
          <w:rFonts w:ascii="Garamond" w:hAnsi="Garamond"/>
        </w:rPr>
        <w:t xml:space="preserve"> </w:t>
      </w:r>
      <w:r w:rsidR="004A5BF1" w:rsidRPr="00A36463">
        <w:rPr>
          <w:rFonts w:ascii="Garamond" w:hAnsi="Garamond"/>
        </w:rPr>
        <w:t>convincing discussion of some of the differences between Kant and Rawls</w:t>
      </w:r>
      <w:r w:rsidR="004D2446" w:rsidRPr="00A36463">
        <w:rPr>
          <w:rFonts w:ascii="Garamond" w:hAnsi="Garamond"/>
        </w:rPr>
        <w:t>, including a helpful account of the ways in which Kant’s Doctrine of Right involves non-</w:t>
      </w:r>
      <w:proofErr w:type="spellStart"/>
      <w:r w:rsidR="004D2446" w:rsidRPr="00A36463">
        <w:rPr>
          <w:rFonts w:ascii="Garamond" w:hAnsi="Garamond"/>
        </w:rPr>
        <w:t>contractualist</w:t>
      </w:r>
      <w:proofErr w:type="spellEnd"/>
      <w:r w:rsidR="004D2446" w:rsidRPr="00A36463">
        <w:rPr>
          <w:rFonts w:ascii="Garamond" w:hAnsi="Garamond"/>
        </w:rPr>
        <w:t xml:space="preserve"> normative commitments.</w:t>
      </w:r>
    </w:p>
    <w:p w14:paraId="2A39A30E" w14:textId="00310FDB" w:rsidR="004A5BF1" w:rsidRPr="00A36463" w:rsidRDefault="004A5BF1" w:rsidP="00C8224B">
      <w:pPr>
        <w:rPr>
          <w:rFonts w:ascii="Garamond" w:hAnsi="Garamond"/>
        </w:rPr>
      </w:pPr>
    </w:p>
    <w:p w14:paraId="7539E7C6" w14:textId="1BE4F063" w:rsidR="004A5BF1" w:rsidRPr="00A36463" w:rsidRDefault="004A5BF1" w:rsidP="003F231C">
      <w:pPr>
        <w:ind w:firstLine="720"/>
        <w:rPr>
          <w:rFonts w:ascii="Garamond" w:hAnsi="Garamond"/>
        </w:rPr>
      </w:pPr>
      <w:r w:rsidRPr="00A36463">
        <w:rPr>
          <w:rFonts w:ascii="Garamond" w:hAnsi="Garamond"/>
        </w:rPr>
        <w:t xml:space="preserve">Finally, Paul Guyer offers a postscript on nature and freedom in Kant’s practical philosophy. </w:t>
      </w:r>
      <w:r w:rsidR="00F96C3B" w:rsidRPr="00A36463">
        <w:rPr>
          <w:rFonts w:ascii="Garamond" w:hAnsi="Garamond"/>
        </w:rPr>
        <w:t>This</w:t>
      </w:r>
      <w:r w:rsidR="00F46681" w:rsidRPr="00A36463">
        <w:rPr>
          <w:rFonts w:ascii="Garamond" w:hAnsi="Garamond"/>
        </w:rPr>
        <w:t xml:space="preserve"> a rich chapter, </w:t>
      </w:r>
      <w:r w:rsidR="00F96C3B" w:rsidRPr="00A36463">
        <w:rPr>
          <w:rFonts w:ascii="Garamond" w:hAnsi="Garamond"/>
        </w:rPr>
        <w:t>and</w:t>
      </w:r>
      <w:r w:rsidR="00F46681" w:rsidRPr="00A36463">
        <w:rPr>
          <w:rFonts w:ascii="Garamond" w:hAnsi="Garamond"/>
        </w:rPr>
        <w:t xml:space="preserve"> Guyer makes the case that there is always a gulf between nature and freedom</w:t>
      </w:r>
      <w:r w:rsidR="000969E6" w:rsidRPr="00A36463">
        <w:rPr>
          <w:rFonts w:ascii="Garamond" w:hAnsi="Garamond"/>
        </w:rPr>
        <w:t xml:space="preserve"> for Kant</w:t>
      </w:r>
      <w:r w:rsidR="00F46681" w:rsidRPr="00A36463">
        <w:rPr>
          <w:rFonts w:ascii="Garamond" w:hAnsi="Garamond"/>
        </w:rPr>
        <w:t xml:space="preserve">, but not an unbridgeable one. </w:t>
      </w:r>
      <w:r w:rsidR="00F96C3B" w:rsidRPr="00A36463">
        <w:rPr>
          <w:rFonts w:ascii="Garamond" w:hAnsi="Garamond"/>
        </w:rPr>
        <w:t>He provides ample support for this, detailing various ways in which nature and freedom do interact throughout Kant’s practical philosophy. This is well-research</w:t>
      </w:r>
      <w:r w:rsidR="000969E6" w:rsidRPr="00A36463">
        <w:rPr>
          <w:rFonts w:ascii="Garamond" w:hAnsi="Garamond"/>
        </w:rPr>
        <w:t>ed</w:t>
      </w:r>
      <w:r w:rsidR="00F96C3B" w:rsidRPr="00A36463">
        <w:rPr>
          <w:rFonts w:ascii="Garamond" w:hAnsi="Garamond"/>
        </w:rPr>
        <w:t xml:space="preserve"> and informative, as expected. However, I wonder whether Guyer makes things too easy for Kant. For instance, he claims that the problem of noumenal </w:t>
      </w:r>
      <w:r w:rsidR="00F96C3B" w:rsidRPr="00A36463">
        <w:rPr>
          <w:rFonts w:ascii="Garamond" w:hAnsi="Garamond"/>
        </w:rPr>
        <w:lastRenderedPageBreak/>
        <w:t xml:space="preserve">causation is </w:t>
      </w:r>
      <w:r w:rsidR="00F96C3B" w:rsidRPr="00A36463">
        <w:rPr>
          <w:rFonts w:ascii="Garamond" w:hAnsi="Garamond"/>
          <w:i/>
          <w:iCs/>
        </w:rPr>
        <w:t>easily</w:t>
      </w:r>
      <w:r w:rsidR="00F96C3B" w:rsidRPr="00A36463">
        <w:rPr>
          <w:rFonts w:ascii="Garamond" w:hAnsi="Garamond"/>
        </w:rPr>
        <w:t xml:space="preserve"> solved by the introduction of the concept of grounding (279). The basic thought is that, if we conceive of transcendentally free actions as </w:t>
      </w:r>
      <w:r w:rsidR="00F96C3B" w:rsidRPr="00A36463">
        <w:rPr>
          <w:rFonts w:ascii="Garamond" w:hAnsi="Garamond"/>
          <w:i/>
          <w:iCs/>
        </w:rPr>
        <w:t>grounding</w:t>
      </w:r>
      <w:r w:rsidR="00F96C3B" w:rsidRPr="00A36463">
        <w:rPr>
          <w:rFonts w:ascii="Garamond" w:hAnsi="Garamond"/>
        </w:rPr>
        <w:t xml:space="preserve"> actions in the phenomenal world rather than </w:t>
      </w:r>
      <w:r w:rsidR="00F96C3B" w:rsidRPr="00A36463">
        <w:rPr>
          <w:rFonts w:ascii="Garamond" w:hAnsi="Garamond"/>
          <w:i/>
          <w:iCs/>
        </w:rPr>
        <w:t>causing</w:t>
      </w:r>
      <w:r w:rsidR="00F96C3B" w:rsidRPr="00A36463">
        <w:rPr>
          <w:rFonts w:ascii="Garamond" w:hAnsi="Garamond"/>
        </w:rPr>
        <w:t xml:space="preserve"> them, then noumenal causation (or grounding) is no longer problematic. While this resolves some obvious worries that the very idea of noumenal causation might be a non-starter, </w:t>
      </w:r>
      <w:r w:rsidR="007D1E11" w:rsidRPr="00A36463">
        <w:rPr>
          <w:rFonts w:ascii="Garamond" w:hAnsi="Garamond"/>
        </w:rPr>
        <w:t>it is</w:t>
      </w:r>
      <w:r w:rsidR="00F96C3B" w:rsidRPr="00A36463">
        <w:rPr>
          <w:rFonts w:ascii="Garamond" w:hAnsi="Garamond"/>
        </w:rPr>
        <w:t xml:space="preserve"> not an easy fix.</w:t>
      </w:r>
      <w:r w:rsidR="00A42F51" w:rsidRPr="00A36463">
        <w:rPr>
          <w:rStyle w:val="FootnoteReference"/>
          <w:rFonts w:ascii="Garamond" w:hAnsi="Garamond"/>
        </w:rPr>
        <w:footnoteReference w:id="3"/>
      </w:r>
      <w:r w:rsidR="00F96C3B" w:rsidRPr="00A36463">
        <w:rPr>
          <w:rFonts w:ascii="Garamond" w:hAnsi="Garamond"/>
        </w:rPr>
        <w:t xml:space="preserve"> For one, </w:t>
      </w:r>
      <w:r w:rsidR="007D1E11" w:rsidRPr="00A36463">
        <w:rPr>
          <w:rFonts w:ascii="Garamond" w:hAnsi="Garamond"/>
        </w:rPr>
        <w:t xml:space="preserve">it </w:t>
      </w:r>
      <w:r w:rsidR="00F96C3B" w:rsidRPr="00A36463">
        <w:rPr>
          <w:rFonts w:ascii="Garamond" w:hAnsi="Garamond"/>
        </w:rPr>
        <w:t>only</w:t>
      </w:r>
      <w:r w:rsidR="000969E6" w:rsidRPr="00A36463">
        <w:rPr>
          <w:rFonts w:ascii="Garamond" w:hAnsi="Garamond"/>
        </w:rPr>
        <w:t xml:space="preserve"> goes</w:t>
      </w:r>
      <w:r w:rsidR="00F96C3B" w:rsidRPr="00A36463">
        <w:rPr>
          <w:rFonts w:ascii="Garamond" w:hAnsi="Garamond"/>
        </w:rPr>
        <w:t xml:space="preserve"> one way. Guyer wants to talk of nature and freedom interacting, and while this provides a way for freedom to affect nature, it does</w:t>
      </w:r>
      <w:r w:rsidR="007A263A" w:rsidRPr="00A36463">
        <w:rPr>
          <w:rFonts w:ascii="Garamond" w:hAnsi="Garamond"/>
        </w:rPr>
        <w:t xml:space="preserve"> </w:t>
      </w:r>
      <w:r w:rsidR="00F96C3B" w:rsidRPr="00A36463">
        <w:rPr>
          <w:rFonts w:ascii="Garamond" w:hAnsi="Garamond"/>
        </w:rPr>
        <w:t>n</w:t>
      </w:r>
      <w:r w:rsidR="007A263A" w:rsidRPr="00A36463">
        <w:rPr>
          <w:rFonts w:ascii="Garamond" w:hAnsi="Garamond"/>
        </w:rPr>
        <w:t>o</w:t>
      </w:r>
      <w:r w:rsidR="00F96C3B" w:rsidRPr="00A36463">
        <w:rPr>
          <w:rFonts w:ascii="Garamond" w:hAnsi="Garamond"/>
        </w:rPr>
        <w:t xml:space="preserve">t provide a way for our actions in the natural world to </w:t>
      </w:r>
      <w:r w:rsidR="001902D5" w:rsidRPr="00A36463">
        <w:rPr>
          <w:rFonts w:ascii="Garamond" w:hAnsi="Garamond"/>
        </w:rPr>
        <w:t xml:space="preserve">affect </w:t>
      </w:r>
      <w:r w:rsidR="00F96C3B" w:rsidRPr="00A36463">
        <w:rPr>
          <w:rFonts w:ascii="Garamond" w:hAnsi="Garamond"/>
        </w:rPr>
        <w:t xml:space="preserve">our noumenal freedom. </w:t>
      </w:r>
    </w:p>
    <w:p w14:paraId="32429405" w14:textId="77777777" w:rsidR="00EB0623" w:rsidRPr="00A36463" w:rsidRDefault="00EB0623" w:rsidP="00132D87">
      <w:pPr>
        <w:rPr>
          <w:rFonts w:ascii="Garamond" w:hAnsi="Garamond"/>
          <w:b/>
          <w:bCs/>
        </w:rPr>
      </w:pPr>
    </w:p>
    <w:p w14:paraId="3410D4F9" w14:textId="19537AEA" w:rsidR="00920EEA" w:rsidRPr="00A36463" w:rsidRDefault="007C6219" w:rsidP="003F231C">
      <w:pPr>
        <w:ind w:firstLine="720"/>
        <w:rPr>
          <w:rFonts w:ascii="Garamond" w:hAnsi="Garamond"/>
        </w:rPr>
      </w:pPr>
      <w:r w:rsidRPr="00A36463">
        <w:rPr>
          <w:rFonts w:ascii="Garamond" w:hAnsi="Garamond"/>
          <w:i/>
          <w:iCs/>
        </w:rPr>
        <w:t>Kant on Persons and Agency</w:t>
      </w:r>
      <w:r w:rsidRPr="00A36463">
        <w:rPr>
          <w:rFonts w:ascii="Garamond" w:hAnsi="Garamond"/>
        </w:rPr>
        <w:t xml:space="preserve"> (2018)</w:t>
      </w:r>
      <w:r w:rsidR="00976014" w:rsidRPr="00A36463">
        <w:rPr>
          <w:rFonts w:ascii="Garamond" w:hAnsi="Garamond"/>
        </w:rPr>
        <w:t xml:space="preserve"> edited by Eric Watkins, </w:t>
      </w:r>
      <w:r w:rsidR="00132D87" w:rsidRPr="00A36463">
        <w:rPr>
          <w:rFonts w:ascii="Garamond" w:hAnsi="Garamond"/>
        </w:rPr>
        <w:t>also stems from a conference in honour of an eminent Kant scholar, this time</w:t>
      </w:r>
      <w:r w:rsidR="007D1E11" w:rsidRPr="00A36463">
        <w:rPr>
          <w:rFonts w:ascii="Garamond" w:hAnsi="Garamond"/>
        </w:rPr>
        <w:t xml:space="preserve"> a conference for</w:t>
      </w:r>
      <w:r w:rsidR="00132D87" w:rsidRPr="00A36463">
        <w:rPr>
          <w:rFonts w:ascii="Garamond" w:hAnsi="Garamond"/>
        </w:rPr>
        <w:t xml:space="preserve"> Karl </w:t>
      </w:r>
      <w:proofErr w:type="spellStart"/>
      <w:r w:rsidR="00132D87" w:rsidRPr="00A36463">
        <w:rPr>
          <w:rFonts w:ascii="Garamond" w:hAnsi="Garamond"/>
        </w:rPr>
        <w:t>Ameriks</w:t>
      </w:r>
      <w:proofErr w:type="spellEnd"/>
      <w:r w:rsidR="007D1E11" w:rsidRPr="00A36463">
        <w:rPr>
          <w:rFonts w:ascii="Garamond" w:hAnsi="Garamond"/>
        </w:rPr>
        <w:t xml:space="preserve"> in 2016.</w:t>
      </w:r>
      <w:r w:rsidR="00920EEA" w:rsidRPr="00A36463">
        <w:rPr>
          <w:rFonts w:ascii="Garamond" w:hAnsi="Garamond"/>
        </w:rPr>
        <w:t xml:space="preserve"> The book is loosely divided into three </w:t>
      </w:r>
      <w:r w:rsidR="0071314F" w:rsidRPr="00A36463">
        <w:rPr>
          <w:rFonts w:ascii="Garamond" w:hAnsi="Garamond"/>
        </w:rPr>
        <w:t xml:space="preserve">related </w:t>
      </w:r>
      <w:r w:rsidR="00920EEA" w:rsidRPr="00A36463">
        <w:rPr>
          <w:rFonts w:ascii="Garamond" w:hAnsi="Garamond"/>
        </w:rPr>
        <w:t xml:space="preserve">sections, on: 1) Autonomy, 2) Freedom, and 3) Persons. How are these related? </w:t>
      </w:r>
      <w:r w:rsidR="00870280" w:rsidRPr="00A36463">
        <w:rPr>
          <w:rFonts w:ascii="Garamond" w:hAnsi="Garamond"/>
        </w:rPr>
        <w:t xml:space="preserve">In rough terms, </w:t>
      </w:r>
      <w:r w:rsidR="0071314F" w:rsidRPr="00A36463">
        <w:rPr>
          <w:rFonts w:ascii="Garamond" w:hAnsi="Garamond"/>
        </w:rPr>
        <w:t>Kant holds that w</w:t>
      </w:r>
      <w:r w:rsidR="00920EEA" w:rsidRPr="00A36463">
        <w:rPr>
          <w:rFonts w:ascii="Garamond" w:hAnsi="Garamond"/>
        </w:rPr>
        <w:t xml:space="preserve">e are free such that we can give the moral law to ourselves, and this autonomy is what is distinctive about our personhood. </w:t>
      </w:r>
      <w:r w:rsidR="0071314F" w:rsidRPr="00A36463">
        <w:rPr>
          <w:rFonts w:ascii="Garamond" w:hAnsi="Garamond"/>
        </w:rPr>
        <w:t xml:space="preserve">Structuring the book </w:t>
      </w:r>
      <w:r w:rsidR="00870280" w:rsidRPr="00A36463">
        <w:rPr>
          <w:rFonts w:ascii="Garamond" w:hAnsi="Garamond"/>
        </w:rPr>
        <w:t>around these three concetsp</w:t>
      </w:r>
      <w:r w:rsidR="00920EEA" w:rsidRPr="00A36463">
        <w:rPr>
          <w:rFonts w:ascii="Garamond" w:hAnsi="Garamond"/>
        </w:rPr>
        <w:t xml:space="preserve"> </w:t>
      </w:r>
      <w:r w:rsidR="0071314F" w:rsidRPr="00A36463">
        <w:rPr>
          <w:rFonts w:ascii="Garamond" w:hAnsi="Garamond"/>
        </w:rPr>
        <w:t xml:space="preserve">gives it a slightly narrower focus than </w:t>
      </w:r>
      <w:r w:rsidR="00920EEA" w:rsidRPr="00A36463">
        <w:rPr>
          <w:rFonts w:ascii="Garamond" w:hAnsi="Garamond"/>
        </w:rPr>
        <w:t xml:space="preserve">Moran’s collection, as </w:t>
      </w:r>
      <w:r w:rsidR="0071314F" w:rsidRPr="00A36463">
        <w:rPr>
          <w:rFonts w:ascii="Garamond" w:hAnsi="Garamond"/>
        </w:rPr>
        <w:t xml:space="preserve">it mostly </w:t>
      </w:r>
      <w:r w:rsidR="00920EEA" w:rsidRPr="00A36463">
        <w:rPr>
          <w:rFonts w:ascii="Garamond" w:hAnsi="Garamond"/>
        </w:rPr>
        <w:t>leav</w:t>
      </w:r>
      <w:r w:rsidR="0071314F" w:rsidRPr="00A36463">
        <w:rPr>
          <w:rFonts w:ascii="Garamond" w:hAnsi="Garamond"/>
        </w:rPr>
        <w:t>es</w:t>
      </w:r>
      <w:r w:rsidR="00920EEA" w:rsidRPr="00A36463">
        <w:rPr>
          <w:rFonts w:ascii="Garamond" w:hAnsi="Garamond"/>
        </w:rPr>
        <w:t xml:space="preserve"> aside issues of spontaneity in our theoretical cognition and freedom in Kant’s political philosophy.</w:t>
      </w:r>
      <w:r w:rsidR="0071314F" w:rsidRPr="00A36463">
        <w:rPr>
          <w:rFonts w:ascii="Garamond" w:hAnsi="Garamond"/>
        </w:rPr>
        <w:t xml:space="preserve"> And like the previous collection, the book delivers</w:t>
      </w:r>
      <w:r w:rsidR="00870280" w:rsidRPr="00A36463">
        <w:rPr>
          <w:rFonts w:ascii="Garamond" w:hAnsi="Garamond"/>
        </w:rPr>
        <w:t xml:space="preserve"> on its promise</w:t>
      </w:r>
      <w:r w:rsidR="0071314F" w:rsidRPr="00A36463">
        <w:rPr>
          <w:rFonts w:ascii="Garamond" w:hAnsi="Garamond"/>
        </w:rPr>
        <w:t xml:space="preserve">, providing some excellent work on these key Kantian topics. </w:t>
      </w:r>
    </w:p>
    <w:p w14:paraId="630C0588" w14:textId="77777777" w:rsidR="00920EEA" w:rsidRPr="00A36463" w:rsidRDefault="00920EEA" w:rsidP="003D57AC">
      <w:pPr>
        <w:rPr>
          <w:rFonts w:ascii="Garamond" w:hAnsi="Garamond"/>
        </w:rPr>
      </w:pPr>
    </w:p>
    <w:p w14:paraId="76CCAC38" w14:textId="31760FF5" w:rsidR="00EB0623" w:rsidRPr="00A36463" w:rsidRDefault="007D1E11" w:rsidP="003F231C">
      <w:pPr>
        <w:ind w:firstLine="720"/>
        <w:rPr>
          <w:rFonts w:ascii="Garamond" w:hAnsi="Garamond"/>
        </w:rPr>
      </w:pPr>
      <w:r w:rsidRPr="00A36463">
        <w:rPr>
          <w:rFonts w:ascii="Garamond" w:hAnsi="Garamond"/>
        </w:rPr>
        <w:t>U</w:t>
      </w:r>
      <w:r w:rsidR="00132D87" w:rsidRPr="00A36463">
        <w:rPr>
          <w:rFonts w:ascii="Garamond" w:hAnsi="Garamond"/>
        </w:rPr>
        <w:t xml:space="preserve">nlike the previous </w:t>
      </w:r>
      <w:r w:rsidRPr="00A36463">
        <w:rPr>
          <w:rFonts w:ascii="Garamond" w:hAnsi="Garamond"/>
        </w:rPr>
        <w:t>collection, this book</w:t>
      </w:r>
      <w:r w:rsidR="00132D87" w:rsidRPr="00A36463">
        <w:rPr>
          <w:rFonts w:ascii="Garamond" w:hAnsi="Garamond"/>
        </w:rPr>
        <w:t xml:space="preserve"> features only </w:t>
      </w:r>
      <w:r w:rsidR="003D57AC" w:rsidRPr="00A36463">
        <w:rPr>
          <w:rFonts w:ascii="Garamond" w:hAnsi="Garamond"/>
        </w:rPr>
        <w:t xml:space="preserve">very </w:t>
      </w:r>
      <w:r w:rsidR="00132D87" w:rsidRPr="00A36463">
        <w:rPr>
          <w:rFonts w:ascii="Garamond" w:hAnsi="Garamond"/>
        </w:rPr>
        <w:t>established academics. Every contributor is a professor</w:t>
      </w:r>
      <w:r w:rsidRPr="00A36463">
        <w:rPr>
          <w:rFonts w:ascii="Garamond" w:hAnsi="Garamond"/>
        </w:rPr>
        <w:t>, and a well-known name</w:t>
      </w:r>
      <w:r w:rsidR="002A3DA3" w:rsidRPr="00A36463">
        <w:rPr>
          <w:rFonts w:ascii="Garamond" w:hAnsi="Garamond"/>
        </w:rPr>
        <w:t xml:space="preserve">. </w:t>
      </w:r>
      <w:r w:rsidR="00745600" w:rsidRPr="00A36463">
        <w:rPr>
          <w:rFonts w:ascii="Garamond" w:hAnsi="Garamond"/>
        </w:rPr>
        <w:t xml:space="preserve">Of course, this is not altogether a bad thing. </w:t>
      </w:r>
      <w:r w:rsidR="002A3DA3" w:rsidRPr="00A36463">
        <w:rPr>
          <w:rFonts w:ascii="Garamond" w:hAnsi="Garamond"/>
        </w:rPr>
        <w:t xml:space="preserve">These are </w:t>
      </w:r>
      <w:r w:rsidR="001902D5" w:rsidRPr="00A36463">
        <w:rPr>
          <w:rFonts w:ascii="Garamond" w:hAnsi="Garamond"/>
        </w:rPr>
        <w:t>all</w:t>
      </w:r>
      <w:r w:rsidR="002A3DA3" w:rsidRPr="00A36463">
        <w:rPr>
          <w:rFonts w:ascii="Garamond" w:hAnsi="Garamond"/>
        </w:rPr>
        <w:t xml:space="preserve"> interesting thinkers, who have made significant contributions to our understanding of Kant.</w:t>
      </w:r>
      <w:r w:rsidR="007C6219" w:rsidRPr="00A36463">
        <w:rPr>
          <w:rStyle w:val="FootnoteReference"/>
          <w:rFonts w:ascii="Garamond" w:hAnsi="Garamond"/>
        </w:rPr>
        <w:footnoteReference w:id="4"/>
      </w:r>
      <w:r w:rsidR="002A3DA3" w:rsidRPr="00A36463">
        <w:rPr>
          <w:rFonts w:ascii="Garamond" w:hAnsi="Garamond"/>
        </w:rPr>
        <w:t xml:space="preserve"> But </w:t>
      </w:r>
      <w:r w:rsidR="00745600" w:rsidRPr="00A36463">
        <w:rPr>
          <w:rFonts w:ascii="Garamond" w:hAnsi="Garamond"/>
        </w:rPr>
        <w:t xml:space="preserve">the downside of this is that we </w:t>
      </w:r>
      <w:r w:rsidRPr="00A36463">
        <w:rPr>
          <w:rFonts w:ascii="Garamond" w:hAnsi="Garamond"/>
        </w:rPr>
        <w:t>do not</w:t>
      </w:r>
      <w:r w:rsidR="00745600" w:rsidRPr="00A36463">
        <w:rPr>
          <w:rFonts w:ascii="Garamond" w:hAnsi="Garamond"/>
        </w:rPr>
        <w:t xml:space="preserve"> hear from emerging thinkers in this area.</w:t>
      </w:r>
      <w:r w:rsidR="00745600" w:rsidRPr="00A36463">
        <w:rPr>
          <w:rStyle w:val="FootnoteReference"/>
          <w:rFonts w:ascii="Garamond" w:hAnsi="Garamond"/>
        </w:rPr>
        <w:footnoteReference w:id="5"/>
      </w:r>
      <w:r w:rsidR="00EB0623" w:rsidRPr="00A36463">
        <w:rPr>
          <w:rFonts w:ascii="Garamond" w:hAnsi="Garamond"/>
        </w:rPr>
        <w:t xml:space="preserve"> Leaving this minor complaint aside though, this is a very good collection. </w:t>
      </w:r>
    </w:p>
    <w:p w14:paraId="370CC694" w14:textId="77777777" w:rsidR="00920EEA" w:rsidRPr="00A36463" w:rsidRDefault="00920EEA" w:rsidP="003D57AC">
      <w:pPr>
        <w:rPr>
          <w:rFonts w:ascii="Garamond" w:hAnsi="Garamond"/>
        </w:rPr>
      </w:pPr>
    </w:p>
    <w:p w14:paraId="579B9A56" w14:textId="5DB9AC1D" w:rsidR="002C07AB" w:rsidRPr="00A36463" w:rsidRDefault="00212CE9" w:rsidP="003F231C">
      <w:pPr>
        <w:ind w:firstLine="720"/>
        <w:rPr>
          <w:rFonts w:ascii="Garamond" w:hAnsi="Garamond"/>
        </w:rPr>
      </w:pPr>
      <w:r w:rsidRPr="00A36463">
        <w:rPr>
          <w:rFonts w:ascii="Garamond" w:hAnsi="Garamond"/>
        </w:rPr>
        <w:t xml:space="preserve">Eric Watkins </w:t>
      </w:r>
      <w:r w:rsidR="002C07AB" w:rsidRPr="00A36463">
        <w:rPr>
          <w:rFonts w:ascii="Garamond" w:hAnsi="Garamond"/>
        </w:rPr>
        <w:t xml:space="preserve">begins the volume with a defence of Kant’s claims about the unconditioned goodness of the good will in the opening of the </w:t>
      </w:r>
      <w:r w:rsidR="002C07AB" w:rsidRPr="00A36463">
        <w:rPr>
          <w:rFonts w:ascii="Garamond" w:hAnsi="Garamond"/>
          <w:i/>
          <w:iCs/>
        </w:rPr>
        <w:t>Groundwork</w:t>
      </w:r>
      <w:r w:rsidR="002C07AB" w:rsidRPr="00A36463">
        <w:rPr>
          <w:rFonts w:ascii="Garamond" w:hAnsi="Garamond"/>
        </w:rPr>
        <w:t xml:space="preserve">. </w:t>
      </w:r>
      <w:r w:rsidRPr="00A36463">
        <w:rPr>
          <w:rFonts w:ascii="Garamond" w:hAnsi="Garamond"/>
        </w:rPr>
        <w:t xml:space="preserve">Watkins offers a sophisticated defence of </w:t>
      </w:r>
      <w:r w:rsidR="002C07AB" w:rsidRPr="00A36463">
        <w:rPr>
          <w:rFonts w:ascii="Garamond" w:hAnsi="Garamond"/>
        </w:rPr>
        <w:t xml:space="preserve">the claim that </w:t>
      </w:r>
      <w:r w:rsidRPr="00A36463">
        <w:rPr>
          <w:rFonts w:ascii="Garamond" w:hAnsi="Garamond"/>
        </w:rPr>
        <w:t>the good will is good without limitation and an unconditioned good.</w:t>
      </w:r>
      <w:r w:rsidR="002C07AB" w:rsidRPr="00A36463">
        <w:rPr>
          <w:rFonts w:ascii="Garamond" w:hAnsi="Garamond"/>
        </w:rPr>
        <w:t xml:space="preserve"> </w:t>
      </w:r>
      <w:r w:rsidR="001902D5" w:rsidRPr="00A36463">
        <w:rPr>
          <w:rFonts w:ascii="Garamond" w:hAnsi="Garamond"/>
        </w:rPr>
        <w:t xml:space="preserve">I found this thought-provoking, and wanted to hear more. </w:t>
      </w:r>
      <w:r w:rsidR="002C07AB" w:rsidRPr="00A36463">
        <w:rPr>
          <w:rFonts w:ascii="Garamond" w:hAnsi="Garamond"/>
        </w:rPr>
        <w:t>Kant</w:t>
      </w:r>
      <w:r w:rsidR="007D1E11" w:rsidRPr="00A36463">
        <w:rPr>
          <w:rFonts w:ascii="Garamond" w:hAnsi="Garamond"/>
        </w:rPr>
        <w:t xml:space="preserve"> also </w:t>
      </w:r>
      <w:r w:rsidR="002C07AB" w:rsidRPr="00A36463">
        <w:rPr>
          <w:rFonts w:ascii="Garamond" w:hAnsi="Garamond"/>
        </w:rPr>
        <w:t>claim</w:t>
      </w:r>
      <w:r w:rsidR="007D1E11" w:rsidRPr="00A36463">
        <w:rPr>
          <w:rFonts w:ascii="Garamond" w:hAnsi="Garamond"/>
        </w:rPr>
        <w:t>s</w:t>
      </w:r>
      <w:r w:rsidR="002C07AB" w:rsidRPr="00A36463">
        <w:rPr>
          <w:rFonts w:ascii="Garamond" w:hAnsi="Garamond"/>
        </w:rPr>
        <w:t xml:space="preserve"> that it’s impossible to think of anything but the good will as good without limitation, which seems less convincing, and it would be interesting to hear Watkins say more about this. </w:t>
      </w:r>
    </w:p>
    <w:p w14:paraId="3FA8102C" w14:textId="2D81316A" w:rsidR="005752D7" w:rsidRPr="00A36463" w:rsidRDefault="005752D7" w:rsidP="00132D87">
      <w:pPr>
        <w:rPr>
          <w:rFonts w:ascii="Garamond" w:hAnsi="Garamond"/>
        </w:rPr>
      </w:pPr>
    </w:p>
    <w:p w14:paraId="784A6E8E" w14:textId="54733A8F" w:rsidR="00CE5F20" w:rsidRPr="00A36463" w:rsidRDefault="007D1E11" w:rsidP="003F231C">
      <w:pPr>
        <w:ind w:firstLine="720"/>
        <w:rPr>
          <w:rFonts w:ascii="Garamond" w:hAnsi="Garamond"/>
        </w:rPr>
      </w:pPr>
      <w:r w:rsidRPr="00A36463">
        <w:rPr>
          <w:rFonts w:ascii="Garamond" w:hAnsi="Garamond"/>
        </w:rPr>
        <w:t xml:space="preserve">Allen </w:t>
      </w:r>
      <w:r w:rsidR="005752D7" w:rsidRPr="00A36463">
        <w:rPr>
          <w:rFonts w:ascii="Garamond" w:hAnsi="Garamond"/>
        </w:rPr>
        <w:t>Wood offers a new reading and defence of the formula of universal law (and the formula of the law of nature). He argues that both defenders and critics of Kant have read too much into what Kant intended these</w:t>
      </w:r>
      <w:r w:rsidR="00025B2F" w:rsidRPr="00A36463">
        <w:rPr>
          <w:rFonts w:ascii="Garamond" w:hAnsi="Garamond"/>
        </w:rPr>
        <w:t xml:space="preserve"> formulas</w:t>
      </w:r>
      <w:r w:rsidR="005752D7" w:rsidRPr="00A36463">
        <w:rPr>
          <w:rFonts w:ascii="Garamond" w:hAnsi="Garamond"/>
        </w:rPr>
        <w:t xml:space="preserve"> for. </w:t>
      </w:r>
      <w:r w:rsidR="00CE5F20" w:rsidRPr="00A36463">
        <w:rPr>
          <w:rFonts w:ascii="Garamond" w:hAnsi="Garamond"/>
        </w:rPr>
        <w:t>Wood makes the case that t</w:t>
      </w:r>
      <w:r w:rsidR="005752D7" w:rsidRPr="00A36463">
        <w:rPr>
          <w:rFonts w:ascii="Garamond" w:hAnsi="Garamond"/>
        </w:rPr>
        <w:t xml:space="preserve">hey are not </w:t>
      </w:r>
      <w:r w:rsidR="00CE5F20" w:rsidRPr="00A36463">
        <w:rPr>
          <w:rFonts w:ascii="Garamond" w:hAnsi="Garamond"/>
        </w:rPr>
        <w:t>universal criteria for the permissibility of maxims, universal procedures for the construction of moral truths, or general criteri</w:t>
      </w:r>
      <w:r w:rsidR="001744A5" w:rsidRPr="00A36463">
        <w:rPr>
          <w:rFonts w:ascii="Garamond" w:hAnsi="Garamond"/>
        </w:rPr>
        <w:t>a</w:t>
      </w:r>
      <w:r w:rsidR="00CE5F20" w:rsidRPr="00A36463">
        <w:rPr>
          <w:rFonts w:ascii="Garamond" w:hAnsi="Garamond"/>
        </w:rPr>
        <w:t xml:space="preserve"> of right action. Instead, they serve a less ambitious role, namely they help an agent, when they are tempted to violate a specific duty, figure out whether they are making an exception for themselves. This reading is original, and has some textual support. </w:t>
      </w:r>
      <w:r w:rsidR="006F666B" w:rsidRPr="00A36463">
        <w:rPr>
          <w:rFonts w:ascii="Garamond" w:hAnsi="Garamond"/>
        </w:rPr>
        <w:t xml:space="preserve">With it, Wood also hopes to </w:t>
      </w:r>
      <w:r w:rsidR="00CE5F20" w:rsidRPr="00A36463">
        <w:rPr>
          <w:rFonts w:ascii="Garamond" w:hAnsi="Garamond"/>
        </w:rPr>
        <w:t>circumvent the usual false negatives/positives worries with these principles</w:t>
      </w:r>
      <w:r w:rsidR="00AE298C" w:rsidRPr="00A36463">
        <w:rPr>
          <w:rFonts w:ascii="Garamond" w:hAnsi="Garamond"/>
        </w:rPr>
        <w:t xml:space="preserve"> (he gives an excellent overview of the dialectic of this in </w:t>
      </w:r>
      <w:r w:rsidR="00AE298C" w:rsidRPr="00A36463">
        <w:rPr>
          <w:rFonts w:ascii="Garamond" w:hAnsi="Garamond" w:cstheme="minorHAnsi"/>
        </w:rPr>
        <w:t>§</w:t>
      </w:r>
      <w:r w:rsidR="00AE298C" w:rsidRPr="00A36463">
        <w:rPr>
          <w:rFonts w:ascii="Garamond" w:hAnsi="Garamond"/>
        </w:rPr>
        <w:t>4 of the paper).</w:t>
      </w:r>
      <w:r w:rsidR="00CE5F20" w:rsidRPr="00A36463">
        <w:rPr>
          <w:rFonts w:ascii="Garamond" w:hAnsi="Garamond"/>
        </w:rPr>
        <w:t xml:space="preserve"> But </w:t>
      </w:r>
      <w:r w:rsidR="006F666B" w:rsidRPr="00A36463">
        <w:rPr>
          <w:rFonts w:ascii="Garamond" w:hAnsi="Garamond"/>
        </w:rPr>
        <w:t xml:space="preserve">this </w:t>
      </w:r>
      <w:r w:rsidR="00AE298C" w:rsidRPr="00A36463">
        <w:rPr>
          <w:rFonts w:ascii="Garamond" w:hAnsi="Garamond"/>
        </w:rPr>
        <w:t xml:space="preserve">reading </w:t>
      </w:r>
      <w:r w:rsidR="006F666B" w:rsidRPr="00A36463">
        <w:rPr>
          <w:rFonts w:ascii="Garamond" w:hAnsi="Garamond"/>
        </w:rPr>
        <w:t>comes at</w:t>
      </w:r>
      <w:r w:rsidR="00CE5F20" w:rsidRPr="00A36463">
        <w:rPr>
          <w:rFonts w:ascii="Garamond" w:hAnsi="Garamond"/>
        </w:rPr>
        <w:t xml:space="preserve"> a cost. After all, it relegates FUL and FLN to relatively minor roles. Kant doesn’t introduce </w:t>
      </w:r>
      <w:r w:rsidR="006F666B" w:rsidRPr="00A36463">
        <w:rPr>
          <w:rFonts w:ascii="Garamond" w:hAnsi="Garamond"/>
        </w:rPr>
        <w:t>the FUL</w:t>
      </w:r>
      <w:r w:rsidR="00CE5F20" w:rsidRPr="00A36463">
        <w:rPr>
          <w:rFonts w:ascii="Garamond" w:hAnsi="Garamond"/>
        </w:rPr>
        <w:t xml:space="preserve"> with modesty though</w:t>
      </w:r>
      <w:r w:rsidR="006F666B" w:rsidRPr="00A36463">
        <w:rPr>
          <w:rFonts w:ascii="Garamond" w:hAnsi="Garamond"/>
        </w:rPr>
        <w:t xml:space="preserve"> (see for instance, IV: 403. 18-22, and IV: 421: 6-10). Wood’s reading looks to make the FUL and FLN more defensible, but risks departing </w:t>
      </w:r>
      <w:r w:rsidR="006F666B" w:rsidRPr="00A36463">
        <w:rPr>
          <w:rFonts w:ascii="Garamond" w:hAnsi="Garamond"/>
        </w:rPr>
        <w:lastRenderedPageBreak/>
        <w:t>from what Kant himself thought.</w:t>
      </w:r>
      <w:r w:rsidR="003C5710" w:rsidRPr="00A36463">
        <w:rPr>
          <w:rStyle w:val="FootnoteReference"/>
          <w:rFonts w:ascii="Garamond" w:hAnsi="Garamond"/>
        </w:rPr>
        <w:footnoteReference w:id="6"/>
      </w:r>
      <w:r w:rsidR="006F666B" w:rsidRPr="00A36463">
        <w:rPr>
          <w:rFonts w:ascii="Garamond" w:hAnsi="Garamond"/>
        </w:rPr>
        <w:t xml:space="preserve"> For instance, </w:t>
      </w:r>
      <w:r w:rsidR="00075433" w:rsidRPr="00A36463">
        <w:rPr>
          <w:rFonts w:ascii="Garamond" w:hAnsi="Garamond"/>
        </w:rPr>
        <w:t>Wood</w:t>
      </w:r>
      <w:r w:rsidR="006F666B" w:rsidRPr="00A36463">
        <w:rPr>
          <w:rFonts w:ascii="Garamond" w:hAnsi="Garamond"/>
        </w:rPr>
        <w:t xml:space="preserve"> writes that: “it is a background assumption in the four examples </w:t>
      </w:r>
      <w:r w:rsidR="00075433" w:rsidRPr="00A36463">
        <w:rPr>
          <w:rFonts w:ascii="Garamond" w:hAnsi="Garamond"/>
        </w:rPr>
        <w:t xml:space="preserve">[in the </w:t>
      </w:r>
      <w:r w:rsidR="00075433" w:rsidRPr="00A36463">
        <w:rPr>
          <w:rFonts w:ascii="Garamond" w:hAnsi="Garamond"/>
          <w:i/>
          <w:iCs/>
        </w:rPr>
        <w:t>Groundwork</w:t>
      </w:r>
      <w:r w:rsidR="00075433" w:rsidRPr="00A36463">
        <w:rPr>
          <w:rFonts w:ascii="Garamond" w:hAnsi="Garamond"/>
        </w:rPr>
        <w:t xml:space="preserve">] </w:t>
      </w:r>
      <w:r w:rsidR="006F666B" w:rsidRPr="00A36463">
        <w:rPr>
          <w:rFonts w:ascii="Garamond" w:hAnsi="Garamond"/>
        </w:rPr>
        <w:t xml:space="preserve">that there might well be cases in which exceptions to, or exemptions from, specific duties are justified. Kant should not </w:t>
      </w:r>
      <w:proofErr w:type="gramStart"/>
      <w:r w:rsidR="006F666B" w:rsidRPr="00A36463">
        <w:rPr>
          <w:rFonts w:ascii="Garamond" w:hAnsi="Garamond"/>
        </w:rPr>
        <w:t>be seen as</w:t>
      </w:r>
      <w:proofErr w:type="gramEnd"/>
      <w:r w:rsidR="006F666B" w:rsidRPr="00A36463">
        <w:rPr>
          <w:rFonts w:ascii="Garamond" w:hAnsi="Garamond"/>
        </w:rPr>
        <w:t xml:space="preserve"> denying this obvious point just because this is not the outcome in the four examples he discusses” (39). Of course, allowing for exceptions to specific duties is plausible, but it</w:t>
      </w:r>
      <w:r w:rsidR="007A263A" w:rsidRPr="00A36463">
        <w:rPr>
          <w:rFonts w:ascii="Garamond" w:hAnsi="Garamond"/>
        </w:rPr>
        <w:t xml:space="preserve"> i</w:t>
      </w:r>
      <w:r w:rsidR="006F666B" w:rsidRPr="00A36463">
        <w:rPr>
          <w:rFonts w:ascii="Garamond" w:hAnsi="Garamond"/>
        </w:rPr>
        <w:t xml:space="preserve">s </w:t>
      </w:r>
      <w:r w:rsidR="00075433" w:rsidRPr="00A36463">
        <w:rPr>
          <w:rFonts w:ascii="Garamond" w:hAnsi="Garamond"/>
        </w:rPr>
        <w:t>not clear that we can just easily attribute this plausible view to Kant. This is not due to a lack of charity, but stems from taking seriously things that Kant says that count against this</w:t>
      </w:r>
      <w:r w:rsidR="00025B2F" w:rsidRPr="00A36463">
        <w:rPr>
          <w:rFonts w:ascii="Garamond" w:hAnsi="Garamond"/>
        </w:rPr>
        <w:t>; see, for instance, IV: 421n where Kant says that perfect duties admit of no exception</w:t>
      </w:r>
      <w:r w:rsidR="00075433" w:rsidRPr="00A36463">
        <w:rPr>
          <w:rFonts w:ascii="Garamond" w:hAnsi="Garamond"/>
        </w:rPr>
        <w:t>.</w:t>
      </w:r>
      <w:r w:rsidR="00075433" w:rsidRPr="00A36463">
        <w:rPr>
          <w:rStyle w:val="FootnoteReference"/>
          <w:rFonts w:ascii="Garamond" w:hAnsi="Garamond"/>
        </w:rPr>
        <w:footnoteReference w:id="7"/>
      </w:r>
    </w:p>
    <w:p w14:paraId="61F466AF" w14:textId="78144201" w:rsidR="00212CE9" w:rsidRPr="00A36463" w:rsidRDefault="00212CE9" w:rsidP="00132D87">
      <w:pPr>
        <w:rPr>
          <w:rFonts w:ascii="Garamond" w:hAnsi="Garamond"/>
        </w:rPr>
      </w:pPr>
    </w:p>
    <w:p w14:paraId="3C3518EC" w14:textId="5DB8AD8A" w:rsidR="00212CE9" w:rsidRPr="00A36463" w:rsidRDefault="007D1E11" w:rsidP="003F231C">
      <w:pPr>
        <w:ind w:firstLine="720"/>
        <w:rPr>
          <w:rFonts w:ascii="Garamond" w:hAnsi="Garamond"/>
        </w:rPr>
      </w:pPr>
      <w:r w:rsidRPr="00A36463">
        <w:rPr>
          <w:rFonts w:ascii="Garamond" w:hAnsi="Garamond"/>
        </w:rPr>
        <w:t>This raises a general thought about the chapters in these collections. They</w:t>
      </w:r>
      <w:r w:rsidR="007A263A" w:rsidRPr="00A36463">
        <w:rPr>
          <w:rFonts w:ascii="Garamond" w:hAnsi="Garamond"/>
        </w:rPr>
        <w:t xml:space="preserve"> a</w:t>
      </w:r>
      <w:r w:rsidRPr="00A36463">
        <w:rPr>
          <w:rFonts w:ascii="Garamond" w:hAnsi="Garamond"/>
        </w:rPr>
        <w:t xml:space="preserve">re typically very </w:t>
      </w:r>
      <w:r w:rsidR="00AE298C" w:rsidRPr="00A36463">
        <w:rPr>
          <w:rFonts w:ascii="Garamond" w:hAnsi="Garamond"/>
        </w:rPr>
        <w:t xml:space="preserve">favourable to Kant, going to lengths to find some way to defend some seemingly implausible thing that Kant said. </w:t>
      </w:r>
      <w:r w:rsidR="0029738C" w:rsidRPr="00A36463">
        <w:rPr>
          <w:rFonts w:ascii="Garamond" w:hAnsi="Garamond"/>
        </w:rPr>
        <w:t>Obviously,</w:t>
      </w:r>
      <w:r w:rsidR="00AE298C" w:rsidRPr="00A36463">
        <w:rPr>
          <w:rFonts w:ascii="Garamond" w:hAnsi="Garamond"/>
        </w:rPr>
        <w:t xml:space="preserve"> there’s merit to this approach</w:t>
      </w:r>
      <w:r w:rsidR="001902D5" w:rsidRPr="00A36463">
        <w:rPr>
          <w:rFonts w:ascii="Garamond" w:hAnsi="Garamond"/>
        </w:rPr>
        <w:t>: it leads to a charitable, sympathetic and sophisticated understanding of Kant’s views.</w:t>
      </w:r>
      <w:r w:rsidR="00AE298C" w:rsidRPr="00A36463">
        <w:rPr>
          <w:rFonts w:ascii="Garamond" w:hAnsi="Garamond"/>
        </w:rPr>
        <w:t xml:space="preserve"> But </w:t>
      </w:r>
      <w:r w:rsidR="00025B2F" w:rsidRPr="00A36463">
        <w:rPr>
          <w:rFonts w:ascii="Garamond" w:hAnsi="Garamond"/>
        </w:rPr>
        <w:t xml:space="preserve">it can also lead to people sidestepping some of the views Kant actually held. In addition, you can have too much of a good thing. So far, </w:t>
      </w:r>
      <w:r w:rsidR="00AE298C" w:rsidRPr="00A36463">
        <w:rPr>
          <w:rFonts w:ascii="Garamond" w:hAnsi="Garamond"/>
        </w:rPr>
        <w:t>we</w:t>
      </w:r>
      <w:r w:rsidR="007A263A" w:rsidRPr="00A36463">
        <w:rPr>
          <w:rFonts w:ascii="Garamond" w:hAnsi="Garamond"/>
        </w:rPr>
        <w:t xml:space="preserve"> ha</w:t>
      </w:r>
      <w:r w:rsidR="00AE298C" w:rsidRPr="00A36463">
        <w:rPr>
          <w:rFonts w:ascii="Garamond" w:hAnsi="Garamond"/>
        </w:rPr>
        <w:t xml:space="preserve">ve seen a lot of this </w:t>
      </w:r>
      <w:r w:rsidR="00025B2F" w:rsidRPr="00A36463">
        <w:rPr>
          <w:rFonts w:ascii="Garamond" w:hAnsi="Garamond"/>
        </w:rPr>
        <w:t xml:space="preserve">charitable </w:t>
      </w:r>
      <w:r w:rsidR="00AE298C" w:rsidRPr="00A36463">
        <w:rPr>
          <w:rFonts w:ascii="Garamond" w:hAnsi="Garamond"/>
        </w:rPr>
        <w:t>work, and the field is beginning to look a little one-sided. After all, there are plenty of good objections to Kant, and they</w:t>
      </w:r>
      <w:r w:rsidR="007A263A" w:rsidRPr="00A36463">
        <w:rPr>
          <w:rFonts w:ascii="Garamond" w:hAnsi="Garamond"/>
        </w:rPr>
        <w:t xml:space="preserve"> a</w:t>
      </w:r>
      <w:r w:rsidR="00AE298C" w:rsidRPr="00A36463">
        <w:rPr>
          <w:rFonts w:ascii="Garamond" w:hAnsi="Garamond"/>
        </w:rPr>
        <w:t xml:space="preserve">re </w:t>
      </w:r>
      <w:r w:rsidR="001902D5" w:rsidRPr="00A36463">
        <w:rPr>
          <w:rFonts w:ascii="Garamond" w:hAnsi="Garamond"/>
        </w:rPr>
        <w:t xml:space="preserve">typically </w:t>
      </w:r>
      <w:r w:rsidR="00AE298C" w:rsidRPr="00A36463">
        <w:rPr>
          <w:rFonts w:ascii="Garamond" w:hAnsi="Garamond"/>
        </w:rPr>
        <w:t>not treated with the same sympathy or sophistication.</w:t>
      </w:r>
    </w:p>
    <w:p w14:paraId="749FDFB5" w14:textId="34562907" w:rsidR="00404B54" w:rsidRPr="00A36463" w:rsidRDefault="00404B54" w:rsidP="00132D87">
      <w:pPr>
        <w:rPr>
          <w:rFonts w:ascii="Garamond" w:hAnsi="Garamond"/>
        </w:rPr>
      </w:pPr>
    </w:p>
    <w:p w14:paraId="5C740461" w14:textId="36F18816" w:rsidR="0036028B" w:rsidRPr="00A36463" w:rsidRDefault="007C6219" w:rsidP="003F231C">
      <w:pPr>
        <w:ind w:firstLine="720"/>
        <w:rPr>
          <w:rFonts w:ascii="Garamond" w:hAnsi="Garamond"/>
        </w:rPr>
      </w:pPr>
      <w:r w:rsidRPr="00A36463">
        <w:rPr>
          <w:rFonts w:ascii="Garamond" w:hAnsi="Garamond"/>
        </w:rPr>
        <w:t xml:space="preserve">On this note, in chapter </w:t>
      </w:r>
      <w:r w:rsidR="00C77FF4" w:rsidRPr="00A36463">
        <w:rPr>
          <w:rFonts w:ascii="Garamond" w:hAnsi="Garamond"/>
        </w:rPr>
        <w:t xml:space="preserve">3, </w:t>
      </w:r>
      <w:r w:rsidR="002E05D7" w:rsidRPr="00A36463">
        <w:rPr>
          <w:rFonts w:ascii="Garamond" w:hAnsi="Garamond"/>
        </w:rPr>
        <w:t xml:space="preserve">Stephen </w:t>
      </w:r>
      <w:r w:rsidR="00AE298C" w:rsidRPr="00A36463">
        <w:rPr>
          <w:rFonts w:ascii="Garamond" w:hAnsi="Garamond"/>
        </w:rPr>
        <w:t xml:space="preserve">Engstrom </w:t>
      </w:r>
      <w:r w:rsidR="002E05D7" w:rsidRPr="00A36463">
        <w:rPr>
          <w:rFonts w:ascii="Garamond" w:hAnsi="Garamond"/>
        </w:rPr>
        <w:t xml:space="preserve">attempts to overcome the empty formalism objection and the arbitrariness charge to Kant’s meta-ethics. </w:t>
      </w:r>
      <w:r w:rsidR="00C77FF4" w:rsidRPr="00A36463">
        <w:rPr>
          <w:rFonts w:ascii="Garamond" w:hAnsi="Garamond"/>
        </w:rPr>
        <w:t>As always, Engstrom’s familiar blend of Kant, Aristotle, and Anscombe is intriguing, but he does</w:t>
      </w:r>
      <w:r w:rsidR="007A263A" w:rsidRPr="00A36463">
        <w:rPr>
          <w:rFonts w:ascii="Garamond" w:hAnsi="Garamond"/>
        </w:rPr>
        <w:t xml:space="preserve"> </w:t>
      </w:r>
      <w:r w:rsidR="00C77FF4" w:rsidRPr="00A36463">
        <w:rPr>
          <w:rFonts w:ascii="Garamond" w:hAnsi="Garamond"/>
        </w:rPr>
        <w:t>n</w:t>
      </w:r>
      <w:r w:rsidR="007A263A" w:rsidRPr="00A36463">
        <w:rPr>
          <w:rFonts w:ascii="Garamond" w:hAnsi="Garamond"/>
        </w:rPr>
        <w:t>o</w:t>
      </w:r>
      <w:r w:rsidR="00C77FF4" w:rsidRPr="00A36463">
        <w:rPr>
          <w:rFonts w:ascii="Garamond" w:hAnsi="Garamond"/>
        </w:rPr>
        <w:t>t really deal with the empty-formalism objection, or contemporary challenges to constructivism.</w:t>
      </w:r>
      <w:r w:rsidR="001902D5" w:rsidRPr="00A36463">
        <w:rPr>
          <w:rFonts w:ascii="Garamond" w:hAnsi="Garamond"/>
        </w:rPr>
        <w:t xml:space="preserve"> This is a bit of a shame. Engstrom is a serious thinker, and it would be good to see what made of these challenges.</w:t>
      </w:r>
    </w:p>
    <w:p w14:paraId="73B3E453" w14:textId="574B2EC6" w:rsidR="0029441C" w:rsidRPr="00A36463" w:rsidRDefault="0029441C" w:rsidP="00132D87">
      <w:pPr>
        <w:rPr>
          <w:rFonts w:ascii="Garamond" w:hAnsi="Garamond"/>
        </w:rPr>
      </w:pPr>
    </w:p>
    <w:p w14:paraId="2E6D7EAB" w14:textId="199815B6" w:rsidR="003D57AC" w:rsidRPr="00A36463" w:rsidRDefault="002E05D7" w:rsidP="003F231C">
      <w:pPr>
        <w:ind w:firstLine="720"/>
        <w:rPr>
          <w:rFonts w:ascii="Garamond" w:hAnsi="Garamond"/>
        </w:rPr>
      </w:pPr>
      <w:r w:rsidRPr="00A36463">
        <w:rPr>
          <w:rFonts w:ascii="Garamond" w:hAnsi="Garamond"/>
        </w:rPr>
        <w:t xml:space="preserve">In chapter 4, Pauline </w:t>
      </w:r>
      <w:proofErr w:type="spellStart"/>
      <w:r w:rsidRPr="00A36463">
        <w:rPr>
          <w:rFonts w:ascii="Garamond" w:hAnsi="Garamond"/>
        </w:rPr>
        <w:t>Kleingeld</w:t>
      </w:r>
      <w:proofErr w:type="spellEnd"/>
      <w:r w:rsidRPr="00A36463">
        <w:rPr>
          <w:rFonts w:ascii="Garamond" w:hAnsi="Garamond"/>
        </w:rPr>
        <w:t xml:space="preserve"> provides an i</w:t>
      </w:r>
      <w:r w:rsidR="0029441C" w:rsidRPr="00A36463">
        <w:rPr>
          <w:rFonts w:ascii="Garamond" w:hAnsi="Garamond"/>
        </w:rPr>
        <w:t>nteresting discussion o</w:t>
      </w:r>
      <w:r w:rsidRPr="00A36463">
        <w:rPr>
          <w:rFonts w:ascii="Garamond" w:hAnsi="Garamond"/>
        </w:rPr>
        <w:t>f</w:t>
      </w:r>
      <w:r w:rsidR="0029441C" w:rsidRPr="00A36463">
        <w:rPr>
          <w:rFonts w:ascii="Garamond" w:hAnsi="Garamond"/>
        </w:rPr>
        <w:t xml:space="preserve"> how Kant’s views on autonomy and consent changed in his political theory, and how this accounts for the fact that </w:t>
      </w:r>
      <w:r w:rsidR="001902D5" w:rsidRPr="00A36463">
        <w:rPr>
          <w:rFonts w:ascii="Garamond" w:hAnsi="Garamond"/>
        </w:rPr>
        <w:t>Kant</w:t>
      </w:r>
      <w:r w:rsidR="0029441C" w:rsidRPr="00A36463">
        <w:rPr>
          <w:rFonts w:ascii="Garamond" w:hAnsi="Garamond"/>
        </w:rPr>
        <w:t xml:space="preserve"> doesn’t discuss the Principle of Autonomy much in his moral theory after </w:t>
      </w:r>
      <w:r w:rsidR="001902D5" w:rsidRPr="00A36463">
        <w:rPr>
          <w:rFonts w:ascii="Garamond" w:hAnsi="Garamond"/>
        </w:rPr>
        <w:t xml:space="preserve">the </w:t>
      </w:r>
      <w:r w:rsidR="001902D5" w:rsidRPr="00A36463">
        <w:rPr>
          <w:rFonts w:ascii="Garamond" w:hAnsi="Garamond"/>
          <w:i/>
          <w:iCs/>
        </w:rPr>
        <w:t>Groundwork</w:t>
      </w:r>
      <w:r w:rsidR="001902D5" w:rsidRPr="00A36463">
        <w:rPr>
          <w:rFonts w:ascii="Garamond" w:hAnsi="Garamond"/>
        </w:rPr>
        <w:t xml:space="preserve"> and second </w:t>
      </w:r>
      <w:r w:rsidR="001902D5" w:rsidRPr="00A36463">
        <w:rPr>
          <w:rFonts w:ascii="Garamond" w:hAnsi="Garamond"/>
          <w:i/>
          <w:iCs/>
        </w:rPr>
        <w:t>Critique</w:t>
      </w:r>
      <w:r w:rsidR="0029441C" w:rsidRPr="00A36463">
        <w:rPr>
          <w:rFonts w:ascii="Garamond" w:hAnsi="Garamond"/>
        </w:rPr>
        <w:t>.</w:t>
      </w:r>
      <w:r w:rsidRPr="00A36463">
        <w:rPr>
          <w:rFonts w:ascii="Garamond" w:hAnsi="Garamond"/>
        </w:rPr>
        <w:t xml:space="preserve"> This involves a key change in the 1790s, where Kant “drops the thesis that it </w:t>
      </w:r>
      <w:r w:rsidRPr="00A36463">
        <w:rPr>
          <w:rFonts w:ascii="Garamond" w:hAnsi="Garamond"/>
          <w:i/>
          <w:iCs/>
        </w:rPr>
        <w:t>suffices</w:t>
      </w:r>
      <w:r w:rsidRPr="00A36463">
        <w:rPr>
          <w:rFonts w:ascii="Garamond" w:hAnsi="Garamond"/>
        </w:rPr>
        <w:t xml:space="preserve"> that the people </w:t>
      </w:r>
      <w:r w:rsidRPr="00A36463">
        <w:rPr>
          <w:rFonts w:ascii="Garamond" w:hAnsi="Garamond"/>
          <w:i/>
          <w:iCs/>
        </w:rPr>
        <w:t>could</w:t>
      </w:r>
      <w:r w:rsidRPr="00A36463">
        <w:rPr>
          <w:rFonts w:ascii="Garamond" w:hAnsi="Garamond"/>
        </w:rPr>
        <w:t xml:space="preserve"> agree to a law and now adds […] that the citizens also </w:t>
      </w:r>
      <w:r w:rsidRPr="00A36463">
        <w:rPr>
          <w:rFonts w:ascii="Garamond" w:hAnsi="Garamond"/>
          <w:i/>
          <w:iCs/>
        </w:rPr>
        <w:t>do</w:t>
      </w:r>
      <w:r w:rsidRPr="00A36463">
        <w:rPr>
          <w:rFonts w:ascii="Garamond" w:hAnsi="Garamond"/>
        </w:rPr>
        <w:t xml:space="preserve"> agree to it” (73</w:t>
      </w:r>
      <w:r w:rsidR="00673C64" w:rsidRPr="00A36463">
        <w:rPr>
          <w:rFonts w:ascii="Garamond" w:hAnsi="Garamond"/>
        </w:rPr>
        <w:t xml:space="preserve">). I found this interesting, and wanted to hear </w:t>
      </w:r>
      <w:r w:rsidR="001902D5" w:rsidRPr="00A36463">
        <w:rPr>
          <w:rFonts w:ascii="Garamond" w:hAnsi="Garamond"/>
        </w:rPr>
        <w:t>more</w:t>
      </w:r>
      <w:r w:rsidR="00673C64" w:rsidRPr="00A36463">
        <w:rPr>
          <w:rFonts w:ascii="Garamond" w:hAnsi="Garamond"/>
        </w:rPr>
        <w:t xml:space="preserve">. Does </w:t>
      </w:r>
      <w:proofErr w:type="spellStart"/>
      <w:r w:rsidR="00673C64" w:rsidRPr="00A36463">
        <w:rPr>
          <w:rFonts w:ascii="Garamond" w:hAnsi="Garamond"/>
        </w:rPr>
        <w:t>Kleingeld</w:t>
      </w:r>
      <w:proofErr w:type="spellEnd"/>
      <w:r w:rsidR="00673C64" w:rsidRPr="00A36463">
        <w:rPr>
          <w:rFonts w:ascii="Garamond" w:hAnsi="Garamond"/>
        </w:rPr>
        <w:t xml:space="preserve"> think that Kant had this wrong before the 1790s, and does that change how we should treat his views up until then?</w:t>
      </w:r>
    </w:p>
    <w:p w14:paraId="751F61AE" w14:textId="77777777" w:rsidR="003D57AC" w:rsidRPr="00A36463" w:rsidRDefault="003D57AC" w:rsidP="003D57AC">
      <w:pPr>
        <w:rPr>
          <w:rFonts w:ascii="Garamond" w:hAnsi="Garamond"/>
        </w:rPr>
      </w:pPr>
    </w:p>
    <w:p w14:paraId="7EF2B020" w14:textId="194EFEAD" w:rsidR="00D8449D" w:rsidRPr="00A36463" w:rsidRDefault="00AB3E15" w:rsidP="003F231C">
      <w:pPr>
        <w:ind w:firstLine="720"/>
        <w:rPr>
          <w:rFonts w:ascii="Garamond" w:hAnsi="Garamond"/>
        </w:rPr>
      </w:pPr>
      <w:r w:rsidRPr="00A36463">
        <w:rPr>
          <w:rFonts w:ascii="Garamond" w:hAnsi="Garamond"/>
        </w:rPr>
        <w:t xml:space="preserve">Lucy Allais </w:t>
      </w:r>
      <w:r w:rsidR="00673C64" w:rsidRPr="00A36463">
        <w:rPr>
          <w:rFonts w:ascii="Garamond" w:hAnsi="Garamond"/>
        </w:rPr>
        <w:t xml:space="preserve">begins the section on freedom with </w:t>
      </w:r>
      <w:r w:rsidRPr="00A36463">
        <w:rPr>
          <w:rFonts w:ascii="Garamond" w:hAnsi="Garamond"/>
        </w:rPr>
        <w:t>an o</w:t>
      </w:r>
      <w:r w:rsidR="00246A2A" w:rsidRPr="00A36463">
        <w:rPr>
          <w:rFonts w:ascii="Garamond" w:hAnsi="Garamond"/>
        </w:rPr>
        <w:t xml:space="preserve">riginal and compelling reconstruction of Kant’s claims about our propensity to radical evil. </w:t>
      </w:r>
      <w:r w:rsidR="00673C64" w:rsidRPr="00A36463">
        <w:rPr>
          <w:rFonts w:ascii="Garamond" w:hAnsi="Garamond"/>
        </w:rPr>
        <w:t>I f</w:t>
      </w:r>
      <w:r w:rsidR="00246A2A" w:rsidRPr="00A36463">
        <w:rPr>
          <w:rFonts w:ascii="Garamond" w:hAnsi="Garamond"/>
        </w:rPr>
        <w:t xml:space="preserve">ound </w:t>
      </w:r>
      <w:r w:rsidR="00673C64" w:rsidRPr="00A36463">
        <w:rPr>
          <w:rFonts w:ascii="Garamond" w:hAnsi="Garamond"/>
        </w:rPr>
        <w:t>this</w:t>
      </w:r>
      <w:r w:rsidR="00246A2A" w:rsidRPr="00A36463">
        <w:rPr>
          <w:rFonts w:ascii="Garamond" w:hAnsi="Garamond"/>
        </w:rPr>
        <w:t xml:space="preserve"> much more convincing than </w:t>
      </w:r>
      <w:r w:rsidR="00673C64" w:rsidRPr="00A36463">
        <w:rPr>
          <w:rFonts w:ascii="Garamond" w:hAnsi="Garamond"/>
        </w:rPr>
        <w:t xml:space="preserve">many of the things that Kant himself </w:t>
      </w:r>
      <w:r w:rsidR="00246A2A" w:rsidRPr="00A36463">
        <w:rPr>
          <w:rFonts w:ascii="Garamond" w:hAnsi="Garamond"/>
        </w:rPr>
        <w:t>says about radical evil</w:t>
      </w:r>
      <w:r w:rsidR="00673C64" w:rsidRPr="00A36463">
        <w:rPr>
          <w:rFonts w:ascii="Garamond" w:hAnsi="Garamond"/>
        </w:rPr>
        <w:t>.</w:t>
      </w:r>
      <w:r w:rsidR="00246A2A" w:rsidRPr="00A36463">
        <w:rPr>
          <w:rFonts w:ascii="Garamond" w:hAnsi="Garamond"/>
        </w:rPr>
        <w:t xml:space="preserve"> After all, Kant says some deeply puzzling things about evil, which Allais lists early on</w:t>
      </w:r>
      <w:r w:rsidRPr="00A36463">
        <w:rPr>
          <w:rFonts w:ascii="Garamond" w:hAnsi="Garamond"/>
        </w:rPr>
        <w:t xml:space="preserve">. Allais </w:t>
      </w:r>
      <w:r w:rsidR="00673C64" w:rsidRPr="00A36463">
        <w:rPr>
          <w:rFonts w:ascii="Garamond" w:hAnsi="Garamond"/>
        </w:rPr>
        <w:t>goes on to give</w:t>
      </w:r>
      <w:r w:rsidRPr="00A36463">
        <w:rPr>
          <w:rFonts w:ascii="Garamond" w:hAnsi="Garamond"/>
        </w:rPr>
        <w:t xml:space="preserve"> an original account of how we might have a propensity to evil that draws upon some Kantian resources.</w:t>
      </w:r>
    </w:p>
    <w:p w14:paraId="6204BBBB" w14:textId="49C52B1B" w:rsidR="00AB3E15" w:rsidRPr="00A36463" w:rsidRDefault="00AB3E15" w:rsidP="00C8224B">
      <w:pPr>
        <w:rPr>
          <w:rFonts w:ascii="Garamond" w:hAnsi="Garamond"/>
        </w:rPr>
      </w:pPr>
    </w:p>
    <w:p w14:paraId="794A2A52" w14:textId="1CCBE74B" w:rsidR="00F701CC" w:rsidRPr="00A36463" w:rsidRDefault="00673C64" w:rsidP="003F231C">
      <w:pPr>
        <w:ind w:firstLine="720"/>
        <w:rPr>
          <w:rFonts w:ascii="Garamond" w:hAnsi="Garamond"/>
        </w:rPr>
      </w:pPr>
      <w:r w:rsidRPr="00A36463">
        <w:rPr>
          <w:rFonts w:ascii="Garamond" w:hAnsi="Garamond"/>
        </w:rPr>
        <w:t xml:space="preserve">In chapter 6, </w:t>
      </w:r>
      <w:r w:rsidR="00434F83" w:rsidRPr="00A36463">
        <w:rPr>
          <w:rFonts w:ascii="Garamond" w:hAnsi="Garamond"/>
        </w:rPr>
        <w:t>Willaschek defend</w:t>
      </w:r>
      <w:r w:rsidRPr="00A36463">
        <w:rPr>
          <w:rFonts w:ascii="Garamond" w:hAnsi="Garamond"/>
        </w:rPr>
        <w:t>s</w:t>
      </w:r>
      <w:r w:rsidR="00434F83" w:rsidRPr="00A36463">
        <w:rPr>
          <w:rFonts w:ascii="Garamond" w:hAnsi="Garamond"/>
        </w:rPr>
        <w:t xml:space="preserve"> Kant’s claim that freedom is a postulate.</w:t>
      </w:r>
      <w:r w:rsidR="00F701CC" w:rsidRPr="00A36463">
        <w:rPr>
          <w:rFonts w:ascii="Garamond" w:hAnsi="Garamond"/>
        </w:rPr>
        <w:t xml:space="preserve"> As usual, his work is thorough, impressively clear, and he makes a strong textual case. However, I found it a </w:t>
      </w:r>
      <w:r w:rsidR="00F701CC" w:rsidRPr="00A36463">
        <w:rPr>
          <w:rFonts w:ascii="Garamond" w:hAnsi="Garamond"/>
        </w:rPr>
        <w:lastRenderedPageBreak/>
        <w:t>little</w:t>
      </w:r>
      <w:r w:rsidRPr="00A36463">
        <w:rPr>
          <w:rFonts w:ascii="Garamond" w:hAnsi="Garamond"/>
        </w:rPr>
        <w:t xml:space="preserve"> bit</w:t>
      </w:r>
      <w:r w:rsidR="00F701CC" w:rsidRPr="00A36463">
        <w:rPr>
          <w:rFonts w:ascii="Garamond" w:hAnsi="Garamond"/>
        </w:rPr>
        <w:t xml:space="preserve"> one-sided. What are the potential downsides of viewing freedom as a postulate? For instance, Willaschek plays down Kant’s claims about the reality of freedom: “he does not mean to say that we are </w:t>
      </w:r>
      <w:r w:rsidR="00F701CC" w:rsidRPr="00A36463">
        <w:rPr>
          <w:rFonts w:ascii="Garamond" w:hAnsi="Garamond"/>
          <w:i/>
          <w:iCs/>
        </w:rPr>
        <w:t>really</w:t>
      </w:r>
      <w:r w:rsidR="00F701CC" w:rsidRPr="00A36463">
        <w:rPr>
          <w:rFonts w:ascii="Garamond" w:hAnsi="Garamond"/>
        </w:rPr>
        <w:t xml:space="preserve"> or </w:t>
      </w:r>
      <w:r w:rsidR="00F701CC" w:rsidRPr="00A36463">
        <w:rPr>
          <w:rFonts w:ascii="Garamond" w:hAnsi="Garamond"/>
          <w:i/>
          <w:iCs/>
        </w:rPr>
        <w:t>actually</w:t>
      </w:r>
      <w:r w:rsidR="00F701CC" w:rsidRPr="00A36463">
        <w:rPr>
          <w:rFonts w:ascii="Garamond" w:hAnsi="Garamond"/>
        </w:rPr>
        <w:t xml:space="preserve"> free” (115), and ends by claiming that we should understand freedom as practically necessary instead </w:t>
      </w:r>
      <w:r w:rsidR="00B74A5D" w:rsidRPr="00A36463">
        <w:rPr>
          <w:rFonts w:ascii="Garamond" w:hAnsi="Garamond"/>
        </w:rPr>
        <w:t xml:space="preserve"> </w:t>
      </w:r>
      <w:r w:rsidR="00870280" w:rsidRPr="00A36463">
        <w:rPr>
          <w:rFonts w:ascii="Garamond" w:hAnsi="Garamond"/>
        </w:rPr>
        <w:t>(</w:t>
      </w:r>
      <w:r w:rsidR="00F701CC" w:rsidRPr="00A36463">
        <w:rPr>
          <w:rFonts w:ascii="Garamond" w:hAnsi="Garamond"/>
        </w:rPr>
        <w:t>118). Of course, this is a familiar move. But it comes with downsides</w:t>
      </w:r>
      <w:r w:rsidR="00C77FF4" w:rsidRPr="00A36463">
        <w:rPr>
          <w:rFonts w:ascii="Garamond" w:hAnsi="Garamond"/>
        </w:rPr>
        <w:t>. For one,</w:t>
      </w:r>
      <w:r w:rsidR="00F701CC" w:rsidRPr="00A36463">
        <w:rPr>
          <w:rFonts w:ascii="Garamond" w:hAnsi="Garamond"/>
        </w:rPr>
        <w:t xml:space="preserve"> if freedom is just a practical postulate, how can it have any causal efficacy in the world of experience?</w:t>
      </w:r>
    </w:p>
    <w:p w14:paraId="46B710CD" w14:textId="780C5785" w:rsidR="007A5A07" w:rsidRPr="00A36463" w:rsidRDefault="007A5A07" w:rsidP="00C8224B">
      <w:pPr>
        <w:rPr>
          <w:rFonts w:ascii="Garamond" w:hAnsi="Garamond"/>
        </w:rPr>
      </w:pPr>
    </w:p>
    <w:p w14:paraId="653767EC" w14:textId="3CA3A745" w:rsidR="007A5A07" w:rsidRPr="00A36463" w:rsidRDefault="007A5A07" w:rsidP="003F231C">
      <w:pPr>
        <w:ind w:firstLine="720"/>
        <w:rPr>
          <w:rFonts w:ascii="Garamond" w:hAnsi="Garamond"/>
        </w:rPr>
      </w:pPr>
      <w:r w:rsidRPr="00A36463">
        <w:rPr>
          <w:rFonts w:ascii="Garamond" w:hAnsi="Garamond"/>
        </w:rPr>
        <w:t xml:space="preserve">In general, I </w:t>
      </w:r>
      <w:r w:rsidR="00673C64" w:rsidRPr="00A36463">
        <w:rPr>
          <w:rFonts w:ascii="Garamond" w:hAnsi="Garamond"/>
        </w:rPr>
        <w:t>worry that</w:t>
      </w:r>
      <w:r w:rsidRPr="00A36463">
        <w:rPr>
          <w:rFonts w:ascii="Garamond" w:hAnsi="Garamond"/>
        </w:rPr>
        <w:t xml:space="preserve"> this is a weakness of work in this area. The Kantian system is full of </w:t>
      </w:r>
      <w:r w:rsidR="00430E96" w:rsidRPr="00A36463">
        <w:rPr>
          <w:rFonts w:ascii="Garamond" w:hAnsi="Garamond"/>
        </w:rPr>
        <w:t>intriguing</w:t>
      </w:r>
      <w:r w:rsidRPr="00A36463">
        <w:rPr>
          <w:rFonts w:ascii="Garamond" w:hAnsi="Garamond"/>
        </w:rPr>
        <w:t xml:space="preserve"> and complicated tensions and puzzles. When presented with a puzzle, a familiar move is to note that the </w:t>
      </w:r>
      <w:r w:rsidR="00C77FF4" w:rsidRPr="00A36463">
        <w:rPr>
          <w:rFonts w:ascii="Garamond" w:hAnsi="Garamond"/>
        </w:rPr>
        <w:t>issue</w:t>
      </w:r>
      <w:r w:rsidRPr="00A36463">
        <w:rPr>
          <w:rFonts w:ascii="Garamond" w:hAnsi="Garamond"/>
        </w:rPr>
        <w:t xml:space="preserve"> is </w:t>
      </w:r>
      <w:r w:rsidRPr="00A36463">
        <w:rPr>
          <w:rFonts w:ascii="Garamond" w:hAnsi="Garamond"/>
          <w:i/>
          <w:iCs/>
        </w:rPr>
        <w:t>theoretically</w:t>
      </w:r>
      <w:r w:rsidRPr="00A36463">
        <w:rPr>
          <w:rFonts w:ascii="Garamond" w:hAnsi="Garamond"/>
        </w:rPr>
        <w:t xml:space="preserve"> unknowable, or unprovable, but </w:t>
      </w:r>
      <w:r w:rsidRPr="00A36463">
        <w:rPr>
          <w:rFonts w:ascii="Garamond" w:hAnsi="Garamond"/>
          <w:i/>
          <w:iCs/>
        </w:rPr>
        <w:t>practically</w:t>
      </w:r>
      <w:r w:rsidRPr="00A36463">
        <w:rPr>
          <w:rFonts w:ascii="Garamond" w:hAnsi="Garamond"/>
        </w:rPr>
        <w:t xml:space="preserve"> necessary or important. </w:t>
      </w:r>
      <w:r w:rsidR="00673C64" w:rsidRPr="00A36463">
        <w:rPr>
          <w:rFonts w:ascii="Garamond" w:hAnsi="Garamond"/>
        </w:rPr>
        <w:t xml:space="preserve">This </w:t>
      </w:r>
      <w:r w:rsidRPr="00A36463">
        <w:rPr>
          <w:rFonts w:ascii="Garamond" w:hAnsi="Garamond"/>
        </w:rPr>
        <w:t>is an interesting and distinctively Kantian move. But it shouldn’t be the end of our investigations. What are the downsides of giving up on the theoretical here? Do we lose certain knowledge, or the possibility of practical ideas having real impact in the world of experience? These are</w:t>
      </w:r>
      <w:r w:rsidR="007A263A" w:rsidRPr="00A36463">
        <w:rPr>
          <w:rFonts w:ascii="Garamond" w:hAnsi="Garamond"/>
        </w:rPr>
        <w:t xml:space="preserve"> no</w:t>
      </w:r>
      <w:r w:rsidRPr="00A36463">
        <w:rPr>
          <w:rFonts w:ascii="Garamond" w:hAnsi="Garamond"/>
        </w:rPr>
        <w:t>t new questions.</w:t>
      </w:r>
      <w:r w:rsidR="00025B2F" w:rsidRPr="00A36463">
        <w:rPr>
          <w:rStyle w:val="FootnoteReference"/>
          <w:rFonts w:ascii="Garamond" w:hAnsi="Garamond"/>
        </w:rPr>
        <w:footnoteReference w:id="8"/>
      </w:r>
      <w:r w:rsidRPr="00A36463">
        <w:rPr>
          <w:rFonts w:ascii="Garamond" w:hAnsi="Garamond"/>
        </w:rPr>
        <w:t xml:space="preserve"> This is a collection </w:t>
      </w:r>
      <w:r w:rsidR="00430E96" w:rsidRPr="00A36463">
        <w:rPr>
          <w:rFonts w:ascii="Garamond" w:hAnsi="Garamond"/>
        </w:rPr>
        <w:t>dedicated to</w:t>
      </w:r>
      <w:r w:rsidRPr="00A36463">
        <w:rPr>
          <w:rFonts w:ascii="Garamond" w:hAnsi="Garamond"/>
        </w:rPr>
        <w:t xml:space="preserve"> </w:t>
      </w:r>
      <w:proofErr w:type="spellStart"/>
      <w:r w:rsidRPr="00A36463">
        <w:rPr>
          <w:rFonts w:ascii="Garamond" w:hAnsi="Garamond"/>
        </w:rPr>
        <w:t>Ameriks</w:t>
      </w:r>
      <w:proofErr w:type="spellEnd"/>
      <w:r w:rsidRPr="00A36463">
        <w:rPr>
          <w:rFonts w:ascii="Garamond" w:hAnsi="Garamond"/>
        </w:rPr>
        <w:t xml:space="preserve">, who posed similar questions to Allison’s practical reading of Kant’s theory of freedom back in 2003 (215-6), but </w:t>
      </w:r>
      <w:r w:rsidR="00882E71" w:rsidRPr="00A36463">
        <w:rPr>
          <w:rFonts w:ascii="Garamond" w:hAnsi="Garamond"/>
        </w:rPr>
        <w:t>these issues</w:t>
      </w:r>
      <w:r w:rsidRPr="00A36463">
        <w:rPr>
          <w:rFonts w:ascii="Garamond" w:hAnsi="Garamond"/>
        </w:rPr>
        <w:t xml:space="preserve"> are</w:t>
      </w:r>
      <w:r w:rsidR="007A263A" w:rsidRPr="00A36463">
        <w:rPr>
          <w:rFonts w:ascii="Garamond" w:hAnsi="Garamond"/>
        </w:rPr>
        <w:t xml:space="preserve"> </w:t>
      </w:r>
      <w:r w:rsidRPr="00A36463">
        <w:rPr>
          <w:rFonts w:ascii="Garamond" w:hAnsi="Garamond"/>
        </w:rPr>
        <w:t>n</w:t>
      </w:r>
      <w:r w:rsidR="007A263A" w:rsidRPr="00A36463">
        <w:rPr>
          <w:rFonts w:ascii="Garamond" w:hAnsi="Garamond"/>
        </w:rPr>
        <w:t>o</w:t>
      </w:r>
      <w:r w:rsidRPr="00A36463">
        <w:rPr>
          <w:rFonts w:ascii="Garamond" w:hAnsi="Garamond"/>
        </w:rPr>
        <w:t xml:space="preserve">t </w:t>
      </w:r>
      <w:r w:rsidR="00430E96" w:rsidRPr="00A36463">
        <w:rPr>
          <w:rFonts w:ascii="Garamond" w:hAnsi="Garamond"/>
        </w:rPr>
        <w:t xml:space="preserve">really </w:t>
      </w:r>
      <w:r w:rsidRPr="00A36463">
        <w:rPr>
          <w:rFonts w:ascii="Garamond" w:hAnsi="Garamond"/>
        </w:rPr>
        <w:t xml:space="preserve">addressed </w:t>
      </w:r>
      <w:r w:rsidR="00430E96" w:rsidRPr="00A36463">
        <w:rPr>
          <w:rFonts w:ascii="Garamond" w:hAnsi="Garamond"/>
        </w:rPr>
        <w:t xml:space="preserve">or developed </w:t>
      </w:r>
      <w:r w:rsidRPr="00A36463">
        <w:rPr>
          <w:rFonts w:ascii="Garamond" w:hAnsi="Garamond"/>
        </w:rPr>
        <w:t>in these collections.</w:t>
      </w:r>
    </w:p>
    <w:p w14:paraId="3ABF7D02" w14:textId="5F2B91F6" w:rsidR="007A5A07" w:rsidRPr="00A36463" w:rsidRDefault="007A5A07" w:rsidP="00C8224B">
      <w:pPr>
        <w:rPr>
          <w:rFonts w:ascii="Garamond" w:hAnsi="Garamond"/>
        </w:rPr>
      </w:pPr>
    </w:p>
    <w:p w14:paraId="258B7B36" w14:textId="28058142" w:rsidR="007A5A07" w:rsidRPr="00A36463" w:rsidRDefault="007A5A07" w:rsidP="003F231C">
      <w:pPr>
        <w:ind w:firstLine="720"/>
        <w:rPr>
          <w:rFonts w:ascii="Garamond" w:hAnsi="Garamond"/>
        </w:rPr>
      </w:pPr>
      <w:r w:rsidRPr="00A36463">
        <w:rPr>
          <w:rFonts w:ascii="Garamond" w:hAnsi="Garamond"/>
        </w:rPr>
        <w:t>In chapter 7, Guyer offers a defence of Kant and the freedom to choose against Reinhold</w:t>
      </w:r>
      <w:r w:rsidR="00430E96" w:rsidRPr="00A36463">
        <w:rPr>
          <w:rFonts w:ascii="Garamond" w:hAnsi="Garamond"/>
        </w:rPr>
        <w:t xml:space="preserve">, arguing that in his mature works, Kant always had some sort of distinction (even if implicit) between </w:t>
      </w:r>
      <w:r w:rsidR="00430E96" w:rsidRPr="00A36463">
        <w:rPr>
          <w:rFonts w:ascii="Garamond" w:hAnsi="Garamond"/>
          <w:i/>
          <w:iCs/>
        </w:rPr>
        <w:t>Wille</w:t>
      </w:r>
      <w:r w:rsidR="00430E96" w:rsidRPr="00A36463">
        <w:rPr>
          <w:rFonts w:ascii="Garamond" w:hAnsi="Garamond"/>
        </w:rPr>
        <w:t xml:space="preserve"> and </w:t>
      </w:r>
      <w:proofErr w:type="spellStart"/>
      <w:r w:rsidR="00430E96" w:rsidRPr="00A36463">
        <w:rPr>
          <w:rFonts w:ascii="Garamond" w:hAnsi="Garamond"/>
          <w:i/>
          <w:iCs/>
        </w:rPr>
        <w:t>Willk</w:t>
      </w:r>
      <w:r w:rsidR="00430E96" w:rsidRPr="00A36463">
        <w:rPr>
          <w:rFonts w:ascii="Garamond" w:hAnsi="Garamond" w:cstheme="minorHAnsi"/>
          <w:i/>
          <w:iCs/>
        </w:rPr>
        <w:t>ü</w:t>
      </w:r>
      <w:r w:rsidR="00430E96" w:rsidRPr="00A36463">
        <w:rPr>
          <w:rFonts w:ascii="Garamond" w:hAnsi="Garamond"/>
          <w:i/>
          <w:iCs/>
        </w:rPr>
        <w:t>r</w:t>
      </w:r>
      <w:proofErr w:type="spellEnd"/>
      <w:r w:rsidR="00430E96" w:rsidRPr="00A36463">
        <w:rPr>
          <w:rFonts w:ascii="Garamond" w:hAnsi="Garamond"/>
        </w:rPr>
        <w:t xml:space="preserve">, which allows for the possibility of freely chosen immoral action. </w:t>
      </w:r>
      <w:r w:rsidRPr="00A36463">
        <w:rPr>
          <w:rFonts w:ascii="Garamond" w:hAnsi="Garamond"/>
        </w:rPr>
        <w:t xml:space="preserve">Again, this is thorough and well-researched, but also </w:t>
      </w:r>
      <w:r w:rsidR="00F0078B" w:rsidRPr="00A36463">
        <w:rPr>
          <w:rFonts w:ascii="Garamond" w:hAnsi="Garamond"/>
        </w:rPr>
        <w:t xml:space="preserve">perhaps </w:t>
      </w:r>
      <w:r w:rsidRPr="00A36463">
        <w:rPr>
          <w:rFonts w:ascii="Garamond" w:hAnsi="Garamond"/>
        </w:rPr>
        <w:t xml:space="preserve">a little one-sided. </w:t>
      </w:r>
    </w:p>
    <w:p w14:paraId="78FDDF04" w14:textId="3E618DBF" w:rsidR="007121DF" w:rsidRPr="00A36463" w:rsidRDefault="007121DF" w:rsidP="00C8224B">
      <w:pPr>
        <w:rPr>
          <w:rFonts w:ascii="Garamond" w:hAnsi="Garamond"/>
        </w:rPr>
      </w:pPr>
    </w:p>
    <w:p w14:paraId="3F87A470" w14:textId="45737110" w:rsidR="007121DF" w:rsidRPr="00A36463" w:rsidRDefault="007121DF" w:rsidP="003F231C">
      <w:pPr>
        <w:ind w:firstLine="720"/>
        <w:rPr>
          <w:rFonts w:ascii="Garamond" w:hAnsi="Garamond"/>
        </w:rPr>
      </w:pPr>
      <w:r w:rsidRPr="00A36463">
        <w:rPr>
          <w:rFonts w:ascii="Garamond" w:hAnsi="Garamond"/>
        </w:rPr>
        <w:t xml:space="preserve">Dieter </w:t>
      </w:r>
      <w:proofErr w:type="spellStart"/>
      <w:r w:rsidRPr="00A36463">
        <w:rPr>
          <w:rFonts w:ascii="Garamond" w:hAnsi="Garamond"/>
        </w:rPr>
        <w:t>Sturma</w:t>
      </w:r>
      <w:proofErr w:type="spellEnd"/>
      <w:r w:rsidRPr="00A36463">
        <w:rPr>
          <w:rFonts w:ascii="Garamond" w:hAnsi="Garamond"/>
        </w:rPr>
        <w:t xml:space="preserve"> offers a reading of Kant, where the critical philosophy is determined by the realm of causes on one hand, and the space of moral reasons on the other. He also </w:t>
      </w:r>
      <w:r w:rsidR="00430E96" w:rsidRPr="00A36463">
        <w:rPr>
          <w:rFonts w:ascii="Garamond" w:hAnsi="Garamond"/>
        </w:rPr>
        <w:t>suggests</w:t>
      </w:r>
      <w:r w:rsidRPr="00A36463">
        <w:rPr>
          <w:rFonts w:ascii="Garamond" w:hAnsi="Garamond"/>
        </w:rPr>
        <w:t xml:space="preserve"> that self-consciousness allows us to reconcile or combine these two spaces: “persons […] are capable of formulating maxims in accordance with the moral law in the realm of causes using the space of reasons as well as of reconstructing the </w:t>
      </w:r>
      <w:proofErr w:type="spellStart"/>
      <w:r w:rsidRPr="00A36463">
        <w:rPr>
          <w:rFonts w:ascii="Garamond" w:hAnsi="Garamond"/>
        </w:rPr>
        <w:t>nomologies</w:t>
      </w:r>
      <w:proofErr w:type="spellEnd"/>
      <w:r w:rsidRPr="00A36463">
        <w:rPr>
          <w:rFonts w:ascii="Garamond" w:hAnsi="Garamond"/>
        </w:rPr>
        <w:t xml:space="preserve"> of the realm of causes in the space of reasons. All this is revealed to those who spend enough time looking self-consciously and thoughtfully to the heavens.” (152) This is evocative stuff, but it leaves questions unanswered</w:t>
      </w:r>
      <w:r w:rsidR="00430E96" w:rsidRPr="00A36463">
        <w:rPr>
          <w:rFonts w:ascii="Garamond" w:hAnsi="Garamond"/>
        </w:rPr>
        <w:t>:</w:t>
      </w:r>
      <w:r w:rsidRPr="00A36463">
        <w:rPr>
          <w:rFonts w:ascii="Garamond" w:hAnsi="Garamond"/>
        </w:rPr>
        <w:t xml:space="preserve"> How do these two realms interact? </w:t>
      </w:r>
      <w:r w:rsidR="00B74A5D" w:rsidRPr="00A36463">
        <w:rPr>
          <w:rFonts w:ascii="Garamond" w:hAnsi="Garamond"/>
        </w:rPr>
        <w:t xml:space="preserve">And, once again, </w:t>
      </w:r>
      <w:r w:rsidRPr="00A36463">
        <w:rPr>
          <w:rFonts w:ascii="Garamond" w:hAnsi="Garamond"/>
        </w:rPr>
        <w:t>how is this interaction possible given transcendental idealism?</w:t>
      </w:r>
    </w:p>
    <w:p w14:paraId="000C7B07" w14:textId="79D8656D" w:rsidR="00F701CC" w:rsidRPr="00A36463" w:rsidRDefault="00F701CC" w:rsidP="00C8224B">
      <w:pPr>
        <w:rPr>
          <w:rFonts w:ascii="Garamond" w:hAnsi="Garamond"/>
        </w:rPr>
      </w:pPr>
    </w:p>
    <w:p w14:paraId="2D6DFF0E" w14:textId="65E78983" w:rsidR="009671E3" w:rsidRPr="00A36463" w:rsidRDefault="007121DF" w:rsidP="003F231C">
      <w:pPr>
        <w:ind w:firstLine="720"/>
        <w:rPr>
          <w:rFonts w:ascii="Garamond" w:hAnsi="Garamond"/>
        </w:rPr>
      </w:pPr>
      <w:proofErr w:type="spellStart"/>
      <w:r w:rsidRPr="00A36463">
        <w:rPr>
          <w:rFonts w:ascii="Garamond" w:hAnsi="Garamond" w:cstheme="minorHAnsi"/>
        </w:rPr>
        <w:t>Béat</w:t>
      </w:r>
      <w:r w:rsidRPr="00A36463">
        <w:rPr>
          <w:rFonts w:ascii="Garamond" w:hAnsi="Garamond"/>
        </w:rPr>
        <w:t>rice</w:t>
      </w:r>
      <w:proofErr w:type="spellEnd"/>
      <w:r w:rsidRPr="00A36463">
        <w:rPr>
          <w:rFonts w:ascii="Garamond" w:hAnsi="Garamond"/>
        </w:rPr>
        <w:t xml:space="preserve"> </w:t>
      </w:r>
      <w:proofErr w:type="spellStart"/>
      <w:r w:rsidRPr="00A36463">
        <w:rPr>
          <w:rFonts w:ascii="Garamond" w:hAnsi="Garamond"/>
        </w:rPr>
        <w:t>Longuenesse</w:t>
      </w:r>
      <w:proofErr w:type="spellEnd"/>
      <w:r w:rsidRPr="00A36463">
        <w:rPr>
          <w:rFonts w:ascii="Garamond" w:hAnsi="Garamond"/>
        </w:rPr>
        <w:t xml:space="preserve"> </w:t>
      </w:r>
      <w:r w:rsidR="006F708A" w:rsidRPr="00A36463">
        <w:rPr>
          <w:rFonts w:ascii="Garamond" w:hAnsi="Garamond"/>
        </w:rPr>
        <w:t xml:space="preserve">begins the section on persons, by </w:t>
      </w:r>
      <w:r w:rsidRPr="00A36463">
        <w:rPr>
          <w:rFonts w:ascii="Garamond" w:hAnsi="Garamond"/>
        </w:rPr>
        <w:t>consider</w:t>
      </w:r>
      <w:r w:rsidR="006F708A" w:rsidRPr="00A36463">
        <w:rPr>
          <w:rFonts w:ascii="Garamond" w:hAnsi="Garamond"/>
        </w:rPr>
        <w:t>ing</w:t>
      </w:r>
      <w:r w:rsidRPr="00A36463">
        <w:rPr>
          <w:rFonts w:ascii="Garamond" w:hAnsi="Garamond"/>
        </w:rPr>
        <w:t xml:space="preserve"> whether Kant himself commits a paralogism, when he infers that I am transcendentally free</w:t>
      </w:r>
      <w:r w:rsidR="006F4DEE" w:rsidRPr="00A36463">
        <w:rPr>
          <w:rFonts w:ascii="Garamond" w:hAnsi="Garamond"/>
        </w:rPr>
        <w:t xml:space="preserve">, from the fact that I ought to do something. I found this to be a particularly original and thoughtful chapter. In the end, </w:t>
      </w:r>
      <w:proofErr w:type="spellStart"/>
      <w:r w:rsidR="006F4DEE" w:rsidRPr="00A36463">
        <w:rPr>
          <w:rFonts w:ascii="Garamond" w:hAnsi="Garamond"/>
        </w:rPr>
        <w:t>Longuenesse</w:t>
      </w:r>
      <w:proofErr w:type="spellEnd"/>
      <w:r w:rsidR="006F4DEE" w:rsidRPr="00A36463">
        <w:rPr>
          <w:rFonts w:ascii="Garamond" w:hAnsi="Garamond"/>
        </w:rPr>
        <w:t xml:space="preserve"> thinks that Kant should refrain from claiming that we know ourselves to be transcendentally free (168). She suggests that this is okay, because we </w:t>
      </w:r>
      <w:r w:rsidR="009671E3" w:rsidRPr="00A36463">
        <w:rPr>
          <w:rFonts w:ascii="Garamond" w:hAnsi="Garamond"/>
        </w:rPr>
        <w:t>think of free will as “a structure of the will endorsed from a first-person standpoint rather than a transcendental power” (173).</w:t>
      </w:r>
      <w:r w:rsidR="00F0078B" w:rsidRPr="00A36463">
        <w:rPr>
          <w:rFonts w:ascii="Garamond" w:hAnsi="Garamond"/>
        </w:rPr>
        <w:t xml:space="preserve"> </w:t>
      </w:r>
      <w:r w:rsidR="009671E3" w:rsidRPr="00A36463">
        <w:rPr>
          <w:rFonts w:ascii="Garamond" w:hAnsi="Garamond"/>
        </w:rPr>
        <w:t>Again</w:t>
      </w:r>
      <w:r w:rsidR="00F0078B" w:rsidRPr="00A36463">
        <w:rPr>
          <w:rFonts w:ascii="Garamond" w:hAnsi="Garamond"/>
        </w:rPr>
        <w:t xml:space="preserve"> </w:t>
      </w:r>
      <w:r w:rsidR="003F231C" w:rsidRPr="00A36463">
        <w:rPr>
          <w:rFonts w:ascii="Garamond" w:hAnsi="Garamond"/>
        </w:rPr>
        <w:t>however</w:t>
      </w:r>
      <w:r w:rsidR="009671E3" w:rsidRPr="00A36463">
        <w:rPr>
          <w:rFonts w:ascii="Garamond" w:hAnsi="Garamond"/>
        </w:rPr>
        <w:t xml:space="preserve">, </w:t>
      </w:r>
      <w:r w:rsidR="00882E71" w:rsidRPr="00A36463">
        <w:rPr>
          <w:rFonts w:ascii="Garamond" w:hAnsi="Garamond"/>
        </w:rPr>
        <w:t>it is</w:t>
      </w:r>
      <w:r w:rsidR="009671E3" w:rsidRPr="00A36463">
        <w:rPr>
          <w:rFonts w:ascii="Garamond" w:hAnsi="Garamond"/>
        </w:rPr>
        <w:t xml:space="preserve"> not clear how this has efficacy in the world of experience. </w:t>
      </w:r>
      <w:proofErr w:type="spellStart"/>
      <w:r w:rsidR="0029738C" w:rsidRPr="00A36463">
        <w:rPr>
          <w:rFonts w:ascii="Garamond" w:hAnsi="Garamond"/>
        </w:rPr>
        <w:t>Longuenesse</w:t>
      </w:r>
      <w:proofErr w:type="spellEnd"/>
      <w:r w:rsidR="0029738C" w:rsidRPr="00A36463">
        <w:rPr>
          <w:rFonts w:ascii="Garamond" w:hAnsi="Garamond"/>
        </w:rPr>
        <w:t xml:space="preserve"> </w:t>
      </w:r>
      <w:r w:rsidR="009671E3" w:rsidRPr="00A36463">
        <w:rPr>
          <w:rFonts w:ascii="Garamond" w:hAnsi="Garamond"/>
        </w:rPr>
        <w:t>also views freedom as first-personal, which raises issues of how we have knowledge of others’ freedom?</w:t>
      </w:r>
    </w:p>
    <w:p w14:paraId="2D5680D2" w14:textId="6A98C790" w:rsidR="009671E3" w:rsidRPr="00A36463" w:rsidRDefault="009671E3" w:rsidP="007121DF">
      <w:pPr>
        <w:rPr>
          <w:rFonts w:ascii="Garamond" w:hAnsi="Garamond"/>
        </w:rPr>
      </w:pPr>
    </w:p>
    <w:p w14:paraId="022CBFE6" w14:textId="498C2100" w:rsidR="009671E3" w:rsidRPr="00A36463" w:rsidRDefault="009671E3" w:rsidP="003F231C">
      <w:pPr>
        <w:ind w:firstLine="720"/>
        <w:rPr>
          <w:rFonts w:ascii="Garamond" w:hAnsi="Garamond"/>
        </w:rPr>
      </w:pPr>
      <w:r w:rsidRPr="00A36463">
        <w:rPr>
          <w:rFonts w:ascii="Garamond" w:hAnsi="Garamond"/>
        </w:rPr>
        <w:t xml:space="preserve">In chapter 10, Barbara Hermann looks to find a place for animals in Kant’s ethics. In doing so, she maintains that our duties to animals are duties to </w:t>
      </w:r>
      <w:proofErr w:type="gramStart"/>
      <w:r w:rsidRPr="00A36463">
        <w:rPr>
          <w:rFonts w:ascii="Garamond" w:hAnsi="Garamond"/>
        </w:rPr>
        <w:t>ourselves, but</w:t>
      </w:r>
      <w:proofErr w:type="gramEnd"/>
      <w:r w:rsidRPr="00A36463">
        <w:rPr>
          <w:rFonts w:ascii="Garamond" w:hAnsi="Garamond"/>
        </w:rPr>
        <w:t xml:space="preserve"> argues that we should not be bothered by this (188). She provides a thoughtful and sophisticated attempt to make this workable, but I wonder why we should proceed down this path in the first place. Why not just think animals are intrinsically valuable? Herman dismisses this option early on (178), but without much discussion.</w:t>
      </w:r>
    </w:p>
    <w:p w14:paraId="76E627E1" w14:textId="7694C916" w:rsidR="009671E3" w:rsidRPr="00A36463" w:rsidRDefault="009671E3" w:rsidP="007121DF">
      <w:pPr>
        <w:rPr>
          <w:rFonts w:ascii="Garamond" w:hAnsi="Garamond"/>
        </w:rPr>
      </w:pPr>
    </w:p>
    <w:p w14:paraId="44F355FD" w14:textId="4EE15D0F" w:rsidR="009671E3" w:rsidRPr="00A36463" w:rsidRDefault="009671E3" w:rsidP="003F231C">
      <w:pPr>
        <w:ind w:firstLine="720"/>
        <w:rPr>
          <w:rFonts w:ascii="Garamond" w:hAnsi="Garamond"/>
        </w:rPr>
      </w:pPr>
      <w:r w:rsidRPr="00A36463">
        <w:rPr>
          <w:rFonts w:ascii="Garamond" w:hAnsi="Garamond"/>
        </w:rPr>
        <w:lastRenderedPageBreak/>
        <w:t xml:space="preserve">Robert Pippin offers a discussion of the dynamism of reason in Kant and Hegel. A key thought that emerges, again, concerns practical necessity. Pippin discusses the importance of cases that are unknowable but indubitable (203). Once more, this is an interesting Kantian </w:t>
      </w:r>
      <w:r w:rsidR="004E146C" w:rsidRPr="00A36463">
        <w:rPr>
          <w:rFonts w:ascii="Garamond" w:hAnsi="Garamond"/>
        </w:rPr>
        <w:t>move</w:t>
      </w:r>
      <w:r w:rsidRPr="00A36463">
        <w:rPr>
          <w:rFonts w:ascii="Garamond" w:hAnsi="Garamond"/>
        </w:rPr>
        <w:t xml:space="preserve">, but the potential downsides of it are not discussed. </w:t>
      </w:r>
      <w:r w:rsidR="00B74A5D" w:rsidRPr="00A36463">
        <w:rPr>
          <w:rFonts w:ascii="Garamond" w:hAnsi="Garamond"/>
        </w:rPr>
        <w:t xml:space="preserve">Stern (2015: 221) and Strawson (2010: 64) have made convincing </w:t>
      </w:r>
      <w:r w:rsidR="004E146C" w:rsidRPr="00A36463">
        <w:rPr>
          <w:rFonts w:ascii="Garamond" w:hAnsi="Garamond"/>
        </w:rPr>
        <w:t>arguments</w:t>
      </w:r>
      <w:r w:rsidR="00B74A5D" w:rsidRPr="00A36463">
        <w:rPr>
          <w:rFonts w:ascii="Garamond" w:hAnsi="Garamond"/>
        </w:rPr>
        <w:t xml:space="preserve"> that </w:t>
      </w:r>
      <w:r w:rsidRPr="00A36463">
        <w:rPr>
          <w:rFonts w:ascii="Garamond" w:hAnsi="Garamond"/>
        </w:rPr>
        <w:t xml:space="preserve">the mere fact that I cannot doubt something does not </w:t>
      </w:r>
      <w:r w:rsidRPr="00A36463">
        <w:rPr>
          <w:rFonts w:ascii="Garamond" w:hAnsi="Garamond"/>
          <w:i/>
          <w:iCs/>
        </w:rPr>
        <w:t>justify</w:t>
      </w:r>
      <w:r w:rsidRPr="00A36463">
        <w:rPr>
          <w:rFonts w:ascii="Garamond" w:hAnsi="Garamond"/>
        </w:rPr>
        <w:t xml:space="preserve"> my belief in i</w:t>
      </w:r>
      <w:r w:rsidR="00B74A5D" w:rsidRPr="00A36463">
        <w:rPr>
          <w:rFonts w:ascii="Garamond" w:hAnsi="Garamond"/>
        </w:rPr>
        <w:t>t – a</w:t>
      </w:r>
      <w:r w:rsidRPr="00A36463">
        <w:rPr>
          <w:rFonts w:ascii="Garamond" w:hAnsi="Garamond"/>
        </w:rPr>
        <w:t>t best, it provides an excuse for my belief</w:t>
      </w:r>
      <w:r w:rsidR="00B74A5D" w:rsidRPr="00A36463">
        <w:rPr>
          <w:rFonts w:ascii="Garamond" w:hAnsi="Garamond"/>
        </w:rPr>
        <w:t xml:space="preserve">. Now maybe they are mistaken, and it would </w:t>
      </w:r>
      <w:r w:rsidR="004E146C" w:rsidRPr="00A36463">
        <w:rPr>
          <w:rFonts w:ascii="Garamond" w:hAnsi="Garamond"/>
        </w:rPr>
        <w:t>have been</w:t>
      </w:r>
      <w:r w:rsidR="00B74A5D" w:rsidRPr="00A36463">
        <w:rPr>
          <w:rFonts w:ascii="Garamond" w:hAnsi="Garamond"/>
        </w:rPr>
        <w:t xml:space="preserve"> interesting to </w:t>
      </w:r>
      <w:r w:rsidR="004E146C" w:rsidRPr="00A36463">
        <w:rPr>
          <w:rFonts w:ascii="Garamond" w:hAnsi="Garamond"/>
        </w:rPr>
        <w:t>read</w:t>
      </w:r>
      <w:r w:rsidR="00B74A5D" w:rsidRPr="00A36463">
        <w:rPr>
          <w:rFonts w:ascii="Garamond" w:hAnsi="Garamond"/>
        </w:rPr>
        <w:t xml:space="preserve"> what Pippin ha</w:t>
      </w:r>
      <w:r w:rsidR="004E146C" w:rsidRPr="00A36463">
        <w:rPr>
          <w:rFonts w:ascii="Garamond" w:hAnsi="Garamond"/>
        </w:rPr>
        <w:t>s</w:t>
      </w:r>
      <w:r w:rsidR="00B74A5D" w:rsidRPr="00A36463">
        <w:rPr>
          <w:rFonts w:ascii="Garamond" w:hAnsi="Garamond"/>
        </w:rPr>
        <w:t xml:space="preserve"> to say in response</w:t>
      </w:r>
      <w:r w:rsidR="004E146C" w:rsidRPr="00A36463">
        <w:rPr>
          <w:rFonts w:ascii="Garamond" w:hAnsi="Garamond"/>
        </w:rPr>
        <w:t>.</w:t>
      </w:r>
    </w:p>
    <w:p w14:paraId="4DDF1C57" w14:textId="034F1658" w:rsidR="00817DA3" w:rsidRPr="00A36463" w:rsidRDefault="00817DA3" w:rsidP="007121DF">
      <w:pPr>
        <w:rPr>
          <w:rFonts w:ascii="Garamond" w:hAnsi="Garamond"/>
        </w:rPr>
      </w:pPr>
    </w:p>
    <w:p w14:paraId="0447C392" w14:textId="6978DAE7" w:rsidR="00AB3E15" w:rsidRPr="00A36463" w:rsidRDefault="00817DA3" w:rsidP="003F231C">
      <w:pPr>
        <w:ind w:firstLine="720"/>
        <w:rPr>
          <w:rFonts w:ascii="Garamond" w:hAnsi="Garamond"/>
        </w:rPr>
      </w:pPr>
      <w:r w:rsidRPr="00A36463">
        <w:rPr>
          <w:rFonts w:ascii="Garamond" w:hAnsi="Garamond"/>
        </w:rPr>
        <w:t xml:space="preserve">Finally, the collection ends with a chapter by </w:t>
      </w:r>
      <w:proofErr w:type="spellStart"/>
      <w:r w:rsidRPr="00A36463">
        <w:rPr>
          <w:rFonts w:ascii="Garamond" w:hAnsi="Garamond"/>
        </w:rPr>
        <w:t>Ameriks</w:t>
      </w:r>
      <w:proofErr w:type="spellEnd"/>
      <w:r w:rsidRPr="00A36463">
        <w:rPr>
          <w:rFonts w:ascii="Garamond" w:hAnsi="Garamond"/>
        </w:rPr>
        <w:t xml:space="preserve"> on Kant’s essay, </w:t>
      </w:r>
      <w:r w:rsidR="00FC20F3" w:rsidRPr="00A36463">
        <w:rPr>
          <w:rFonts w:ascii="Garamond" w:hAnsi="Garamond"/>
        </w:rPr>
        <w:t>‘</w:t>
      </w:r>
      <w:r w:rsidRPr="00A36463">
        <w:rPr>
          <w:rFonts w:ascii="Garamond" w:hAnsi="Garamond"/>
        </w:rPr>
        <w:t>The End of All Things</w:t>
      </w:r>
      <w:r w:rsidR="00FC20F3" w:rsidRPr="00A36463">
        <w:rPr>
          <w:rFonts w:ascii="Garamond" w:hAnsi="Garamond"/>
        </w:rPr>
        <w:t>’</w:t>
      </w:r>
      <w:r w:rsidRPr="00A36463">
        <w:rPr>
          <w:rFonts w:ascii="Garamond" w:hAnsi="Garamond"/>
        </w:rPr>
        <w:t xml:space="preserve">. </w:t>
      </w:r>
      <w:proofErr w:type="spellStart"/>
      <w:r w:rsidRPr="00A36463">
        <w:rPr>
          <w:rFonts w:ascii="Garamond" w:hAnsi="Garamond"/>
        </w:rPr>
        <w:t>Ameriks</w:t>
      </w:r>
      <w:proofErr w:type="spellEnd"/>
      <w:r w:rsidRPr="00A36463">
        <w:rPr>
          <w:rFonts w:ascii="Garamond" w:hAnsi="Garamond"/>
        </w:rPr>
        <w:t xml:space="preserve"> offers a thoughtful treatment of Kant’s discussion of immortality, and noumenal duration.</w:t>
      </w:r>
    </w:p>
    <w:p w14:paraId="5C72CD6C" w14:textId="3B3F8B97" w:rsidR="00C519B7" w:rsidRPr="00A36463" w:rsidRDefault="00C519B7" w:rsidP="00C8224B">
      <w:pPr>
        <w:rPr>
          <w:rFonts w:ascii="Garamond" w:hAnsi="Garamond"/>
        </w:rPr>
      </w:pPr>
    </w:p>
    <w:p w14:paraId="22D22155" w14:textId="01E75C6D" w:rsidR="00C519B7" w:rsidRPr="00A36463" w:rsidRDefault="00C519B7" w:rsidP="003F231C">
      <w:pPr>
        <w:ind w:firstLine="720"/>
        <w:rPr>
          <w:rFonts w:ascii="Garamond" w:hAnsi="Garamond"/>
        </w:rPr>
      </w:pPr>
      <w:r w:rsidRPr="00A36463">
        <w:rPr>
          <w:rFonts w:ascii="Garamond" w:hAnsi="Garamond"/>
        </w:rPr>
        <w:t xml:space="preserve">Both this collection and the previous one read as something like </w:t>
      </w:r>
      <w:r w:rsidRPr="00A36463">
        <w:rPr>
          <w:rFonts w:ascii="Garamond" w:hAnsi="Garamond"/>
          <w:i/>
          <w:iCs/>
        </w:rPr>
        <w:t>festschriften</w:t>
      </w:r>
      <w:r w:rsidRPr="00A36463">
        <w:rPr>
          <w:rFonts w:ascii="Garamond" w:hAnsi="Garamond"/>
        </w:rPr>
        <w:t xml:space="preserve">. They sprung out of conferences in honour of Guyer and </w:t>
      </w:r>
      <w:proofErr w:type="spellStart"/>
      <w:r w:rsidRPr="00A36463">
        <w:rPr>
          <w:rFonts w:ascii="Garamond" w:hAnsi="Garamond"/>
        </w:rPr>
        <w:t>Ameriks</w:t>
      </w:r>
      <w:proofErr w:type="spellEnd"/>
      <w:r w:rsidRPr="00A36463">
        <w:rPr>
          <w:rFonts w:ascii="Garamond" w:hAnsi="Garamond"/>
        </w:rPr>
        <w:t>, and the chapters do loosely relate to their work</w:t>
      </w:r>
      <w:r w:rsidR="004967C7" w:rsidRPr="00A36463">
        <w:rPr>
          <w:rFonts w:ascii="Garamond" w:hAnsi="Garamond"/>
        </w:rPr>
        <w:t xml:space="preserve">, </w:t>
      </w:r>
      <w:r w:rsidRPr="00A36463">
        <w:rPr>
          <w:rFonts w:ascii="Garamond" w:hAnsi="Garamond"/>
        </w:rPr>
        <w:t xml:space="preserve">interests, and the contributors also bear some relation to them. But it seems like publishers shy away from </w:t>
      </w:r>
      <w:r w:rsidRPr="00A36463">
        <w:rPr>
          <w:rFonts w:ascii="Garamond" w:hAnsi="Garamond"/>
          <w:i/>
          <w:iCs/>
        </w:rPr>
        <w:t xml:space="preserve">festschriften </w:t>
      </w:r>
      <w:r w:rsidRPr="00A36463">
        <w:rPr>
          <w:rFonts w:ascii="Garamond" w:hAnsi="Garamond"/>
        </w:rPr>
        <w:t>nowadays, so instead these books are both presented as – and perhaps editorially steered towards being – just general collections on freedom in Kant. Of course, that has its benefits, in that it makes the collections less narrow. But it does also miss something. After all, it</w:t>
      </w:r>
      <w:r w:rsidR="007A263A" w:rsidRPr="00A36463">
        <w:rPr>
          <w:rFonts w:ascii="Garamond" w:hAnsi="Garamond"/>
        </w:rPr>
        <w:t xml:space="preserve"> i</w:t>
      </w:r>
      <w:r w:rsidRPr="00A36463">
        <w:rPr>
          <w:rFonts w:ascii="Garamond" w:hAnsi="Garamond"/>
        </w:rPr>
        <w:t xml:space="preserve">s interesting to think about how Guyer and </w:t>
      </w:r>
      <w:proofErr w:type="spellStart"/>
      <w:r w:rsidRPr="00A36463">
        <w:rPr>
          <w:rFonts w:ascii="Garamond" w:hAnsi="Garamond"/>
        </w:rPr>
        <w:t>Ameriks</w:t>
      </w:r>
      <w:proofErr w:type="spellEnd"/>
      <w:r w:rsidRPr="00A36463">
        <w:rPr>
          <w:rFonts w:ascii="Garamond" w:hAnsi="Garamond"/>
        </w:rPr>
        <w:t xml:space="preserve"> have shaped the field, how they</w:t>
      </w:r>
      <w:r w:rsidR="007A263A" w:rsidRPr="00A36463">
        <w:rPr>
          <w:rFonts w:ascii="Garamond" w:hAnsi="Garamond"/>
        </w:rPr>
        <w:t xml:space="preserve"> ha</w:t>
      </w:r>
      <w:r w:rsidRPr="00A36463">
        <w:rPr>
          <w:rFonts w:ascii="Garamond" w:hAnsi="Garamond"/>
        </w:rPr>
        <w:t xml:space="preserve">ve influenced others, whether their students have now come to disagree with them, and so on. It would also be good to give Guyer and </w:t>
      </w:r>
      <w:proofErr w:type="spellStart"/>
      <w:r w:rsidRPr="00A36463">
        <w:rPr>
          <w:rFonts w:ascii="Garamond" w:hAnsi="Garamond"/>
        </w:rPr>
        <w:t>Ameriks</w:t>
      </w:r>
      <w:proofErr w:type="spellEnd"/>
      <w:r w:rsidRPr="00A36463">
        <w:rPr>
          <w:rFonts w:ascii="Garamond" w:hAnsi="Garamond"/>
        </w:rPr>
        <w:t xml:space="preserve"> </w:t>
      </w:r>
      <w:r w:rsidR="004967C7" w:rsidRPr="00A36463">
        <w:rPr>
          <w:rFonts w:ascii="Garamond" w:hAnsi="Garamond"/>
        </w:rPr>
        <w:t xml:space="preserve"> venue</w:t>
      </w:r>
      <w:r w:rsidR="00431E59" w:rsidRPr="00A36463">
        <w:rPr>
          <w:rFonts w:ascii="Garamond" w:hAnsi="Garamond"/>
        </w:rPr>
        <w:t>s</w:t>
      </w:r>
      <w:r w:rsidR="004967C7" w:rsidRPr="00A36463">
        <w:rPr>
          <w:rFonts w:ascii="Garamond" w:hAnsi="Garamond"/>
        </w:rPr>
        <w:t xml:space="preserve"> </w:t>
      </w:r>
      <w:r w:rsidRPr="00A36463">
        <w:rPr>
          <w:rFonts w:ascii="Garamond" w:hAnsi="Garamond"/>
        </w:rPr>
        <w:t xml:space="preserve">to reflect upon what they have learned from decades of working on Kant, rather than just producing another chapter for a volume (this is not to say anything against the chapters they’ve produced, it would be just be good to </w:t>
      </w:r>
      <w:r w:rsidR="0029738C" w:rsidRPr="00A36463">
        <w:rPr>
          <w:rFonts w:ascii="Garamond" w:hAnsi="Garamond"/>
        </w:rPr>
        <w:t>give them the opportunity to offer something a little different</w:t>
      </w:r>
      <w:r w:rsidR="004967C7" w:rsidRPr="00A36463">
        <w:rPr>
          <w:rFonts w:ascii="Garamond" w:hAnsi="Garamond"/>
        </w:rPr>
        <w:t>).</w:t>
      </w:r>
    </w:p>
    <w:p w14:paraId="0614E19D" w14:textId="6A1FECF2" w:rsidR="00F0078B" w:rsidRPr="00A36463" w:rsidRDefault="00F0078B" w:rsidP="00C8224B">
      <w:pPr>
        <w:rPr>
          <w:rFonts w:ascii="Garamond" w:hAnsi="Garamond"/>
        </w:rPr>
      </w:pPr>
    </w:p>
    <w:p w14:paraId="65D1E07F" w14:textId="62E60933" w:rsidR="00F0078B" w:rsidRPr="00A36463" w:rsidRDefault="00F0078B" w:rsidP="003F231C">
      <w:pPr>
        <w:ind w:firstLine="720"/>
        <w:rPr>
          <w:rFonts w:ascii="Garamond" w:hAnsi="Garamond"/>
        </w:rPr>
      </w:pPr>
      <w:r w:rsidRPr="00A36463">
        <w:rPr>
          <w:rFonts w:ascii="Garamond" w:hAnsi="Garamond"/>
        </w:rPr>
        <w:t>Overall</w:t>
      </w:r>
      <w:r w:rsidR="004967C7" w:rsidRPr="00A36463">
        <w:rPr>
          <w:rFonts w:ascii="Garamond" w:hAnsi="Garamond"/>
        </w:rPr>
        <w:t xml:space="preserve"> though</w:t>
      </w:r>
      <w:r w:rsidRPr="00A36463">
        <w:rPr>
          <w:rFonts w:ascii="Garamond" w:hAnsi="Garamond"/>
        </w:rPr>
        <w:t>, this is a very good collection. It contains some</w:t>
      </w:r>
      <w:r w:rsidR="004967C7" w:rsidRPr="00A36463">
        <w:rPr>
          <w:rFonts w:ascii="Garamond" w:hAnsi="Garamond"/>
        </w:rPr>
        <w:t xml:space="preserve"> </w:t>
      </w:r>
      <w:r w:rsidRPr="00A36463">
        <w:rPr>
          <w:rFonts w:ascii="Garamond" w:hAnsi="Garamond"/>
        </w:rPr>
        <w:t>excellent chapters, which will be essential for people working on freedom, autonomy and persons in Kant.</w:t>
      </w:r>
    </w:p>
    <w:p w14:paraId="1AB83E94" w14:textId="29456200" w:rsidR="00020249" w:rsidRPr="00A36463" w:rsidRDefault="00020249" w:rsidP="00C8224B">
      <w:pPr>
        <w:rPr>
          <w:rFonts w:ascii="Garamond" w:hAnsi="Garamond"/>
        </w:rPr>
      </w:pPr>
    </w:p>
    <w:p w14:paraId="731F038F" w14:textId="2E752537" w:rsidR="000E3A02" w:rsidRPr="00A36463" w:rsidRDefault="00882E71" w:rsidP="003F231C">
      <w:pPr>
        <w:ind w:firstLine="720"/>
        <w:rPr>
          <w:rFonts w:ascii="Garamond" w:hAnsi="Garamond"/>
          <w:b/>
          <w:bCs/>
        </w:rPr>
      </w:pPr>
      <w:r w:rsidRPr="00A36463">
        <w:rPr>
          <w:rFonts w:ascii="Garamond" w:hAnsi="Garamond"/>
        </w:rPr>
        <w:t>The final collection</w:t>
      </w:r>
      <w:r w:rsidR="00C77FF4" w:rsidRPr="00A36463">
        <w:rPr>
          <w:rFonts w:ascii="Garamond" w:hAnsi="Garamond"/>
        </w:rPr>
        <w:t xml:space="preserve">, </w:t>
      </w:r>
      <w:r w:rsidR="00C77FF4" w:rsidRPr="00A36463">
        <w:rPr>
          <w:rFonts w:ascii="Garamond" w:hAnsi="Garamond"/>
          <w:i/>
          <w:iCs/>
        </w:rPr>
        <w:t>The Emergence of Autonomy in Kant’s Moral Philosophy</w:t>
      </w:r>
      <w:r w:rsidR="00C77FF4" w:rsidRPr="00A36463">
        <w:rPr>
          <w:rFonts w:ascii="Garamond" w:hAnsi="Garamond"/>
        </w:rPr>
        <w:t xml:space="preserve"> (2019)</w:t>
      </w:r>
      <w:r w:rsidR="00976014" w:rsidRPr="00A36463">
        <w:rPr>
          <w:rFonts w:ascii="Garamond" w:hAnsi="Garamond"/>
        </w:rPr>
        <w:t xml:space="preserve"> edited by Stefano </w:t>
      </w:r>
      <w:proofErr w:type="spellStart"/>
      <w:r w:rsidR="00976014" w:rsidRPr="00A36463">
        <w:rPr>
          <w:rFonts w:ascii="Garamond" w:hAnsi="Garamond"/>
        </w:rPr>
        <w:t>Bacin</w:t>
      </w:r>
      <w:proofErr w:type="spellEnd"/>
      <w:r w:rsidR="00976014" w:rsidRPr="00A36463">
        <w:rPr>
          <w:rFonts w:ascii="Garamond" w:hAnsi="Garamond"/>
        </w:rPr>
        <w:t xml:space="preserve"> and Oliver </w:t>
      </w:r>
      <w:proofErr w:type="spellStart"/>
      <w:r w:rsidR="00976014" w:rsidRPr="00A36463">
        <w:rPr>
          <w:rFonts w:ascii="Garamond" w:hAnsi="Garamond"/>
        </w:rPr>
        <w:t>Sensen</w:t>
      </w:r>
      <w:proofErr w:type="spellEnd"/>
      <w:r w:rsidR="00C77FF4" w:rsidRPr="00A36463">
        <w:rPr>
          <w:rFonts w:ascii="Garamond" w:hAnsi="Garamond"/>
        </w:rPr>
        <w:t>,</w:t>
      </w:r>
      <w:r w:rsidRPr="00A36463">
        <w:rPr>
          <w:rFonts w:ascii="Garamond" w:hAnsi="Garamond"/>
        </w:rPr>
        <w:t xml:space="preserve"> is not based on a conference to honour a Kant scholar, but instead stems from an autonomy reading group put together by Andrews </w:t>
      </w:r>
      <w:proofErr w:type="spellStart"/>
      <w:r w:rsidRPr="00A36463">
        <w:rPr>
          <w:rFonts w:ascii="Garamond" w:hAnsi="Garamond"/>
        </w:rPr>
        <w:t>Reath</w:t>
      </w:r>
      <w:proofErr w:type="spellEnd"/>
      <w:r w:rsidRPr="00A36463">
        <w:rPr>
          <w:rFonts w:ascii="Garamond" w:hAnsi="Garamond"/>
        </w:rPr>
        <w:t xml:space="preserve"> and Jens </w:t>
      </w:r>
      <w:proofErr w:type="spellStart"/>
      <w:r w:rsidRPr="00A36463">
        <w:rPr>
          <w:rFonts w:ascii="Garamond" w:hAnsi="Garamond"/>
        </w:rPr>
        <w:t>Timmermann</w:t>
      </w:r>
      <w:proofErr w:type="spellEnd"/>
      <w:r w:rsidRPr="00A36463">
        <w:rPr>
          <w:rFonts w:ascii="Garamond" w:hAnsi="Garamond"/>
        </w:rPr>
        <w:t xml:space="preserve">. The </w:t>
      </w:r>
      <w:r w:rsidR="00C77FF4" w:rsidRPr="00A36463">
        <w:rPr>
          <w:rFonts w:ascii="Garamond" w:hAnsi="Garamond"/>
        </w:rPr>
        <w:t>chapters</w:t>
      </w:r>
      <w:r w:rsidRPr="00A36463">
        <w:rPr>
          <w:rFonts w:ascii="Garamond" w:hAnsi="Garamond"/>
        </w:rPr>
        <w:t xml:space="preserve"> </w:t>
      </w:r>
      <w:r w:rsidR="00020249" w:rsidRPr="00A36463">
        <w:rPr>
          <w:rFonts w:ascii="Garamond" w:hAnsi="Garamond"/>
        </w:rPr>
        <w:t xml:space="preserve">are </w:t>
      </w:r>
      <w:proofErr w:type="gramStart"/>
      <w:r w:rsidR="00020249" w:rsidRPr="00A36463">
        <w:rPr>
          <w:rFonts w:ascii="Garamond" w:hAnsi="Garamond"/>
        </w:rPr>
        <w:t>chronological, and</w:t>
      </w:r>
      <w:proofErr w:type="gramEnd"/>
      <w:r w:rsidR="00020249" w:rsidRPr="00A36463">
        <w:rPr>
          <w:rFonts w:ascii="Garamond" w:hAnsi="Garamond"/>
        </w:rPr>
        <w:t xml:space="preserve"> concern the emergence and development </w:t>
      </w:r>
      <w:r w:rsidR="00870280" w:rsidRPr="00A36463">
        <w:rPr>
          <w:rFonts w:ascii="Garamond" w:hAnsi="Garamond"/>
        </w:rPr>
        <w:t>of the thought that the moral law is self-</w:t>
      </w:r>
      <w:proofErr w:type="spellStart"/>
      <w:r w:rsidR="00870280" w:rsidRPr="00A36463">
        <w:rPr>
          <w:rFonts w:ascii="Garamond" w:hAnsi="Garamond"/>
        </w:rPr>
        <w:t>legistlated</w:t>
      </w:r>
      <w:proofErr w:type="spellEnd"/>
      <w:r w:rsidR="00020249" w:rsidRPr="00A36463">
        <w:rPr>
          <w:rFonts w:ascii="Garamond" w:hAnsi="Garamond"/>
        </w:rPr>
        <w:t xml:space="preserve"> in Kant’s moral philosophy. </w:t>
      </w:r>
      <w:r w:rsidRPr="00A36463">
        <w:rPr>
          <w:rFonts w:ascii="Garamond" w:hAnsi="Garamond"/>
        </w:rPr>
        <w:t>As such, th</w:t>
      </w:r>
      <w:r w:rsidR="00C77FF4" w:rsidRPr="00A36463">
        <w:rPr>
          <w:rFonts w:ascii="Garamond" w:hAnsi="Garamond"/>
        </w:rPr>
        <w:t>is</w:t>
      </w:r>
      <w:r w:rsidRPr="00A36463">
        <w:rPr>
          <w:rFonts w:ascii="Garamond" w:hAnsi="Garamond"/>
        </w:rPr>
        <w:t xml:space="preserve"> volume is more </w:t>
      </w:r>
      <w:r w:rsidR="0071314F" w:rsidRPr="00A36463">
        <w:rPr>
          <w:rFonts w:ascii="Garamond" w:hAnsi="Garamond"/>
        </w:rPr>
        <w:t xml:space="preserve">tightly </w:t>
      </w:r>
      <w:r w:rsidRPr="00A36463">
        <w:rPr>
          <w:rFonts w:ascii="Garamond" w:hAnsi="Garamond"/>
        </w:rPr>
        <w:t>structured</w:t>
      </w:r>
      <w:r w:rsidR="00C77FF4" w:rsidRPr="00A36463">
        <w:rPr>
          <w:rFonts w:ascii="Garamond" w:hAnsi="Garamond"/>
        </w:rPr>
        <w:t xml:space="preserve"> and </w:t>
      </w:r>
      <w:r w:rsidR="0071314F" w:rsidRPr="00A36463">
        <w:rPr>
          <w:rFonts w:ascii="Garamond" w:hAnsi="Garamond"/>
        </w:rPr>
        <w:t xml:space="preserve">textually </w:t>
      </w:r>
      <w:r w:rsidR="00870280" w:rsidRPr="00A36463">
        <w:rPr>
          <w:rFonts w:ascii="Garamond" w:hAnsi="Garamond"/>
        </w:rPr>
        <w:t>focussed</w:t>
      </w:r>
      <w:r w:rsidR="00C77FF4" w:rsidRPr="00A36463">
        <w:rPr>
          <w:rFonts w:ascii="Garamond" w:hAnsi="Garamond"/>
        </w:rPr>
        <w:t xml:space="preserve"> than the other two</w:t>
      </w:r>
      <w:r w:rsidR="00870280" w:rsidRPr="00A36463">
        <w:rPr>
          <w:rFonts w:ascii="Garamond" w:hAnsi="Garamond"/>
        </w:rPr>
        <w:t>. And it will</w:t>
      </w:r>
      <w:r w:rsidRPr="00A36463">
        <w:rPr>
          <w:rFonts w:ascii="Garamond" w:hAnsi="Garamond"/>
        </w:rPr>
        <w:t xml:space="preserve"> be </w:t>
      </w:r>
      <w:proofErr w:type="gramStart"/>
      <w:r w:rsidR="00870280" w:rsidRPr="00A36463">
        <w:rPr>
          <w:rFonts w:ascii="Garamond" w:hAnsi="Garamond"/>
        </w:rPr>
        <w:t xml:space="preserve">absolutely </w:t>
      </w:r>
      <w:r w:rsidRPr="00A36463">
        <w:rPr>
          <w:rFonts w:ascii="Garamond" w:hAnsi="Garamond"/>
        </w:rPr>
        <w:t>invaluable</w:t>
      </w:r>
      <w:proofErr w:type="gramEnd"/>
      <w:r w:rsidRPr="00A36463">
        <w:rPr>
          <w:rFonts w:ascii="Garamond" w:hAnsi="Garamond"/>
        </w:rPr>
        <w:t xml:space="preserve"> </w:t>
      </w:r>
      <w:r w:rsidR="00020249" w:rsidRPr="00A36463">
        <w:rPr>
          <w:rFonts w:ascii="Garamond" w:hAnsi="Garamond"/>
        </w:rPr>
        <w:t xml:space="preserve">for </w:t>
      </w:r>
      <w:r w:rsidR="00C77FF4" w:rsidRPr="00A36463">
        <w:rPr>
          <w:rFonts w:ascii="Garamond" w:hAnsi="Garamond"/>
        </w:rPr>
        <w:t>those</w:t>
      </w:r>
      <w:r w:rsidR="00020249" w:rsidRPr="00A36463">
        <w:rPr>
          <w:rFonts w:ascii="Garamond" w:hAnsi="Garamond"/>
        </w:rPr>
        <w:t xml:space="preserve"> wanting to trace </w:t>
      </w:r>
      <w:r w:rsidRPr="00A36463">
        <w:rPr>
          <w:rFonts w:ascii="Garamond" w:hAnsi="Garamond"/>
        </w:rPr>
        <w:t>the history of autonomy in Kant’s philosophy.</w:t>
      </w:r>
      <w:r w:rsidR="00185E40" w:rsidRPr="00A36463">
        <w:rPr>
          <w:rStyle w:val="FootnoteReference"/>
          <w:rFonts w:ascii="Garamond" w:hAnsi="Garamond"/>
        </w:rPr>
        <w:footnoteReference w:id="9"/>
      </w:r>
    </w:p>
    <w:p w14:paraId="19B0AD52" w14:textId="77777777" w:rsidR="00882E71" w:rsidRPr="00A36463" w:rsidRDefault="00882E71" w:rsidP="000E3A02">
      <w:pPr>
        <w:rPr>
          <w:rFonts w:ascii="Garamond" w:hAnsi="Garamond"/>
        </w:rPr>
      </w:pPr>
    </w:p>
    <w:p w14:paraId="7D91043D" w14:textId="7FAFEB0F" w:rsidR="00882E71" w:rsidRPr="00A36463" w:rsidRDefault="00882E71" w:rsidP="003F231C">
      <w:pPr>
        <w:ind w:firstLine="720"/>
        <w:rPr>
          <w:rFonts w:ascii="Garamond" w:hAnsi="Garamond"/>
        </w:rPr>
      </w:pPr>
      <w:r w:rsidRPr="00A36463">
        <w:rPr>
          <w:rFonts w:ascii="Garamond" w:hAnsi="Garamond"/>
        </w:rPr>
        <w:t>Only 2 out of the 11 chapters in this collection are written by women</w:t>
      </w:r>
      <w:r w:rsidR="00C77FF4" w:rsidRPr="00A36463">
        <w:rPr>
          <w:rFonts w:ascii="Garamond" w:hAnsi="Garamond"/>
        </w:rPr>
        <w:t>.</w:t>
      </w:r>
      <w:r w:rsidRPr="00A36463">
        <w:rPr>
          <w:rFonts w:ascii="Garamond" w:hAnsi="Garamond"/>
        </w:rPr>
        <w:t xml:space="preserve"> I do</w:t>
      </w:r>
      <w:r w:rsidR="007A263A" w:rsidRPr="00A36463">
        <w:rPr>
          <w:rFonts w:ascii="Garamond" w:hAnsi="Garamond"/>
        </w:rPr>
        <w:t xml:space="preserve"> </w:t>
      </w:r>
      <w:r w:rsidRPr="00A36463">
        <w:rPr>
          <w:rFonts w:ascii="Garamond" w:hAnsi="Garamond"/>
        </w:rPr>
        <w:t>n</w:t>
      </w:r>
      <w:r w:rsidR="007A263A" w:rsidRPr="00A36463">
        <w:rPr>
          <w:rFonts w:ascii="Garamond" w:hAnsi="Garamond"/>
        </w:rPr>
        <w:t>o</w:t>
      </w:r>
      <w:r w:rsidRPr="00A36463">
        <w:rPr>
          <w:rFonts w:ascii="Garamond" w:hAnsi="Garamond"/>
        </w:rPr>
        <w:t>t mean to single out</w:t>
      </w:r>
      <w:r w:rsidR="00C77FF4" w:rsidRPr="00A36463">
        <w:rPr>
          <w:rFonts w:ascii="Garamond" w:hAnsi="Garamond"/>
        </w:rPr>
        <w:t xml:space="preserve"> just</w:t>
      </w:r>
      <w:r w:rsidRPr="00A36463">
        <w:rPr>
          <w:rFonts w:ascii="Garamond" w:hAnsi="Garamond"/>
        </w:rPr>
        <w:t xml:space="preserve"> this collection. </w:t>
      </w:r>
      <w:r w:rsidR="00556B48" w:rsidRPr="00A36463">
        <w:rPr>
          <w:rFonts w:ascii="Garamond" w:hAnsi="Garamond"/>
        </w:rPr>
        <w:t xml:space="preserve">For one, </w:t>
      </w:r>
      <w:r w:rsidR="007A263A" w:rsidRPr="00A36463">
        <w:rPr>
          <w:rFonts w:ascii="Garamond" w:hAnsi="Garamond"/>
        </w:rPr>
        <w:t>I am</w:t>
      </w:r>
      <w:r w:rsidR="00556B48" w:rsidRPr="00A36463">
        <w:rPr>
          <w:rFonts w:ascii="Garamond" w:hAnsi="Garamond"/>
        </w:rPr>
        <w:t xml:space="preserve"> not aware of what happened behind the scenes; edited collections are notoriously difficult to put together, and</w:t>
      </w:r>
      <w:r w:rsidR="004E146C" w:rsidRPr="00A36463">
        <w:rPr>
          <w:rFonts w:ascii="Garamond" w:hAnsi="Garamond"/>
        </w:rPr>
        <w:t xml:space="preserve"> </w:t>
      </w:r>
      <w:r w:rsidR="00556B48" w:rsidRPr="00A36463">
        <w:rPr>
          <w:rFonts w:ascii="Garamond" w:hAnsi="Garamond"/>
        </w:rPr>
        <w:t xml:space="preserve">perhaps </w:t>
      </w:r>
      <w:r w:rsidR="0071314F" w:rsidRPr="00A36463">
        <w:rPr>
          <w:rFonts w:ascii="Garamond" w:hAnsi="Garamond"/>
        </w:rPr>
        <w:t>people</w:t>
      </w:r>
      <w:r w:rsidR="00556B48" w:rsidRPr="00A36463">
        <w:rPr>
          <w:rFonts w:ascii="Garamond" w:hAnsi="Garamond"/>
        </w:rPr>
        <w:t xml:space="preserve"> declined invitations, or pulled out at the last minute. But a</w:t>
      </w:r>
      <w:r w:rsidR="00C77FF4" w:rsidRPr="00A36463">
        <w:rPr>
          <w:rFonts w:ascii="Garamond" w:hAnsi="Garamond"/>
        </w:rPr>
        <w:t xml:space="preserve">ll </w:t>
      </w:r>
      <w:r w:rsidR="00556B48" w:rsidRPr="00A36463">
        <w:rPr>
          <w:rFonts w:ascii="Garamond" w:hAnsi="Garamond"/>
        </w:rPr>
        <w:t xml:space="preserve">three </w:t>
      </w:r>
      <w:r w:rsidR="00C77FF4" w:rsidRPr="00A36463">
        <w:rPr>
          <w:rFonts w:ascii="Garamond" w:hAnsi="Garamond"/>
        </w:rPr>
        <w:t xml:space="preserve">of the collections </w:t>
      </w:r>
      <w:r w:rsidR="00556B48" w:rsidRPr="00A36463">
        <w:rPr>
          <w:rFonts w:ascii="Garamond" w:hAnsi="Garamond"/>
        </w:rPr>
        <w:t xml:space="preserve">here </w:t>
      </w:r>
      <w:r w:rsidR="00C77FF4" w:rsidRPr="00A36463">
        <w:rPr>
          <w:rFonts w:ascii="Garamond" w:hAnsi="Garamond"/>
        </w:rPr>
        <w:t xml:space="preserve">could do </w:t>
      </w:r>
      <w:r w:rsidR="004E146C" w:rsidRPr="00A36463">
        <w:rPr>
          <w:rFonts w:ascii="Garamond" w:hAnsi="Garamond"/>
        </w:rPr>
        <w:t xml:space="preserve">a bit </w:t>
      </w:r>
      <w:r w:rsidR="00C77FF4" w:rsidRPr="00A36463">
        <w:rPr>
          <w:rFonts w:ascii="Garamond" w:hAnsi="Garamond"/>
        </w:rPr>
        <w:t>better on diversity; o</w:t>
      </w:r>
      <w:r w:rsidRPr="00A36463">
        <w:rPr>
          <w:rFonts w:ascii="Garamond" w:hAnsi="Garamond"/>
        </w:rPr>
        <w:t>ut of the 37 chapters of the 3 collections, only 10 are written by women</w:t>
      </w:r>
      <w:r w:rsidR="004E146C" w:rsidRPr="00A36463">
        <w:rPr>
          <w:rFonts w:ascii="Garamond" w:hAnsi="Garamond"/>
        </w:rPr>
        <w:t xml:space="preserve">, and there </w:t>
      </w:r>
      <w:r w:rsidR="00431E59" w:rsidRPr="00A36463">
        <w:rPr>
          <w:rFonts w:ascii="Garamond" w:hAnsi="Garamond"/>
        </w:rPr>
        <w:t>is a</w:t>
      </w:r>
      <w:r w:rsidR="004E146C" w:rsidRPr="00A36463">
        <w:rPr>
          <w:rFonts w:ascii="Garamond" w:hAnsi="Garamond"/>
        </w:rPr>
        <w:t xml:space="preserve"> lot of excellent </w:t>
      </w:r>
      <w:r w:rsidR="00431E59" w:rsidRPr="00A36463">
        <w:rPr>
          <w:rFonts w:ascii="Garamond" w:hAnsi="Garamond"/>
        </w:rPr>
        <w:t xml:space="preserve">work done by </w:t>
      </w:r>
      <w:r w:rsidR="004E146C" w:rsidRPr="00A36463">
        <w:rPr>
          <w:rFonts w:ascii="Garamond" w:hAnsi="Garamond"/>
        </w:rPr>
        <w:t>women on agency, freedom and autonomy in Kant.</w:t>
      </w:r>
    </w:p>
    <w:p w14:paraId="6A38CB2B" w14:textId="1FD70D76" w:rsidR="00400B6C" w:rsidRPr="00A36463" w:rsidRDefault="00400B6C" w:rsidP="00C8224B">
      <w:pPr>
        <w:rPr>
          <w:rFonts w:ascii="Garamond" w:hAnsi="Garamond"/>
        </w:rPr>
      </w:pPr>
    </w:p>
    <w:p w14:paraId="1F2D0DB7" w14:textId="77659649" w:rsidR="006C4A5E" w:rsidRPr="00A36463" w:rsidRDefault="00882E71" w:rsidP="003F231C">
      <w:pPr>
        <w:ind w:firstLine="720"/>
        <w:rPr>
          <w:rFonts w:ascii="Garamond" w:hAnsi="Garamond"/>
        </w:rPr>
      </w:pPr>
      <w:r w:rsidRPr="00A36463">
        <w:rPr>
          <w:rFonts w:ascii="Garamond" w:hAnsi="Garamond"/>
        </w:rPr>
        <w:t xml:space="preserve">The collection begins with Heiner </w:t>
      </w:r>
      <w:proofErr w:type="spellStart"/>
      <w:r w:rsidRPr="00A36463">
        <w:rPr>
          <w:rFonts w:ascii="Garamond" w:hAnsi="Garamond"/>
        </w:rPr>
        <w:t>Klemme</w:t>
      </w:r>
      <w:proofErr w:type="spellEnd"/>
      <w:r w:rsidRPr="00A36463">
        <w:rPr>
          <w:rFonts w:ascii="Garamond" w:hAnsi="Garamond"/>
        </w:rPr>
        <w:t xml:space="preserve"> providing some historical context for Kant’s discussion of autonomy. It then moves to</w:t>
      </w:r>
      <w:r w:rsidR="006C4A5E" w:rsidRPr="00A36463">
        <w:rPr>
          <w:rFonts w:ascii="Garamond" w:hAnsi="Garamond"/>
        </w:rPr>
        <w:t xml:space="preserve"> Susan Meld Shell, </w:t>
      </w:r>
      <w:r w:rsidRPr="00A36463">
        <w:rPr>
          <w:rFonts w:ascii="Garamond" w:hAnsi="Garamond"/>
        </w:rPr>
        <w:t>who offers interesting and scholarly account of</w:t>
      </w:r>
      <w:r w:rsidR="006C4A5E" w:rsidRPr="00A36463">
        <w:rPr>
          <w:rFonts w:ascii="Garamond" w:hAnsi="Garamond"/>
        </w:rPr>
        <w:t xml:space="preserve"> anticipations of autonomy in Kant’s writing in the 1750s and 60s. </w:t>
      </w:r>
    </w:p>
    <w:p w14:paraId="520FF018" w14:textId="487AABC6" w:rsidR="00D17DBF" w:rsidRPr="00A36463" w:rsidRDefault="00D17DBF" w:rsidP="00C8224B">
      <w:pPr>
        <w:rPr>
          <w:rFonts w:ascii="Garamond" w:hAnsi="Garamond"/>
        </w:rPr>
      </w:pPr>
    </w:p>
    <w:p w14:paraId="2923C4AB" w14:textId="58EC0695" w:rsidR="000E3A02" w:rsidRPr="00A36463" w:rsidRDefault="00882E71" w:rsidP="003F231C">
      <w:pPr>
        <w:ind w:firstLine="720"/>
        <w:rPr>
          <w:rFonts w:ascii="Garamond" w:hAnsi="Garamond"/>
        </w:rPr>
      </w:pPr>
      <w:r w:rsidRPr="00A36463">
        <w:rPr>
          <w:rFonts w:ascii="Garamond" w:hAnsi="Garamond"/>
        </w:rPr>
        <w:t xml:space="preserve">In </w:t>
      </w:r>
      <w:r w:rsidR="00C77FF4" w:rsidRPr="00A36463">
        <w:rPr>
          <w:rFonts w:ascii="Garamond" w:hAnsi="Garamond"/>
        </w:rPr>
        <w:t>chapter 3</w:t>
      </w:r>
      <w:r w:rsidRPr="00A36463">
        <w:rPr>
          <w:rFonts w:ascii="Garamond" w:hAnsi="Garamond"/>
        </w:rPr>
        <w:t xml:space="preserve">, Stefano </w:t>
      </w:r>
      <w:proofErr w:type="spellStart"/>
      <w:r w:rsidRPr="00A36463">
        <w:rPr>
          <w:rFonts w:ascii="Garamond" w:hAnsi="Garamond"/>
        </w:rPr>
        <w:t>Bacin</w:t>
      </w:r>
      <w:proofErr w:type="spellEnd"/>
      <w:r w:rsidRPr="00A36463">
        <w:rPr>
          <w:rFonts w:ascii="Garamond" w:hAnsi="Garamond"/>
        </w:rPr>
        <w:t xml:space="preserve"> discusses </w:t>
      </w:r>
      <w:r w:rsidR="000E3A02" w:rsidRPr="00A36463">
        <w:rPr>
          <w:rFonts w:ascii="Garamond" w:hAnsi="Garamond"/>
        </w:rPr>
        <w:t xml:space="preserve">Kant’s criticisms of rationalist moral principles (from 1762-1785). </w:t>
      </w:r>
      <w:proofErr w:type="spellStart"/>
      <w:r w:rsidR="000E3A02" w:rsidRPr="00A36463">
        <w:rPr>
          <w:rFonts w:ascii="Garamond" w:hAnsi="Garamond"/>
        </w:rPr>
        <w:t>Bacin</w:t>
      </w:r>
      <w:proofErr w:type="spellEnd"/>
      <w:r w:rsidR="000E3A02" w:rsidRPr="00A36463">
        <w:rPr>
          <w:rFonts w:ascii="Garamond" w:hAnsi="Garamond"/>
        </w:rPr>
        <w:t xml:space="preserve"> </w:t>
      </w:r>
      <w:r w:rsidRPr="00A36463">
        <w:rPr>
          <w:rFonts w:ascii="Garamond" w:hAnsi="Garamond"/>
        </w:rPr>
        <w:t xml:space="preserve">provides a thoughtful </w:t>
      </w:r>
      <w:r w:rsidR="00C77FF4" w:rsidRPr="00A36463">
        <w:rPr>
          <w:rFonts w:ascii="Garamond" w:hAnsi="Garamond"/>
        </w:rPr>
        <w:t xml:space="preserve">and excellent </w:t>
      </w:r>
      <w:r w:rsidR="000E3A02" w:rsidRPr="00A36463">
        <w:rPr>
          <w:rFonts w:ascii="Garamond" w:hAnsi="Garamond"/>
        </w:rPr>
        <w:t>explor</w:t>
      </w:r>
      <w:r w:rsidRPr="00A36463">
        <w:rPr>
          <w:rFonts w:ascii="Garamond" w:hAnsi="Garamond"/>
        </w:rPr>
        <w:t>ation of</w:t>
      </w:r>
      <w:r w:rsidR="000E3A02" w:rsidRPr="00A36463">
        <w:rPr>
          <w:rFonts w:ascii="Garamond" w:hAnsi="Garamond"/>
        </w:rPr>
        <w:t xml:space="preserve"> Kant’s different criticisms of these views, before they all get lumped together under the </w:t>
      </w:r>
      <w:r w:rsidRPr="00A36463">
        <w:rPr>
          <w:rFonts w:ascii="Garamond" w:hAnsi="Garamond"/>
        </w:rPr>
        <w:t xml:space="preserve">general </w:t>
      </w:r>
      <w:r w:rsidR="000E3A02" w:rsidRPr="00A36463">
        <w:rPr>
          <w:rFonts w:ascii="Garamond" w:hAnsi="Garamond"/>
        </w:rPr>
        <w:t>heading of heteronomy.</w:t>
      </w:r>
      <w:r w:rsidR="00C77FF4" w:rsidRPr="00A36463">
        <w:rPr>
          <w:rFonts w:ascii="Garamond" w:hAnsi="Garamond"/>
        </w:rPr>
        <w:t xml:space="preserve"> In chapter 4, </w:t>
      </w:r>
      <w:r w:rsidR="000E3A02" w:rsidRPr="00A36463">
        <w:rPr>
          <w:rFonts w:ascii="Garamond" w:hAnsi="Garamond"/>
        </w:rPr>
        <w:t>Georg Mohr offers a well written account of autonomy and Kant’s criticism of moral empiricism between 1762 and 1785. This includes a helpful breakdown of Kant’s claims about feeling, sensibility and moral motivation (on p</w:t>
      </w:r>
      <w:r w:rsidR="00FC20F3" w:rsidRPr="00A36463">
        <w:rPr>
          <w:rFonts w:ascii="Garamond" w:hAnsi="Garamond"/>
        </w:rPr>
        <w:t>p.</w:t>
      </w:r>
      <w:r w:rsidR="000E3A02" w:rsidRPr="00A36463">
        <w:rPr>
          <w:rFonts w:ascii="Garamond" w:hAnsi="Garamond"/>
        </w:rPr>
        <w:t xml:space="preserve"> 78-9).</w:t>
      </w:r>
    </w:p>
    <w:p w14:paraId="2AB799D5" w14:textId="60954F6D" w:rsidR="000E3A02" w:rsidRPr="00A36463" w:rsidRDefault="000E3A02" w:rsidP="00C8224B">
      <w:pPr>
        <w:rPr>
          <w:rFonts w:ascii="Garamond" w:hAnsi="Garamond"/>
        </w:rPr>
      </w:pPr>
    </w:p>
    <w:p w14:paraId="5B546644" w14:textId="5588A318" w:rsidR="002959B9" w:rsidRPr="00A36463" w:rsidRDefault="000E3A02" w:rsidP="003F231C">
      <w:pPr>
        <w:ind w:firstLine="720"/>
        <w:rPr>
          <w:rFonts w:ascii="Garamond" w:hAnsi="Garamond"/>
        </w:rPr>
      </w:pPr>
      <w:proofErr w:type="spellStart"/>
      <w:r w:rsidRPr="00A36463">
        <w:rPr>
          <w:rFonts w:ascii="Garamond" w:hAnsi="Garamond"/>
        </w:rPr>
        <w:t>Sensen</w:t>
      </w:r>
      <w:proofErr w:type="spellEnd"/>
      <w:r w:rsidRPr="00A36463">
        <w:rPr>
          <w:rFonts w:ascii="Garamond" w:hAnsi="Garamond"/>
        </w:rPr>
        <w:t xml:space="preserve"> provides an informative and scholarly chapter on autonomy in Kant’s lectures on Ethics between 1770 and 1780. This chapter also involves some good critical engagement with points raised by Marcus Willaschek.</w:t>
      </w:r>
      <w:r w:rsidR="00C77FF4" w:rsidRPr="00A36463">
        <w:rPr>
          <w:rFonts w:ascii="Garamond" w:hAnsi="Garamond"/>
        </w:rPr>
        <w:t xml:space="preserve"> </w:t>
      </w:r>
      <w:r w:rsidRPr="00A36463">
        <w:rPr>
          <w:rFonts w:ascii="Garamond" w:hAnsi="Garamond"/>
        </w:rPr>
        <w:t xml:space="preserve">Jens </w:t>
      </w:r>
      <w:proofErr w:type="spellStart"/>
      <w:r w:rsidRPr="00A36463">
        <w:rPr>
          <w:rFonts w:ascii="Garamond" w:hAnsi="Garamond"/>
        </w:rPr>
        <w:t>Timmermann’s</w:t>
      </w:r>
      <w:proofErr w:type="spellEnd"/>
      <w:r w:rsidRPr="00A36463">
        <w:rPr>
          <w:rFonts w:ascii="Garamond" w:hAnsi="Garamond"/>
        </w:rPr>
        <w:t xml:space="preserve"> offers a </w:t>
      </w:r>
      <w:r w:rsidR="00882E71" w:rsidRPr="00A36463">
        <w:rPr>
          <w:rFonts w:ascii="Garamond" w:hAnsi="Garamond"/>
        </w:rPr>
        <w:t xml:space="preserve">typically </w:t>
      </w:r>
      <w:r w:rsidRPr="00A36463">
        <w:rPr>
          <w:rFonts w:ascii="Garamond" w:hAnsi="Garamond"/>
        </w:rPr>
        <w:t>thoughtful and well-researched chapter on the</w:t>
      </w:r>
      <w:r w:rsidR="002959B9" w:rsidRPr="00A36463">
        <w:rPr>
          <w:rFonts w:ascii="Garamond" w:hAnsi="Garamond"/>
        </w:rPr>
        <w:t xml:space="preserve"> emergence of autonomy in Kant’s thought, and the</w:t>
      </w:r>
      <w:r w:rsidRPr="00A36463">
        <w:rPr>
          <w:rFonts w:ascii="Garamond" w:hAnsi="Garamond"/>
        </w:rPr>
        <w:t xml:space="preserve"> inadequacies of the Canon of </w:t>
      </w:r>
      <w:r w:rsidRPr="00A36463">
        <w:rPr>
          <w:rFonts w:ascii="Garamond" w:hAnsi="Garamond"/>
          <w:i/>
          <w:iCs/>
        </w:rPr>
        <w:t>Critique of Pure Reason</w:t>
      </w:r>
      <w:r w:rsidR="002959B9" w:rsidRPr="00A36463">
        <w:rPr>
          <w:rFonts w:ascii="Garamond" w:hAnsi="Garamond"/>
        </w:rPr>
        <w:t>.</w:t>
      </w:r>
      <w:r w:rsidR="00C77FF4" w:rsidRPr="00A36463">
        <w:rPr>
          <w:rFonts w:ascii="Garamond" w:hAnsi="Garamond"/>
        </w:rPr>
        <w:t xml:space="preserve"> </w:t>
      </w:r>
      <w:r w:rsidR="002959B9" w:rsidRPr="00A36463">
        <w:rPr>
          <w:rFonts w:ascii="Garamond" w:hAnsi="Garamond"/>
        </w:rPr>
        <w:t xml:space="preserve">In chapter 7, Eric Watkins looks at parallels between the theoretical legislation of laws of nature in the </w:t>
      </w:r>
      <w:r w:rsidR="002959B9" w:rsidRPr="00A36463">
        <w:rPr>
          <w:rFonts w:ascii="Garamond" w:hAnsi="Garamond"/>
          <w:i/>
          <w:iCs/>
        </w:rPr>
        <w:t>Prolegomena</w:t>
      </w:r>
      <w:r w:rsidR="002959B9" w:rsidRPr="00A36463">
        <w:rPr>
          <w:rFonts w:ascii="Garamond" w:hAnsi="Garamond"/>
        </w:rPr>
        <w:t xml:space="preserve"> (1783), and Kant’s account of autonomy in the </w:t>
      </w:r>
      <w:r w:rsidR="002959B9" w:rsidRPr="00A36463">
        <w:rPr>
          <w:rFonts w:ascii="Garamond" w:hAnsi="Garamond"/>
          <w:i/>
          <w:iCs/>
        </w:rPr>
        <w:t>Groundwork</w:t>
      </w:r>
      <w:r w:rsidR="002959B9" w:rsidRPr="00A36463">
        <w:rPr>
          <w:rFonts w:ascii="Garamond" w:hAnsi="Garamond"/>
        </w:rPr>
        <w:t>, and provides a helpful discussion of the points of comparison and contrast between these two works.</w:t>
      </w:r>
    </w:p>
    <w:p w14:paraId="35C31114" w14:textId="17730B21" w:rsidR="002959B9" w:rsidRPr="00A36463" w:rsidRDefault="002959B9" w:rsidP="00C8224B">
      <w:pPr>
        <w:rPr>
          <w:rFonts w:ascii="Garamond" w:hAnsi="Garamond"/>
        </w:rPr>
      </w:pPr>
    </w:p>
    <w:p w14:paraId="5084863C" w14:textId="11DBD3B5" w:rsidR="00E70A0D" w:rsidRPr="00A36463" w:rsidRDefault="002959B9" w:rsidP="003F231C">
      <w:pPr>
        <w:ind w:firstLine="720"/>
        <w:rPr>
          <w:rFonts w:ascii="Garamond" w:hAnsi="Garamond"/>
        </w:rPr>
      </w:pPr>
      <w:r w:rsidRPr="00A36463">
        <w:rPr>
          <w:rFonts w:ascii="Garamond" w:hAnsi="Garamond"/>
        </w:rPr>
        <w:t xml:space="preserve">Marcus Willaschek offers an excellent discussion of Kant’s claim that freedom is a law to itself in the introduction to his </w:t>
      </w:r>
      <w:proofErr w:type="spellStart"/>
      <w:r w:rsidRPr="00A36463">
        <w:rPr>
          <w:rFonts w:ascii="Garamond" w:hAnsi="Garamond"/>
        </w:rPr>
        <w:t>Naturrecht</w:t>
      </w:r>
      <w:proofErr w:type="spellEnd"/>
      <w:r w:rsidRPr="00A36463">
        <w:rPr>
          <w:rFonts w:ascii="Garamond" w:hAnsi="Garamond"/>
        </w:rPr>
        <w:t xml:space="preserve"> </w:t>
      </w:r>
      <w:proofErr w:type="spellStart"/>
      <w:r w:rsidRPr="00A36463">
        <w:rPr>
          <w:rFonts w:ascii="Garamond" w:hAnsi="Garamond"/>
        </w:rPr>
        <w:t>Feyerabend</w:t>
      </w:r>
      <w:proofErr w:type="spellEnd"/>
      <w:r w:rsidRPr="00A36463">
        <w:rPr>
          <w:rFonts w:ascii="Garamond" w:hAnsi="Garamond"/>
        </w:rPr>
        <w:t xml:space="preserve"> Lecture Notes (1784). I found this chapter especially clear, and full of </w:t>
      </w:r>
      <w:r w:rsidR="00882E71" w:rsidRPr="00A36463">
        <w:rPr>
          <w:rFonts w:ascii="Garamond" w:hAnsi="Garamond"/>
        </w:rPr>
        <w:t>substantial</w:t>
      </w:r>
      <w:r w:rsidRPr="00A36463">
        <w:rPr>
          <w:rFonts w:ascii="Garamond" w:hAnsi="Garamond"/>
        </w:rPr>
        <w:t xml:space="preserve"> engagement with Kant’s claims.</w:t>
      </w:r>
      <w:r w:rsidR="00E70A0D" w:rsidRPr="00A36463">
        <w:rPr>
          <w:rFonts w:ascii="Garamond" w:hAnsi="Garamond"/>
        </w:rPr>
        <w:t xml:space="preserve"> </w:t>
      </w:r>
    </w:p>
    <w:p w14:paraId="337EA2D1" w14:textId="6D0FA259" w:rsidR="002959B9" w:rsidRPr="00A36463" w:rsidRDefault="00E70A0D" w:rsidP="00C8224B">
      <w:pPr>
        <w:rPr>
          <w:rFonts w:ascii="Garamond" w:hAnsi="Garamond"/>
        </w:rPr>
      </w:pPr>
      <w:r w:rsidRPr="00A36463">
        <w:rPr>
          <w:rFonts w:ascii="Garamond" w:hAnsi="Garamond"/>
        </w:rPr>
        <w:t xml:space="preserve">Pauline </w:t>
      </w:r>
      <w:proofErr w:type="spellStart"/>
      <w:r w:rsidRPr="00A36463">
        <w:rPr>
          <w:rFonts w:ascii="Garamond" w:hAnsi="Garamond"/>
        </w:rPr>
        <w:t>Kleingeld</w:t>
      </w:r>
      <w:proofErr w:type="spellEnd"/>
      <w:r w:rsidRPr="00A36463">
        <w:rPr>
          <w:rFonts w:ascii="Garamond" w:hAnsi="Garamond"/>
        </w:rPr>
        <w:t xml:space="preserve"> also addresses the </w:t>
      </w:r>
      <w:proofErr w:type="spellStart"/>
      <w:r w:rsidRPr="00A36463">
        <w:rPr>
          <w:rFonts w:ascii="Garamond" w:hAnsi="Garamond"/>
        </w:rPr>
        <w:t>Feyerabend</w:t>
      </w:r>
      <w:proofErr w:type="spellEnd"/>
      <w:r w:rsidRPr="00A36463">
        <w:rPr>
          <w:rFonts w:ascii="Garamond" w:hAnsi="Garamond"/>
        </w:rPr>
        <w:t xml:space="preserve"> lectures, providing an account of moral autonomy as political analogy in these lectures and the </w:t>
      </w:r>
      <w:r w:rsidRPr="00A36463">
        <w:rPr>
          <w:rFonts w:ascii="Garamond" w:hAnsi="Garamond"/>
          <w:i/>
          <w:iCs/>
        </w:rPr>
        <w:t>Groundwork</w:t>
      </w:r>
      <w:r w:rsidRPr="00A36463">
        <w:rPr>
          <w:rFonts w:ascii="Garamond" w:hAnsi="Garamond"/>
        </w:rPr>
        <w:t>. In doing so, she argues, we end up with an understanding of Kant’s conception of autonomy that overcomes the charge of voluntarism.</w:t>
      </w:r>
    </w:p>
    <w:p w14:paraId="0BD40F58" w14:textId="615D62BB" w:rsidR="00E70A0D" w:rsidRPr="00A36463" w:rsidRDefault="00E70A0D" w:rsidP="00C8224B">
      <w:pPr>
        <w:rPr>
          <w:rFonts w:ascii="Garamond" w:hAnsi="Garamond"/>
        </w:rPr>
      </w:pPr>
    </w:p>
    <w:p w14:paraId="1A8A94D8" w14:textId="1103BDD1" w:rsidR="00E53483" w:rsidRPr="00A36463" w:rsidRDefault="00E53483" w:rsidP="003F231C">
      <w:pPr>
        <w:ind w:firstLine="720"/>
        <w:rPr>
          <w:rFonts w:ascii="Garamond" w:hAnsi="Garamond"/>
        </w:rPr>
      </w:pPr>
      <w:r w:rsidRPr="00A36463">
        <w:rPr>
          <w:rFonts w:ascii="Garamond" w:hAnsi="Garamond"/>
        </w:rPr>
        <w:t xml:space="preserve">In chapter 10, Andrews </w:t>
      </w:r>
      <w:proofErr w:type="spellStart"/>
      <w:r w:rsidRPr="00A36463">
        <w:rPr>
          <w:rFonts w:ascii="Garamond" w:hAnsi="Garamond"/>
        </w:rPr>
        <w:t>Reath</w:t>
      </w:r>
      <w:proofErr w:type="spellEnd"/>
      <w:r w:rsidRPr="00A36463">
        <w:rPr>
          <w:rFonts w:ascii="Garamond" w:hAnsi="Garamond"/>
        </w:rPr>
        <w:t xml:space="preserve"> lays out Kant’s account of autonomy and heteronomy in the </w:t>
      </w:r>
      <w:r w:rsidRPr="00A36463">
        <w:rPr>
          <w:rFonts w:ascii="Garamond" w:hAnsi="Garamond"/>
          <w:i/>
          <w:iCs/>
        </w:rPr>
        <w:t>Groundwork</w:t>
      </w:r>
      <w:r w:rsidRPr="00A36463">
        <w:rPr>
          <w:rFonts w:ascii="Garamond" w:hAnsi="Garamond"/>
        </w:rPr>
        <w:t xml:space="preserve"> and second </w:t>
      </w:r>
      <w:r w:rsidRPr="00A36463">
        <w:rPr>
          <w:rFonts w:ascii="Garamond" w:hAnsi="Garamond"/>
          <w:i/>
          <w:iCs/>
        </w:rPr>
        <w:t>Critique</w:t>
      </w:r>
      <w:r w:rsidRPr="00A36463">
        <w:rPr>
          <w:rFonts w:ascii="Garamond" w:hAnsi="Garamond"/>
        </w:rPr>
        <w:t xml:space="preserve">. In doing so, he </w:t>
      </w:r>
      <w:r w:rsidR="00556B48" w:rsidRPr="00A36463">
        <w:rPr>
          <w:rFonts w:ascii="Garamond" w:hAnsi="Garamond"/>
        </w:rPr>
        <w:t>defends</w:t>
      </w:r>
      <w:r w:rsidRPr="00A36463">
        <w:rPr>
          <w:rFonts w:ascii="Garamond" w:hAnsi="Garamond"/>
        </w:rPr>
        <w:t xml:space="preserve"> the claim that only a self-imposed law could </w:t>
      </w:r>
      <w:r w:rsidR="00556B48" w:rsidRPr="00A36463">
        <w:rPr>
          <w:rFonts w:ascii="Garamond" w:hAnsi="Garamond"/>
        </w:rPr>
        <w:t>obligate us</w:t>
      </w:r>
      <w:r w:rsidRPr="00A36463">
        <w:rPr>
          <w:rFonts w:ascii="Garamond" w:hAnsi="Garamond"/>
        </w:rPr>
        <w:t xml:space="preserve"> unconditionally.</w:t>
      </w:r>
      <w:r w:rsidR="00C77FF4" w:rsidRPr="00A36463">
        <w:rPr>
          <w:rFonts w:ascii="Garamond" w:hAnsi="Garamond"/>
        </w:rPr>
        <w:t xml:space="preserve"> </w:t>
      </w:r>
      <w:r w:rsidRPr="00A36463">
        <w:rPr>
          <w:rFonts w:ascii="Garamond" w:hAnsi="Garamond"/>
        </w:rPr>
        <w:t xml:space="preserve">And, in the final chapter of the collection, Pierre Keller discusses autonomy after the </w:t>
      </w:r>
      <w:r w:rsidRPr="00A36463">
        <w:rPr>
          <w:rFonts w:ascii="Garamond" w:hAnsi="Garamond"/>
          <w:i/>
          <w:iCs/>
        </w:rPr>
        <w:t>Groundwork</w:t>
      </w:r>
      <w:r w:rsidR="000E048E" w:rsidRPr="00A36463">
        <w:rPr>
          <w:rFonts w:ascii="Garamond" w:hAnsi="Garamond"/>
        </w:rPr>
        <w:t>, arguing that Kant’s work in the 1780s and 90s provides “an integrated account of us as human beings and as persons who are also sensible beings embedded in the sensible world” (196)</w:t>
      </w:r>
      <w:r w:rsidR="00154138" w:rsidRPr="00A36463">
        <w:rPr>
          <w:rFonts w:ascii="Garamond" w:hAnsi="Garamond"/>
        </w:rPr>
        <w:t>.</w:t>
      </w:r>
    </w:p>
    <w:p w14:paraId="179EEBE3" w14:textId="46CC11FF" w:rsidR="002A3DA3" w:rsidRPr="00A36463" w:rsidRDefault="002A3DA3" w:rsidP="00C8224B">
      <w:pPr>
        <w:rPr>
          <w:rFonts w:ascii="Garamond" w:hAnsi="Garamond"/>
        </w:rPr>
      </w:pPr>
    </w:p>
    <w:p w14:paraId="2997E7D7" w14:textId="40F2D97E" w:rsidR="000452D8" w:rsidRPr="00A36463" w:rsidRDefault="000644BA" w:rsidP="003F231C">
      <w:pPr>
        <w:ind w:firstLine="720"/>
        <w:rPr>
          <w:rFonts w:ascii="Garamond" w:hAnsi="Garamond"/>
        </w:rPr>
      </w:pPr>
      <w:r w:rsidRPr="00A36463">
        <w:rPr>
          <w:rFonts w:ascii="Garamond" w:hAnsi="Garamond"/>
        </w:rPr>
        <w:t xml:space="preserve">A key theme that emerges from the collection is the </w:t>
      </w:r>
      <w:r w:rsidR="00F257AE" w:rsidRPr="00A36463">
        <w:rPr>
          <w:rFonts w:ascii="Garamond" w:hAnsi="Garamond"/>
        </w:rPr>
        <w:t xml:space="preserve">familiar Kantian thought that only a self-imposed law could be unconditionally binding. </w:t>
      </w:r>
      <w:r w:rsidRPr="00A36463">
        <w:rPr>
          <w:rFonts w:ascii="Garamond" w:hAnsi="Garamond"/>
        </w:rPr>
        <w:t>This is powerful idea</w:t>
      </w:r>
      <w:r w:rsidR="00F257AE" w:rsidRPr="00A36463">
        <w:rPr>
          <w:rFonts w:ascii="Garamond" w:hAnsi="Garamond"/>
        </w:rPr>
        <w:t xml:space="preserve">, </w:t>
      </w:r>
      <w:r w:rsidR="00C77FF4" w:rsidRPr="00A36463">
        <w:rPr>
          <w:rFonts w:ascii="Garamond" w:hAnsi="Garamond"/>
        </w:rPr>
        <w:t>and the collection traces the development of it (and surrounding views) in an impressive way, but the idea itself does</w:t>
      </w:r>
      <w:r w:rsidR="007A263A" w:rsidRPr="00A36463">
        <w:rPr>
          <w:rFonts w:ascii="Garamond" w:hAnsi="Garamond"/>
        </w:rPr>
        <w:t xml:space="preserve"> no</w:t>
      </w:r>
      <w:r w:rsidR="00C77FF4" w:rsidRPr="00A36463">
        <w:rPr>
          <w:rFonts w:ascii="Garamond" w:hAnsi="Garamond"/>
        </w:rPr>
        <w:t xml:space="preserve">t receive much scrutiny. This brings me to some </w:t>
      </w:r>
      <w:r w:rsidR="008C3962" w:rsidRPr="00A36463">
        <w:rPr>
          <w:rFonts w:ascii="Garamond" w:hAnsi="Garamond"/>
        </w:rPr>
        <w:t>general remarks on the state of Kant scholarship.</w:t>
      </w:r>
    </w:p>
    <w:p w14:paraId="28BD7BDC" w14:textId="084580C4" w:rsidR="000452D8" w:rsidRPr="00A36463" w:rsidRDefault="000452D8" w:rsidP="002A3DA3">
      <w:pPr>
        <w:rPr>
          <w:rFonts w:ascii="Garamond" w:hAnsi="Garamond"/>
        </w:rPr>
      </w:pPr>
    </w:p>
    <w:p w14:paraId="7BEB83CF" w14:textId="70D629DA" w:rsidR="00F25E22" w:rsidRPr="00A36463" w:rsidRDefault="000452D8" w:rsidP="003F231C">
      <w:pPr>
        <w:ind w:firstLine="720"/>
        <w:rPr>
          <w:rFonts w:ascii="Garamond" w:hAnsi="Garamond"/>
        </w:rPr>
      </w:pPr>
      <w:r w:rsidRPr="00A36463">
        <w:rPr>
          <w:rFonts w:ascii="Garamond" w:hAnsi="Garamond"/>
        </w:rPr>
        <w:t>Almost all of the chapters</w:t>
      </w:r>
      <w:r w:rsidR="000644BA" w:rsidRPr="00A36463">
        <w:rPr>
          <w:rFonts w:ascii="Garamond" w:hAnsi="Garamond"/>
        </w:rPr>
        <w:t xml:space="preserve"> in these collections</w:t>
      </w:r>
      <w:r w:rsidRPr="00A36463">
        <w:rPr>
          <w:rFonts w:ascii="Garamond" w:hAnsi="Garamond"/>
        </w:rPr>
        <w:t xml:space="preserve"> are sympathetic to Kant. </w:t>
      </w:r>
      <w:r w:rsidR="000644BA" w:rsidRPr="00A36463">
        <w:rPr>
          <w:rFonts w:ascii="Garamond" w:hAnsi="Garamond"/>
        </w:rPr>
        <w:t>And t</w:t>
      </w:r>
      <w:r w:rsidRPr="00A36463">
        <w:rPr>
          <w:rFonts w:ascii="Garamond" w:hAnsi="Garamond"/>
        </w:rPr>
        <w:t xml:space="preserve">his is no bad thing. It shows </w:t>
      </w:r>
      <w:r w:rsidR="008C3962" w:rsidRPr="00A36463">
        <w:rPr>
          <w:rFonts w:ascii="Garamond" w:hAnsi="Garamond"/>
        </w:rPr>
        <w:t>a commitment to</w:t>
      </w:r>
      <w:r w:rsidRPr="00A36463">
        <w:rPr>
          <w:rFonts w:ascii="Garamond" w:hAnsi="Garamond"/>
        </w:rPr>
        <w:t xml:space="preserve"> charit</w:t>
      </w:r>
      <w:r w:rsidR="008C3962" w:rsidRPr="00A36463">
        <w:rPr>
          <w:rFonts w:ascii="Garamond" w:hAnsi="Garamond"/>
        </w:rPr>
        <w:t>able interpretation,</w:t>
      </w:r>
      <w:r w:rsidRPr="00A36463">
        <w:rPr>
          <w:rFonts w:ascii="Garamond" w:hAnsi="Garamond"/>
        </w:rPr>
        <w:t xml:space="preserve"> and </w:t>
      </w:r>
      <w:r w:rsidR="00F25E22" w:rsidRPr="00A36463">
        <w:rPr>
          <w:rFonts w:ascii="Garamond" w:hAnsi="Garamond"/>
        </w:rPr>
        <w:t xml:space="preserve">leads to a rich understanding of Kant’s </w:t>
      </w:r>
      <w:r w:rsidR="00556B48" w:rsidRPr="00A36463">
        <w:rPr>
          <w:rFonts w:ascii="Garamond" w:hAnsi="Garamond"/>
        </w:rPr>
        <w:t>views</w:t>
      </w:r>
      <w:r w:rsidRPr="00A36463">
        <w:rPr>
          <w:rFonts w:ascii="Garamond" w:hAnsi="Garamond"/>
        </w:rPr>
        <w:t>. But in reading through all 37 chapters, it</w:t>
      </w:r>
      <w:r w:rsidR="000644BA" w:rsidRPr="00A36463">
        <w:rPr>
          <w:rFonts w:ascii="Garamond" w:hAnsi="Garamond"/>
        </w:rPr>
        <w:t xml:space="preserve"> </w:t>
      </w:r>
      <w:r w:rsidR="00556B48" w:rsidRPr="00A36463">
        <w:rPr>
          <w:rFonts w:ascii="Garamond" w:hAnsi="Garamond"/>
        </w:rPr>
        <w:t>began</w:t>
      </w:r>
      <w:r w:rsidR="000644BA" w:rsidRPr="00A36463">
        <w:rPr>
          <w:rFonts w:ascii="Garamond" w:hAnsi="Garamond"/>
        </w:rPr>
        <w:t xml:space="preserve"> to feel a little</w:t>
      </w:r>
      <w:r w:rsidRPr="00A36463">
        <w:rPr>
          <w:rFonts w:ascii="Garamond" w:hAnsi="Garamond"/>
        </w:rPr>
        <w:t xml:space="preserve"> one-sided.</w:t>
      </w:r>
    </w:p>
    <w:p w14:paraId="67D2B745" w14:textId="77777777" w:rsidR="00F25E22" w:rsidRPr="00A36463" w:rsidRDefault="00F25E22" w:rsidP="002A3DA3">
      <w:pPr>
        <w:rPr>
          <w:rFonts w:ascii="Garamond" w:hAnsi="Garamond"/>
        </w:rPr>
      </w:pPr>
    </w:p>
    <w:p w14:paraId="19376964" w14:textId="41EBAFF6" w:rsidR="008C3962" w:rsidRPr="00A36463" w:rsidRDefault="008C3962" w:rsidP="003F231C">
      <w:pPr>
        <w:ind w:firstLine="720"/>
        <w:rPr>
          <w:rFonts w:ascii="Garamond" w:hAnsi="Garamond"/>
        </w:rPr>
      </w:pPr>
      <w:r w:rsidRPr="00A36463">
        <w:rPr>
          <w:rFonts w:ascii="Garamond" w:hAnsi="Garamond"/>
        </w:rPr>
        <w:t>I</w:t>
      </w:r>
      <w:r w:rsidR="000644BA" w:rsidRPr="00A36463">
        <w:rPr>
          <w:rFonts w:ascii="Garamond" w:hAnsi="Garamond"/>
        </w:rPr>
        <w:t xml:space="preserve">n these </w:t>
      </w:r>
      <w:r w:rsidR="00F25E22" w:rsidRPr="00A36463">
        <w:rPr>
          <w:rFonts w:ascii="Garamond" w:hAnsi="Garamond"/>
        </w:rPr>
        <w:t xml:space="preserve">collections, there </w:t>
      </w:r>
      <w:r w:rsidRPr="00A36463">
        <w:rPr>
          <w:rFonts w:ascii="Garamond" w:hAnsi="Garamond"/>
        </w:rPr>
        <w:t>is</w:t>
      </w:r>
      <w:r w:rsidR="00F25E22" w:rsidRPr="00A36463">
        <w:rPr>
          <w:rFonts w:ascii="Garamond" w:hAnsi="Garamond"/>
        </w:rPr>
        <w:t xml:space="preserve"> not much engagement with Kant’s</w:t>
      </w:r>
      <w:r w:rsidR="004E146C" w:rsidRPr="00A36463">
        <w:rPr>
          <w:rFonts w:ascii="Garamond" w:hAnsi="Garamond"/>
        </w:rPr>
        <w:t xml:space="preserve"> contemporaries,</w:t>
      </w:r>
      <w:r w:rsidR="00F25E22" w:rsidRPr="00A36463">
        <w:rPr>
          <w:rFonts w:ascii="Garamond" w:hAnsi="Garamond"/>
        </w:rPr>
        <w:t xml:space="preserve"> successors or critics. There is some mention of Hegel by Pippin and Reinhold by Guyer, but almost no </w:t>
      </w:r>
      <w:r w:rsidRPr="00A36463">
        <w:rPr>
          <w:rFonts w:ascii="Garamond" w:hAnsi="Garamond"/>
        </w:rPr>
        <w:t>discussion</w:t>
      </w:r>
      <w:r w:rsidR="00F25E22" w:rsidRPr="00A36463">
        <w:rPr>
          <w:rFonts w:ascii="Garamond" w:hAnsi="Garamond"/>
        </w:rPr>
        <w:t xml:space="preserve"> of Fichte or Schelling for instance. </w:t>
      </w:r>
      <w:r w:rsidRPr="00A36463">
        <w:rPr>
          <w:rFonts w:ascii="Garamond" w:hAnsi="Garamond"/>
        </w:rPr>
        <w:t xml:space="preserve">This feels like a missed opportunity. </w:t>
      </w:r>
      <w:r w:rsidR="00F25E22" w:rsidRPr="00A36463">
        <w:rPr>
          <w:rFonts w:ascii="Garamond" w:hAnsi="Garamond"/>
        </w:rPr>
        <w:t xml:space="preserve">After all, these thinkers were also engaging with issues such as freedom, and autonomy, and </w:t>
      </w:r>
      <w:r w:rsidRPr="00A36463">
        <w:rPr>
          <w:rFonts w:ascii="Garamond" w:hAnsi="Garamond"/>
        </w:rPr>
        <w:t>were keen to preserve or amend, or depart from aspects of Kant’s views. Of course, they all might be wrong, and it turns out that Kant was right about everything, but to really see this, we</w:t>
      </w:r>
      <w:r w:rsidR="007A263A" w:rsidRPr="00A36463">
        <w:rPr>
          <w:rFonts w:ascii="Garamond" w:hAnsi="Garamond"/>
        </w:rPr>
        <w:t xml:space="preserve"> woul</w:t>
      </w:r>
      <w:r w:rsidRPr="00A36463">
        <w:rPr>
          <w:rFonts w:ascii="Garamond" w:hAnsi="Garamond"/>
        </w:rPr>
        <w:t xml:space="preserve">d need substantial engagement, which also shows sympathy and charity to these figures (and not just to Kant). </w:t>
      </w:r>
    </w:p>
    <w:p w14:paraId="1DAAA3F5" w14:textId="77777777" w:rsidR="008C3962" w:rsidRPr="00A36463" w:rsidRDefault="008C3962" w:rsidP="002A3DA3">
      <w:pPr>
        <w:rPr>
          <w:rFonts w:ascii="Garamond" w:hAnsi="Garamond"/>
        </w:rPr>
      </w:pPr>
    </w:p>
    <w:p w14:paraId="6D698A82" w14:textId="42F38E9B" w:rsidR="000452D8" w:rsidRPr="00A36463" w:rsidRDefault="000644BA" w:rsidP="003F231C">
      <w:pPr>
        <w:ind w:firstLine="720"/>
        <w:rPr>
          <w:rFonts w:ascii="Garamond" w:hAnsi="Garamond"/>
        </w:rPr>
      </w:pPr>
      <w:r w:rsidRPr="00A36463">
        <w:rPr>
          <w:rFonts w:ascii="Garamond" w:hAnsi="Garamond"/>
        </w:rPr>
        <w:lastRenderedPageBreak/>
        <w:t>It</w:t>
      </w:r>
      <w:r w:rsidR="007A263A" w:rsidRPr="00A36463">
        <w:rPr>
          <w:rFonts w:ascii="Garamond" w:hAnsi="Garamond"/>
        </w:rPr>
        <w:t xml:space="preserve"> i</w:t>
      </w:r>
      <w:r w:rsidRPr="00A36463">
        <w:rPr>
          <w:rFonts w:ascii="Garamond" w:hAnsi="Garamond"/>
        </w:rPr>
        <w:t>s also slightly curious in that the different authors</w:t>
      </w:r>
      <w:r w:rsidR="000452D8" w:rsidRPr="00A36463">
        <w:rPr>
          <w:rFonts w:ascii="Garamond" w:hAnsi="Garamond"/>
        </w:rPr>
        <w:t xml:space="preserve"> (and Kantians and Kant-scholars more generally) disagree about what Kant </w:t>
      </w:r>
      <w:proofErr w:type="gramStart"/>
      <w:r w:rsidRPr="00A36463">
        <w:rPr>
          <w:rFonts w:ascii="Garamond" w:hAnsi="Garamond"/>
        </w:rPr>
        <w:t>actually thought</w:t>
      </w:r>
      <w:proofErr w:type="gramEnd"/>
      <w:r w:rsidRPr="00A36463">
        <w:rPr>
          <w:rFonts w:ascii="Garamond" w:hAnsi="Garamond"/>
        </w:rPr>
        <w:t xml:space="preserve">, so I ended up feeling like I was reading many defences of different </w:t>
      </w:r>
      <w:proofErr w:type="spellStart"/>
      <w:r w:rsidRPr="00A36463">
        <w:rPr>
          <w:rFonts w:ascii="Garamond" w:hAnsi="Garamond"/>
        </w:rPr>
        <w:t>Kants</w:t>
      </w:r>
      <w:proofErr w:type="spellEnd"/>
      <w:r w:rsidRPr="00A36463">
        <w:rPr>
          <w:rFonts w:ascii="Garamond" w:hAnsi="Garamond"/>
        </w:rPr>
        <w:t>. What Kant said or thought is contested, but whether he was right was less contested.</w:t>
      </w:r>
    </w:p>
    <w:p w14:paraId="128C2AC4" w14:textId="77777777" w:rsidR="00212CE9" w:rsidRPr="00A36463" w:rsidRDefault="00212CE9" w:rsidP="002A3DA3">
      <w:pPr>
        <w:rPr>
          <w:rFonts w:ascii="Garamond" w:hAnsi="Garamond"/>
        </w:rPr>
      </w:pPr>
    </w:p>
    <w:p w14:paraId="4090C213" w14:textId="77777777" w:rsidR="003F231C" w:rsidRPr="00A36463" w:rsidRDefault="008C3962" w:rsidP="003F231C">
      <w:pPr>
        <w:ind w:firstLine="720"/>
        <w:rPr>
          <w:rFonts w:ascii="Garamond" w:hAnsi="Garamond"/>
        </w:rPr>
      </w:pPr>
      <w:r w:rsidRPr="00A36463">
        <w:rPr>
          <w:rFonts w:ascii="Garamond" w:hAnsi="Garamond"/>
        </w:rPr>
        <w:t xml:space="preserve">I say this not because </w:t>
      </w:r>
      <w:r w:rsidR="00F257AE" w:rsidRPr="00A36463">
        <w:rPr>
          <w:rFonts w:ascii="Garamond" w:hAnsi="Garamond"/>
        </w:rPr>
        <w:t>Kant scholarship is</w:t>
      </w:r>
      <w:r w:rsidRPr="00A36463">
        <w:rPr>
          <w:rFonts w:ascii="Garamond" w:hAnsi="Garamond"/>
        </w:rPr>
        <w:t xml:space="preserve"> lacking, but because </w:t>
      </w:r>
      <w:r w:rsidR="00C77FF4" w:rsidRPr="00A36463">
        <w:rPr>
          <w:rFonts w:ascii="Garamond" w:hAnsi="Garamond"/>
        </w:rPr>
        <w:t>in many respects, it</w:t>
      </w:r>
      <w:r w:rsidRPr="00A36463">
        <w:rPr>
          <w:rFonts w:ascii="Garamond" w:hAnsi="Garamond"/>
        </w:rPr>
        <w:t xml:space="preserve"> is in </w:t>
      </w:r>
      <w:r w:rsidR="00C77FF4" w:rsidRPr="00A36463">
        <w:rPr>
          <w:rFonts w:ascii="Garamond" w:hAnsi="Garamond"/>
        </w:rPr>
        <w:t>a really</w:t>
      </w:r>
      <w:r w:rsidR="00F257AE" w:rsidRPr="00A36463">
        <w:rPr>
          <w:rFonts w:ascii="Garamond" w:hAnsi="Garamond"/>
        </w:rPr>
        <w:t xml:space="preserve"> good plac</w:t>
      </w:r>
      <w:r w:rsidRPr="00A36463">
        <w:rPr>
          <w:rFonts w:ascii="Garamond" w:hAnsi="Garamond"/>
        </w:rPr>
        <w:t>e. Due</w:t>
      </w:r>
      <w:r w:rsidR="000E048E" w:rsidRPr="00A36463">
        <w:rPr>
          <w:rFonts w:ascii="Garamond" w:hAnsi="Garamond"/>
        </w:rPr>
        <w:t xml:space="preserve"> to thinkers like </w:t>
      </w:r>
      <w:proofErr w:type="spellStart"/>
      <w:r w:rsidR="000E048E" w:rsidRPr="00A36463">
        <w:rPr>
          <w:rFonts w:ascii="Garamond" w:hAnsi="Garamond"/>
        </w:rPr>
        <w:t>Ameriks</w:t>
      </w:r>
      <w:proofErr w:type="spellEnd"/>
      <w:r w:rsidR="000E048E" w:rsidRPr="00A36463">
        <w:rPr>
          <w:rFonts w:ascii="Garamond" w:hAnsi="Garamond"/>
        </w:rPr>
        <w:t>, Guyer, the other contributors here (</w:t>
      </w:r>
      <w:r w:rsidR="00556B48" w:rsidRPr="00A36463">
        <w:rPr>
          <w:rFonts w:ascii="Garamond" w:hAnsi="Garamond"/>
        </w:rPr>
        <w:t xml:space="preserve">Allais, Engstrom, </w:t>
      </w:r>
      <w:r w:rsidR="000E048E" w:rsidRPr="00A36463">
        <w:rPr>
          <w:rFonts w:ascii="Garamond" w:hAnsi="Garamond"/>
        </w:rPr>
        <w:t xml:space="preserve">Herman, </w:t>
      </w:r>
      <w:proofErr w:type="spellStart"/>
      <w:r w:rsidR="000E048E" w:rsidRPr="00A36463">
        <w:rPr>
          <w:rFonts w:ascii="Garamond" w:hAnsi="Garamond"/>
        </w:rPr>
        <w:t>Kleingeld</w:t>
      </w:r>
      <w:proofErr w:type="spellEnd"/>
      <w:r w:rsidR="000E048E" w:rsidRPr="00A36463">
        <w:rPr>
          <w:rFonts w:ascii="Garamond" w:hAnsi="Garamond"/>
        </w:rPr>
        <w:t xml:space="preserve">, </w:t>
      </w:r>
      <w:proofErr w:type="spellStart"/>
      <w:r w:rsidR="008058B2" w:rsidRPr="00A36463">
        <w:rPr>
          <w:rFonts w:ascii="Garamond" w:hAnsi="Garamond"/>
        </w:rPr>
        <w:t>Reath</w:t>
      </w:r>
      <w:proofErr w:type="spellEnd"/>
      <w:r w:rsidR="008058B2" w:rsidRPr="00A36463">
        <w:rPr>
          <w:rFonts w:ascii="Garamond" w:hAnsi="Garamond"/>
        </w:rPr>
        <w:t xml:space="preserve">, </w:t>
      </w:r>
      <w:proofErr w:type="spellStart"/>
      <w:r w:rsidR="000E048E" w:rsidRPr="00A36463">
        <w:rPr>
          <w:rFonts w:ascii="Garamond" w:hAnsi="Garamond"/>
        </w:rPr>
        <w:t>Timm</w:t>
      </w:r>
      <w:r w:rsidR="00C77FF4" w:rsidRPr="00A36463">
        <w:rPr>
          <w:rFonts w:ascii="Garamond" w:hAnsi="Garamond"/>
        </w:rPr>
        <w:t>e</w:t>
      </w:r>
      <w:r w:rsidR="000E048E" w:rsidRPr="00A36463">
        <w:rPr>
          <w:rFonts w:ascii="Garamond" w:hAnsi="Garamond"/>
        </w:rPr>
        <w:t>rmann</w:t>
      </w:r>
      <w:proofErr w:type="spellEnd"/>
      <w:r w:rsidR="000E048E" w:rsidRPr="00A36463">
        <w:rPr>
          <w:rFonts w:ascii="Garamond" w:hAnsi="Garamond"/>
        </w:rPr>
        <w:t xml:space="preserve">, </w:t>
      </w:r>
      <w:r w:rsidR="00556B48" w:rsidRPr="00A36463">
        <w:rPr>
          <w:rFonts w:ascii="Garamond" w:hAnsi="Garamond"/>
        </w:rPr>
        <w:t xml:space="preserve">Watkins, </w:t>
      </w:r>
      <w:proofErr w:type="spellStart"/>
      <w:r w:rsidR="000E048E" w:rsidRPr="00A36463">
        <w:rPr>
          <w:rFonts w:ascii="Garamond" w:hAnsi="Garamond"/>
        </w:rPr>
        <w:t>Willschek</w:t>
      </w:r>
      <w:proofErr w:type="spellEnd"/>
      <w:r w:rsidR="00556B48" w:rsidRPr="00A36463">
        <w:rPr>
          <w:rFonts w:ascii="Garamond" w:hAnsi="Garamond"/>
        </w:rPr>
        <w:t>, Wood</w:t>
      </w:r>
      <w:r w:rsidR="000E048E" w:rsidRPr="00A36463">
        <w:rPr>
          <w:rFonts w:ascii="Garamond" w:hAnsi="Garamond"/>
        </w:rPr>
        <w:t xml:space="preserve">), and some who aren’t (Allison, </w:t>
      </w:r>
      <w:r w:rsidR="008058B2" w:rsidRPr="00A36463">
        <w:rPr>
          <w:rFonts w:ascii="Garamond" w:hAnsi="Garamond"/>
        </w:rPr>
        <w:t xml:space="preserve">Cohen, </w:t>
      </w:r>
      <w:r w:rsidR="00556B48" w:rsidRPr="00A36463">
        <w:rPr>
          <w:rFonts w:ascii="Garamond" w:hAnsi="Garamond"/>
        </w:rPr>
        <w:t xml:space="preserve">Frierson, </w:t>
      </w:r>
      <w:r w:rsidRPr="00A36463">
        <w:rPr>
          <w:rFonts w:ascii="Garamond" w:hAnsi="Garamond"/>
        </w:rPr>
        <w:t xml:space="preserve">Henrich, </w:t>
      </w:r>
      <w:r w:rsidR="000E048E" w:rsidRPr="00A36463">
        <w:rPr>
          <w:rFonts w:ascii="Garamond" w:hAnsi="Garamond"/>
        </w:rPr>
        <w:t>Korsgaard, O’Neill)</w:t>
      </w:r>
      <w:r w:rsidR="00C77FF4" w:rsidRPr="00A36463">
        <w:rPr>
          <w:rFonts w:ascii="Garamond" w:hAnsi="Garamond"/>
        </w:rPr>
        <w:t>, w</w:t>
      </w:r>
      <w:r w:rsidR="00F257AE" w:rsidRPr="00A36463">
        <w:rPr>
          <w:rFonts w:ascii="Garamond" w:hAnsi="Garamond"/>
        </w:rPr>
        <w:t>e have a sophisticated and sympathetic understanding of Kant</w:t>
      </w:r>
      <w:r w:rsidR="00556B48" w:rsidRPr="00A36463">
        <w:rPr>
          <w:rFonts w:ascii="Garamond" w:hAnsi="Garamond"/>
        </w:rPr>
        <w:t>’s theory of freedom</w:t>
      </w:r>
      <w:r w:rsidR="00F257AE" w:rsidRPr="00A36463">
        <w:rPr>
          <w:rFonts w:ascii="Garamond" w:hAnsi="Garamond"/>
        </w:rPr>
        <w:t xml:space="preserve">. Why not start to put this into dialogue with </w:t>
      </w:r>
      <w:r w:rsidR="00353A39" w:rsidRPr="00A36463">
        <w:rPr>
          <w:rFonts w:ascii="Garamond" w:hAnsi="Garamond"/>
        </w:rPr>
        <w:t>his successors</w:t>
      </w:r>
      <w:r w:rsidR="00556B48" w:rsidRPr="00A36463">
        <w:rPr>
          <w:rFonts w:ascii="Garamond" w:hAnsi="Garamond"/>
        </w:rPr>
        <w:t xml:space="preserve"> and critics</w:t>
      </w:r>
      <w:r w:rsidR="00353A39" w:rsidRPr="00A36463">
        <w:rPr>
          <w:rFonts w:ascii="Garamond" w:hAnsi="Garamond"/>
        </w:rPr>
        <w:t>, and treat their concerns in a similar way?</w:t>
      </w:r>
      <w:r w:rsidR="00556B48" w:rsidRPr="00A36463">
        <w:rPr>
          <w:rFonts w:ascii="Garamond" w:hAnsi="Garamond"/>
        </w:rPr>
        <w:t xml:space="preserve"> This is also slightly puzzling, in that two of these volumes are in honour of </w:t>
      </w:r>
      <w:proofErr w:type="spellStart"/>
      <w:r w:rsidR="000E048E" w:rsidRPr="00A36463">
        <w:rPr>
          <w:rFonts w:ascii="Garamond" w:hAnsi="Garamond"/>
        </w:rPr>
        <w:t>Ameriks</w:t>
      </w:r>
      <w:proofErr w:type="spellEnd"/>
      <w:r w:rsidR="000E048E" w:rsidRPr="00A36463">
        <w:rPr>
          <w:rFonts w:ascii="Garamond" w:hAnsi="Garamond"/>
        </w:rPr>
        <w:t xml:space="preserve"> and Guyer</w:t>
      </w:r>
      <w:r w:rsidR="00556B48" w:rsidRPr="00A36463">
        <w:rPr>
          <w:rFonts w:ascii="Garamond" w:hAnsi="Garamond"/>
        </w:rPr>
        <w:t>, who</w:t>
      </w:r>
      <w:r w:rsidR="000E048E" w:rsidRPr="00A36463">
        <w:rPr>
          <w:rFonts w:ascii="Garamond" w:hAnsi="Garamond"/>
        </w:rPr>
        <w:t xml:space="preserve"> were never shy about seriously critically engaging with Kant.</w:t>
      </w:r>
    </w:p>
    <w:p w14:paraId="1056E74A" w14:textId="77777777" w:rsidR="003F231C" w:rsidRPr="00A36463" w:rsidRDefault="003F231C" w:rsidP="003F231C">
      <w:pPr>
        <w:ind w:firstLine="720"/>
        <w:rPr>
          <w:rFonts w:ascii="Garamond" w:hAnsi="Garamond"/>
        </w:rPr>
      </w:pPr>
    </w:p>
    <w:p w14:paraId="3A11EE5D" w14:textId="0C7219DD" w:rsidR="000E048E" w:rsidRPr="00A36463" w:rsidRDefault="00C77FF4" w:rsidP="003F231C">
      <w:pPr>
        <w:ind w:firstLine="720"/>
        <w:rPr>
          <w:rFonts w:ascii="Garamond" w:hAnsi="Garamond"/>
        </w:rPr>
      </w:pPr>
      <w:r w:rsidRPr="00A36463">
        <w:rPr>
          <w:rFonts w:ascii="Garamond" w:hAnsi="Garamond"/>
        </w:rPr>
        <w:t>A</w:t>
      </w:r>
      <w:r w:rsidR="000E048E" w:rsidRPr="00A36463">
        <w:rPr>
          <w:rFonts w:ascii="Garamond" w:hAnsi="Garamond"/>
        </w:rPr>
        <w:t xml:space="preserve"> worry is that Kant scholarship </w:t>
      </w:r>
      <w:r w:rsidR="008C3962" w:rsidRPr="00A36463">
        <w:rPr>
          <w:rFonts w:ascii="Garamond" w:hAnsi="Garamond"/>
        </w:rPr>
        <w:t xml:space="preserve">might </w:t>
      </w:r>
      <w:r w:rsidR="000E048E" w:rsidRPr="00A36463">
        <w:rPr>
          <w:rFonts w:ascii="Garamond" w:hAnsi="Garamond"/>
        </w:rPr>
        <w:t>become</w:t>
      </w:r>
      <w:r w:rsidR="008C3962" w:rsidRPr="00A36463">
        <w:rPr>
          <w:rFonts w:ascii="Garamond" w:hAnsi="Garamond"/>
        </w:rPr>
        <w:t xml:space="preserve"> a bit too</w:t>
      </w:r>
      <w:r w:rsidR="000E048E" w:rsidRPr="00A36463">
        <w:rPr>
          <w:rFonts w:ascii="Garamond" w:hAnsi="Garamond"/>
        </w:rPr>
        <w:t xml:space="preserve"> insular, both through lack of engagement with his successors, but also with contemporary philosophy. </w:t>
      </w:r>
      <w:r w:rsidR="008C3962" w:rsidRPr="00A36463">
        <w:rPr>
          <w:rFonts w:ascii="Garamond" w:hAnsi="Garamond"/>
        </w:rPr>
        <w:t>As one example</w:t>
      </w:r>
      <w:r w:rsidR="000E048E" w:rsidRPr="00A36463">
        <w:rPr>
          <w:rFonts w:ascii="Garamond" w:hAnsi="Garamond"/>
        </w:rPr>
        <w:t xml:space="preserve">, perhaps the </w:t>
      </w:r>
      <w:proofErr w:type="spellStart"/>
      <w:r w:rsidR="000E048E" w:rsidRPr="00A36463">
        <w:rPr>
          <w:rFonts w:ascii="Garamond" w:hAnsi="Garamond"/>
        </w:rPr>
        <w:t>centerpiece</w:t>
      </w:r>
      <w:proofErr w:type="spellEnd"/>
      <w:r w:rsidR="000E048E" w:rsidRPr="00A36463">
        <w:rPr>
          <w:rFonts w:ascii="Garamond" w:hAnsi="Garamond"/>
        </w:rPr>
        <w:t xml:space="preserve"> of the </w:t>
      </w:r>
      <w:proofErr w:type="spellStart"/>
      <w:r w:rsidR="000E048E" w:rsidRPr="00A36463">
        <w:rPr>
          <w:rFonts w:ascii="Garamond" w:hAnsi="Garamond"/>
        </w:rPr>
        <w:t>Bacin</w:t>
      </w:r>
      <w:proofErr w:type="spellEnd"/>
      <w:r w:rsidR="000E048E" w:rsidRPr="00A36463">
        <w:rPr>
          <w:rFonts w:ascii="Garamond" w:hAnsi="Garamond"/>
        </w:rPr>
        <w:t xml:space="preserve"> and </w:t>
      </w:r>
      <w:proofErr w:type="spellStart"/>
      <w:r w:rsidR="000E048E" w:rsidRPr="00A36463">
        <w:rPr>
          <w:rFonts w:ascii="Garamond" w:hAnsi="Garamond"/>
        </w:rPr>
        <w:t>Sensen</w:t>
      </w:r>
      <w:proofErr w:type="spellEnd"/>
      <w:r w:rsidR="000E048E" w:rsidRPr="00A36463">
        <w:rPr>
          <w:rFonts w:ascii="Garamond" w:hAnsi="Garamond"/>
        </w:rPr>
        <w:t xml:space="preserve"> volume is Kant’s thought that only a self-imposed law can obligate us unconditionally. It’s an important and substantial claim, and</w:t>
      </w:r>
      <w:r w:rsidR="00556B48" w:rsidRPr="00A36463">
        <w:rPr>
          <w:rFonts w:ascii="Garamond" w:hAnsi="Garamond"/>
        </w:rPr>
        <w:t xml:space="preserve"> as such</w:t>
      </w:r>
      <w:r w:rsidR="000E048E" w:rsidRPr="00A36463">
        <w:rPr>
          <w:rFonts w:ascii="Garamond" w:hAnsi="Garamond"/>
        </w:rPr>
        <w:t xml:space="preserve"> it warrants more critical engagement. As far as I can tell, it’s not something that contemporary meta-ethics thinks it obviously true. Of course, maybe contemporary meta-ethicists are mistaken, and Kant is right, but that would take critical engagement and dialogue to establish.</w:t>
      </w:r>
      <w:r w:rsidR="00547A1A" w:rsidRPr="00A36463">
        <w:rPr>
          <w:rFonts w:ascii="Garamond" w:hAnsi="Garamond"/>
        </w:rPr>
        <w:t xml:space="preserve"> And this is a little missing</w:t>
      </w:r>
      <w:r w:rsidR="008C3962" w:rsidRPr="00A36463">
        <w:rPr>
          <w:rFonts w:ascii="Garamond" w:hAnsi="Garamond"/>
        </w:rPr>
        <w:t xml:space="preserve"> in these collections</w:t>
      </w:r>
      <w:r w:rsidR="00547A1A" w:rsidRPr="00A36463">
        <w:rPr>
          <w:rFonts w:ascii="Garamond" w:hAnsi="Garamond"/>
        </w:rPr>
        <w:t xml:space="preserve">. </w:t>
      </w:r>
      <w:r w:rsidR="00556B48" w:rsidRPr="00A36463">
        <w:rPr>
          <w:rFonts w:ascii="Garamond" w:hAnsi="Garamond"/>
        </w:rPr>
        <w:t>For instance</w:t>
      </w:r>
      <w:r w:rsidR="00547A1A" w:rsidRPr="00A36463">
        <w:rPr>
          <w:rFonts w:ascii="Garamond" w:hAnsi="Garamond"/>
        </w:rPr>
        <w:t>, various contributors make claims about the moral law being constitutive of agency, in one way or another, but there is not mention of Enoch’s</w:t>
      </w:r>
      <w:r w:rsidR="00556B48" w:rsidRPr="00A36463">
        <w:rPr>
          <w:rFonts w:ascii="Garamond" w:hAnsi="Garamond"/>
        </w:rPr>
        <w:t xml:space="preserve"> (2006)</w:t>
      </w:r>
      <w:r w:rsidR="00A618DE" w:rsidRPr="00A36463">
        <w:rPr>
          <w:rFonts w:ascii="Garamond" w:hAnsi="Garamond"/>
        </w:rPr>
        <w:t xml:space="preserve"> </w:t>
      </w:r>
      <w:proofErr w:type="spellStart"/>
      <w:r w:rsidR="00A618DE" w:rsidRPr="00A36463">
        <w:rPr>
          <w:rFonts w:ascii="Garamond" w:hAnsi="Garamond"/>
        </w:rPr>
        <w:t>shmagency</w:t>
      </w:r>
      <w:proofErr w:type="spellEnd"/>
      <w:r w:rsidR="00547A1A" w:rsidRPr="00A36463">
        <w:rPr>
          <w:rFonts w:ascii="Garamond" w:hAnsi="Garamond"/>
        </w:rPr>
        <w:t xml:space="preserve"> objection</w:t>
      </w:r>
      <w:r w:rsidR="00A618DE" w:rsidRPr="00A36463">
        <w:rPr>
          <w:rFonts w:ascii="Garamond" w:hAnsi="Garamond"/>
        </w:rPr>
        <w:t xml:space="preserve"> </w:t>
      </w:r>
      <w:r w:rsidR="00547A1A" w:rsidRPr="00A36463">
        <w:rPr>
          <w:rFonts w:ascii="Garamond" w:hAnsi="Garamond"/>
        </w:rPr>
        <w:t>to such a view in any of the three collections. Now again, perhaps these objections are mistaken, but that would take dialogue and engagement to establish.</w:t>
      </w:r>
    </w:p>
    <w:p w14:paraId="055083AB" w14:textId="7CD7E546" w:rsidR="00434F83" w:rsidRPr="00A36463" w:rsidRDefault="00434F83" w:rsidP="002A3DA3">
      <w:pPr>
        <w:rPr>
          <w:rFonts w:ascii="Garamond" w:hAnsi="Garamond"/>
        </w:rPr>
      </w:pPr>
    </w:p>
    <w:p w14:paraId="626D1016" w14:textId="41D6DAAA" w:rsidR="00D944AE" w:rsidRPr="00A36463" w:rsidRDefault="008C3962" w:rsidP="003F231C">
      <w:pPr>
        <w:ind w:firstLine="720"/>
        <w:rPr>
          <w:rFonts w:ascii="Garamond" w:hAnsi="Garamond"/>
        </w:rPr>
      </w:pPr>
      <w:r w:rsidRPr="00A36463">
        <w:rPr>
          <w:rFonts w:ascii="Garamond" w:hAnsi="Garamond"/>
        </w:rPr>
        <w:t xml:space="preserve">Finally, </w:t>
      </w:r>
      <w:r w:rsidR="00434F83" w:rsidRPr="00A36463">
        <w:rPr>
          <w:rFonts w:ascii="Garamond" w:hAnsi="Garamond"/>
        </w:rPr>
        <w:t>while these are volumes on Kant and freedom, there is</w:t>
      </w:r>
      <w:r w:rsidR="000A2C9D" w:rsidRPr="00A36463">
        <w:rPr>
          <w:rFonts w:ascii="Garamond" w:hAnsi="Garamond"/>
        </w:rPr>
        <w:t xml:space="preserve"> surprisingly little </w:t>
      </w:r>
      <w:r w:rsidR="00A618DE" w:rsidRPr="00A36463">
        <w:rPr>
          <w:rFonts w:ascii="Garamond" w:hAnsi="Garamond"/>
        </w:rPr>
        <w:t>discussion of</w:t>
      </w:r>
      <w:r w:rsidR="000A2C9D" w:rsidRPr="00A36463">
        <w:rPr>
          <w:rFonts w:ascii="Garamond" w:hAnsi="Garamond"/>
        </w:rPr>
        <w:t xml:space="preserve"> either transcendental idealism, objections to Kant’s theory of freedom, nor the combination of the two, namely </w:t>
      </w:r>
      <w:r w:rsidR="00434F83" w:rsidRPr="00A36463">
        <w:rPr>
          <w:rFonts w:ascii="Garamond" w:hAnsi="Garamond"/>
        </w:rPr>
        <w:t xml:space="preserve">whether transcendental idealism </w:t>
      </w:r>
      <w:r w:rsidR="00D944AE" w:rsidRPr="00A36463">
        <w:rPr>
          <w:rFonts w:ascii="Garamond" w:hAnsi="Garamond"/>
        </w:rPr>
        <w:t>makes it hard for Kant to have a workable account of freedom. As discussed above, the timelessness of freedom gets a small mention (but is quickly dismissed</w:t>
      </w:r>
      <w:r w:rsidR="00154138" w:rsidRPr="00A36463">
        <w:rPr>
          <w:rFonts w:ascii="Garamond" w:hAnsi="Garamond"/>
        </w:rPr>
        <w:t xml:space="preserve"> as a problem</w:t>
      </w:r>
      <w:r w:rsidR="00D944AE" w:rsidRPr="00A36463">
        <w:rPr>
          <w:rFonts w:ascii="Garamond" w:hAnsi="Garamond"/>
        </w:rPr>
        <w:t xml:space="preserve">). The same goes for issue of </w:t>
      </w:r>
      <w:r w:rsidR="00A618DE" w:rsidRPr="00A36463">
        <w:rPr>
          <w:rFonts w:ascii="Garamond" w:hAnsi="Garamond"/>
        </w:rPr>
        <w:t>interaction</w:t>
      </w:r>
      <w:r w:rsidR="00D944AE" w:rsidRPr="00A36463">
        <w:rPr>
          <w:rFonts w:ascii="Garamond" w:hAnsi="Garamond"/>
        </w:rPr>
        <w:t xml:space="preserve"> between the noumenal and the phenomenal; in various chapters, authors point out that in parts of Kant’s practical philosophy, he assumes that our sensible and rational selves interact in important ways, and are integrated. That seems correct, but it doesn’t thereby magic</w:t>
      </w:r>
      <w:r w:rsidR="00A618DE" w:rsidRPr="00A36463">
        <w:rPr>
          <w:rFonts w:ascii="Garamond" w:hAnsi="Garamond"/>
        </w:rPr>
        <w:t>ally transform</w:t>
      </w:r>
      <w:r w:rsidR="00D944AE" w:rsidRPr="00A36463">
        <w:rPr>
          <w:rFonts w:ascii="Garamond" w:hAnsi="Garamond"/>
        </w:rPr>
        <w:t xml:space="preserve"> transcendental idealism such that it can easily accommodate all of these things. Kant scholars are presumably attuned to how Hume’s philosophy has systematic limitations, which mean</w:t>
      </w:r>
      <w:r w:rsidR="00A618DE" w:rsidRPr="00A36463">
        <w:rPr>
          <w:rFonts w:ascii="Garamond" w:hAnsi="Garamond"/>
        </w:rPr>
        <w:t>s</w:t>
      </w:r>
      <w:r w:rsidR="00D944AE" w:rsidRPr="00A36463">
        <w:rPr>
          <w:rFonts w:ascii="Garamond" w:hAnsi="Garamond"/>
        </w:rPr>
        <w:t xml:space="preserve"> that he might not be able to help himself to some of the concepts that </w:t>
      </w:r>
      <w:r w:rsidR="004E146C" w:rsidRPr="00A36463">
        <w:rPr>
          <w:rFonts w:ascii="Garamond" w:hAnsi="Garamond"/>
        </w:rPr>
        <w:t>h</w:t>
      </w:r>
      <w:r w:rsidR="00D944AE" w:rsidRPr="00A36463">
        <w:rPr>
          <w:rFonts w:ascii="Garamond" w:hAnsi="Garamond"/>
        </w:rPr>
        <w:t xml:space="preserve">e wants to deploy (is Hume entitled to talk of reason, the self, choice, and so on?). Kant faces similar questions. His practical philosophy involves all sorts of </w:t>
      </w:r>
      <w:r w:rsidR="00976014" w:rsidRPr="00A36463">
        <w:rPr>
          <w:rFonts w:ascii="Garamond" w:hAnsi="Garamond"/>
        </w:rPr>
        <w:t>sophisticated</w:t>
      </w:r>
      <w:r w:rsidR="00D944AE" w:rsidRPr="00A36463">
        <w:rPr>
          <w:rFonts w:ascii="Garamond" w:hAnsi="Garamond"/>
        </w:rPr>
        <w:t xml:space="preserve"> </w:t>
      </w:r>
      <w:r w:rsidR="00366394" w:rsidRPr="00A36463">
        <w:rPr>
          <w:rFonts w:ascii="Garamond" w:hAnsi="Garamond"/>
        </w:rPr>
        <w:t>treatment</w:t>
      </w:r>
      <w:r w:rsidR="00D944AE" w:rsidRPr="00A36463">
        <w:rPr>
          <w:rFonts w:ascii="Garamond" w:hAnsi="Garamond"/>
        </w:rPr>
        <w:t xml:space="preserve"> of the ways in which our freedom interacts with the world. The hard question is whether Kant’s theoretical philosophy, and in particular, transcendental idealism, can accommodate this. </w:t>
      </w:r>
      <w:r w:rsidR="00434F83" w:rsidRPr="00A36463">
        <w:rPr>
          <w:rFonts w:ascii="Garamond" w:hAnsi="Garamond"/>
        </w:rPr>
        <w:t xml:space="preserve"> </w:t>
      </w:r>
      <w:r w:rsidR="00D944AE" w:rsidRPr="00A36463">
        <w:rPr>
          <w:rFonts w:ascii="Garamond" w:hAnsi="Garamond"/>
        </w:rPr>
        <w:t xml:space="preserve">Again, this seems like a missed opportunity, given that transcendental idealism is one of </w:t>
      </w:r>
      <w:r w:rsidR="00F257AE" w:rsidRPr="00A36463">
        <w:rPr>
          <w:rFonts w:ascii="Garamond" w:hAnsi="Garamond"/>
        </w:rPr>
        <w:t>the more interesting, unique, and remarkable features of Kant’s philosophy, and tightly connected to his conception of freedom.</w:t>
      </w:r>
    </w:p>
    <w:p w14:paraId="017AA5F5" w14:textId="7624439D" w:rsidR="00434F83" w:rsidRPr="00A36463" w:rsidRDefault="00434F83" w:rsidP="002A3DA3">
      <w:pPr>
        <w:rPr>
          <w:rFonts w:ascii="Garamond" w:hAnsi="Garamond"/>
        </w:rPr>
      </w:pPr>
    </w:p>
    <w:p w14:paraId="6842C390" w14:textId="645549F2" w:rsidR="00A618DE" w:rsidRPr="00A36463" w:rsidRDefault="00A618DE" w:rsidP="002A3DA3">
      <w:pPr>
        <w:rPr>
          <w:rFonts w:ascii="Garamond" w:hAnsi="Garamond"/>
        </w:rPr>
      </w:pPr>
    </w:p>
    <w:p w14:paraId="3702B290" w14:textId="2AA716E3" w:rsidR="00A618DE" w:rsidRPr="00A36463" w:rsidRDefault="00A618DE" w:rsidP="002A3DA3">
      <w:pPr>
        <w:rPr>
          <w:rFonts w:ascii="Garamond" w:hAnsi="Garamond"/>
        </w:rPr>
      </w:pPr>
    </w:p>
    <w:p w14:paraId="6725C7B2" w14:textId="77777777" w:rsidR="006153A8" w:rsidRPr="00A36463" w:rsidRDefault="006153A8" w:rsidP="002A3DA3">
      <w:pPr>
        <w:rPr>
          <w:rFonts w:ascii="Garamond" w:hAnsi="Garamond"/>
        </w:rPr>
      </w:pPr>
    </w:p>
    <w:p w14:paraId="10171A58" w14:textId="132E4FAF" w:rsidR="00A618DE" w:rsidRPr="00A36463" w:rsidRDefault="00A618DE" w:rsidP="002A3DA3">
      <w:pPr>
        <w:rPr>
          <w:rFonts w:ascii="Garamond" w:hAnsi="Garamond"/>
          <w:b/>
          <w:bCs/>
        </w:rPr>
      </w:pPr>
      <w:r w:rsidRPr="00A36463">
        <w:rPr>
          <w:rFonts w:ascii="Garamond" w:hAnsi="Garamond"/>
          <w:b/>
          <w:bCs/>
        </w:rPr>
        <w:t>Works cited:</w:t>
      </w:r>
    </w:p>
    <w:p w14:paraId="72B3AB49" w14:textId="77777777" w:rsidR="005D01C2" w:rsidRPr="00A36463" w:rsidRDefault="005D01C2" w:rsidP="002A3DA3">
      <w:pPr>
        <w:rPr>
          <w:rFonts w:ascii="Garamond" w:hAnsi="Garamond"/>
          <w:b/>
          <w:bCs/>
        </w:rPr>
      </w:pPr>
    </w:p>
    <w:p w14:paraId="6C2EEE08" w14:textId="5F6EA4D6" w:rsidR="00A618DE" w:rsidRPr="00A36463" w:rsidRDefault="00A618DE" w:rsidP="002A3DA3">
      <w:pPr>
        <w:rPr>
          <w:rFonts w:ascii="Garamond" w:hAnsi="Garamond"/>
        </w:rPr>
      </w:pPr>
    </w:p>
    <w:p w14:paraId="78B9E21B" w14:textId="4537A26B" w:rsidR="005D01C2" w:rsidRPr="00A36463" w:rsidRDefault="005D01C2" w:rsidP="003C5710">
      <w:pPr>
        <w:rPr>
          <w:rFonts w:ascii="Garamond" w:hAnsi="Garamond"/>
          <w:shd w:val="clear" w:color="auto" w:fill="FFFFFF"/>
        </w:rPr>
      </w:pPr>
      <w:proofErr w:type="spellStart"/>
      <w:r w:rsidRPr="00A36463">
        <w:rPr>
          <w:rFonts w:ascii="Garamond" w:hAnsi="Garamond"/>
          <w:shd w:val="clear" w:color="auto" w:fill="FFFFFF"/>
        </w:rPr>
        <w:t>Ameriks</w:t>
      </w:r>
      <w:proofErr w:type="spellEnd"/>
      <w:r w:rsidRPr="00A36463">
        <w:rPr>
          <w:rFonts w:ascii="Garamond" w:hAnsi="Garamond"/>
          <w:shd w:val="clear" w:color="auto" w:fill="FFFFFF"/>
        </w:rPr>
        <w:t>, K. (2003). </w:t>
      </w:r>
      <w:r w:rsidRPr="00A36463">
        <w:rPr>
          <w:rFonts w:ascii="Garamond" w:hAnsi="Garamond"/>
          <w:i/>
          <w:iCs/>
          <w:shd w:val="clear" w:color="auto" w:fill="FFFFFF"/>
        </w:rPr>
        <w:t>Interpreting Kant's critiques</w:t>
      </w:r>
      <w:r w:rsidRPr="00A36463">
        <w:rPr>
          <w:rFonts w:ascii="Garamond" w:hAnsi="Garamond"/>
          <w:shd w:val="clear" w:color="auto" w:fill="FFFFFF"/>
        </w:rPr>
        <w:t>. Clarendon Press.</w:t>
      </w:r>
    </w:p>
    <w:p w14:paraId="025EB585" w14:textId="06667035" w:rsidR="00C0594E" w:rsidRPr="00A36463" w:rsidRDefault="00C0594E" w:rsidP="003C5710">
      <w:pPr>
        <w:rPr>
          <w:rFonts w:ascii="Garamond" w:hAnsi="Garamond"/>
          <w:shd w:val="clear" w:color="auto" w:fill="FFFFFF"/>
        </w:rPr>
      </w:pPr>
    </w:p>
    <w:p w14:paraId="22EB6046" w14:textId="3CCA0CE5" w:rsidR="00C0594E" w:rsidRPr="00A36463" w:rsidRDefault="00C0594E" w:rsidP="003C5710">
      <w:pPr>
        <w:rPr>
          <w:rFonts w:ascii="Garamond" w:hAnsi="Garamond"/>
          <w:shd w:val="clear" w:color="auto" w:fill="FFFFFF"/>
        </w:rPr>
      </w:pPr>
      <w:proofErr w:type="spellStart"/>
      <w:r w:rsidRPr="00A36463">
        <w:rPr>
          <w:rFonts w:ascii="Garamond" w:hAnsi="Garamond"/>
          <w:shd w:val="clear" w:color="auto" w:fill="FFFFFF"/>
        </w:rPr>
        <w:t>Bacin</w:t>
      </w:r>
      <w:proofErr w:type="spellEnd"/>
      <w:r w:rsidRPr="00A36463">
        <w:rPr>
          <w:rFonts w:ascii="Garamond" w:hAnsi="Garamond"/>
          <w:shd w:val="clear" w:color="auto" w:fill="FFFFFF"/>
        </w:rPr>
        <w:t xml:space="preserve">, S., &amp; </w:t>
      </w:r>
      <w:proofErr w:type="spellStart"/>
      <w:r w:rsidRPr="00A36463">
        <w:rPr>
          <w:rFonts w:ascii="Garamond" w:hAnsi="Garamond"/>
          <w:shd w:val="clear" w:color="auto" w:fill="FFFFFF"/>
        </w:rPr>
        <w:t>Sensen</w:t>
      </w:r>
      <w:proofErr w:type="spellEnd"/>
      <w:r w:rsidRPr="00A36463">
        <w:rPr>
          <w:rFonts w:ascii="Garamond" w:hAnsi="Garamond"/>
          <w:shd w:val="clear" w:color="auto" w:fill="FFFFFF"/>
        </w:rPr>
        <w:t>, O. (Eds.). (2018). </w:t>
      </w:r>
      <w:r w:rsidRPr="00A36463">
        <w:rPr>
          <w:rFonts w:ascii="Garamond" w:hAnsi="Garamond"/>
          <w:i/>
          <w:iCs/>
          <w:shd w:val="clear" w:color="auto" w:fill="FFFFFF"/>
        </w:rPr>
        <w:t>The Emergence of Autonomy in Kant's Moral Philosophy</w:t>
      </w:r>
      <w:r w:rsidRPr="00A36463">
        <w:rPr>
          <w:rFonts w:ascii="Garamond" w:hAnsi="Garamond"/>
          <w:shd w:val="clear" w:color="auto" w:fill="FFFFFF"/>
        </w:rPr>
        <w:t>. Cambridge University Press.</w:t>
      </w:r>
    </w:p>
    <w:p w14:paraId="190A32EA" w14:textId="77777777" w:rsidR="005D01C2" w:rsidRPr="00A36463" w:rsidRDefault="005D01C2" w:rsidP="003C5710">
      <w:pPr>
        <w:rPr>
          <w:rFonts w:ascii="Garamond" w:hAnsi="Garamond"/>
          <w:shd w:val="clear" w:color="auto" w:fill="FFFFFF"/>
        </w:rPr>
      </w:pPr>
    </w:p>
    <w:p w14:paraId="525ECE9A" w14:textId="0FBA06C9" w:rsidR="003C5710" w:rsidRPr="00A36463" w:rsidRDefault="003C5710" w:rsidP="003C5710">
      <w:pPr>
        <w:rPr>
          <w:rFonts w:ascii="Garamond" w:hAnsi="Garamond"/>
          <w:shd w:val="clear" w:color="auto" w:fill="FFFFFF"/>
        </w:rPr>
      </w:pPr>
      <w:r w:rsidRPr="00A36463">
        <w:rPr>
          <w:rFonts w:ascii="Garamond" w:hAnsi="Garamond"/>
          <w:shd w:val="clear" w:color="auto" w:fill="FFFFFF"/>
        </w:rPr>
        <w:t xml:space="preserve">Enoch, D., 2006. ‘Agency, </w:t>
      </w:r>
      <w:proofErr w:type="spellStart"/>
      <w:r w:rsidRPr="00A36463">
        <w:rPr>
          <w:rFonts w:ascii="Garamond" w:hAnsi="Garamond"/>
          <w:shd w:val="clear" w:color="auto" w:fill="FFFFFF"/>
        </w:rPr>
        <w:t>Shmagency</w:t>
      </w:r>
      <w:proofErr w:type="spellEnd"/>
      <w:r w:rsidRPr="00A36463">
        <w:rPr>
          <w:rFonts w:ascii="Garamond" w:hAnsi="Garamond"/>
          <w:shd w:val="clear" w:color="auto" w:fill="FFFFFF"/>
        </w:rPr>
        <w:t xml:space="preserve">: Why normativity won't come from what is constitutive of action’ in </w:t>
      </w:r>
      <w:r w:rsidRPr="00A36463">
        <w:rPr>
          <w:rFonts w:ascii="Garamond" w:hAnsi="Garamond"/>
          <w:i/>
          <w:iCs/>
          <w:shd w:val="clear" w:color="auto" w:fill="FFFFFF"/>
        </w:rPr>
        <w:t>The Philosophical Review</w:t>
      </w:r>
      <w:r w:rsidRPr="00A36463">
        <w:rPr>
          <w:rFonts w:ascii="Garamond" w:hAnsi="Garamond"/>
          <w:shd w:val="clear" w:color="auto" w:fill="FFFFFF"/>
        </w:rPr>
        <w:t>,</w:t>
      </w:r>
      <w:r w:rsidRPr="00A36463">
        <w:rPr>
          <w:rStyle w:val="apple-converted-space"/>
          <w:rFonts w:ascii="Garamond" w:hAnsi="Garamond" w:cs="Arial"/>
          <w:color w:val="222222"/>
          <w:shd w:val="clear" w:color="auto" w:fill="FFFFFF"/>
        </w:rPr>
        <w:t> </w:t>
      </w:r>
      <w:r w:rsidRPr="00A36463">
        <w:rPr>
          <w:rFonts w:ascii="Garamond" w:hAnsi="Garamond"/>
          <w:i/>
          <w:iCs/>
          <w:shd w:val="clear" w:color="auto" w:fill="FFFFFF"/>
        </w:rPr>
        <w:t>115</w:t>
      </w:r>
      <w:r w:rsidRPr="00A36463">
        <w:rPr>
          <w:rFonts w:ascii="Garamond" w:hAnsi="Garamond"/>
          <w:shd w:val="clear" w:color="auto" w:fill="FFFFFF"/>
        </w:rPr>
        <w:t>(2), pp.169-198.</w:t>
      </w:r>
    </w:p>
    <w:p w14:paraId="6EA3024B" w14:textId="7E9BD6B4" w:rsidR="00185E40" w:rsidRPr="00A36463" w:rsidRDefault="00185E40" w:rsidP="003C5710">
      <w:pPr>
        <w:rPr>
          <w:rFonts w:ascii="Garamond" w:hAnsi="Garamond"/>
          <w:shd w:val="clear" w:color="auto" w:fill="FFFFFF"/>
        </w:rPr>
      </w:pPr>
    </w:p>
    <w:p w14:paraId="2437F769" w14:textId="2CC14750" w:rsidR="00185E40" w:rsidRPr="00A36463" w:rsidRDefault="00185E40" w:rsidP="00185E40">
      <w:pPr>
        <w:rPr>
          <w:rFonts w:ascii="Garamond" w:hAnsi="Garamond"/>
          <w:shd w:val="clear" w:color="auto" w:fill="FFFFFF"/>
        </w:rPr>
      </w:pPr>
      <w:r w:rsidRPr="00A36463">
        <w:rPr>
          <w:rFonts w:ascii="Garamond" w:hAnsi="Garamond"/>
          <w:shd w:val="clear" w:color="auto" w:fill="FFFFFF"/>
        </w:rPr>
        <w:t xml:space="preserve">Formosa, P. (2019) ‘Stefano </w:t>
      </w:r>
      <w:proofErr w:type="spellStart"/>
      <w:r w:rsidRPr="00A36463">
        <w:rPr>
          <w:rFonts w:ascii="Garamond" w:hAnsi="Garamond"/>
          <w:shd w:val="clear" w:color="auto" w:fill="FFFFFF"/>
        </w:rPr>
        <w:t>Bacin</w:t>
      </w:r>
      <w:proofErr w:type="spellEnd"/>
      <w:r w:rsidRPr="00A36463">
        <w:rPr>
          <w:rFonts w:ascii="Garamond" w:hAnsi="Garamond"/>
          <w:shd w:val="clear" w:color="auto" w:fill="FFFFFF"/>
        </w:rPr>
        <w:t xml:space="preserve"> and Oliver </w:t>
      </w:r>
      <w:proofErr w:type="spellStart"/>
      <w:r w:rsidRPr="00A36463">
        <w:rPr>
          <w:rFonts w:ascii="Garamond" w:hAnsi="Garamond"/>
          <w:shd w:val="clear" w:color="auto" w:fill="FFFFFF"/>
        </w:rPr>
        <w:t>Sensen</w:t>
      </w:r>
      <w:proofErr w:type="spellEnd"/>
      <w:r w:rsidRPr="00A36463">
        <w:rPr>
          <w:rFonts w:ascii="Garamond" w:hAnsi="Garamond"/>
          <w:shd w:val="clear" w:color="auto" w:fill="FFFFFF"/>
        </w:rPr>
        <w:t xml:space="preserve"> (eds.), </w:t>
      </w:r>
      <w:r w:rsidRPr="00A36463">
        <w:rPr>
          <w:rFonts w:ascii="Garamond" w:hAnsi="Garamond"/>
          <w:i/>
          <w:iCs/>
          <w:shd w:val="clear" w:color="auto" w:fill="FFFFFF"/>
        </w:rPr>
        <w:t>The Emergence of Autonomy in Kant's Moral Philosophy</w:t>
      </w:r>
      <w:r w:rsidRPr="00A36463">
        <w:rPr>
          <w:rFonts w:ascii="Garamond" w:hAnsi="Garamond"/>
          <w:shd w:val="clear" w:color="auto" w:fill="FFFFFF"/>
        </w:rPr>
        <w:t xml:space="preserve">, Cambridge University Press’ in Notre Dame Philosophical Reviews. </w:t>
      </w:r>
    </w:p>
    <w:p w14:paraId="100DA0FE" w14:textId="75E5FBCC" w:rsidR="00A42F51" w:rsidRPr="00A36463" w:rsidRDefault="00A42F51" w:rsidP="003C5710">
      <w:pPr>
        <w:rPr>
          <w:rFonts w:ascii="Garamond" w:hAnsi="Garamond"/>
          <w:shd w:val="clear" w:color="auto" w:fill="FFFFFF"/>
        </w:rPr>
      </w:pPr>
    </w:p>
    <w:p w14:paraId="12F9C4E9" w14:textId="03C0B6A1" w:rsidR="00A42F51" w:rsidRPr="00A36463" w:rsidRDefault="00A42F51" w:rsidP="003C5710">
      <w:pPr>
        <w:rPr>
          <w:rFonts w:ascii="Garamond" w:hAnsi="Garamond"/>
          <w:shd w:val="clear" w:color="auto" w:fill="FFFFFF"/>
        </w:rPr>
      </w:pPr>
      <w:proofErr w:type="spellStart"/>
      <w:r w:rsidRPr="00A36463">
        <w:rPr>
          <w:rFonts w:ascii="Garamond" w:hAnsi="Garamond"/>
          <w:shd w:val="clear" w:color="auto" w:fill="FFFFFF"/>
        </w:rPr>
        <w:t>Hadisi</w:t>
      </w:r>
      <w:proofErr w:type="spellEnd"/>
      <w:r w:rsidRPr="00A36463">
        <w:rPr>
          <w:rFonts w:ascii="Garamond" w:hAnsi="Garamond"/>
          <w:shd w:val="clear" w:color="auto" w:fill="FFFFFF"/>
        </w:rPr>
        <w:t>, R. (2019). ‘Kate A. Moran (ed.), Kant on Freedom and Spontaneity Cambridge: Cambridge University Press’, 2018 in </w:t>
      </w:r>
      <w:r w:rsidRPr="00A36463">
        <w:rPr>
          <w:rFonts w:ascii="Garamond" w:hAnsi="Garamond"/>
          <w:i/>
          <w:iCs/>
          <w:shd w:val="clear" w:color="auto" w:fill="FFFFFF"/>
        </w:rPr>
        <w:t>Kantian Review,</w:t>
      </w:r>
      <w:r w:rsidRPr="00A36463">
        <w:rPr>
          <w:rFonts w:ascii="Garamond" w:hAnsi="Garamond"/>
          <w:shd w:val="clear" w:color="auto" w:fill="FFFFFF"/>
        </w:rPr>
        <w:t> </w:t>
      </w:r>
      <w:r w:rsidRPr="00A36463">
        <w:rPr>
          <w:rFonts w:ascii="Garamond" w:hAnsi="Garamond"/>
          <w:i/>
          <w:iCs/>
          <w:shd w:val="clear" w:color="auto" w:fill="FFFFFF"/>
        </w:rPr>
        <w:t>24</w:t>
      </w:r>
      <w:r w:rsidRPr="00A36463">
        <w:rPr>
          <w:rFonts w:ascii="Garamond" w:hAnsi="Garamond"/>
          <w:shd w:val="clear" w:color="auto" w:fill="FFFFFF"/>
        </w:rPr>
        <w:t xml:space="preserve">(4), 668-672. </w:t>
      </w:r>
    </w:p>
    <w:p w14:paraId="606591F6" w14:textId="339D6136" w:rsidR="003C5710" w:rsidRPr="00A36463" w:rsidRDefault="003C5710" w:rsidP="003C5710">
      <w:pPr>
        <w:rPr>
          <w:rFonts w:ascii="Garamond" w:hAnsi="Garamond"/>
          <w:shd w:val="clear" w:color="auto" w:fill="FFFFFF"/>
        </w:rPr>
      </w:pPr>
    </w:p>
    <w:p w14:paraId="79681FCD" w14:textId="2BEF99E4" w:rsidR="003C5710" w:rsidRPr="00A36463" w:rsidRDefault="003C5710" w:rsidP="003C5710">
      <w:pPr>
        <w:rPr>
          <w:rFonts w:ascii="Garamond" w:hAnsi="Garamond"/>
          <w:shd w:val="clear" w:color="auto" w:fill="FFFFFF"/>
        </w:rPr>
      </w:pPr>
      <w:r w:rsidRPr="00A36463">
        <w:rPr>
          <w:rFonts w:ascii="Garamond" w:hAnsi="Garamond"/>
          <w:shd w:val="clear" w:color="auto" w:fill="FFFFFF"/>
        </w:rPr>
        <w:t xml:space="preserve">Marshall, C. (2019). </w:t>
      </w:r>
      <w:r w:rsidR="00A42F51" w:rsidRPr="00A36463">
        <w:rPr>
          <w:rFonts w:ascii="Garamond" w:hAnsi="Garamond"/>
          <w:shd w:val="clear" w:color="auto" w:fill="FFFFFF"/>
        </w:rPr>
        <w:t>‘</w:t>
      </w:r>
      <w:r w:rsidRPr="00A36463">
        <w:rPr>
          <w:rFonts w:ascii="Garamond" w:hAnsi="Garamond"/>
          <w:shd w:val="clear" w:color="auto" w:fill="FFFFFF"/>
        </w:rPr>
        <w:t>Eric Watkins (ed.). Kant on Persons and Agency Cambridge: Cambridge University Press</w:t>
      </w:r>
      <w:r w:rsidR="00A42F51" w:rsidRPr="00A36463">
        <w:rPr>
          <w:rFonts w:ascii="Garamond" w:hAnsi="Garamond"/>
          <w:shd w:val="clear" w:color="auto" w:fill="FFFFFF"/>
        </w:rPr>
        <w:t>’</w:t>
      </w:r>
      <w:r w:rsidRPr="00A36463">
        <w:rPr>
          <w:rFonts w:ascii="Garamond" w:hAnsi="Garamond"/>
          <w:shd w:val="clear" w:color="auto" w:fill="FFFFFF"/>
        </w:rPr>
        <w:t xml:space="preserve">, </w:t>
      </w:r>
      <w:r w:rsidR="00A42F51" w:rsidRPr="00A36463">
        <w:rPr>
          <w:rFonts w:ascii="Garamond" w:hAnsi="Garamond"/>
          <w:shd w:val="clear" w:color="auto" w:fill="FFFFFF"/>
        </w:rPr>
        <w:t xml:space="preserve">in </w:t>
      </w:r>
      <w:r w:rsidRPr="00A36463">
        <w:rPr>
          <w:rFonts w:ascii="Garamond" w:hAnsi="Garamond"/>
          <w:i/>
          <w:iCs/>
          <w:shd w:val="clear" w:color="auto" w:fill="FFFFFF"/>
        </w:rPr>
        <w:t>Kantian Review,</w:t>
      </w:r>
      <w:r w:rsidRPr="00A36463">
        <w:rPr>
          <w:rFonts w:ascii="Garamond" w:hAnsi="Garamond"/>
          <w:shd w:val="clear" w:color="auto" w:fill="FFFFFF"/>
        </w:rPr>
        <w:t> </w:t>
      </w:r>
      <w:r w:rsidRPr="00A36463">
        <w:rPr>
          <w:rFonts w:ascii="Garamond" w:hAnsi="Garamond"/>
          <w:i/>
          <w:iCs/>
          <w:shd w:val="clear" w:color="auto" w:fill="FFFFFF"/>
        </w:rPr>
        <w:t>24</w:t>
      </w:r>
      <w:r w:rsidRPr="00A36463">
        <w:rPr>
          <w:rFonts w:ascii="Garamond" w:hAnsi="Garamond"/>
          <w:shd w:val="clear" w:color="auto" w:fill="FFFFFF"/>
        </w:rPr>
        <w:t xml:space="preserve">(2), 327-333. </w:t>
      </w:r>
    </w:p>
    <w:p w14:paraId="21EF9360" w14:textId="7EF591A7" w:rsidR="00C0594E" w:rsidRPr="00A36463" w:rsidRDefault="00C0594E" w:rsidP="003C5710">
      <w:pPr>
        <w:rPr>
          <w:rFonts w:ascii="Garamond" w:hAnsi="Garamond"/>
          <w:shd w:val="clear" w:color="auto" w:fill="FFFFFF"/>
        </w:rPr>
      </w:pPr>
    </w:p>
    <w:p w14:paraId="2DE1B452" w14:textId="4D65545D" w:rsidR="00C0594E" w:rsidRPr="00A36463" w:rsidRDefault="00C0594E" w:rsidP="003C5710">
      <w:pPr>
        <w:rPr>
          <w:rFonts w:ascii="Garamond" w:hAnsi="Garamond"/>
          <w:shd w:val="clear" w:color="auto" w:fill="FFFFFF"/>
        </w:rPr>
      </w:pPr>
      <w:r w:rsidRPr="00A36463">
        <w:rPr>
          <w:rFonts w:ascii="Garamond" w:hAnsi="Garamond"/>
          <w:shd w:val="clear" w:color="auto" w:fill="FFFFFF"/>
        </w:rPr>
        <w:t>Moran, K. A. (Ed.). (2018). </w:t>
      </w:r>
      <w:r w:rsidRPr="00A36463">
        <w:rPr>
          <w:rFonts w:ascii="Garamond" w:hAnsi="Garamond"/>
          <w:i/>
          <w:iCs/>
          <w:shd w:val="clear" w:color="auto" w:fill="FFFFFF"/>
        </w:rPr>
        <w:t>Kant on freedom and spontaneity</w:t>
      </w:r>
      <w:r w:rsidRPr="00A36463">
        <w:rPr>
          <w:rFonts w:ascii="Garamond" w:hAnsi="Garamond"/>
          <w:shd w:val="clear" w:color="auto" w:fill="FFFFFF"/>
        </w:rPr>
        <w:t>. Cambridge University Press.</w:t>
      </w:r>
    </w:p>
    <w:p w14:paraId="6960DE1F" w14:textId="4D876075" w:rsidR="00A42F51" w:rsidRPr="00A36463" w:rsidRDefault="00A42F51" w:rsidP="003C5710">
      <w:pPr>
        <w:rPr>
          <w:rFonts w:ascii="Garamond" w:hAnsi="Garamond"/>
          <w:shd w:val="clear" w:color="auto" w:fill="FFFFFF"/>
        </w:rPr>
      </w:pPr>
    </w:p>
    <w:p w14:paraId="24604F8C" w14:textId="245DE561" w:rsidR="00B74A5D" w:rsidRPr="00A36463" w:rsidRDefault="00B74A5D" w:rsidP="00B74A5D">
      <w:pPr>
        <w:rPr>
          <w:rFonts w:ascii="Garamond" w:hAnsi="Garamond"/>
          <w:shd w:val="clear" w:color="auto" w:fill="FFFFFF"/>
        </w:rPr>
      </w:pPr>
      <w:r w:rsidRPr="00A36463">
        <w:rPr>
          <w:rFonts w:ascii="Garamond" w:hAnsi="Garamond"/>
          <w:shd w:val="clear" w:color="auto" w:fill="FFFFFF"/>
        </w:rPr>
        <w:t xml:space="preserve">Stern, R. </w:t>
      </w:r>
      <w:r w:rsidRPr="00A36463">
        <w:rPr>
          <w:rFonts w:ascii="Garamond" w:hAnsi="Garamond"/>
          <w:iCs/>
          <w:shd w:val="clear" w:color="auto" w:fill="FFFFFF"/>
        </w:rPr>
        <w:t>(2015)</w:t>
      </w:r>
      <w:r w:rsidRPr="00A36463">
        <w:rPr>
          <w:rFonts w:ascii="Garamond" w:hAnsi="Garamond"/>
          <w:i/>
          <w:shd w:val="clear" w:color="auto" w:fill="FFFFFF"/>
        </w:rPr>
        <w:t xml:space="preserve"> Kantian Ethics</w:t>
      </w:r>
      <w:r w:rsidRPr="00A36463">
        <w:rPr>
          <w:rFonts w:ascii="Garamond" w:hAnsi="Garamond"/>
          <w:shd w:val="clear" w:color="auto" w:fill="FFFFFF"/>
        </w:rPr>
        <w:t xml:space="preserve"> (Oxford University Press)</w:t>
      </w:r>
    </w:p>
    <w:p w14:paraId="41358B50" w14:textId="77777777" w:rsidR="00B74A5D" w:rsidRPr="00A36463" w:rsidRDefault="00B74A5D" w:rsidP="00B74A5D">
      <w:pPr>
        <w:rPr>
          <w:rFonts w:ascii="Garamond" w:hAnsi="Garamond"/>
          <w:shd w:val="clear" w:color="auto" w:fill="FFFFFF"/>
        </w:rPr>
      </w:pPr>
    </w:p>
    <w:p w14:paraId="1DD864C9" w14:textId="77777777" w:rsidR="00B74A5D" w:rsidRPr="00A36463" w:rsidRDefault="00B74A5D" w:rsidP="00B74A5D">
      <w:pPr>
        <w:rPr>
          <w:rFonts w:ascii="Garamond" w:hAnsi="Garamond"/>
          <w:shd w:val="clear" w:color="auto" w:fill="FFFFFF"/>
        </w:rPr>
      </w:pPr>
      <w:r w:rsidRPr="00A36463">
        <w:rPr>
          <w:rFonts w:ascii="Garamond" w:hAnsi="Garamond"/>
          <w:shd w:val="clear" w:color="auto" w:fill="FFFFFF"/>
        </w:rPr>
        <w:t xml:space="preserve">Strawson, G. (2010) </w:t>
      </w:r>
      <w:r w:rsidRPr="00A36463">
        <w:rPr>
          <w:rFonts w:ascii="Garamond" w:hAnsi="Garamond"/>
          <w:i/>
          <w:iCs/>
          <w:shd w:val="clear" w:color="auto" w:fill="FFFFFF"/>
        </w:rPr>
        <w:t>Freedom and Belief</w:t>
      </w:r>
      <w:r w:rsidRPr="00A36463">
        <w:rPr>
          <w:rFonts w:ascii="Garamond" w:hAnsi="Garamond"/>
          <w:shd w:val="clear" w:color="auto" w:fill="FFFFFF"/>
        </w:rPr>
        <w:t xml:space="preserve"> (Oxford University Press)</w:t>
      </w:r>
    </w:p>
    <w:p w14:paraId="20AA36C8" w14:textId="77777777" w:rsidR="00B74A5D" w:rsidRPr="00A36463" w:rsidRDefault="00B74A5D" w:rsidP="003C5710">
      <w:pPr>
        <w:rPr>
          <w:rFonts w:ascii="Garamond" w:hAnsi="Garamond"/>
          <w:shd w:val="clear" w:color="auto" w:fill="FFFFFF"/>
        </w:rPr>
      </w:pPr>
    </w:p>
    <w:p w14:paraId="5F2AA4D7" w14:textId="2AE04554" w:rsidR="00A42F51" w:rsidRPr="00A36463" w:rsidRDefault="00A42F51" w:rsidP="00A42F51">
      <w:pPr>
        <w:rPr>
          <w:rFonts w:ascii="Garamond" w:hAnsi="Garamond"/>
          <w:shd w:val="clear" w:color="auto" w:fill="FFFFFF"/>
        </w:rPr>
      </w:pPr>
      <w:r w:rsidRPr="00A36463">
        <w:rPr>
          <w:rFonts w:ascii="Garamond" w:hAnsi="Garamond"/>
          <w:shd w:val="clear" w:color="auto" w:fill="FFFFFF"/>
        </w:rPr>
        <w:t>Thomason, K.K. (2019). [Review of the book </w:t>
      </w:r>
      <w:r w:rsidRPr="00A36463">
        <w:rPr>
          <w:rFonts w:ascii="Garamond" w:hAnsi="Garamond"/>
          <w:i/>
          <w:iCs/>
          <w:shd w:val="clear" w:color="auto" w:fill="FFFFFF"/>
        </w:rPr>
        <w:t>Kant on Persons and Agency</w:t>
      </w:r>
      <w:r w:rsidRPr="00A36463">
        <w:rPr>
          <w:rFonts w:ascii="Garamond" w:hAnsi="Garamond"/>
          <w:shd w:val="clear" w:color="auto" w:fill="FFFFFF"/>
        </w:rPr>
        <w:t> ed. by Eric Watkins]. </w:t>
      </w:r>
      <w:r w:rsidRPr="00A36463">
        <w:rPr>
          <w:rFonts w:ascii="Garamond" w:hAnsi="Garamond"/>
          <w:i/>
          <w:iCs/>
          <w:shd w:val="clear" w:color="auto" w:fill="FFFFFF"/>
        </w:rPr>
        <w:t>Journal of the History of Philosophy</w:t>
      </w:r>
      <w:r w:rsidRPr="00A36463">
        <w:rPr>
          <w:rFonts w:ascii="Garamond" w:hAnsi="Garamond"/>
          <w:shd w:val="clear" w:color="auto" w:fill="FFFFFF"/>
        </w:rPr>
        <w:t> </w:t>
      </w:r>
      <w:r w:rsidRPr="00A36463">
        <w:rPr>
          <w:rFonts w:ascii="Garamond" w:hAnsi="Garamond"/>
          <w:i/>
          <w:iCs/>
          <w:shd w:val="clear" w:color="auto" w:fill="FFFFFF"/>
        </w:rPr>
        <w:t>57</w:t>
      </w:r>
      <w:r w:rsidRPr="00A36463">
        <w:rPr>
          <w:rFonts w:ascii="Garamond" w:hAnsi="Garamond"/>
          <w:shd w:val="clear" w:color="auto" w:fill="FFFFFF"/>
        </w:rPr>
        <w:t>(1), 175-176.</w:t>
      </w:r>
    </w:p>
    <w:p w14:paraId="78D06DA6" w14:textId="6F0B6ABE" w:rsidR="005D01C2" w:rsidRPr="00A36463" w:rsidRDefault="005D01C2" w:rsidP="00A42F51">
      <w:pPr>
        <w:rPr>
          <w:rFonts w:ascii="Garamond" w:hAnsi="Garamond"/>
          <w:shd w:val="clear" w:color="auto" w:fill="FFFFFF"/>
        </w:rPr>
      </w:pPr>
    </w:p>
    <w:p w14:paraId="7102B106" w14:textId="411194CB" w:rsidR="00A42F51" w:rsidRPr="00A36463" w:rsidRDefault="005D01C2" w:rsidP="003C5710">
      <w:pPr>
        <w:rPr>
          <w:rFonts w:ascii="Garamond" w:hAnsi="Garamond"/>
          <w:shd w:val="clear" w:color="auto" w:fill="FFFFFF"/>
        </w:rPr>
      </w:pPr>
      <w:proofErr w:type="spellStart"/>
      <w:r w:rsidRPr="00A36463">
        <w:rPr>
          <w:rFonts w:ascii="Garamond" w:hAnsi="Garamond"/>
          <w:shd w:val="clear" w:color="auto" w:fill="FFFFFF"/>
        </w:rPr>
        <w:t>Timmermann</w:t>
      </w:r>
      <w:proofErr w:type="spellEnd"/>
      <w:r w:rsidRPr="00A36463">
        <w:rPr>
          <w:rFonts w:ascii="Garamond" w:hAnsi="Garamond"/>
          <w:shd w:val="clear" w:color="auto" w:fill="FFFFFF"/>
        </w:rPr>
        <w:t xml:space="preserve">, J. (2018). </w:t>
      </w:r>
      <w:r w:rsidR="00894F05" w:rsidRPr="00A36463">
        <w:rPr>
          <w:rFonts w:ascii="Garamond" w:hAnsi="Garamond"/>
          <w:shd w:val="clear" w:color="auto" w:fill="FFFFFF"/>
        </w:rPr>
        <w:t>‘</w:t>
      </w:r>
      <w:r w:rsidRPr="00A36463">
        <w:rPr>
          <w:rFonts w:ascii="Garamond" w:hAnsi="Garamond"/>
          <w:shd w:val="clear" w:color="auto" w:fill="FFFFFF"/>
        </w:rPr>
        <w:t xml:space="preserve">Autonomy, progress and virtue: why Kant has nothing to fear from the </w:t>
      </w:r>
      <w:proofErr w:type="spellStart"/>
      <w:r w:rsidRPr="00A36463">
        <w:rPr>
          <w:rFonts w:ascii="Garamond" w:hAnsi="Garamond"/>
          <w:shd w:val="clear" w:color="auto" w:fill="FFFFFF"/>
        </w:rPr>
        <w:t>overdemandingness</w:t>
      </w:r>
      <w:proofErr w:type="spellEnd"/>
      <w:r w:rsidRPr="00A36463">
        <w:rPr>
          <w:rFonts w:ascii="Garamond" w:hAnsi="Garamond"/>
          <w:shd w:val="clear" w:color="auto" w:fill="FFFFFF"/>
        </w:rPr>
        <w:t xml:space="preserve"> objection</w:t>
      </w:r>
      <w:r w:rsidR="00894F05" w:rsidRPr="00A36463">
        <w:rPr>
          <w:rFonts w:ascii="Garamond" w:hAnsi="Garamond"/>
          <w:shd w:val="clear" w:color="auto" w:fill="FFFFFF"/>
        </w:rPr>
        <w:t>’ in</w:t>
      </w:r>
      <w:r w:rsidRPr="00A36463">
        <w:rPr>
          <w:rFonts w:ascii="Garamond" w:hAnsi="Garamond"/>
          <w:shd w:val="clear" w:color="auto" w:fill="FFFFFF"/>
        </w:rPr>
        <w:t> </w:t>
      </w:r>
      <w:r w:rsidRPr="00A36463">
        <w:rPr>
          <w:rFonts w:ascii="Garamond" w:hAnsi="Garamond"/>
          <w:i/>
          <w:iCs/>
          <w:shd w:val="clear" w:color="auto" w:fill="FFFFFF"/>
        </w:rPr>
        <w:t>Kantian Review</w:t>
      </w:r>
      <w:r w:rsidRPr="00A36463">
        <w:rPr>
          <w:rFonts w:ascii="Garamond" w:hAnsi="Garamond"/>
          <w:shd w:val="clear" w:color="auto" w:fill="FFFFFF"/>
        </w:rPr>
        <w:t>, </w:t>
      </w:r>
      <w:r w:rsidRPr="00A36463">
        <w:rPr>
          <w:rFonts w:ascii="Garamond" w:hAnsi="Garamond"/>
          <w:i/>
          <w:iCs/>
          <w:shd w:val="clear" w:color="auto" w:fill="FFFFFF"/>
        </w:rPr>
        <w:t>23</w:t>
      </w:r>
      <w:r w:rsidRPr="00A36463">
        <w:rPr>
          <w:rFonts w:ascii="Garamond" w:hAnsi="Garamond"/>
          <w:shd w:val="clear" w:color="auto" w:fill="FFFFFF"/>
        </w:rPr>
        <w:t>(3), 379-397.</w:t>
      </w:r>
    </w:p>
    <w:p w14:paraId="5A86168C" w14:textId="651BDACA" w:rsidR="00C0594E" w:rsidRPr="00A36463" w:rsidRDefault="00C0594E" w:rsidP="003C5710">
      <w:pPr>
        <w:rPr>
          <w:rFonts w:ascii="Garamond" w:hAnsi="Garamond"/>
          <w:shd w:val="clear" w:color="auto" w:fill="FFFFFF"/>
        </w:rPr>
      </w:pPr>
    </w:p>
    <w:p w14:paraId="78A560BB" w14:textId="011CBA5D" w:rsidR="00C0594E" w:rsidRPr="00A36463" w:rsidRDefault="00C0594E" w:rsidP="003C5710">
      <w:pPr>
        <w:rPr>
          <w:rFonts w:ascii="Garamond" w:hAnsi="Garamond"/>
          <w:shd w:val="clear" w:color="auto" w:fill="FFFFFF"/>
        </w:rPr>
      </w:pPr>
      <w:r w:rsidRPr="00A36463">
        <w:rPr>
          <w:rFonts w:ascii="Garamond" w:hAnsi="Garamond"/>
          <w:shd w:val="clear" w:color="auto" w:fill="FFFFFF"/>
        </w:rPr>
        <w:t>Watkins, E. (Ed.). (2017). </w:t>
      </w:r>
      <w:r w:rsidRPr="00A36463">
        <w:rPr>
          <w:rFonts w:ascii="Garamond" w:hAnsi="Garamond"/>
          <w:i/>
          <w:iCs/>
          <w:shd w:val="clear" w:color="auto" w:fill="FFFFFF"/>
        </w:rPr>
        <w:t>Kant on Persons and Agency</w:t>
      </w:r>
      <w:r w:rsidRPr="00A36463">
        <w:rPr>
          <w:rFonts w:ascii="Garamond" w:hAnsi="Garamond"/>
          <w:shd w:val="clear" w:color="auto" w:fill="FFFFFF"/>
        </w:rPr>
        <w:t>. Cambridge University Press.</w:t>
      </w:r>
    </w:p>
    <w:p w14:paraId="37A71C1A" w14:textId="77777777" w:rsidR="003C5710" w:rsidRPr="00A36463" w:rsidRDefault="003C5710" w:rsidP="003C5710">
      <w:pPr>
        <w:rPr>
          <w:rFonts w:ascii="Garamond" w:hAnsi="Garamond"/>
          <w:shd w:val="clear" w:color="auto" w:fill="FFFFFF"/>
        </w:rPr>
      </w:pPr>
    </w:p>
    <w:p w14:paraId="32B6905E" w14:textId="77777777" w:rsidR="00A618DE" w:rsidRPr="00A36463" w:rsidRDefault="00A618DE" w:rsidP="002A3DA3">
      <w:pPr>
        <w:rPr>
          <w:rFonts w:ascii="Garamond" w:hAnsi="Garamond"/>
        </w:rPr>
      </w:pPr>
    </w:p>
    <w:sectPr w:rsidR="00A618DE" w:rsidRPr="00A36463" w:rsidSect="00DB40A0">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B4AAD" w14:textId="77777777" w:rsidR="00853405" w:rsidRDefault="00853405" w:rsidP="00E32F0A">
      <w:r>
        <w:separator/>
      </w:r>
    </w:p>
  </w:endnote>
  <w:endnote w:type="continuationSeparator" w:id="0">
    <w:p w14:paraId="614247FB" w14:textId="77777777" w:rsidR="00853405" w:rsidRDefault="00853405" w:rsidP="00E3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277765"/>
      <w:docPartObj>
        <w:docPartGallery w:val="Page Numbers (Bottom of Page)"/>
        <w:docPartUnique/>
      </w:docPartObj>
    </w:sdtPr>
    <w:sdtEndPr>
      <w:rPr>
        <w:noProof/>
      </w:rPr>
    </w:sdtEndPr>
    <w:sdtContent>
      <w:p w14:paraId="59920F61" w14:textId="5E9DCD20" w:rsidR="00165CE3" w:rsidRDefault="00165CE3">
        <w:pPr>
          <w:pStyle w:val="Footer"/>
          <w:jc w:val="center"/>
        </w:pPr>
        <w:r>
          <w:fldChar w:fldCharType="begin"/>
        </w:r>
        <w:r>
          <w:instrText xml:space="preserve"> PAGE   \* MERGEFORMAT </w:instrText>
        </w:r>
        <w:r>
          <w:fldChar w:fldCharType="separate"/>
        </w:r>
        <w:r w:rsidR="008A5E45">
          <w:rPr>
            <w:noProof/>
          </w:rPr>
          <w:t>1</w:t>
        </w:r>
        <w:r>
          <w:rPr>
            <w:noProof/>
          </w:rPr>
          <w:fldChar w:fldCharType="end"/>
        </w:r>
      </w:p>
    </w:sdtContent>
  </w:sdt>
  <w:p w14:paraId="352A2EDA" w14:textId="77777777" w:rsidR="00165CE3" w:rsidRDefault="0016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4B710" w14:textId="77777777" w:rsidR="00853405" w:rsidRDefault="00853405" w:rsidP="00E32F0A">
      <w:r>
        <w:separator/>
      </w:r>
    </w:p>
  </w:footnote>
  <w:footnote w:type="continuationSeparator" w:id="0">
    <w:p w14:paraId="63D4ED21" w14:textId="77777777" w:rsidR="00853405" w:rsidRDefault="00853405" w:rsidP="00E32F0A">
      <w:r>
        <w:continuationSeparator/>
      </w:r>
    </w:p>
  </w:footnote>
  <w:footnote w:id="1">
    <w:p w14:paraId="6DCC120C" w14:textId="401AE164" w:rsidR="00A36463" w:rsidRPr="00A36463" w:rsidRDefault="00A3646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w:t>
      </w:r>
      <w:r w:rsidRPr="00A36463">
        <w:rPr>
          <w:rFonts w:ascii="Garamond" w:hAnsi="Garamond"/>
        </w:rPr>
        <w:t>Thanks to Bob Stern, Jeremy Dunham, Martin Sticker and Mark Sinclair for helpful feedback on drafts of this review.</w:t>
      </w:r>
    </w:p>
  </w:footnote>
  <w:footnote w:id="2">
    <w:p w14:paraId="74D97C77" w14:textId="45E4A0AF" w:rsidR="00165CE3" w:rsidRPr="00A36463" w:rsidRDefault="00165CE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See, for instance, V: 31. 25-31.</w:t>
      </w:r>
    </w:p>
  </w:footnote>
  <w:footnote w:id="3">
    <w:p w14:paraId="1EB3DD8D" w14:textId="79584B17" w:rsidR="00165CE3" w:rsidRPr="00A36463" w:rsidRDefault="00165CE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For further discussion of this issue, see Hadisi’s (2019) review of this collection.</w:t>
      </w:r>
    </w:p>
  </w:footnote>
  <w:footnote w:id="4">
    <w:p w14:paraId="6489D5EA" w14:textId="198191FD" w:rsidR="00165CE3" w:rsidRPr="00A36463" w:rsidRDefault="00165CE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It does lead to some </w:t>
      </w:r>
      <w:r w:rsidR="007A263A" w:rsidRPr="00A36463">
        <w:rPr>
          <w:rFonts w:ascii="Garamond" w:hAnsi="Garamond"/>
        </w:rPr>
        <w:t>duplication,</w:t>
      </w:r>
      <w:r w:rsidRPr="00A36463">
        <w:rPr>
          <w:rFonts w:ascii="Garamond" w:hAnsi="Garamond"/>
        </w:rPr>
        <w:t xml:space="preserve"> </w:t>
      </w:r>
      <w:r w:rsidR="003F231C" w:rsidRPr="00A36463">
        <w:rPr>
          <w:rFonts w:ascii="Garamond" w:hAnsi="Garamond"/>
        </w:rPr>
        <w:t>however</w:t>
      </w:r>
      <w:r w:rsidRPr="00A36463">
        <w:rPr>
          <w:rFonts w:ascii="Garamond" w:hAnsi="Garamond"/>
        </w:rPr>
        <w:t>. For instance, over the 3 collections, the following philosophers write two chapters: Allen Wood, Paul Guyer, Karl Ameriks, Barbara Herman, Eric Watkins, Pauline Kleingeld, and Marcus Willaschek</w:t>
      </w:r>
    </w:p>
  </w:footnote>
  <w:footnote w:id="5">
    <w:p w14:paraId="17A1D2B5" w14:textId="5BB8BF51" w:rsidR="00165CE3" w:rsidRPr="00A36463" w:rsidRDefault="00165CE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Krista Thomason (2019) makes a similar point about this volume: “</w:t>
      </w:r>
      <w:r w:rsidRPr="00A36463">
        <w:rPr>
          <w:rFonts w:ascii="Garamond" w:hAnsi="Garamond"/>
          <w:color w:val="0A0A0A"/>
          <w:shd w:val="clear" w:color="auto" w:fill="FFFFFF"/>
        </w:rPr>
        <w:t>the collection features no work by junior scholars. The reasons for this are understandable, yet given how many emerging Kantians are working on persons and agency, the volume may have benefited from having new voices in the conversation.”</w:t>
      </w:r>
    </w:p>
  </w:footnote>
  <w:footnote w:id="6">
    <w:p w14:paraId="236D432F" w14:textId="42303B83" w:rsidR="00165CE3" w:rsidRPr="00A36463" w:rsidRDefault="00165CE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Marshall (2019: 329) makes a similar point in his review of this collection: “However, that interpretation makes it hard to see why Kant would (in both the Groundwork and the second Critique) claim that FUL is the fundamental law of practical reason. Such a fundamental law would seem meant for more than correcting common mistakes in agents who already understood their general duties.”</w:t>
      </w:r>
    </w:p>
  </w:footnote>
  <w:footnote w:id="7">
    <w:p w14:paraId="2D235DEE" w14:textId="52F19684" w:rsidR="00165CE3" w:rsidRDefault="00165CE3">
      <w:pPr>
        <w:pStyle w:val="FootnoteText"/>
      </w:pPr>
      <w:r w:rsidRPr="00A36463">
        <w:rPr>
          <w:rStyle w:val="FootnoteReference"/>
          <w:rFonts w:ascii="Garamond" w:hAnsi="Garamond"/>
        </w:rPr>
        <w:footnoteRef/>
      </w:r>
      <w:r w:rsidRPr="00A36463">
        <w:rPr>
          <w:rFonts w:ascii="Garamond" w:hAnsi="Garamond"/>
        </w:rPr>
        <w:t xml:space="preserve"> To be fair, Kant says that they admit of “no exception to the advantage of inclination”, but it is not clear what that could mean in this case. After all, Kant doesn’t think that perfect duties admit of exception at all: “It does not even matter how morally worthy they are because strict duties set the limits within which other duties produce valid obligations. There are several such strict laws: not to murder, not to torture, not to lie etc. They admit of being unrestricted because, as omissions, they cannot conflict with each other. We may well be tempted to dismiss such unrelenting standards, but there can be no question that the philosopher Immanuel Kant was deeply committed to the idea.” (Timmermann 2018: 382)</w:t>
      </w:r>
    </w:p>
  </w:footnote>
  <w:footnote w:id="8">
    <w:p w14:paraId="25535776" w14:textId="3193BA07" w:rsidR="00165CE3" w:rsidRPr="00A36463" w:rsidRDefault="00165CE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See Hegel’s discussion of Kantian morality in the </w:t>
      </w:r>
      <w:r w:rsidRPr="00A36463">
        <w:rPr>
          <w:rFonts w:ascii="Garamond" w:hAnsi="Garamond"/>
          <w:i/>
          <w:iCs/>
        </w:rPr>
        <w:t>Phenomenology</w:t>
      </w:r>
      <w:r w:rsidRPr="00A36463">
        <w:rPr>
          <w:rFonts w:ascii="Garamond" w:hAnsi="Garamond"/>
        </w:rPr>
        <w:t xml:space="preserve"> (</w:t>
      </w:r>
      <w:r w:rsidRPr="00A36463">
        <w:rPr>
          <w:rFonts w:ascii="Garamond" w:hAnsi="Garamond" w:cstheme="minorHAnsi"/>
        </w:rPr>
        <w:t>§</w:t>
      </w:r>
      <w:r w:rsidRPr="00A36463">
        <w:rPr>
          <w:rFonts w:ascii="Garamond" w:hAnsi="Garamond"/>
        </w:rPr>
        <w:t>616-19; 374-76).</w:t>
      </w:r>
    </w:p>
  </w:footnote>
  <w:footnote w:id="9">
    <w:p w14:paraId="36A70B39" w14:textId="6DF94ADE" w:rsidR="00165CE3" w:rsidRPr="00A36463" w:rsidRDefault="00165CE3">
      <w:pPr>
        <w:pStyle w:val="FootnoteText"/>
        <w:rPr>
          <w:rFonts w:ascii="Garamond" w:hAnsi="Garamond"/>
        </w:rPr>
      </w:pPr>
      <w:r w:rsidRPr="00A36463">
        <w:rPr>
          <w:rStyle w:val="FootnoteReference"/>
          <w:rFonts w:ascii="Garamond" w:hAnsi="Garamond"/>
        </w:rPr>
        <w:footnoteRef/>
      </w:r>
      <w:r w:rsidRPr="00A36463">
        <w:rPr>
          <w:rFonts w:ascii="Garamond" w:hAnsi="Garamond"/>
        </w:rPr>
        <w:t xml:space="preserve"> Formosa’s (2019) praise in his review seems spot on: “This volume has a comprehensiveness and coherence to it that is not always present in edited collections. […] Part of this coherence is no doubt due to the book's resulting from a series of workshops in which the authors first discussed Kant's texts and then preliminary versions of their papers. But it is also surely due to the excellent work of Bacin and Sensen. The book covers all the obvious and important precursors, and some less obvious ones, in a careful and systematic way.”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72826"/>
    <w:multiLevelType w:val="hybridMultilevel"/>
    <w:tmpl w:val="E7486FF2"/>
    <w:lvl w:ilvl="0" w:tplc="3FB436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663DE"/>
    <w:multiLevelType w:val="hybridMultilevel"/>
    <w:tmpl w:val="96E69970"/>
    <w:lvl w:ilvl="0" w:tplc="8C367D24">
      <w:start w:val="2018"/>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74AC9"/>
    <w:multiLevelType w:val="hybridMultilevel"/>
    <w:tmpl w:val="72582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300AED"/>
    <w:multiLevelType w:val="hybridMultilevel"/>
    <w:tmpl w:val="A8C65984"/>
    <w:lvl w:ilvl="0" w:tplc="A5DED9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CF"/>
    <w:rsid w:val="000029F5"/>
    <w:rsid w:val="00003F2C"/>
    <w:rsid w:val="000073DA"/>
    <w:rsid w:val="00020249"/>
    <w:rsid w:val="00025B2F"/>
    <w:rsid w:val="000452D8"/>
    <w:rsid w:val="000644BA"/>
    <w:rsid w:val="00075433"/>
    <w:rsid w:val="00087552"/>
    <w:rsid w:val="000969E6"/>
    <w:rsid w:val="000A2C9D"/>
    <w:rsid w:val="000B45CF"/>
    <w:rsid w:val="000E048E"/>
    <w:rsid w:val="000E3A02"/>
    <w:rsid w:val="00112F7F"/>
    <w:rsid w:val="00117D42"/>
    <w:rsid w:val="00132D87"/>
    <w:rsid w:val="00141681"/>
    <w:rsid w:val="0014483C"/>
    <w:rsid w:val="0014777A"/>
    <w:rsid w:val="00154138"/>
    <w:rsid w:val="00160729"/>
    <w:rsid w:val="00165CE3"/>
    <w:rsid w:val="00170290"/>
    <w:rsid w:val="001709E0"/>
    <w:rsid w:val="001744A5"/>
    <w:rsid w:val="00185E40"/>
    <w:rsid w:val="001902D5"/>
    <w:rsid w:val="00194AAA"/>
    <w:rsid w:val="001B52B0"/>
    <w:rsid w:val="001C49E0"/>
    <w:rsid w:val="001F66C6"/>
    <w:rsid w:val="00212CE9"/>
    <w:rsid w:val="0024024A"/>
    <w:rsid w:val="00244E01"/>
    <w:rsid w:val="00246A2A"/>
    <w:rsid w:val="0025355A"/>
    <w:rsid w:val="00260588"/>
    <w:rsid w:val="00272A3D"/>
    <w:rsid w:val="00282816"/>
    <w:rsid w:val="0029441C"/>
    <w:rsid w:val="002959B9"/>
    <w:rsid w:val="0029738C"/>
    <w:rsid w:val="002A3DA3"/>
    <w:rsid w:val="002C07AB"/>
    <w:rsid w:val="002D62BE"/>
    <w:rsid w:val="002E05D7"/>
    <w:rsid w:val="002F2ED9"/>
    <w:rsid w:val="003079DD"/>
    <w:rsid w:val="0031436B"/>
    <w:rsid w:val="003169FD"/>
    <w:rsid w:val="003358A0"/>
    <w:rsid w:val="00353A39"/>
    <w:rsid w:val="00357D0F"/>
    <w:rsid w:val="0036028B"/>
    <w:rsid w:val="003657E3"/>
    <w:rsid w:val="00366394"/>
    <w:rsid w:val="00371BC9"/>
    <w:rsid w:val="00372F13"/>
    <w:rsid w:val="0038508B"/>
    <w:rsid w:val="003B7D5B"/>
    <w:rsid w:val="003C1AEA"/>
    <w:rsid w:val="003C5710"/>
    <w:rsid w:val="003D45D6"/>
    <w:rsid w:val="003D4901"/>
    <w:rsid w:val="003D57AC"/>
    <w:rsid w:val="003D5D05"/>
    <w:rsid w:val="003F231C"/>
    <w:rsid w:val="00400B6C"/>
    <w:rsid w:val="00404B54"/>
    <w:rsid w:val="00412337"/>
    <w:rsid w:val="00430E96"/>
    <w:rsid w:val="00431E59"/>
    <w:rsid w:val="00434F83"/>
    <w:rsid w:val="00446BAC"/>
    <w:rsid w:val="004967C7"/>
    <w:rsid w:val="004A5BF1"/>
    <w:rsid w:val="004B32A1"/>
    <w:rsid w:val="004D1C45"/>
    <w:rsid w:val="004D2446"/>
    <w:rsid w:val="004E146C"/>
    <w:rsid w:val="00501A59"/>
    <w:rsid w:val="0051676B"/>
    <w:rsid w:val="00547A1A"/>
    <w:rsid w:val="00556B48"/>
    <w:rsid w:val="00560FB5"/>
    <w:rsid w:val="005713D4"/>
    <w:rsid w:val="005752D7"/>
    <w:rsid w:val="005A718F"/>
    <w:rsid w:val="005B66BF"/>
    <w:rsid w:val="005D01C2"/>
    <w:rsid w:val="0060269B"/>
    <w:rsid w:val="006153A8"/>
    <w:rsid w:val="00673C64"/>
    <w:rsid w:val="0069773A"/>
    <w:rsid w:val="006C4A5E"/>
    <w:rsid w:val="006D0FF3"/>
    <w:rsid w:val="006E116C"/>
    <w:rsid w:val="006E1CD4"/>
    <w:rsid w:val="006F4DEE"/>
    <w:rsid w:val="006F666B"/>
    <w:rsid w:val="006F708A"/>
    <w:rsid w:val="006F7BCF"/>
    <w:rsid w:val="0070404D"/>
    <w:rsid w:val="00711655"/>
    <w:rsid w:val="007121DF"/>
    <w:rsid w:val="0071314F"/>
    <w:rsid w:val="00713C55"/>
    <w:rsid w:val="00716CE4"/>
    <w:rsid w:val="00745600"/>
    <w:rsid w:val="00745E64"/>
    <w:rsid w:val="0076073D"/>
    <w:rsid w:val="007A009A"/>
    <w:rsid w:val="007A24EC"/>
    <w:rsid w:val="007A263A"/>
    <w:rsid w:val="007A5A07"/>
    <w:rsid w:val="007A6711"/>
    <w:rsid w:val="007C6219"/>
    <w:rsid w:val="007D1E11"/>
    <w:rsid w:val="008007C6"/>
    <w:rsid w:val="008058B2"/>
    <w:rsid w:val="00817DA3"/>
    <w:rsid w:val="00825C72"/>
    <w:rsid w:val="0083429E"/>
    <w:rsid w:val="0084699C"/>
    <w:rsid w:val="00853405"/>
    <w:rsid w:val="00870280"/>
    <w:rsid w:val="00882E71"/>
    <w:rsid w:val="00891926"/>
    <w:rsid w:val="00894F05"/>
    <w:rsid w:val="008A5E45"/>
    <w:rsid w:val="008A6B2D"/>
    <w:rsid w:val="008C3962"/>
    <w:rsid w:val="008C5D4C"/>
    <w:rsid w:val="008E0000"/>
    <w:rsid w:val="008F2C0A"/>
    <w:rsid w:val="00920EEA"/>
    <w:rsid w:val="0092322C"/>
    <w:rsid w:val="0092541F"/>
    <w:rsid w:val="00966822"/>
    <w:rsid w:val="009671E3"/>
    <w:rsid w:val="00976014"/>
    <w:rsid w:val="009A488F"/>
    <w:rsid w:val="009E0842"/>
    <w:rsid w:val="009E658F"/>
    <w:rsid w:val="00A10E57"/>
    <w:rsid w:val="00A10E80"/>
    <w:rsid w:val="00A1614C"/>
    <w:rsid w:val="00A31EEC"/>
    <w:rsid w:val="00A36463"/>
    <w:rsid w:val="00A42F51"/>
    <w:rsid w:val="00A50B81"/>
    <w:rsid w:val="00A60818"/>
    <w:rsid w:val="00A618DE"/>
    <w:rsid w:val="00A71E7E"/>
    <w:rsid w:val="00A71F34"/>
    <w:rsid w:val="00A8151D"/>
    <w:rsid w:val="00AB3E15"/>
    <w:rsid w:val="00AD1608"/>
    <w:rsid w:val="00AE298C"/>
    <w:rsid w:val="00B16012"/>
    <w:rsid w:val="00B2272B"/>
    <w:rsid w:val="00B37F44"/>
    <w:rsid w:val="00B47E31"/>
    <w:rsid w:val="00B506AD"/>
    <w:rsid w:val="00B74A5D"/>
    <w:rsid w:val="00BA2DB4"/>
    <w:rsid w:val="00BB0522"/>
    <w:rsid w:val="00BB7FC8"/>
    <w:rsid w:val="00BD6CAF"/>
    <w:rsid w:val="00BD7B0A"/>
    <w:rsid w:val="00BE421B"/>
    <w:rsid w:val="00C0594E"/>
    <w:rsid w:val="00C05A50"/>
    <w:rsid w:val="00C4727E"/>
    <w:rsid w:val="00C519B7"/>
    <w:rsid w:val="00C57F3F"/>
    <w:rsid w:val="00C74855"/>
    <w:rsid w:val="00C77FF4"/>
    <w:rsid w:val="00C8224B"/>
    <w:rsid w:val="00C94A81"/>
    <w:rsid w:val="00CB5FE4"/>
    <w:rsid w:val="00CD2A05"/>
    <w:rsid w:val="00CE5F20"/>
    <w:rsid w:val="00CF14AB"/>
    <w:rsid w:val="00D13397"/>
    <w:rsid w:val="00D17DBF"/>
    <w:rsid w:val="00D24F1A"/>
    <w:rsid w:val="00D66B29"/>
    <w:rsid w:val="00D823AD"/>
    <w:rsid w:val="00D8449D"/>
    <w:rsid w:val="00D94125"/>
    <w:rsid w:val="00D944AE"/>
    <w:rsid w:val="00D944EA"/>
    <w:rsid w:val="00DB40A0"/>
    <w:rsid w:val="00DF4BA6"/>
    <w:rsid w:val="00E1758A"/>
    <w:rsid w:val="00E32F0A"/>
    <w:rsid w:val="00E53483"/>
    <w:rsid w:val="00E70A0D"/>
    <w:rsid w:val="00E75431"/>
    <w:rsid w:val="00EA1744"/>
    <w:rsid w:val="00EB0623"/>
    <w:rsid w:val="00EC0A95"/>
    <w:rsid w:val="00EC2919"/>
    <w:rsid w:val="00EC733D"/>
    <w:rsid w:val="00ED66F7"/>
    <w:rsid w:val="00F0078B"/>
    <w:rsid w:val="00F016BE"/>
    <w:rsid w:val="00F074ED"/>
    <w:rsid w:val="00F257AE"/>
    <w:rsid w:val="00F25E22"/>
    <w:rsid w:val="00F25E5E"/>
    <w:rsid w:val="00F40553"/>
    <w:rsid w:val="00F46681"/>
    <w:rsid w:val="00F701CC"/>
    <w:rsid w:val="00F74A9A"/>
    <w:rsid w:val="00F86199"/>
    <w:rsid w:val="00F87C0C"/>
    <w:rsid w:val="00F96C3B"/>
    <w:rsid w:val="00FC20F3"/>
    <w:rsid w:val="00FD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F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5CF"/>
    <w:rPr>
      <w:color w:val="0000FF"/>
      <w:u w:val="single"/>
    </w:rPr>
  </w:style>
  <w:style w:type="paragraph" w:styleId="Header">
    <w:name w:val="header"/>
    <w:basedOn w:val="Normal"/>
    <w:link w:val="HeaderChar"/>
    <w:uiPriority w:val="99"/>
    <w:unhideWhenUsed/>
    <w:rsid w:val="00E32F0A"/>
    <w:pPr>
      <w:tabs>
        <w:tab w:val="center" w:pos="4680"/>
        <w:tab w:val="right" w:pos="9360"/>
      </w:tabs>
    </w:pPr>
  </w:style>
  <w:style w:type="character" w:customStyle="1" w:styleId="HeaderChar">
    <w:name w:val="Header Char"/>
    <w:basedOn w:val="DefaultParagraphFont"/>
    <w:link w:val="Header"/>
    <w:uiPriority w:val="99"/>
    <w:rsid w:val="00E32F0A"/>
  </w:style>
  <w:style w:type="paragraph" w:styleId="Footer">
    <w:name w:val="footer"/>
    <w:basedOn w:val="Normal"/>
    <w:link w:val="FooterChar"/>
    <w:uiPriority w:val="99"/>
    <w:unhideWhenUsed/>
    <w:rsid w:val="00E32F0A"/>
    <w:pPr>
      <w:tabs>
        <w:tab w:val="center" w:pos="4680"/>
        <w:tab w:val="right" w:pos="9360"/>
      </w:tabs>
    </w:pPr>
  </w:style>
  <w:style w:type="character" w:customStyle="1" w:styleId="FooterChar">
    <w:name w:val="Footer Char"/>
    <w:basedOn w:val="DefaultParagraphFont"/>
    <w:link w:val="Footer"/>
    <w:uiPriority w:val="99"/>
    <w:rsid w:val="00E32F0A"/>
  </w:style>
  <w:style w:type="paragraph" w:styleId="BalloonText">
    <w:name w:val="Balloon Text"/>
    <w:basedOn w:val="Normal"/>
    <w:link w:val="BalloonTextChar"/>
    <w:uiPriority w:val="99"/>
    <w:semiHidden/>
    <w:unhideWhenUsed/>
    <w:rsid w:val="006F7B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7BCF"/>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DF4BA6"/>
    <w:rPr>
      <w:sz w:val="20"/>
      <w:szCs w:val="20"/>
    </w:rPr>
  </w:style>
  <w:style w:type="character" w:customStyle="1" w:styleId="FootnoteTextChar">
    <w:name w:val="Footnote Text Char"/>
    <w:basedOn w:val="DefaultParagraphFont"/>
    <w:link w:val="FootnoteText"/>
    <w:uiPriority w:val="99"/>
    <w:semiHidden/>
    <w:rsid w:val="00DF4BA6"/>
    <w:rPr>
      <w:sz w:val="20"/>
      <w:szCs w:val="20"/>
    </w:rPr>
  </w:style>
  <w:style w:type="character" w:styleId="FootnoteReference">
    <w:name w:val="footnote reference"/>
    <w:basedOn w:val="DefaultParagraphFont"/>
    <w:uiPriority w:val="99"/>
    <w:semiHidden/>
    <w:unhideWhenUsed/>
    <w:rsid w:val="00DF4BA6"/>
    <w:rPr>
      <w:vertAlign w:val="superscript"/>
    </w:rPr>
  </w:style>
  <w:style w:type="character" w:customStyle="1" w:styleId="UnresolvedMention1">
    <w:name w:val="Unresolved Mention1"/>
    <w:basedOn w:val="DefaultParagraphFont"/>
    <w:uiPriority w:val="99"/>
    <w:semiHidden/>
    <w:unhideWhenUsed/>
    <w:rsid w:val="00DF4BA6"/>
    <w:rPr>
      <w:color w:val="605E5C"/>
      <w:shd w:val="clear" w:color="auto" w:fill="E1DFDD"/>
    </w:rPr>
  </w:style>
  <w:style w:type="paragraph" w:styleId="ListParagraph">
    <w:name w:val="List Paragraph"/>
    <w:basedOn w:val="Normal"/>
    <w:uiPriority w:val="34"/>
    <w:qFormat/>
    <w:rsid w:val="00BD7B0A"/>
    <w:pPr>
      <w:ind w:left="720"/>
      <w:contextualSpacing/>
    </w:pPr>
  </w:style>
  <w:style w:type="character" w:styleId="CommentReference">
    <w:name w:val="annotation reference"/>
    <w:basedOn w:val="DefaultParagraphFont"/>
    <w:uiPriority w:val="99"/>
    <w:semiHidden/>
    <w:unhideWhenUsed/>
    <w:rsid w:val="001C49E0"/>
    <w:rPr>
      <w:sz w:val="16"/>
      <w:szCs w:val="16"/>
    </w:rPr>
  </w:style>
  <w:style w:type="paragraph" w:styleId="CommentText">
    <w:name w:val="annotation text"/>
    <w:basedOn w:val="Normal"/>
    <w:link w:val="CommentTextChar"/>
    <w:uiPriority w:val="99"/>
    <w:semiHidden/>
    <w:unhideWhenUsed/>
    <w:rsid w:val="001C49E0"/>
    <w:rPr>
      <w:sz w:val="20"/>
      <w:szCs w:val="20"/>
    </w:rPr>
  </w:style>
  <w:style w:type="character" w:customStyle="1" w:styleId="CommentTextChar">
    <w:name w:val="Comment Text Char"/>
    <w:basedOn w:val="DefaultParagraphFont"/>
    <w:link w:val="CommentText"/>
    <w:uiPriority w:val="99"/>
    <w:semiHidden/>
    <w:rsid w:val="001C49E0"/>
    <w:rPr>
      <w:sz w:val="20"/>
      <w:szCs w:val="20"/>
    </w:rPr>
  </w:style>
  <w:style w:type="paragraph" w:styleId="CommentSubject">
    <w:name w:val="annotation subject"/>
    <w:basedOn w:val="CommentText"/>
    <w:next w:val="CommentText"/>
    <w:link w:val="CommentSubjectChar"/>
    <w:uiPriority w:val="99"/>
    <w:semiHidden/>
    <w:unhideWhenUsed/>
    <w:rsid w:val="001C49E0"/>
    <w:rPr>
      <w:b/>
      <w:bCs/>
    </w:rPr>
  </w:style>
  <w:style w:type="character" w:customStyle="1" w:styleId="CommentSubjectChar">
    <w:name w:val="Comment Subject Char"/>
    <w:basedOn w:val="CommentTextChar"/>
    <w:link w:val="CommentSubject"/>
    <w:uiPriority w:val="99"/>
    <w:semiHidden/>
    <w:rsid w:val="001C49E0"/>
    <w:rPr>
      <w:b/>
      <w:bCs/>
      <w:sz w:val="20"/>
      <w:szCs w:val="20"/>
    </w:rPr>
  </w:style>
  <w:style w:type="paragraph" w:styleId="NormalWeb">
    <w:name w:val="Normal (Web)"/>
    <w:basedOn w:val="Normal"/>
    <w:uiPriority w:val="99"/>
    <w:semiHidden/>
    <w:unhideWhenUsed/>
    <w:rsid w:val="0007543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C5710"/>
  </w:style>
  <w:style w:type="paragraph" w:customStyle="1" w:styleId="xxxmsonormal">
    <w:name w:val="x_x_xmsonormal"/>
    <w:basedOn w:val="Normal"/>
    <w:rsid w:val="00431E59"/>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rsid w:val="00A36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98944">
      <w:bodyDiv w:val="1"/>
      <w:marLeft w:val="0"/>
      <w:marRight w:val="0"/>
      <w:marTop w:val="0"/>
      <w:marBottom w:val="0"/>
      <w:divBdr>
        <w:top w:val="none" w:sz="0" w:space="0" w:color="auto"/>
        <w:left w:val="none" w:sz="0" w:space="0" w:color="auto"/>
        <w:bottom w:val="none" w:sz="0" w:space="0" w:color="auto"/>
        <w:right w:val="none" w:sz="0" w:space="0" w:color="auto"/>
      </w:divBdr>
      <w:divsChild>
        <w:div w:id="2132477118">
          <w:marLeft w:val="0"/>
          <w:marRight w:val="0"/>
          <w:marTop w:val="0"/>
          <w:marBottom w:val="0"/>
          <w:divBdr>
            <w:top w:val="single" w:sz="18" w:space="4" w:color="006FCA"/>
            <w:left w:val="single" w:sz="18" w:space="4" w:color="006FCA"/>
            <w:bottom w:val="single" w:sz="18" w:space="4" w:color="006FCA"/>
            <w:right w:val="single" w:sz="18" w:space="4" w:color="006FCA"/>
          </w:divBdr>
          <w:divsChild>
            <w:div w:id="2123724104">
              <w:marLeft w:val="0"/>
              <w:marRight w:val="0"/>
              <w:marTop w:val="0"/>
              <w:marBottom w:val="0"/>
              <w:divBdr>
                <w:top w:val="none" w:sz="0" w:space="0" w:color="auto"/>
                <w:left w:val="none" w:sz="0" w:space="0" w:color="auto"/>
                <w:bottom w:val="none" w:sz="0" w:space="0" w:color="auto"/>
                <w:right w:val="none" w:sz="0" w:space="0" w:color="auto"/>
              </w:divBdr>
              <w:divsChild>
                <w:div w:id="1928221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6095549">
      <w:bodyDiv w:val="1"/>
      <w:marLeft w:val="0"/>
      <w:marRight w:val="0"/>
      <w:marTop w:val="0"/>
      <w:marBottom w:val="0"/>
      <w:divBdr>
        <w:top w:val="none" w:sz="0" w:space="0" w:color="auto"/>
        <w:left w:val="none" w:sz="0" w:space="0" w:color="auto"/>
        <w:bottom w:val="none" w:sz="0" w:space="0" w:color="auto"/>
        <w:right w:val="none" w:sz="0" w:space="0" w:color="auto"/>
      </w:divBdr>
      <w:divsChild>
        <w:div w:id="1497528829">
          <w:marLeft w:val="0"/>
          <w:marRight w:val="0"/>
          <w:marTop w:val="0"/>
          <w:marBottom w:val="0"/>
          <w:divBdr>
            <w:top w:val="none" w:sz="0" w:space="0" w:color="auto"/>
            <w:left w:val="none" w:sz="0" w:space="0" w:color="auto"/>
            <w:bottom w:val="none" w:sz="0" w:space="0" w:color="auto"/>
            <w:right w:val="none" w:sz="0" w:space="0" w:color="auto"/>
          </w:divBdr>
          <w:divsChild>
            <w:div w:id="19197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695">
      <w:bodyDiv w:val="1"/>
      <w:marLeft w:val="0"/>
      <w:marRight w:val="0"/>
      <w:marTop w:val="0"/>
      <w:marBottom w:val="0"/>
      <w:divBdr>
        <w:top w:val="none" w:sz="0" w:space="0" w:color="auto"/>
        <w:left w:val="none" w:sz="0" w:space="0" w:color="auto"/>
        <w:bottom w:val="none" w:sz="0" w:space="0" w:color="auto"/>
        <w:right w:val="none" w:sz="0" w:space="0" w:color="auto"/>
      </w:divBdr>
      <w:divsChild>
        <w:div w:id="1153717581">
          <w:marLeft w:val="0"/>
          <w:marRight w:val="0"/>
          <w:marTop w:val="0"/>
          <w:marBottom w:val="0"/>
          <w:divBdr>
            <w:top w:val="single" w:sz="18" w:space="4" w:color="006FCA"/>
            <w:left w:val="single" w:sz="18" w:space="4" w:color="006FCA"/>
            <w:bottom w:val="single" w:sz="18" w:space="4" w:color="006FCA"/>
            <w:right w:val="single" w:sz="18" w:space="4" w:color="006FCA"/>
          </w:divBdr>
          <w:divsChild>
            <w:div w:id="1877543041">
              <w:marLeft w:val="0"/>
              <w:marRight w:val="0"/>
              <w:marTop w:val="0"/>
              <w:marBottom w:val="0"/>
              <w:divBdr>
                <w:top w:val="none" w:sz="0" w:space="0" w:color="auto"/>
                <w:left w:val="none" w:sz="0" w:space="0" w:color="auto"/>
                <w:bottom w:val="none" w:sz="0" w:space="0" w:color="auto"/>
                <w:right w:val="none" w:sz="0" w:space="0" w:color="auto"/>
              </w:divBdr>
              <w:divsChild>
                <w:div w:id="1036944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33585136">
      <w:bodyDiv w:val="1"/>
      <w:marLeft w:val="0"/>
      <w:marRight w:val="0"/>
      <w:marTop w:val="0"/>
      <w:marBottom w:val="0"/>
      <w:divBdr>
        <w:top w:val="none" w:sz="0" w:space="0" w:color="auto"/>
        <w:left w:val="none" w:sz="0" w:space="0" w:color="auto"/>
        <w:bottom w:val="none" w:sz="0" w:space="0" w:color="auto"/>
        <w:right w:val="none" w:sz="0" w:space="0" w:color="auto"/>
      </w:divBdr>
    </w:div>
    <w:div w:id="300772997">
      <w:bodyDiv w:val="1"/>
      <w:marLeft w:val="0"/>
      <w:marRight w:val="0"/>
      <w:marTop w:val="0"/>
      <w:marBottom w:val="0"/>
      <w:divBdr>
        <w:top w:val="none" w:sz="0" w:space="0" w:color="auto"/>
        <w:left w:val="none" w:sz="0" w:space="0" w:color="auto"/>
        <w:bottom w:val="none" w:sz="0" w:space="0" w:color="auto"/>
        <w:right w:val="none" w:sz="0" w:space="0" w:color="auto"/>
      </w:divBdr>
      <w:divsChild>
        <w:div w:id="828712783">
          <w:marLeft w:val="0"/>
          <w:marRight w:val="0"/>
          <w:marTop w:val="0"/>
          <w:marBottom w:val="0"/>
          <w:divBdr>
            <w:top w:val="none" w:sz="0" w:space="0" w:color="auto"/>
            <w:left w:val="none" w:sz="0" w:space="0" w:color="auto"/>
            <w:bottom w:val="none" w:sz="0" w:space="0" w:color="auto"/>
            <w:right w:val="none" w:sz="0" w:space="0" w:color="auto"/>
          </w:divBdr>
        </w:div>
      </w:divsChild>
    </w:div>
    <w:div w:id="535234125">
      <w:bodyDiv w:val="1"/>
      <w:marLeft w:val="0"/>
      <w:marRight w:val="0"/>
      <w:marTop w:val="0"/>
      <w:marBottom w:val="0"/>
      <w:divBdr>
        <w:top w:val="none" w:sz="0" w:space="0" w:color="auto"/>
        <w:left w:val="none" w:sz="0" w:space="0" w:color="auto"/>
        <w:bottom w:val="none" w:sz="0" w:space="0" w:color="auto"/>
        <w:right w:val="none" w:sz="0" w:space="0" w:color="auto"/>
      </w:divBdr>
    </w:div>
    <w:div w:id="650446603">
      <w:bodyDiv w:val="1"/>
      <w:marLeft w:val="0"/>
      <w:marRight w:val="0"/>
      <w:marTop w:val="0"/>
      <w:marBottom w:val="0"/>
      <w:divBdr>
        <w:top w:val="none" w:sz="0" w:space="0" w:color="auto"/>
        <w:left w:val="none" w:sz="0" w:space="0" w:color="auto"/>
        <w:bottom w:val="none" w:sz="0" w:space="0" w:color="auto"/>
        <w:right w:val="none" w:sz="0" w:space="0" w:color="auto"/>
      </w:divBdr>
      <w:divsChild>
        <w:div w:id="1489593836">
          <w:marLeft w:val="0"/>
          <w:marRight w:val="0"/>
          <w:marTop w:val="0"/>
          <w:marBottom w:val="0"/>
          <w:divBdr>
            <w:top w:val="none" w:sz="0" w:space="0" w:color="auto"/>
            <w:left w:val="none" w:sz="0" w:space="0" w:color="auto"/>
            <w:bottom w:val="none" w:sz="0" w:space="0" w:color="auto"/>
            <w:right w:val="none" w:sz="0" w:space="0" w:color="auto"/>
          </w:divBdr>
          <w:divsChild>
            <w:div w:id="4587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6038">
      <w:bodyDiv w:val="1"/>
      <w:marLeft w:val="0"/>
      <w:marRight w:val="0"/>
      <w:marTop w:val="0"/>
      <w:marBottom w:val="0"/>
      <w:divBdr>
        <w:top w:val="none" w:sz="0" w:space="0" w:color="auto"/>
        <w:left w:val="none" w:sz="0" w:space="0" w:color="auto"/>
        <w:bottom w:val="none" w:sz="0" w:space="0" w:color="auto"/>
        <w:right w:val="none" w:sz="0" w:space="0" w:color="auto"/>
      </w:divBdr>
    </w:div>
    <w:div w:id="744913374">
      <w:bodyDiv w:val="1"/>
      <w:marLeft w:val="0"/>
      <w:marRight w:val="0"/>
      <w:marTop w:val="0"/>
      <w:marBottom w:val="0"/>
      <w:divBdr>
        <w:top w:val="none" w:sz="0" w:space="0" w:color="auto"/>
        <w:left w:val="none" w:sz="0" w:space="0" w:color="auto"/>
        <w:bottom w:val="none" w:sz="0" w:space="0" w:color="auto"/>
        <w:right w:val="none" w:sz="0" w:space="0" w:color="auto"/>
      </w:divBdr>
    </w:div>
    <w:div w:id="777407234">
      <w:bodyDiv w:val="1"/>
      <w:marLeft w:val="0"/>
      <w:marRight w:val="0"/>
      <w:marTop w:val="0"/>
      <w:marBottom w:val="0"/>
      <w:divBdr>
        <w:top w:val="none" w:sz="0" w:space="0" w:color="auto"/>
        <w:left w:val="none" w:sz="0" w:space="0" w:color="auto"/>
        <w:bottom w:val="none" w:sz="0" w:space="0" w:color="auto"/>
        <w:right w:val="none" w:sz="0" w:space="0" w:color="auto"/>
      </w:divBdr>
    </w:div>
    <w:div w:id="827483058">
      <w:bodyDiv w:val="1"/>
      <w:marLeft w:val="0"/>
      <w:marRight w:val="0"/>
      <w:marTop w:val="0"/>
      <w:marBottom w:val="0"/>
      <w:divBdr>
        <w:top w:val="none" w:sz="0" w:space="0" w:color="auto"/>
        <w:left w:val="none" w:sz="0" w:space="0" w:color="auto"/>
        <w:bottom w:val="none" w:sz="0" w:space="0" w:color="auto"/>
        <w:right w:val="none" w:sz="0" w:space="0" w:color="auto"/>
      </w:divBdr>
    </w:div>
    <w:div w:id="859779029">
      <w:bodyDiv w:val="1"/>
      <w:marLeft w:val="0"/>
      <w:marRight w:val="0"/>
      <w:marTop w:val="0"/>
      <w:marBottom w:val="0"/>
      <w:divBdr>
        <w:top w:val="none" w:sz="0" w:space="0" w:color="auto"/>
        <w:left w:val="none" w:sz="0" w:space="0" w:color="auto"/>
        <w:bottom w:val="none" w:sz="0" w:space="0" w:color="auto"/>
        <w:right w:val="none" w:sz="0" w:space="0" w:color="auto"/>
      </w:divBdr>
      <w:divsChild>
        <w:div w:id="676153097">
          <w:marLeft w:val="0"/>
          <w:marRight w:val="0"/>
          <w:marTop w:val="0"/>
          <w:marBottom w:val="0"/>
          <w:divBdr>
            <w:top w:val="none" w:sz="0" w:space="0" w:color="auto"/>
            <w:left w:val="none" w:sz="0" w:space="0" w:color="auto"/>
            <w:bottom w:val="none" w:sz="0" w:space="0" w:color="auto"/>
            <w:right w:val="none" w:sz="0" w:space="0" w:color="auto"/>
          </w:divBdr>
        </w:div>
      </w:divsChild>
    </w:div>
    <w:div w:id="873274435">
      <w:bodyDiv w:val="1"/>
      <w:marLeft w:val="0"/>
      <w:marRight w:val="0"/>
      <w:marTop w:val="0"/>
      <w:marBottom w:val="0"/>
      <w:divBdr>
        <w:top w:val="none" w:sz="0" w:space="0" w:color="auto"/>
        <w:left w:val="none" w:sz="0" w:space="0" w:color="auto"/>
        <w:bottom w:val="none" w:sz="0" w:space="0" w:color="auto"/>
        <w:right w:val="none" w:sz="0" w:space="0" w:color="auto"/>
      </w:divBdr>
      <w:divsChild>
        <w:div w:id="595553389">
          <w:marLeft w:val="0"/>
          <w:marRight w:val="0"/>
          <w:marTop w:val="0"/>
          <w:marBottom w:val="0"/>
          <w:divBdr>
            <w:top w:val="single" w:sz="18" w:space="4" w:color="006FCA"/>
            <w:left w:val="single" w:sz="18" w:space="4" w:color="006FCA"/>
            <w:bottom w:val="single" w:sz="18" w:space="4" w:color="006FCA"/>
            <w:right w:val="single" w:sz="18" w:space="4" w:color="006FCA"/>
          </w:divBdr>
          <w:divsChild>
            <w:div w:id="669451475">
              <w:marLeft w:val="0"/>
              <w:marRight w:val="0"/>
              <w:marTop w:val="0"/>
              <w:marBottom w:val="0"/>
              <w:divBdr>
                <w:top w:val="none" w:sz="0" w:space="0" w:color="auto"/>
                <w:left w:val="none" w:sz="0" w:space="0" w:color="auto"/>
                <w:bottom w:val="none" w:sz="0" w:space="0" w:color="auto"/>
                <w:right w:val="none" w:sz="0" w:space="0" w:color="auto"/>
              </w:divBdr>
              <w:divsChild>
                <w:div w:id="656571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98252678">
      <w:bodyDiv w:val="1"/>
      <w:marLeft w:val="0"/>
      <w:marRight w:val="0"/>
      <w:marTop w:val="0"/>
      <w:marBottom w:val="0"/>
      <w:divBdr>
        <w:top w:val="none" w:sz="0" w:space="0" w:color="auto"/>
        <w:left w:val="none" w:sz="0" w:space="0" w:color="auto"/>
        <w:bottom w:val="none" w:sz="0" w:space="0" w:color="auto"/>
        <w:right w:val="none" w:sz="0" w:space="0" w:color="auto"/>
      </w:divBdr>
    </w:div>
    <w:div w:id="1096679642">
      <w:bodyDiv w:val="1"/>
      <w:marLeft w:val="0"/>
      <w:marRight w:val="0"/>
      <w:marTop w:val="0"/>
      <w:marBottom w:val="0"/>
      <w:divBdr>
        <w:top w:val="none" w:sz="0" w:space="0" w:color="auto"/>
        <w:left w:val="none" w:sz="0" w:space="0" w:color="auto"/>
        <w:bottom w:val="none" w:sz="0" w:space="0" w:color="auto"/>
        <w:right w:val="none" w:sz="0" w:space="0" w:color="auto"/>
      </w:divBdr>
    </w:div>
    <w:div w:id="1341808960">
      <w:bodyDiv w:val="1"/>
      <w:marLeft w:val="0"/>
      <w:marRight w:val="0"/>
      <w:marTop w:val="0"/>
      <w:marBottom w:val="0"/>
      <w:divBdr>
        <w:top w:val="none" w:sz="0" w:space="0" w:color="auto"/>
        <w:left w:val="none" w:sz="0" w:space="0" w:color="auto"/>
        <w:bottom w:val="none" w:sz="0" w:space="0" w:color="auto"/>
        <w:right w:val="none" w:sz="0" w:space="0" w:color="auto"/>
      </w:divBdr>
      <w:divsChild>
        <w:div w:id="1285581276">
          <w:marLeft w:val="0"/>
          <w:marRight w:val="0"/>
          <w:marTop w:val="0"/>
          <w:marBottom w:val="0"/>
          <w:divBdr>
            <w:top w:val="single" w:sz="18" w:space="4" w:color="006FCA"/>
            <w:left w:val="single" w:sz="18" w:space="4" w:color="006FCA"/>
            <w:bottom w:val="single" w:sz="18" w:space="4" w:color="006FCA"/>
            <w:right w:val="single" w:sz="18" w:space="4" w:color="006FCA"/>
          </w:divBdr>
          <w:divsChild>
            <w:div w:id="894048853">
              <w:marLeft w:val="0"/>
              <w:marRight w:val="0"/>
              <w:marTop w:val="0"/>
              <w:marBottom w:val="0"/>
              <w:divBdr>
                <w:top w:val="none" w:sz="0" w:space="0" w:color="auto"/>
                <w:left w:val="none" w:sz="0" w:space="0" w:color="auto"/>
                <w:bottom w:val="none" w:sz="0" w:space="0" w:color="auto"/>
                <w:right w:val="none" w:sz="0" w:space="0" w:color="auto"/>
              </w:divBdr>
              <w:divsChild>
                <w:div w:id="459803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65153905">
      <w:bodyDiv w:val="1"/>
      <w:marLeft w:val="0"/>
      <w:marRight w:val="0"/>
      <w:marTop w:val="0"/>
      <w:marBottom w:val="0"/>
      <w:divBdr>
        <w:top w:val="none" w:sz="0" w:space="0" w:color="auto"/>
        <w:left w:val="none" w:sz="0" w:space="0" w:color="auto"/>
        <w:bottom w:val="none" w:sz="0" w:space="0" w:color="auto"/>
        <w:right w:val="none" w:sz="0" w:space="0" w:color="auto"/>
      </w:divBdr>
    </w:div>
    <w:div w:id="1555892116">
      <w:bodyDiv w:val="1"/>
      <w:marLeft w:val="0"/>
      <w:marRight w:val="0"/>
      <w:marTop w:val="0"/>
      <w:marBottom w:val="0"/>
      <w:divBdr>
        <w:top w:val="none" w:sz="0" w:space="0" w:color="auto"/>
        <w:left w:val="none" w:sz="0" w:space="0" w:color="auto"/>
        <w:bottom w:val="none" w:sz="0" w:space="0" w:color="auto"/>
        <w:right w:val="none" w:sz="0" w:space="0" w:color="auto"/>
      </w:divBdr>
      <w:divsChild>
        <w:div w:id="2021472145">
          <w:marLeft w:val="0"/>
          <w:marRight w:val="0"/>
          <w:marTop w:val="0"/>
          <w:marBottom w:val="0"/>
          <w:divBdr>
            <w:top w:val="none" w:sz="0" w:space="0" w:color="auto"/>
            <w:left w:val="none" w:sz="0" w:space="0" w:color="auto"/>
            <w:bottom w:val="none" w:sz="0" w:space="0" w:color="auto"/>
            <w:right w:val="none" w:sz="0" w:space="0" w:color="auto"/>
          </w:divBdr>
          <w:divsChild>
            <w:div w:id="12210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8202">
      <w:bodyDiv w:val="1"/>
      <w:marLeft w:val="0"/>
      <w:marRight w:val="0"/>
      <w:marTop w:val="0"/>
      <w:marBottom w:val="0"/>
      <w:divBdr>
        <w:top w:val="none" w:sz="0" w:space="0" w:color="auto"/>
        <w:left w:val="none" w:sz="0" w:space="0" w:color="auto"/>
        <w:bottom w:val="none" w:sz="0" w:space="0" w:color="auto"/>
        <w:right w:val="none" w:sz="0" w:space="0" w:color="auto"/>
      </w:divBdr>
      <w:divsChild>
        <w:div w:id="494880879">
          <w:marLeft w:val="0"/>
          <w:marRight w:val="0"/>
          <w:marTop w:val="0"/>
          <w:marBottom w:val="0"/>
          <w:divBdr>
            <w:top w:val="none" w:sz="0" w:space="0" w:color="auto"/>
            <w:left w:val="none" w:sz="0" w:space="0" w:color="auto"/>
            <w:bottom w:val="none" w:sz="0" w:space="0" w:color="auto"/>
            <w:right w:val="none" w:sz="0" w:space="0" w:color="auto"/>
          </w:divBdr>
        </w:div>
      </w:divsChild>
    </w:div>
    <w:div w:id="1920288390">
      <w:bodyDiv w:val="1"/>
      <w:marLeft w:val="0"/>
      <w:marRight w:val="0"/>
      <w:marTop w:val="0"/>
      <w:marBottom w:val="0"/>
      <w:divBdr>
        <w:top w:val="none" w:sz="0" w:space="0" w:color="auto"/>
        <w:left w:val="none" w:sz="0" w:space="0" w:color="auto"/>
        <w:bottom w:val="none" w:sz="0" w:space="0" w:color="auto"/>
        <w:right w:val="none" w:sz="0" w:space="0" w:color="auto"/>
      </w:divBdr>
      <w:divsChild>
        <w:div w:id="240943072">
          <w:marLeft w:val="0"/>
          <w:marRight w:val="0"/>
          <w:marTop w:val="0"/>
          <w:marBottom w:val="0"/>
          <w:divBdr>
            <w:top w:val="none" w:sz="0" w:space="0" w:color="auto"/>
            <w:left w:val="none" w:sz="0" w:space="0" w:color="auto"/>
            <w:bottom w:val="none" w:sz="0" w:space="0" w:color="auto"/>
            <w:right w:val="none" w:sz="0" w:space="0" w:color="auto"/>
          </w:divBdr>
          <w:divsChild>
            <w:div w:id="300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761">
      <w:bodyDiv w:val="1"/>
      <w:marLeft w:val="0"/>
      <w:marRight w:val="0"/>
      <w:marTop w:val="0"/>
      <w:marBottom w:val="0"/>
      <w:divBdr>
        <w:top w:val="none" w:sz="0" w:space="0" w:color="auto"/>
        <w:left w:val="none" w:sz="0" w:space="0" w:color="auto"/>
        <w:bottom w:val="none" w:sz="0" w:space="0" w:color="auto"/>
        <w:right w:val="none" w:sz="0" w:space="0" w:color="auto"/>
      </w:divBdr>
    </w:div>
    <w:div w:id="2063097945">
      <w:bodyDiv w:val="1"/>
      <w:marLeft w:val="0"/>
      <w:marRight w:val="0"/>
      <w:marTop w:val="0"/>
      <w:marBottom w:val="0"/>
      <w:divBdr>
        <w:top w:val="none" w:sz="0" w:space="0" w:color="auto"/>
        <w:left w:val="none" w:sz="0" w:space="0" w:color="auto"/>
        <w:bottom w:val="none" w:sz="0" w:space="0" w:color="auto"/>
        <w:right w:val="none" w:sz="0" w:space="0" w:color="auto"/>
      </w:divBdr>
    </w:div>
    <w:div w:id="209342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08788.2020.18652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2232-EABD-457C-89A0-C7B8DC50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5118</Words>
  <Characters>29176</Characters>
  <Application>Microsoft Office Word</Application>
  <DocSecurity>0</DocSecurity>
  <Lines>243</Lines>
  <Paragraphs>68</Paragraphs>
  <ScaleCrop>false</ScaleCrop>
  <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2021-01-25T10:18:00Z</dcterms:created>
  <dcterms:modified xsi:type="dcterms:W3CDTF">2021-01-25T10:18:00Z</dcterms:modified>
</cp:coreProperties>
</file>