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Nothing Too Much</w:t>
      </w:r>
    </w:p>
    <w:p>
      <w:pPr>
        <w:pStyle w:val="Subtitle"/>
      </w:pPr>
      <w:r>
        <w:t xml:space="preserve">Toward a Conceptual Foundation for Delphic Medicine</w:t>
      </w:r>
    </w:p>
    <w:p>
      <w:pPr>
        <w:pStyle w:val="Heading1"/>
      </w:pPr>
      <w:r>
        <w:t xml:space="preserve">Abstract</w:t>
      </w:r>
    </w:p>
    <w:p>
      <w:pPr>
        <w:pStyle w:val="Abstract"/>
      </w:pPr>
      <w:r>
        <w:t xml:space="preserve">Many medical and regulatory domains adopt Linear No-Threshold (LNT) assumptions: any non-zero exposure produces proportional harm. This paper argues that LNT is conceptually inadmissible as a default for adaptive biological systems. Because means have conditional value—value dependent on the ends they serve—they necessarily have bounded effective ranges. This structure, captured by the Delphic maxim </w:t>
      </w:r>
      <w:r>
        <w:rPr>
          <w:i/>
          <w:iCs/>
        </w:rPr>
        <w:t xml:space="preserve">mēden agan</w:t>
      </w:r>
      <w:r>
        <w:t xml:space="preserve"> (nothing too much), is a formal entailment of instrumental reasoning. In adaptive systems, monotonic linear harm should be the exception requiring explanation, not the null hypothesis. The paper's contribution is twofold: to derive bounded dose-response as a conceptual entailment that shifts the burden of proof to defenders of LNT; and to rehabilitate natural philosophy—systems theory applied to living systems—as capable of generating the general form correct medical hypotheses must take, while leaving to empirical science the determination of where specific bounds fall.</w:t>
      </w:r>
    </w:p>
    <w:p>
      <w:pPr>
        <w:pStyle w:val="Heading1"/>
      </w:pPr>
      <w:r>
        <w:t xml:space="preserve">0. Orientation and Scope</w:t>
      </w:r>
    </w:p>
    <w:p>
      <w:r>
        <w:t xml:space="preserve">Medicine intervenes in living systems—not inert substrates but self-maintaining, adaptive, feedback-governed systems capable of response, compensation, and reorganization. These interventions are quantifiable: we speak of doses, durations, frequencies, timings. The question of </w:t>
      </w:r>
      <w:r>
        <w:rPr>
          <w:i/>
          <w:iCs/>
        </w:rPr>
        <w:t xml:space="preserve">how much</w:t>
      </w:r>
      <w:r>
        <w:t xml:space="preserve"> is central to medical reasoning. A drug that saves at one dose may kill at another; an exercise that strengthens at one frequency may injure at another.</w:t>
      </w:r>
    </w:p>
    <w:p>
      <w:r>
        <w:t xml:space="preserve">Yet many domains adopt a strikingly simple assumption: that any non-zero exposure to a harmful agent produces proportional harm, with no threshold and no reversal. This Linear No-Threshold (LNT) model, originally developed for ionizing radiation, now functions across toxicology, pharmacology, and environmental health as a default assumption about how biological systems respond.</w:t>
      </w:r>
    </w:p>
    <w:p>
      <w:r>
        <w:t xml:space="preserve">This paper asks a prior question: Is LNT conceptually admissible as a default for adaptive systems? Not whether LNT is ever true, but whether it deserves the epistemic privilege of the null hypothesis.</w:t>
      </w:r>
    </w:p>
    <w:p>
      <w:r>
        <w:t xml:space="preserve">Clarity about scope: this paper offers </w:t>
      </w:r>
      <w:r>
        <w:rPr>
          <w:i/>
          <w:iCs/>
        </w:rPr>
        <w:t xml:space="preserve">conceptual analysis</w:t>
      </w:r>
      <w:r>
        <w:t xml:space="preserve"> of means-end reasoning and a </w:t>
      </w:r>
      <w:r>
        <w:rPr>
          <w:i/>
          <w:iCs/>
        </w:rPr>
        <w:t xml:space="preserve">critique</w:t>
      </w:r>
      <w:r>
        <w:t xml:space="preserve"> of dose-response assumptions conflicting with that logic. It is </w:t>
      </w:r>
      <w:r>
        <w:rPr>
          <w:i/>
          <w:iCs/>
        </w:rPr>
        <w:t xml:space="preserve">not</w:t>
      </w:r>
      <w:r>
        <w:t xml:space="preserve"> a dosing recommendation or regulatory proposal. Hormesis will feature as an </w:t>
      </w:r>
      <w:r>
        <w:rPr>
          <w:i/>
          <w:iCs/>
        </w:rPr>
        <w:t xml:space="preserve">instantiation</w:t>
      </w:r>
      <w:r>
        <w:t xml:space="preserve"> of a formal principle, not as a universal law.</w:t>
      </w:r>
      <w:r>
        <w:rPr>
          <w:rStyle w:val="FootnoteReference"/>
        </w:rPr>
        <w:footnoteReference w:id="1"/>
      </w:r>
      <w:r>
        <w:t xml:space="preserve"> The claim is that non-linearity should be the default expectation, with linear harm requiring special explanation.</w:t>
      </w:r>
    </w:p>
    <w:p>
      <w:pPr>
        <w:pStyle w:val="Heading1"/>
      </w:pPr>
      <w:r>
        <w:t xml:space="preserve">I. Means, Ends, and Conditional Value</w:t>
      </w:r>
    </w:p>
    <w:p>
      <w:r>
        <w:t xml:space="preserve">An </w:t>
      </w:r>
      <w:r>
        <w:rPr>
          <w:i/>
          <w:iCs/>
        </w:rPr>
        <w:t xml:space="preserve">end</w:t>
      </w:r>
      <w:r>
        <w:t xml:space="preserve"> is pursued for its own sake; a </w:t>
      </w:r>
      <w:r>
        <w:rPr>
          <w:i/>
          <w:iCs/>
        </w:rPr>
        <w:t xml:space="preserve">means</w:t>
      </w:r>
      <w:r>
        <w:t xml:space="preserve"> is pursued for the sake of an end.</w:t>
      </w:r>
      <w:r>
        <w:rPr>
          <w:rStyle w:val="FootnoteReference"/>
        </w:rPr>
        <w:footnoteReference w:id="9"/>
      </w:r>
      <w:r>
        <w:rPr>
          <w:rStyle w:val="FootnoteReference"/>
        </w:rPr>
        <w:footnoteReference w:id="14"/>
      </w:r>
      <w:r>
        <w:t xml:space="preserve"> Money is a means; health has a strong claim to being an end. This distinction has a crucial implication: means have </w:t>
      </w:r>
      <w:r>
        <w:rPr>
          <w:i/>
          <w:iCs/>
        </w:rPr>
        <w:t xml:space="preserve">conditional value</w:t>
      </w:r>
      <w:r>
        <w:t xml:space="preserve">. Sharpness is good </w:t>
      </w:r>
      <w:r>
        <w:rPr>
          <w:i/>
          <w:iCs/>
        </w:rPr>
        <w:t xml:space="preserve">in a knife</w:t>
      </w:r>
      <w:r>
        <w:t xml:space="preserve">, good </w:t>
      </w:r>
      <w:r>
        <w:rPr>
          <w:i/>
          <w:iCs/>
        </w:rPr>
        <w:t xml:space="preserve">for cutting</w:t>
      </w:r>
      <w:r>
        <w:t xml:space="preserve">. Remove the function, and the value dissolves.</w:t>
      </w:r>
    </w:p>
    <w:p>
      <w:r>
        <w:t xml:space="preserve">Here is the critical inference: if the value of a means is conditional on an end, then the </w:t>
      </w:r>
      <w:r>
        <w:rPr>
          <w:i/>
          <w:iCs/>
        </w:rPr>
        <w:t xml:space="preserve">quantity</w:t>
      </w:r>
      <w:r>
        <w:t xml:space="preserve"> of that means must also be conditional.</w:t>
      </w:r>
      <w:r>
        <w:rPr>
          <w:rStyle w:val="FootnoteReference"/>
        </w:rPr>
        <w:footnoteReference w:id="12"/>
      </w:r>
      <w:r>
        <w:t xml:space="preserve"> The end can only absorb a finite range of the means. Beyond that range, additional quantity provides no additional value—there is no further contribution to confer value upon it. If a means had unbounded value, it would not be a means but an end.</w:t>
      </w:r>
    </w:p>
    <w:p>
      <w:r>
        <w:t xml:space="preserve">This yields two bounds. </w:t>
      </w:r>
      <w:r>
        <w:rPr>
          <w:i/>
          <w:iCs/>
        </w:rPr>
        <w:t xml:space="preserve">Deficiency:</w:t>
      </w:r>
      <w:r>
        <w:t xml:space="preserve"> below some threshold, the means fails to reach the end. </w:t>
      </w:r>
      <w:r>
        <w:rPr>
          <w:i/>
          <w:iCs/>
        </w:rPr>
        <w:t xml:space="preserve">Excess:</w:t>
      </w:r>
      <w:r>
        <w:t xml:space="preserve"> above some threshold, the means exceeds what the end can use. The excess may be inert (wasted) or actively counterproductive (harmful).</w:t>
      </w:r>
      <w:r>
        <w:rPr>
          <w:rStyle w:val="FootnoteReference"/>
        </w:rPr>
        <w:footnoteReference w:id="18"/>
      </w:r>
      <w:r>
        <w:t xml:space="preserve"> This is not empirical generalization but logical entailment. Any hypothesis treating a means as valuable without limit—or harmful without threshold—has mistaken a means for an end.</w:t>
      </w:r>
    </w:p>
    <w:p>
      <w:pPr>
        <w:pStyle w:val="Heading1"/>
      </w:pPr>
      <w:r>
        <w:t xml:space="preserve">II. Living Systems as Adaptive Systems</w:t>
      </w:r>
    </w:p>
    <w:p>
      <w:r>
        <w:t xml:space="preserve">The logic of conditional value applies universally, but it has special force when the system acted upon is itself adaptive. Living systems are feedback-governed, homeostatic, ends-directed systems capable of response and reorganization. This is definitional: to be alive is to maintain oneself against entropy, to regulate internal states, to repair damage. The capacity for adaptive response distinguishes a living organism from a corpse.</w:t>
      </w:r>
      <w:r>
        <w:rPr>
          <w:rStyle w:val="FootnoteReference"/>
        </w:rPr>
        <w:footnoteReference w:id="21"/>
      </w:r>
    </w:p>
    <w:p>
      <w:r>
        <w:t xml:space="preserve">When we intervene in such a system, we introduce stimuli into something that will </w:t>
      </w:r>
      <w:r>
        <w:rPr>
          <w:i/>
          <w:iCs/>
        </w:rPr>
        <w:t xml:space="preserve">respond</w:t>
      </w:r>
      <w:r>
        <w:t xml:space="preserve">—adjusting, compensating, sometimes overcompensating, sometimes failing. Dose is not an intrinsic harm-property but an instrumental input into a self-maintaining system. As such, it inherits the conditional structure of all means.</w:t>
      </w:r>
      <w:r>
        <w:rPr>
          <w:rStyle w:val="FootnoteReference"/>
        </w:rPr>
        <w:footnoteReference w:id="2"/>
      </w:r>
    </w:p>
    <w:p>
      <w:r>
        <w:t xml:space="preserve">Beyond quantity, timing matters (too early, too late, or opportune</w:t>
      </w:r>
      <w:r>
        <w:rPr>
          <w:rStyle w:val="FootnoteReference"/>
        </w:rPr>
        <w:footnoteReference w:id="15"/>
      </w:r>
      <w:r>
        <w:t xml:space="preserve">), frequency matters (too sparse, too dense), system state matters (depleted reserves respond differently than full capacity). All these dimensions share the same structure: effectiveness concentrated in a bounded range.</w:t>
      </w:r>
    </w:p>
    <w:p>
      <w:pPr>
        <w:pStyle w:val="Heading1"/>
      </w:pPr>
      <w:r>
        <w:t xml:space="preserve">III. The Conceptual Status of Linear No-Threshold</w:t>
      </w:r>
    </w:p>
    <w:p>
      <w:r>
        <w:t xml:space="preserve">Against this background, LNT appears anomalous. It asserts that for certain agents, any non-zero exposure produces proportional harm, with no threshold and no reversal. But LNT arose as a regulatory extrapolation, not an empirically established law.</w:t>
      </w:r>
      <w:r>
        <w:rPr>
          <w:rStyle w:val="FootnoteReference"/>
        </w:rPr>
        <w:footnoteReference w:id="3"/>
      </w:r>
      <w:r>
        <w:t xml:space="preserve"> The ICRP adopted it as a "prudent" assumption—a conservative model for policy under uncertainty. This pragmatic origin has been obscured; LNT has migrated from expedient to presumed truth.</w:t>
      </w:r>
    </w:p>
    <w:p>
      <w:r>
        <w:t xml:space="preserve">A deeper problem: LNT cannot be empirically confirmed.</w:t>
      </w:r>
      <w:r>
        <w:rPr>
          <w:rStyle w:val="FootnoteReference"/>
        </w:rPr>
        <w:footnoteReference w:id="4"/>
      </w:r>
      <w:r>
        <w:t xml:space="preserve"> "There is no safe dose" requires testing infinite dose-space. When policymakers assert universal harm, they make a theoretical assumption extrapolating from high-dose data. The question is whether that assumption is justified by what we know about adaptive systems.</w:t>
      </w:r>
    </w:p>
    <w:p>
      <w:r>
        <w:t xml:space="preserve">LNT's conceptual error: it treats dose as unconditionally harmful rather than conditionally effective. It assumes simple monotonic causation, ignoring adaptive response. But why would selection produce systems that respond </w:t>
      </w:r>
      <w:r>
        <w:rPr>
          <w:i/>
          <w:iCs/>
        </w:rPr>
        <w:t xml:space="preserve">only</w:t>
      </w:r>
      <w:r>
        <w:t xml:space="preserve"> harmfully across all doses? Such systems would be selected against.</w:t>
      </w:r>
      <w:r>
        <w:rPr>
          <w:rStyle w:val="FootnoteReference"/>
        </w:rPr>
        <w:footnoteReference w:id="5"/>
      </w:r>
      <w:r>
        <w:rPr>
          <w:rStyle w:val="FootnoteReference"/>
        </w:rPr>
        <w:footnoteReference w:id="13"/>
      </w:r>
      <w:r>
        <w:t xml:space="preserve"> The existence of stress-response pathways demonstrates that organisms respond beneficially to appropriately dosed challenges.</w:t>
      </w:r>
    </w:p>
    <w:p>
      <w:r>
        <w:t xml:space="preserve">This diagnosis also answers mechanistic objections.</w:t>
      </w:r>
      <w:r>
        <w:rPr>
          <w:rStyle w:val="FootnoteReference"/>
        </w:rPr>
        <w:footnoteReference w:id="19"/>
      </w:r>
      <w:r>
        <w:t xml:space="preserve"> Mechanistic toxicology sometimes reads dose-response from molecular interactions alone, ignoring system-level context. But if a stressor can overwhelm a system at high dose, this demonstrates response machinery that can be appropriately activated at lower doses. The single-hit mutation model</w:t>
      </w:r>
      <w:r>
        <w:rPr>
          <w:rStyle w:val="FootnoteReference"/>
        </w:rPr>
        <w:footnoteReference w:id="20"/>
      </w:r>
      <w:r>
        <w:t xml:space="preserve"> describes what would happen in a system </w:t>
      </w:r>
      <w:r>
        <w:rPr>
          <w:i/>
          <w:iCs/>
        </w:rPr>
        <w:t xml:space="preserve">without</w:t>
      </w:r>
      <w:r>
        <w:t xml:space="preserve"> repair—not a living system.</w:t>
      </w:r>
    </w:p>
    <w:p>
      <w:pPr>
        <w:pStyle w:val="Heading1"/>
      </w:pPr>
      <w:r>
        <w:t xml:space="preserve">IV. The Delphic Principle</w:t>
      </w:r>
    </w:p>
    <w:p>
      <w:r>
        <w:t xml:space="preserve">The Delphic maxim </w:t>
      </w:r>
      <w:r>
        <w:rPr>
          <w:i/>
          <w:iCs/>
        </w:rPr>
        <w:t xml:space="preserve">mēden agan</w:t>
      </w:r>
      <w:r>
        <w:t xml:space="preserve"> (μηδὲν ἄγαν)—nothing too much—names the structure derived above.</w:t>
      </w:r>
      <w:r>
        <w:rPr>
          <w:rStyle w:val="FootnoteReference"/>
        </w:rPr>
        <w:footnoteReference w:id="11"/>
      </w:r>
      <w:r>
        <w:t xml:space="preserve"> It is not external advice but the form correct reasoning about means necessarily takes. Because means have conditional value, they have bounded effective ranges. Any reasoning ignoring these bounds misunderstands its subject.</w:t>
      </w:r>
    </w:p>
    <w:p>
      <w:r>
        <w:t xml:space="preserve">Deficiency and excess are symmetrical failures. "Nothing too much" equally implies "nothing too little." The principle governs </w:t>
      </w:r>
      <w:r>
        <w:rPr>
          <w:i/>
          <w:iCs/>
        </w:rPr>
        <w:t xml:space="preserve">how means must be reasoned about</w:t>
      </w:r>
      <w:r>
        <w:t xml:space="preserve">, not </w:t>
      </w:r>
      <w:r>
        <w:rPr>
          <w:i/>
          <w:iCs/>
        </w:rPr>
        <w:t xml:space="preserve">what ends must be chosen</w:t>
      </w:r>
      <w:r>
        <w:t xml:space="preserve">.</w:t>
      </w:r>
    </w:p>
    <w:p>
      <w:pPr>
        <w:pStyle w:val="Heading1"/>
      </w:pPr>
      <w:r>
        <w:t xml:space="preserve">V. Hormesis as Instantiation</w:t>
      </w:r>
    </w:p>
    <w:p>
      <w:r>
        <w:t xml:space="preserve">Empirical hormetic curves—inverted-U relationships where low doses benefit while high doses harm—instantiate the bounded structure derived above. When mild exercise strengthens while excessive exercise injures, when caloric restriction extends lifespan while starvation shortens it, researchers document cases where the Delphic principle is realized.</w:t>
      </w:r>
    </w:p>
    <w:p>
      <w:r>
        <w:t xml:space="preserve">This is expected if biological systems are adaptive. Selection should produce response topologies where mild stress triggers beneficial adaptation while severe stress overwhelms capacity. This expectation derives from theoretical reasoning about what selection </w:t>
      </w:r>
      <w:r>
        <w:rPr>
          <w:i/>
          <w:iCs/>
        </w:rPr>
        <w:t xml:space="preserve">must</w:t>
      </w:r>
      <w:r>
        <w:t xml:space="preserve"> produce, not from generalizing observed cases.</w:t>
      </w:r>
    </w:p>
    <w:p>
      <w:r>
        <w:t xml:space="preserve">But hormesis is not universal, not guaranteed, and not always exploitable.</w:t>
      </w:r>
      <w:r>
        <w:rPr>
          <w:rStyle w:val="FootnoteReference"/>
        </w:rPr>
        <w:footnoteReference w:id="22"/>
      </w:r>
      <w:r>
        <w:t xml:space="preserve"> Some agents may harm at all doses through mechanisms bypassing adaptive response. Some hormetic windows may be too narrow for practical use. The conceptual claim is modest: wherever LNT is assumed as default, this lacks theoretical justification. The burden should fall on those claiming monotonic harm to explain what mechanism produces harm across all doses without triggering adaptive response.</w:t>
      </w:r>
    </w:p>
    <w:p>
      <w:pPr>
        <w:pStyle w:val="Heading1"/>
      </w:pPr>
      <w:r>
        <w:t xml:space="preserve">VI. Generalization</w:t>
      </w:r>
    </w:p>
    <w:p>
      <w:r>
        <w:t xml:space="preserve">The Delphic principle applies beyond dose quantity to all quantifiable dimensions: timing, frequency, sequencing, system state. Wrong timing is </w:t>
      </w:r>
      <w:r>
        <w:rPr>
          <w:i/>
          <w:iCs/>
        </w:rPr>
        <w:t xml:space="preserve">too early</w:t>
      </w:r>
      <w:r>
        <w:t xml:space="preserve"> or </w:t>
      </w:r>
      <w:r>
        <w:rPr>
          <w:i/>
          <w:iCs/>
        </w:rPr>
        <w:t xml:space="preserve">too late</w:t>
      </w:r>
      <w:r>
        <w:t xml:space="preserve">; wrong frequency is </w:t>
      </w:r>
      <w:r>
        <w:rPr>
          <w:i/>
          <w:iCs/>
        </w:rPr>
        <w:t xml:space="preserve">too sparse</w:t>
      </w:r>
      <w:r>
        <w:t xml:space="preserve"> or </w:t>
      </w:r>
      <w:r>
        <w:rPr>
          <w:i/>
          <w:iCs/>
        </w:rPr>
        <w:t xml:space="preserve">too dense</w:t>
      </w:r>
      <w:r>
        <w:t xml:space="preserve">. The structure applies wherever a quantifiable means is directed toward an end.</w:t>
      </w:r>
      <w:r>
        <w:rPr>
          <w:rStyle w:val="FootnoteReference"/>
        </w:rPr>
        <w:footnoteReference w:id="16"/>
      </w:r>
    </w:p>
    <w:p>
      <w:r>
        <w:t xml:space="preserve">Methodological implication: wherever a domain treats some input as unconditionally good or harmful across all quantities, timings, or states, the logic of conditional value has been violated. Such domains are priority sites for investigation.</w:t>
      </w:r>
    </w:p>
    <w:p>
      <w:pPr>
        <w:pStyle w:val="Heading1"/>
      </w:pPr>
      <w:r>
        <w:t xml:space="preserve">VII. Shifting the Burden of Proof</w:t>
      </w:r>
    </w:p>
    <w:p>
      <w:r>
        <w:t xml:space="preserve">The central methodological claim: in adaptive biological systems, LNT should never be the default. Wherever it is assumed, this marks a site for investigation, not closure.</w:t>
      </w:r>
    </w:p>
    <w:p>
      <w:r>
        <w:t xml:space="preserve">This reverses the current burden. Under the prevailing paradigm, hormesis must be demonstrated against presumed monotonic harm. Under the Delphic principle, non-linearity is expected, and monotonic harm requires justification.</w:t>
      </w:r>
      <w:r>
        <w:rPr>
          <w:rStyle w:val="FootnoteReference"/>
        </w:rPr>
        <w:footnoteReference w:id="6"/>
      </w:r>
      <w:r>
        <w:t xml:space="preserve"> When a substance is declared "universally harmful," we should ask: What mechanism bypasses all adaptive response? Have low-dose ranges been tested? Is "no observed benefit" conflated with "proven absence"?</w:t>
      </w:r>
    </w:p>
    <w:p>
      <w:pPr>
        <w:pStyle w:val="Heading1"/>
      </w:pPr>
      <w:r>
        <w:t xml:space="preserve">VIII. Precaution Clarified</w:t>
      </w:r>
    </w:p>
    <w:p>
      <w:r>
        <w:t xml:space="preserve">Rejecting LNT as default does not entail rejecting precaution. Precaution concerns how we act under uncertainty; LNT concerns what form biological response takes.</w:t>
      </w:r>
      <w:r>
        <w:rPr>
          <w:rStyle w:val="FootnoteReference"/>
        </w:rPr>
        <w:footnoteReference w:id="7"/>
      </w:r>
      <w:r>
        <w:t xml:space="preserve"> This argument targets the latter.</w:t>
      </w:r>
    </w:p>
    <w:p>
      <w:r>
        <w:t xml:space="preserve">Precaution without conceptual clarity becomes self-defeating: treating linear harm as axiomatic forecloses inquiry into nonlinear regimes that may be real and relevant.</w:t>
      </w:r>
      <w:r>
        <w:rPr>
          <w:rStyle w:val="FootnoteReference"/>
        </w:rPr>
        <w:footnoteReference w:id="8"/>
      </w:r>
      <w:r>
        <w:t xml:space="preserve"> A precautionary stance remains compatible with this framework—provided it does not elevate an empirically underdetermined extrapolation into conceptual necessity.</w:t>
      </w:r>
    </w:p>
    <w:p>
      <w:pPr>
        <w:pStyle w:val="Heading1"/>
      </w:pPr>
      <w:r>
        <w:t xml:space="preserve">IX. Virtue and Measure</w:t>
      </w:r>
    </w:p>
    <w:p>
      <w:r>
        <w:t xml:space="preserve">The Delphic principle stands in deep continuity with Aristotelian virtue ethics.</w:t>
      </w:r>
      <w:r>
        <w:rPr>
          <w:rStyle w:val="FootnoteReference"/>
        </w:rPr>
        <w:footnoteReference w:id="10"/>
      </w:r>
      <w:r>
        <w:t xml:space="preserve"> Virtue is "a mean between excess and deficiency"—courage between cowardice and recklessness, temperance between insensibility and licentiousness. The mean is not arithmetic midpoint but the practically correct response, determined by practical wisdom (</w:t>
      </w:r>
      <w:r>
        <w:rPr>
          <w:i/>
          <w:iCs/>
        </w:rPr>
        <w:t xml:space="preserve">phronesis</w:t>
      </w:r>
      <w:r>
        <w:t xml:space="preserve">).</w:t>
      </w:r>
    </w:p>
    <w:p>
      <w:r>
        <w:t xml:space="preserve">The Delphic principle is the formal structure that practical wisdom navigates. To possess practical wisdom is to identify where bounds fall in each situation. "Too much courage" misdescribes; excessive boldness is rashness. The virtues cannot be excessive because their definition is functional. Nothing too much </w:t>
      </w:r>
      <w:r>
        <w:rPr>
          <w:i/>
          <w:iCs/>
        </w:rPr>
        <w:t xml:space="preserve">is</w:t>
      </w:r>
      <w:r>
        <w:t xml:space="preserve"> virtue, in practical form.</w:t>
      </w:r>
    </w:p>
    <w:p>
      <w:pPr>
        <w:pStyle w:val="Heading1"/>
      </w:pPr>
      <w:r>
        <w:t xml:space="preserve">X. Conclusion</w:t>
      </w:r>
    </w:p>
    <w:p>
      <w:r>
        <w:t xml:space="preserve">LNT persists not because it is conceptually justified but because it is administratively convenient. In adaptive systems, boundedness is the rational expectation. The logic of conditional value entails bounded effective ranges. Monotonic linear harm should be the exception requiring explanation, not the default.</w:t>
      </w:r>
    </w:p>
    <w:p>
      <w:r>
        <w:t xml:space="preserve">Empirical hormesis vindicates this structure but does not ground it. Boundedness follows from the logic of means and ends, not from accumulated case studies. The Delphic principle provides a conceptual blueprint: it tells us that thresholds </w:t>
      </w:r>
      <w:r>
        <w:rPr>
          <w:i/>
          <w:iCs/>
        </w:rPr>
        <w:t xml:space="preserve">must</w:t>
      </w:r>
      <w:r>
        <w:t xml:space="preserve"> exist wherever we reason about means. The empirical task is determining where bounds fall; the conceptual contribution is establishing that they must exist.</w:t>
      </w:r>
    </w:p>
    <w:p>
      <w:r>
        <w:t xml:space="preserve">This extends beyond dose-response to all quantifiable dimensions—timing, frequency, intensity, sequencing—and to any domain where instrumental reasoning applies. The paper offers not merely a critique of LNT but a general form every correct medical hypothesis must instantiate.</w:t>
      </w:r>
    </w:p>
    <w:p>
      <w:r>
        <w:t xml:space="preserve">More broadly, this work rehabilitates natural philosophy as valid scientific inquiry.</w:t>
      </w:r>
      <w:r>
        <w:rPr>
          <w:rStyle w:val="FootnoteReference"/>
        </w:rPr>
        <w:footnoteReference w:id="17"/>
      </w:r>
      <w:r>
        <w:t xml:space="preserve"> The ancient insight that living systems are governed by measure—health in proportion, disease in excess or deficiency—is not pre-scientific superstition but structural truth. Systems theory, evolutionary biology, and instrumental reasoning converge on what Hippocratic and Aristotelian medicine articulated millennia ago. This convergence is not accidental: the ancients grasped, through reflection on means and ends, a principle that any adequate theory of adaptive systems must honor.</w:t>
      </w:r>
    </w:p>
    <w:p>
      <w:r>
        <w:t xml:space="preserve">Natural philosophy's proper role is to identify the general form scientific hypotheses must take—not to determine empirical particulars but to constrain admissible theories. We cannot know </w:t>
      </w:r>
      <w:r>
        <w:rPr>
          <w:i/>
          <w:iCs/>
        </w:rPr>
        <w:t xml:space="preserve">a priori</w:t>
      </w:r>
      <w:r>
        <w:t xml:space="preserve"> how much is too much; that requires empirical investigation. But we can know </w:t>
      </w:r>
      <w:r>
        <w:rPr>
          <w:i/>
          <w:iCs/>
        </w:rPr>
        <w:t xml:space="preserve">a priori</w:t>
      </w:r>
      <w:r>
        <w:t xml:space="preserve"> that there is such a thing as too much. Natural philosophy sets the form; empirical science fills the content.</w:t>
      </w:r>
    </w:p>
    <w:p>
      <w:r>
        <w:t xml:space="preserve">Nothing too much. Nothing too little. This is the form of rational engagement with all instrumentally ordered domains. Delphic medicine begins where this principle is taken seriously—and where ancient natural philosophy reunites with modern empirical science.</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r>
        <w:rPr>
          <w:rStyle w:val="FootnoteReference"/>
        </w:rPr>
        <w:footnoteRef/>
      </w:r>
      <w:r>
        <w:rPr>
          <w:sz w:val="20"/>
          <w:szCs w:val="20"/>
        </w:rPr>
        <w:t xml:space="preserve">Empirical hormetic curves have been documented across toxicology, pharmacology, and exercise physiology. See Calabrese and Baldwin, "Hormesis: The Dose-Response Revolution," </w:t>
      </w:r>
      <w:r>
        <w:rPr>
          <w:i/>
          <w:iCs/>
          <w:sz w:val="20"/>
          <w:szCs w:val="20"/>
        </w:rPr>
        <w:t xml:space="preserve">Annual Review of Pharmacology and Toxicology</w:t>
      </w:r>
      <w:r>
        <w:rPr>
          <w:sz w:val="20"/>
          <w:szCs w:val="20"/>
        </w:rPr>
        <w:t xml:space="preserve"> 43 (2003): 175–197. These findings instantiate rather than ground the conceptual claim.</w:t>
      </w:r>
    </w:p>
  </w:footnote>
  <w:footnote w:id="2">
    <w:p>
      <w:r>
        <w:rPr>
          <w:rStyle w:val="FootnoteReference"/>
        </w:rPr>
        <w:footnoteRef/>
      </w:r>
      <w:r>
        <w:rPr>
          <w:sz w:val="20"/>
          <w:szCs w:val="20"/>
        </w:rPr>
        <w:t xml:space="preserve">See Riedel et al., "Timing Is Everything: The Role of Circadian Rhythms in Drug Efficacy," </w:t>
      </w:r>
      <w:r>
        <w:rPr>
          <w:i/>
          <w:iCs/>
          <w:sz w:val="20"/>
          <w:szCs w:val="20"/>
        </w:rPr>
        <w:t xml:space="preserve">Trends in Pharmacological Sciences</w:t>
      </w:r>
      <w:r>
        <w:rPr>
          <w:sz w:val="20"/>
          <w:szCs w:val="20"/>
        </w:rPr>
        <w:t xml:space="preserve"> 38 (2017): 823–835.</w:t>
      </w:r>
    </w:p>
  </w:footnote>
  <w:footnote w:id="3">
    <w:p>
      <w:r>
        <w:rPr>
          <w:rStyle w:val="FootnoteReference"/>
        </w:rPr>
        <w:footnoteRef/>
      </w:r>
      <w:r>
        <w:rPr>
          <w:sz w:val="20"/>
          <w:szCs w:val="20"/>
        </w:rPr>
        <w:t xml:space="preserve">LNT was adopted by the ICRP in 1959 as a "prudent" regulatory assumption, not an established biological law. See Clarke, "ICRP Recommendations," </w:t>
      </w:r>
      <w:r>
        <w:rPr>
          <w:i/>
          <w:iCs/>
          <w:sz w:val="20"/>
          <w:szCs w:val="20"/>
        </w:rPr>
        <w:t xml:space="preserve">Journal of Radiological Protection</w:t>
      </w:r>
      <w:r>
        <w:rPr>
          <w:sz w:val="20"/>
          <w:szCs w:val="20"/>
        </w:rPr>
        <w:t xml:space="preserve"> 23 (2003): 23–34.</w:t>
      </w:r>
    </w:p>
  </w:footnote>
  <w:footnote w:id="4">
    <w:p>
      <w:r>
        <w:rPr>
          <w:rStyle w:val="FootnoteReference"/>
        </w:rPr>
        <w:footnoteRef/>
      </w:r>
      <w:r>
        <w:rPr>
          <w:sz w:val="20"/>
          <w:szCs w:val="20"/>
        </w:rPr>
        <w:t xml:space="preserve">"There is no safe dose" is logically equivalent to "all doses are harmful"—a universal claim that no finite experimental program can confirm. LNT functions as a theoretical assumption, not an empirical discovery.</w:t>
      </w:r>
    </w:p>
  </w:footnote>
  <w:footnote w:id="5">
    <w:p>
      <w:r>
        <w:rPr>
          <w:rStyle w:val="FootnoteReference"/>
        </w:rPr>
        <w:footnoteRef/>
      </w:r>
      <w:r>
        <w:rPr>
          <w:sz w:val="20"/>
          <w:szCs w:val="20"/>
        </w:rPr>
        <w:t xml:space="preserve">Under Darwinian selection, systems that respond beneficially to mild stressors had survival advantages. The existence of stress-response pathways (heat shock proteins, antioxidant systems, DNA repair) demonstrates that organisms evolved to respond beneficially to appropriately dosed challenges.</w:t>
      </w:r>
    </w:p>
  </w:footnote>
  <w:footnote w:id="6">
    <w:p>
      <w:r>
        <w:rPr>
          <w:rStyle w:val="FootnoteReference"/>
        </w:rPr>
        <w:footnoteRef/>
      </w:r>
      <w:r>
        <w:rPr>
          <w:sz w:val="20"/>
          <w:szCs w:val="20"/>
        </w:rPr>
        <w:t xml:space="preserve">Lakatos argues that research programs are evaluated by theoretical coherence with foundational principles, not merely accumulated anomalies. LNT contradicts what evolutionary biology and systems theory predict about adaptive response. See Lakatos, "Falsification and the Methodology of Scientific Research Programmes," in </w:t>
      </w:r>
      <w:r>
        <w:rPr>
          <w:i/>
          <w:iCs/>
          <w:sz w:val="20"/>
          <w:szCs w:val="20"/>
        </w:rPr>
        <w:t xml:space="preserve">Criticism and the Growth of Knowledge</w:t>
      </w:r>
      <w:r>
        <w:rPr>
          <w:sz w:val="20"/>
          <w:szCs w:val="20"/>
        </w:rPr>
        <w:t xml:space="preserve"> (1970), 91–196.</w:t>
      </w:r>
    </w:p>
  </w:footnote>
  <w:footnote w:id="7">
    <w:p>
      <w:r>
        <w:rPr>
          <w:rStyle w:val="FootnoteReference"/>
        </w:rPr>
        <w:footnoteRef/>
      </w:r>
      <w:r>
        <w:rPr>
          <w:sz w:val="20"/>
          <w:szCs w:val="20"/>
        </w:rPr>
        <w:t xml:space="preserve">The precautionary principle concerns action under uncertainty; LNT is a claim about what biological systems </w:t>
      </w:r>
      <w:r>
        <w:rPr>
          <w:i/>
          <w:iCs/>
          <w:sz w:val="20"/>
          <w:szCs w:val="20"/>
        </w:rPr>
        <w:t xml:space="preserve">are like</w:t>
      </w:r>
      <w:r>
        <w:rPr>
          <w:sz w:val="20"/>
          <w:szCs w:val="20"/>
        </w:rPr>
        <w:t xml:space="preserve">. These are logically independent.</w:t>
      </w:r>
    </w:p>
  </w:footnote>
  <w:footnote w:id="8">
    <w:p>
      <w:r>
        <w:rPr>
          <w:rStyle w:val="FootnoteReference"/>
        </w:rPr>
        <w:footnoteRef/>
      </w:r>
      <w:r>
        <w:rPr>
          <w:sz w:val="20"/>
          <w:szCs w:val="20"/>
        </w:rPr>
        <w:t xml:space="preserve">See Calabrese, "How the US National Academy of Sciences Misled the World Community on Cancer Risk Assessment," </w:t>
      </w:r>
      <w:r>
        <w:rPr>
          <w:i/>
          <w:iCs/>
          <w:sz w:val="20"/>
          <w:szCs w:val="20"/>
        </w:rPr>
        <w:t xml:space="preserve">Dose-Response</w:t>
      </w:r>
      <w:r>
        <w:rPr>
          <w:sz w:val="20"/>
          <w:szCs w:val="20"/>
        </w:rPr>
        <w:t xml:space="preserve"> 11 (2013): 507–518.</w:t>
      </w:r>
    </w:p>
  </w:footnote>
  <w:footnote w:id="9">
    <w:p>
      <w:r>
        <w:rPr>
          <w:rStyle w:val="FootnoteReference"/>
        </w:rPr>
        <w:footnoteRef/>
      </w:r>
      <w:r>
        <w:rPr>
          <w:sz w:val="20"/>
          <w:szCs w:val="20"/>
        </w:rPr>
        <w:t xml:space="preserve">Korsgaard: "If the knife is to be a good knife, then it had better be sharp. But being sharp is not just good, period—it is good in a knife." See "Two Distinctions in Goodness," </w:t>
      </w:r>
      <w:r>
        <w:rPr>
          <w:i/>
          <w:iCs/>
          <w:sz w:val="20"/>
          <w:szCs w:val="20"/>
        </w:rPr>
        <w:t xml:space="preserve">Philosophical Review</w:t>
      </w:r>
      <w:r>
        <w:rPr>
          <w:sz w:val="20"/>
          <w:szCs w:val="20"/>
        </w:rPr>
        <w:t xml:space="preserve"> 92 (1983): 169–195.</w:t>
      </w:r>
    </w:p>
  </w:footnote>
  <w:footnote w:id="10">
    <w:p>
      <w:r>
        <w:rPr>
          <w:rStyle w:val="FootnoteReference"/>
        </w:rPr>
        <w:footnoteRef/>
      </w:r>
      <w:r>
        <w:rPr>
          <w:sz w:val="20"/>
          <w:szCs w:val="20"/>
        </w:rPr>
        <w:t xml:space="preserve">Aristotle, </w:t>
      </w:r>
      <w:r>
        <w:rPr>
          <w:i/>
          <w:iCs/>
          <w:sz w:val="20"/>
          <w:szCs w:val="20"/>
        </w:rPr>
        <w:t xml:space="preserve">Nicomachean Ethics</w:t>
      </w:r>
      <w:r>
        <w:rPr>
          <w:sz w:val="20"/>
          <w:szCs w:val="20"/>
        </w:rPr>
        <w:t xml:space="preserve"> II.6, 1106b36–1107a2.</w:t>
      </w:r>
    </w:p>
  </w:footnote>
  <w:footnote w:id="11">
    <w:p>
      <w:r>
        <w:rPr>
          <w:rStyle w:val="FootnoteReference"/>
        </w:rPr>
        <w:footnoteRef/>
      </w:r>
      <w:r>
        <w:rPr>
          <w:sz w:val="20"/>
          <w:szCs w:val="20"/>
        </w:rPr>
        <w:t xml:space="preserve">The Delphic inscriptions were attributed to the Seven Sages. Plutarch (</w:t>
      </w:r>
      <w:r>
        <w:rPr>
          <w:i/>
          <w:iCs/>
          <w:sz w:val="20"/>
          <w:szCs w:val="20"/>
        </w:rPr>
        <w:t xml:space="preserve">Moralia</w:t>
      </w:r>
      <w:r>
        <w:rPr>
          <w:sz w:val="20"/>
          <w:szCs w:val="20"/>
        </w:rPr>
        <w:t xml:space="preserve"> 385f–386a) discusses their connection to the Apollonian ideal of measured self-governance.</w:t>
      </w:r>
    </w:p>
  </w:footnote>
  <w:footnote w:id="12">
    <w:p>
      <w:r>
        <w:rPr>
          <w:rStyle w:val="FootnoteReference"/>
        </w:rPr>
        <w:footnoteRef/>
      </w:r>
      <w:r>
        <w:rPr>
          <w:sz w:val="20"/>
          <w:szCs w:val="20"/>
        </w:rPr>
        <w:t xml:space="preserve">Aquinas: "A cause is only a cause insofar as it is ordered to an effect." </w:t>
      </w:r>
      <w:r>
        <w:rPr>
          <w:i/>
          <w:iCs/>
          <w:sz w:val="20"/>
          <w:szCs w:val="20"/>
        </w:rPr>
        <w:t xml:space="preserve">Summa Theologiae</w:t>
      </w:r>
      <w:r>
        <w:rPr>
          <w:sz w:val="20"/>
          <w:szCs w:val="20"/>
        </w:rPr>
        <w:t xml:space="preserve"> I-II, q. 1, a. 2.</w:t>
      </w:r>
    </w:p>
  </w:footnote>
  <w:footnote w:id="13">
    <w:p>
      <w:r>
        <w:rPr>
          <w:rStyle w:val="FootnoteReference"/>
        </w:rPr>
        <w:footnoteRef/>
      </w:r>
      <w:r>
        <w:rPr>
          <w:sz w:val="20"/>
          <w:szCs w:val="20"/>
        </w:rPr>
        <w:t xml:space="preserve">This argument applies most forcefully to stressors with evolutionary precedent. For novel stressors, the existence of general repair machinery still creates a prior expectation of non-linearity; the burden remains on LNT to explain why a particular stressor uniquely bypasses all such machinery.</w:t>
      </w:r>
    </w:p>
  </w:footnote>
  <w:footnote w:id="14">
    <w:p>
      <w:r>
        <w:rPr>
          <w:rStyle w:val="FootnoteReference"/>
        </w:rPr>
        <w:footnoteRef/>
      </w:r>
      <w:r>
        <w:rPr>
          <w:sz w:val="20"/>
          <w:szCs w:val="20"/>
        </w:rPr>
        <w:t xml:space="preserve">In Aristotelian terms, a </w:t>
      </w:r>
      <w:r>
        <w:rPr>
          <w:i/>
          <w:iCs/>
          <w:sz w:val="20"/>
          <w:szCs w:val="20"/>
        </w:rPr>
        <w:t xml:space="preserve">means</w:t>
      </w:r>
      <w:r>
        <w:rPr>
          <w:sz w:val="20"/>
          <w:szCs w:val="20"/>
        </w:rPr>
        <w:t xml:space="preserve"> (τὸ πρὸς τὸ τέλος) is X such that (1) X is pursued for the sake of end E, (2) X's value derives from E, and (3) X would not be choiceworthy absent E. See </w:t>
      </w:r>
      <w:r>
        <w:rPr>
          <w:i/>
          <w:iCs/>
          <w:sz w:val="20"/>
          <w:szCs w:val="20"/>
        </w:rPr>
        <w:t xml:space="preserve">Nicomachean Ethics</w:t>
      </w:r>
      <w:r>
        <w:rPr>
          <w:sz w:val="20"/>
          <w:szCs w:val="20"/>
        </w:rPr>
        <w:t xml:space="preserve"> I.1, 1094a1–18. 'Means' here denotes instrumental goods, not causal mechanisms.</w:t>
      </w:r>
    </w:p>
  </w:footnote>
  <w:footnote w:id="15">
    <w:p>
      <w:r>
        <w:rPr>
          <w:rStyle w:val="FootnoteReference"/>
        </w:rPr>
        <w:footnoteRef/>
      </w:r>
      <w:r>
        <w:rPr>
          <w:sz w:val="20"/>
          <w:szCs w:val="20"/>
        </w:rPr>
        <w:t xml:space="preserve">Thrombolytic therapy for ischemic stroke must be administered within 3–4.5 hours; earlier is impossible (no diagnosis), later is harmful (reperfusion injury). Immunotherapy timing relative to circadian rhythms affects efficacy by factors of two or more.</w:t>
      </w:r>
    </w:p>
  </w:footnote>
  <w:footnote w:id="16">
    <w:p>
      <w:r>
        <w:rPr>
          <w:rStyle w:val="FootnoteReference"/>
        </w:rPr>
        <w:footnoteRef/>
      </w:r>
      <w:r>
        <w:rPr>
          <w:sz w:val="20"/>
          <w:szCs w:val="20"/>
        </w:rPr>
        <w:t xml:space="preserve">The generalization to timing, frequency, duration, and sequencing requires systematic development in future work; here we establish the conceptual foundation.</w:t>
      </w:r>
    </w:p>
  </w:footnote>
  <w:footnote w:id="17">
    <w:p>
      <w:r>
        <w:rPr>
          <w:rStyle w:val="FootnoteReference"/>
        </w:rPr>
        <w:footnoteRef/>
      </w:r>
      <w:r>
        <w:rPr>
          <w:sz w:val="20"/>
          <w:szCs w:val="20"/>
        </w:rPr>
        <w:t xml:space="preserve">Natural philosophy, unlike general philosophy of science, derives constraints on admissible hypotheses not from methodological norms alone but from rational reflection on the nature of the domain. Philosophy of science asks what makes a hypothesis well-formed; natural philosophy asks what form correct hypotheses about a given domain must take. The Delphic principle follows from what adaptive systems </w:t>
      </w:r>
      <w:r>
        <w:rPr>
          <w:i/>
          <w:iCs/>
          <w:sz w:val="20"/>
          <w:szCs w:val="20"/>
        </w:rPr>
        <w:t xml:space="preserve">are</w:t>
      </w:r>
      <w:r>
        <w:rPr>
          <w:sz w:val="20"/>
          <w:szCs w:val="20"/>
        </w:rPr>
        <w:t xml:space="preserve">, not from generic methodological norms.</w:t>
      </w:r>
    </w:p>
  </w:footnote>
  <w:footnote w:id="18">
    <w:p>
      <w:r>
        <w:rPr>
          <w:rStyle w:val="FootnoteReference"/>
        </w:rPr>
        <w:footnoteRef/>
      </w:r>
      <w:r>
        <w:rPr>
          <w:sz w:val="20"/>
          <w:szCs w:val="20"/>
        </w:rPr>
        <w:t xml:space="preserve">The argument distinguishes theoretical implausibility (monotonic harm contradicts evolutionary expectations) from conceptual incoherence (treating a means as unconditionally harmful mistakes its nature). The latter does not depend on empirical arguments succeeding; it follows from what it is to be a means.</w:t>
      </w:r>
    </w:p>
  </w:footnote>
  <w:footnote w:id="19">
    <w:p>
      <w:r>
        <w:rPr>
          <w:rStyle w:val="FootnoteReference"/>
        </w:rPr>
        <w:footnoteRef/>
      </w:r>
      <w:r>
        <w:rPr>
          <w:sz w:val="20"/>
          <w:szCs w:val="20"/>
        </w:rPr>
        <w:t xml:space="preserve">Mechanistic toxicology sometimes proceeds as if dose-response could be read from molecular interactions alone. But living systems are organized wholes with repair and regulatory capacities. The same molecular event that overwhelms the system at high dose may trigger upregulatory responses at lower doses. If a stressor can overstress a system, this demonstrates response machinery that can be appropriately activated at lower doses.</w:t>
      </w:r>
    </w:p>
  </w:footnote>
  <w:footnote w:id="20">
    <w:p>
      <w:r>
        <w:rPr>
          <w:rStyle w:val="FootnoteReference"/>
        </w:rPr>
        <w:footnoteRef/>
      </w:r>
      <w:r>
        <w:rPr>
          <w:sz w:val="20"/>
          <w:szCs w:val="20"/>
        </w:rPr>
        <w:t xml:space="preserve">The "single-hit" model posits that one ionization can initiate carcinogenesis, so risk scales linearly to zero. But this abstracts from repair: it describes what would happen in a system </w:t>
      </w:r>
      <w:r>
        <w:rPr>
          <w:i/>
          <w:iCs/>
          <w:sz w:val="20"/>
          <w:szCs w:val="20"/>
        </w:rPr>
        <w:t xml:space="preserve">without</w:t>
      </w:r>
      <w:r>
        <w:rPr>
          <w:sz w:val="20"/>
          <w:szCs w:val="20"/>
        </w:rPr>
        <w:t xml:space="preserve"> repair—i.e., not a living system. The model presupposes LNT by assuming repair is negligible, which is precisely what hormesis research contests.</w:t>
      </w:r>
    </w:p>
  </w:footnote>
  <w:footnote w:id="21">
    <w:p>
      <w:r>
        <w:rPr>
          <w:rStyle w:val="FootnoteReference"/>
        </w:rPr>
        <w:footnoteRef/>
      </w:r>
      <w:r>
        <w:rPr>
          <w:sz w:val="20"/>
          <w:szCs w:val="20"/>
        </w:rPr>
        <w:t xml:space="preserve">This argument does not presuppose metaphysical realism about purposes in nature. It suffices that living systems can be modeled as having functional organization—states evaluable relative to maintenance, repair, and regulation. Whether functional norms are grounded in evolution, system-level description, or pragmatic modeling is orthogonal. The argument proceeds conditionally: </w:t>
      </w:r>
      <w:r>
        <w:rPr>
          <w:i/>
          <w:iCs/>
          <w:sz w:val="20"/>
          <w:szCs w:val="20"/>
        </w:rPr>
        <w:t xml:space="preserve">if</w:t>
      </w:r>
      <w:r>
        <w:rPr>
          <w:sz w:val="20"/>
          <w:szCs w:val="20"/>
        </w:rPr>
        <w:t xml:space="preserve"> medical reasoning is intelligible—if interventions are means serving ends like health—then those means exhibit bounded effectiveness as a conceptual necessity.</w:t>
      </w:r>
    </w:p>
  </w:footnote>
  <w:footnote w:id="22">
    <w:p>
      <w:r>
        <w:rPr>
          <w:rStyle w:val="FootnoteReference"/>
        </w:rPr>
        <w:footnoteRef/>
      </w:r>
      <w:r>
        <w:rPr>
          <w:sz w:val="20"/>
          <w:szCs w:val="20"/>
        </w:rPr>
        <w:t xml:space="preserve">A distinction must be maintained between cellular responses (DNA repair activation, heat shock protein upregulation) and net clinical benefit. Hormesis research often documents the former without establishing the latter. This paper claims only that bounded, non-linear response is expected; whether any particular hormetic window can be safely exploited is a separate empirical question.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sz w:val="20"/>
        <w:szCs w:val="20"/>
      </w:rPr>
      <w:t xml:space="preserve">Nothing Too Much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120"/>
      <w:jc w:val="center"/>
    </w:pPr>
    <w:rPr>
      <w:rFonts w:ascii="Times New Roman" w:cs="Times New Roman" w:eastAsia="Times New Roman" w:hAnsi="Times New Roman"/>
      <w:b/>
      <w:bCs/>
      <w:sz w:val="32"/>
      <w:szCs w:val="32"/>
    </w:rPr>
  </w:style>
  <w:style w:type="paragraph" w:styleId="Subtitle">
    <w:name w:val="Subtitle"/>
    <w:basedOn w:val="Normal"/>
    <w:pPr>
      <w:spacing w:before="0" w:after="480"/>
      <w:jc w:val="center"/>
    </w:pPr>
    <w:rPr>
      <w:rFonts w:ascii="Times New Roman" w:cs="Times New Roman" w:eastAsia="Times New Roman" w:hAnsi="Times New Roman"/>
      <w:i/>
      <w:iCs/>
      <w:sz w:val="26"/>
      <w:szCs w:val="26"/>
    </w:rPr>
  </w:style>
  <w:style w:type="paragraph" w:styleId="Heading1">
    <w:name w:val="Heading 1"/>
    <w:basedOn w:val="Normal"/>
    <w:next w:val="Normal"/>
    <w:qFormat/>
    <w:pPr>
      <w:spacing w:before="360" w:after="180"/>
      <w:outlineLvl w:val="0"/>
    </w:pPr>
    <w:rPr>
      <w:rFonts w:ascii="Times New Roman" w:cs="Times New Roman" w:eastAsia="Times New Roman" w:hAnsi="Times New Roman"/>
      <w:b/>
      <w:bCs/>
      <w:sz w:val="26"/>
      <w:szCs w:val="26"/>
    </w:rPr>
  </w:style>
  <w:style w:type="paragraph" w:styleId="Heading2">
    <w:name w:val="Heading 2"/>
    <w:basedOn w:val="Normal"/>
    <w:next w:val="Normal"/>
    <w:qFormat/>
    <w:pPr>
      <w:spacing w:before="280" w:after="140"/>
      <w:outlineLvl w:val="1"/>
    </w:pPr>
    <w:rPr>
      <w:rFonts w:ascii="Times New Roman" w:cs="Times New Roman" w:eastAsia="Times New Roman" w:hAnsi="Times New Roman"/>
      <w:b/>
      <w:bCs/>
      <w:i/>
      <w:iCs/>
      <w:sz w:val="24"/>
      <w:szCs w:val="24"/>
    </w:rPr>
  </w:style>
  <w:style w:type="paragraph" w:styleId="Abstract">
    <w:name w:val="Abstract"/>
    <w:basedOn w:val="Normal"/>
    <w:pPr>
      <w:spacing w:after="200"/>
      <w:ind w:left="720" w:right="720"/>
    </w:pPr>
    <w:rPr>
      <w:rFonts w:ascii="Times New Roman" w:cs="Times New Roman" w:eastAsia="Times New Roman" w:hAnsi="Times New Roman"/>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2025-12-22T04:36:39.034Z</dcterms:created>
  <dcterms:modified xsi:type="dcterms:W3CDTF">2025-12-22T04:36:39.035Z</dcterms:modified>
</cp:coreProperties>
</file>

<file path=docProps/custom.xml><?xml version="1.0" encoding="utf-8"?>
<Properties xmlns="http://schemas.openxmlformats.org/officeDocument/2006/custom-properties" xmlns:vt="http://schemas.openxmlformats.org/officeDocument/2006/docPropsVTypes"/>
</file>