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1933" w14:textId="5A0D153F" w:rsidR="0010224D" w:rsidRPr="0010224D" w:rsidRDefault="0010224D" w:rsidP="0010224D">
      <w:pPr>
        <w:spacing w:after="0" w:line="240" w:lineRule="auto"/>
        <w:rPr>
          <w:rFonts w:ascii="Times New Roman" w:eastAsia="Times New Roman" w:hAnsi="Times New Roman" w:cs="Times New Roman"/>
          <w:sz w:val="24"/>
          <w:szCs w:val="24"/>
          <w:lang w:eastAsia="ru-RU"/>
        </w:rPr>
      </w:pPr>
    </w:p>
    <w:p w14:paraId="7C0131FB" w14:textId="2AC66EF0" w:rsidR="00414E3D" w:rsidRDefault="00414E3D" w:rsidP="00414E3D">
      <w:pPr>
        <w:pStyle w:val="a6"/>
      </w:pPr>
      <w:r w:rsidRPr="00414E3D">
        <w:t>Counting What Was Never Counted: A Proposal for Quantifying Normative Structure</w:t>
      </w:r>
    </w:p>
    <w:p w14:paraId="199AB1D4" w14:textId="7921AFE6" w:rsidR="009301C9" w:rsidRDefault="009301C9" w:rsidP="00414E3D">
      <w:pPr>
        <w:pStyle w:val="a6"/>
      </w:pPr>
      <w:r>
        <w:t>Abstract</w:t>
      </w:r>
    </w:p>
    <w:p w14:paraId="59F1A111" w14:textId="77777777" w:rsidR="00414E3D" w:rsidRPr="00414E3D" w:rsidRDefault="00414E3D" w:rsidP="00414E3D">
      <w:pPr>
        <w:pStyle w:val="a3"/>
        <w:rPr>
          <w:lang w:val="en-US"/>
        </w:rPr>
      </w:pPr>
      <w:r w:rsidRPr="00414E3D">
        <w:rPr>
          <w:lang w:val="en-US"/>
        </w:rPr>
        <w:t>Normative systems—legal, institutional, and social—have traditionally been described and compared using exclusively qualitative concepts such as freedom, coercion, rigidity, or openness. Despite their centrality, these features have rarely been subjected to direct quantitative analysis, largely due to the absence of an agreed-upon unit of measurement.</w:t>
      </w:r>
    </w:p>
    <w:p w14:paraId="25BCDF58" w14:textId="77777777" w:rsidR="00414E3D" w:rsidRPr="00414E3D" w:rsidRDefault="00414E3D" w:rsidP="00414E3D">
      <w:pPr>
        <w:pStyle w:val="a3"/>
        <w:rPr>
          <w:lang w:val="en-US"/>
        </w:rPr>
      </w:pPr>
      <w:r w:rsidRPr="00414E3D">
        <w:rPr>
          <w:lang w:val="en-US"/>
        </w:rPr>
        <w:t>This paper proposes a minimal methodological framework for quantifying normative structure through the empirical analysis of foundational legal texts. Instead of interpreting norms in a doctrinal or theoretical manner, the proposal treats them as countable structural elements, suitable for large-scale comparative analysis using contemporary computational tools.</w:t>
      </w:r>
    </w:p>
    <w:p w14:paraId="59D10876" w14:textId="77777777" w:rsidR="00414E3D" w:rsidRPr="00414E3D" w:rsidRDefault="00414E3D" w:rsidP="00414E3D">
      <w:pPr>
        <w:pStyle w:val="a3"/>
        <w:rPr>
          <w:lang w:val="en-US"/>
        </w:rPr>
      </w:pPr>
      <w:r w:rsidRPr="00414E3D">
        <w:rPr>
          <w:lang w:val="en-US"/>
        </w:rPr>
        <w:t>The paper does not advance a substantive theory of normativity. Its sole aim is to demonstrate that a transition from descriptive evaluation to measurement is now technically and conceptually possible. Constitutional texts are identified as a particularly suitable substrate due to their stability, accessibility, and relative independence from contingent regulatory detail.</w:t>
      </w:r>
    </w:p>
    <w:p w14:paraId="433E7A5F" w14:textId="3D46E109" w:rsidR="00414E3D" w:rsidRDefault="00414E3D" w:rsidP="00414E3D">
      <w:pPr>
        <w:pStyle w:val="a3"/>
        <w:rPr>
          <w:lang w:val="en-US"/>
        </w:rPr>
      </w:pPr>
      <w:r w:rsidRPr="00414E3D">
        <w:rPr>
          <w:lang w:val="en-US"/>
        </w:rPr>
        <w:t>No empirical results are presented. The contribution of this paper consists in articulating a research program and inviting others to test, refine, or falsify it. If successful, this approach may open a previously unexplored quantitative dimension in the study of normative orders.</w:t>
      </w:r>
    </w:p>
    <w:p w14:paraId="6333E9AA" w14:textId="70347A31" w:rsidR="009E0B75" w:rsidRPr="009E0B75" w:rsidRDefault="001771AC" w:rsidP="00414E3D">
      <w:pPr>
        <w:pStyle w:val="a3"/>
        <w:rPr>
          <w:lang w:val="en-US"/>
        </w:rPr>
      </w:pPr>
      <w:r w:rsidRPr="001771AC">
        <w:rPr>
          <w:lang w:val="en-US"/>
        </w:rPr>
        <w:t>In Version 2, a supplementary section has been added reporting the results of a limited methodological trial</w:t>
      </w:r>
      <w:r w:rsidR="009E0B75" w:rsidRPr="009E0B75">
        <w:rPr>
          <w:lang w:val="en-US"/>
        </w:rPr>
        <w:t>, included solely to illustrate the operational viability of the proposed metrics and the sources of model divergence.</w:t>
      </w:r>
    </w:p>
    <w:p w14:paraId="4EE970BE" w14:textId="77777777" w:rsidR="00414E3D" w:rsidRDefault="001771AC" w:rsidP="00414E3D">
      <w:r>
        <w:pict w14:anchorId="56BE3484">
          <v:rect id="_x0000_i1025" style="width:0;height:1.5pt" o:hralign="center" o:hrstd="t" o:hr="t" fillcolor="#a0a0a0" stroked="f"/>
        </w:pict>
      </w:r>
    </w:p>
    <w:p w14:paraId="6C9707E1" w14:textId="77777777" w:rsidR="00414E3D" w:rsidRPr="00414E3D" w:rsidRDefault="00414E3D" w:rsidP="00414E3D">
      <w:pPr>
        <w:pStyle w:val="2"/>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4E3D">
        <w:rPr>
          <w:rStyle w:val="a5"/>
          <w:rFonts w:ascii="Times New Roman" w:hAnsi="Times New Roman" w:cs="Times New Roman"/>
          <w:b w:val="0"/>
          <w:b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p>
    <w:p w14:paraId="7916414A" w14:textId="21346140" w:rsidR="00414E3D" w:rsidRPr="00414E3D" w:rsidRDefault="00414E3D" w:rsidP="00414E3D">
      <w:pPr>
        <w:pStyle w:val="a3"/>
        <w:rPr>
          <w:lang w:val="en-US"/>
        </w:rPr>
      </w:pPr>
      <w:r w:rsidRPr="00414E3D">
        <w:rPr>
          <w:lang w:val="en-US"/>
        </w:rPr>
        <w:t>normative structure, quantification, measurement, constitutional texts, comparative analysis, methodological proposal</w:t>
      </w:r>
    </w:p>
    <w:p w14:paraId="2E823829" w14:textId="7D8E4A1D" w:rsidR="0010224D" w:rsidRPr="00414E3D" w:rsidRDefault="0010224D" w:rsidP="0010224D">
      <w:pPr>
        <w:spacing w:after="0" w:line="240" w:lineRule="auto"/>
        <w:rPr>
          <w:rFonts w:ascii="Times New Roman" w:eastAsia="Times New Roman" w:hAnsi="Times New Roman" w:cs="Times New Roman"/>
          <w:sz w:val="24"/>
          <w:szCs w:val="24"/>
          <w:lang w:val="en-US" w:eastAsia="ru-RU"/>
        </w:rPr>
      </w:pPr>
    </w:p>
    <w:p w14:paraId="54B14F8A" w14:textId="77777777" w:rsidR="0010224D" w:rsidRPr="0010224D" w:rsidRDefault="0010224D" w:rsidP="0010224D">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sidRPr="0010224D">
        <w:rPr>
          <w:rFonts w:ascii="Times New Roman" w:eastAsia="Times New Roman" w:hAnsi="Times New Roman" w:cs="Times New Roman"/>
          <w:b/>
          <w:bCs/>
          <w:sz w:val="24"/>
          <w:szCs w:val="24"/>
          <w:lang w:val="en-US" w:eastAsia="ru-RU"/>
        </w:rPr>
        <w:t>The Problem: An Unverified Intuition</w:t>
      </w:r>
    </w:p>
    <w:p w14:paraId="31454863" w14:textId="77777777" w:rsidR="0010224D" w:rsidRPr="0010224D" w:rsidRDefault="0010224D" w:rsidP="0010224D">
      <w:p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sz w:val="24"/>
          <w:szCs w:val="24"/>
          <w:lang w:val="en-US" w:eastAsia="ru-RU"/>
        </w:rPr>
        <w:t>In recent theoretical discussions concerning autopoietic and normative systems, a compelling intuition has emerged: the stability of a legal or social order is maintained not primarily through the rigidity of its prohibitions, but through the sheer volume of its "permissive" states. It is suggested that for any system to function, the space of the permitted must be significantly larger than the space of the prescribed or the forbidden.</w:t>
      </w:r>
    </w:p>
    <w:p w14:paraId="49F6BCFB" w14:textId="77777777" w:rsidR="0010224D" w:rsidRPr="0010224D" w:rsidRDefault="0010224D" w:rsidP="0010224D">
      <w:p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sz w:val="24"/>
          <w:szCs w:val="24"/>
          <w:lang w:val="en-US" w:eastAsia="ru-RU"/>
        </w:rPr>
        <w:t xml:space="preserve">Despite the conceptual appeal of this idea, </w:t>
      </w:r>
      <w:r w:rsidRPr="0010224D">
        <w:rPr>
          <w:rFonts w:ascii="Times New Roman" w:eastAsia="Times New Roman" w:hAnsi="Times New Roman" w:cs="Times New Roman"/>
          <w:b/>
          <w:bCs/>
          <w:sz w:val="24"/>
          <w:szCs w:val="24"/>
          <w:lang w:val="en-US" w:eastAsia="ru-RU"/>
        </w:rPr>
        <w:t>there is currently no empirical evidence to support it.</w:t>
      </w:r>
      <w:r w:rsidRPr="0010224D">
        <w:rPr>
          <w:rFonts w:ascii="Times New Roman" w:eastAsia="Times New Roman" w:hAnsi="Times New Roman" w:cs="Times New Roman"/>
          <w:sz w:val="24"/>
          <w:szCs w:val="24"/>
          <w:lang w:val="en-US" w:eastAsia="ru-RU"/>
        </w:rPr>
        <w:t xml:space="preserve"> To date, no systematic quantitative study has been conducted to measure the actual distribution of deontic modalities within a formal normative body.</w:t>
      </w:r>
    </w:p>
    <w:p w14:paraId="19BCB9CF" w14:textId="77777777" w:rsidR="0010224D" w:rsidRPr="0010224D" w:rsidRDefault="0010224D" w:rsidP="0010224D">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sidRPr="0010224D">
        <w:rPr>
          <w:rFonts w:ascii="Times New Roman" w:eastAsia="Times New Roman" w:hAnsi="Times New Roman" w:cs="Times New Roman"/>
          <w:b/>
          <w:bCs/>
          <w:sz w:val="24"/>
          <w:szCs w:val="24"/>
          <w:lang w:val="en-US" w:eastAsia="ru-RU"/>
        </w:rPr>
        <w:lastRenderedPageBreak/>
        <w:t>Why Constitutional Texts?</w:t>
      </w:r>
    </w:p>
    <w:p w14:paraId="7830FEC1" w14:textId="77777777" w:rsidR="0010224D" w:rsidRPr="0010224D" w:rsidRDefault="0010224D" w:rsidP="0010224D">
      <w:pPr>
        <w:spacing w:before="100" w:beforeAutospacing="1" w:after="100" w:afterAutospacing="1" w:line="240" w:lineRule="auto"/>
        <w:rPr>
          <w:rFonts w:ascii="Times New Roman" w:eastAsia="Times New Roman" w:hAnsi="Times New Roman" w:cs="Times New Roman"/>
          <w:sz w:val="24"/>
          <w:szCs w:val="24"/>
          <w:lang w:eastAsia="ru-RU"/>
        </w:rPr>
      </w:pPr>
      <w:r w:rsidRPr="0010224D">
        <w:rPr>
          <w:rFonts w:ascii="Times New Roman" w:eastAsia="Times New Roman" w:hAnsi="Times New Roman" w:cs="Times New Roman"/>
          <w:sz w:val="24"/>
          <w:szCs w:val="24"/>
          <w:lang w:val="en-US" w:eastAsia="ru-RU"/>
        </w:rPr>
        <w:t xml:space="preserve">To test this hypothesis, we propose using the texts of national constitutions as a primary research substrate. </w:t>
      </w:r>
      <w:r w:rsidRPr="0010224D">
        <w:rPr>
          <w:rFonts w:ascii="Times New Roman" w:eastAsia="Times New Roman" w:hAnsi="Times New Roman" w:cs="Times New Roman"/>
          <w:sz w:val="24"/>
          <w:szCs w:val="24"/>
          <w:lang w:eastAsia="ru-RU"/>
        </w:rPr>
        <w:t xml:space="preserve">The </w:t>
      </w:r>
      <w:proofErr w:type="spellStart"/>
      <w:r w:rsidRPr="0010224D">
        <w:rPr>
          <w:rFonts w:ascii="Times New Roman" w:eastAsia="Times New Roman" w:hAnsi="Times New Roman" w:cs="Times New Roman"/>
          <w:sz w:val="24"/>
          <w:szCs w:val="24"/>
          <w:lang w:eastAsia="ru-RU"/>
        </w:rPr>
        <w:t>choice</w:t>
      </w:r>
      <w:proofErr w:type="spellEnd"/>
      <w:r w:rsidRPr="0010224D">
        <w:rPr>
          <w:rFonts w:ascii="Times New Roman" w:eastAsia="Times New Roman" w:hAnsi="Times New Roman" w:cs="Times New Roman"/>
          <w:sz w:val="24"/>
          <w:szCs w:val="24"/>
          <w:lang w:eastAsia="ru-RU"/>
        </w:rPr>
        <w:t xml:space="preserve"> </w:t>
      </w:r>
      <w:proofErr w:type="spellStart"/>
      <w:r w:rsidRPr="0010224D">
        <w:rPr>
          <w:rFonts w:ascii="Times New Roman" w:eastAsia="Times New Roman" w:hAnsi="Times New Roman" w:cs="Times New Roman"/>
          <w:sz w:val="24"/>
          <w:szCs w:val="24"/>
          <w:lang w:eastAsia="ru-RU"/>
        </w:rPr>
        <w:t>is</w:t>
      </w:r>
      <w:proofErr w:type="spellEnd"/>
      <w:r w:rsidRPr="0010224D">
        <w:rPr>
          <w:rFonts w:ascii="Times New Roman" w:eastAsia="Times New Roman" w:hAnsi="Times New Roman" w:cs="Times New Roman"/>
          <w:sz w:val="24"/>
          <w:szCs w:val="24"/>
          <w:lang w:eastAsia="ru-RU"/>
        </w:rPr>
        <w:t xml:space="preserve"> </w:t>
      </w:r>
      <w:proofErr w:type="spellStart"/>
      <w:r w:rsidRPr="0010224D">
        <w:rPr>
          <w:rFonts w:ascii="Times New Roman" w:eastAsia="Times New Roman" w:hAnsi="Times New Roman" w:cs="Times New Roman"/>
          <w:sz w:val="24"/>
          <w:szCs w:val="24"/>
          <w:lang w:eastAsia="ru-RU"/>
        </w:rPr>
        <w:t>dictated</w:t>
      </w:r>
      <w:proofErr w:type="spellEnd"/>
      <w:r w:rsidRPr="0010224D">
        <w:rPr>
          <w:rFonts w:ascii="Times New Roman" w:eastAsia="Times New Roman" w:hAnsi="Times New Roman" w:cs="Times New Roman"/>
          <w:sz w:val="24"/>
          <w:szCs w:val="24"/>
          <w:lang w:eastAsia="ru-RU"/>
        </w:rPr>
        <w:t xml:space="preserve"> </w:t>
      </w:r>
      <w:proofErr w:type="spellStart"/>
      <w:r w:rsidRPr="0010224D">
        <w:rPr>
          <w:rFonts w:ascii="Times New Roman" w:eastAsia="Times New Roman" w:hAnsi="Times New Roman" w:cs="Times New Roman"/>
          <w:sz w:val="24"/>
          <w:szCs w:val="24"/>
          <w:lang w:eastAsia="ru-RU"/>
        </w:rPr>
        <w:t>by</w:t>
      </w:r>
      <w:proofErr w:type="spellEnd"/>
      <w:r w:rsidRPr="0010224D">
        <w:rPr>
          <w:rFonts w:ascii="Times New Roman" w:eastAsia="Times New Roman" w:hAnsi="Times New Roman" w:cs="Times New Roman"/>
          <w:sz w:val="24"/>
          <w:szCs w:val="24"/>
          <w:lang w:eastAsia="ru-RU"/>
        </w:rPr>
        <w:t xml:space="preserve"> </w:t>
      </w:r>
      <w:proofErr w:type="spellStart"/>
      <w:r w:rsidRPr="0010224D">
        <w:rPr>
          <w:rFonts w:ascii="Times New Roman" w:eastAsia="Times New Roman" w:hAnsi="Times New Roman" w:cs="Times New Roman"/>
          <w:sz w:val="24"/>
          <w:szCs w:val="24"/>
          <w:lang w:eastAsia="ru-RU"/>
        </w:rPr>
        <w:t>three</w:t>
      </w:r>
      <w:proofErr w:type="spellEnd"/>
      <w:r w:rsidRPr="0010224D">
        <w:rPr>
          <w:rFonts w:ascii="Times New Roman" w:eastAsia="Times New Roman" w:hAnsi="Times New Roman" w:cs="Times New Roman"/>
          <w:sz w:val="24"/>
          <w:szCs w:val="24"/>
          <w:lang w:eastAsia="ru-RU"/>
        </w:rPr>
        <w:t xml:space="preserve"> </w:t>
      </w:r>
      <w:proofErr w:type="spellStart"/>
      <w:r w:rsidRPr="0010224D">
        <w:rPr>
          <w:rFonts w:ascii="Times New Roman" w:eastAsia="Times New Roman" w:hAnsi="Times New Roman" w:cs="Times New Roman"/>
          <w:sz w:val="24"/>
          <w:szCs w:val="24"/>
          <w:lang w:eastAsia="ru-RU"/>
        </w:rPr>
        <w:t>structural</w:t>
      </w:r>
      <w:proofErr w:type="spellEnd"/>
      <w:r w:rsidRPr="0010224D">
        <w:rPr>
          <w:rFonts w:ascii="Times New Roman" w:eastAsia="Times New Roman" w:hAnsi="Times New Roman" w:cs="Times New Roman"/>
          <w:sz w:val="24"/>
          <w:szCs w:val="24"/>
          <w:lang w:eastAsia="ru-RU"/>
        </w:rPr>
        <w:t xml:space="preserve"> </w:t>
      </w:r>
      <w:proofErr w:type="spellStart"/>
      <w:r w:rsidRPr="0010224D">
        <w:rPr>
          <w:rFonts w:ascii="Times New Roman" w:eastAsia="Times New Roman" w:hAnsi="Times New Roman" w:cs="Times New Roman"/>
          <w:sz w:val="24"/>
          <w:szCs w:val="24"/>
          <w:lang w:eastAsia="ru-RU"/>
        </w:rPr>
        <w:t>factors</w:t>
      </w:r>
      <w:proofErr w:type="spellEnd"/>
      <w:r w:rsidRPr="0010224D">
        <w:rPr>
          <w:rFonts w:ascii="Times New Roman" w:eastAsia="Times New Roman" w:hAnsi="Times New Roman" w:cs="Times New Roman"/>
          <w:sz w:val="24"/>
          <w:szCs w:val="24"/>
          <w:lang w:eastAsia="ru-RU"/>
        </w:rPr>
        <w:t>:</w:t>
      </w:r>
    </w:p>
    <w:p w14:paraId="0AAA3A09" w14:textId="77777777" w:rsidR="0010224D" w:rsidRPr="0010224D" w:rsidRDefault="0010224D" w:rsidP="001022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b/>
          <w:bCs/>
          <w:sz w:val="24"/>
          <w:szCs w:val="24"/>
          <w:lang w:val="en-US" w:eastAsia="ru-RU"/>
        </w:rPr>
        <w:t>Stability:</w:t>
      </w:r>
      <w:r w:rsidRPr="0010224D">
        <w:rPr>
          <w:rFonts w:ascii="Times New Roman" w:eastAsia="Times New Roman" w:hAnsi="Times New Roman" w:cs="Times New Roman"/>
          <w:sz w:val="24"/>
          <w:szCs w:val="24"/>
          <w:lang w:val="en-US" w:eastAsia="ru-RU"/>
        </w:rPr>
        <w:t xml:space="preserve"> Constitutions are arguably the most stable normative instruments available. They are intended to reflect long-term foundational structures rather than transient regulatory needs.</w:t>
      </w:r>
    </w:p>
    <w:p w14:paraId="3F8131ED" w14:textId="77777777" w:rsidR="0010224D" w:rsidRPr="0010224D" w:rsidRDefault="0010224D" w:rsidP="001022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b/>
          <w:bCs/>
          <w:sz w:val="24"/>
          <w:szCs w:val="24"/>
          <w:lang w:val="en-US" w:eastAsia="ru-RU"/>
        </w:rPr>
        <w:t>Accessibility and Comparability:</w:t>
      </w:r>
      <w:r w:rsidRPr="0010224D">
        <w:rPr>
          <w:rFonts w:ascii="Times New Roman" w:eastAsia="Times New Roman" w:hAnsi="Times New Roman" w:cs="Times New Roman"/>
          <w:sz w:val="24"/>
          <w:szCs w:val="24"/>
          <w:lang w:val="en-US" w:eastAsia="ru-RU"/>
        </w:rPr>
        <w:t xml:space="preserve"> Constitutional texts are readily available, relatively concise, and their translation into major languages is standardized, making them ideal for cross-jurisdictional analysis.</w:t>
      </w:r>
    </w:p>
    <w:p w14:paraId="5A6535F3" w14:textId="77777777" w:rsidR="0010224D" w:rsidRPr="0010224D" w:rsidRDefault="0010224D" w:rsidP="001022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b/>
          <w:bCs/>
          <w:sz w:val="24"/>
          <w:szCs w:val="24"/>
          <w:lang w:val="en-US" w:eastAsia="ru-RU"/>
        </w:rPr>
        <w:t>Institutional Autonomy:</w:t>
      </w:r>
      <w:r w:rsidRPr="0010224D">
        <w:rPr>
          <w:rFonts w:ascii="Times New Roman" w:eastAsia="Times New Roman" w:hAnsi="Times New Roman" w:cs="Times New Roman"/>
          <w:sz w:val="24"/>
          <w:szCs w:val="24"/>
          <w:lang w:val="en-US" w:eastAsia="ru-RU"/>
        </w:rPr>
        <w:t xml:space="preserve"> Compared to specialized legislation or administrative codes, constitutions are less tethered to specific, localized circumstances. They represent a "cleaner" map of a system’s normative self-description.</w:t>
      </w:r>
    </w:p>
    <w:p w14:paraId="77D397D8" w14:textId="77777777" w:rsidR="0010224D" w:rsidRPr="0010224D" w:rsidRDefault="0010224D" w:rsidP="0010224D">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sidRPr="0010224D">
        <w:rPr>
          <w:rFonts w:ascii="Times New Roman" w:eastAsia="Times New Roman" w:hAnsi="Times New Roman" w:cs="Times New Roman"/>
          <w:b/>
          <w:bCs/>
          <w:sz w:val="24"/>
          <w:szCs w:val="24"/>
          <w:lang w:val="en-US" w:eastAsia="ru-RU"/>
        </w:rPr>
        <w:t>Methodology and Metrics</w:t>
      </w:r>
    </w:p>
    <w:p w14:paraId="0B75413E" w14:textId="77777777" w:rsidR="0010224D" w:rsidRPr="0010224D" w:rsidRDefault="0010224D" w:rsidP="0010224D">
      <w:pPr>
        <w:spacing w:before="100" w:beforeAutospacing="1" w:after="100" w:afterAutospacing="1" w:line="240" w:lineRule="auto"/>
        <w:rPr>
          <w:rFonts w:ascii="Times New Roman" w:eastAsia="Times New Roman" w:hAnsi="Times New Roman" w:cs="Times New Roman"/>
          <w:sz w:val="24"/>
          <w:szCs w:val="24"/>
          <w:lang w:eastAsia="ru-RU"/>
        </w:rPr>
      </w:pPr>
      <w:r w:rsidRPr="0010224D">
        <w:rPr>
          <w:rFonts w:ascii="Times New Roman" w:eastAsia="Times New Roman" w:hAnsi="Times New Roman" w:cs="Times New Roman"/>
          <w:sz w:val="24"/>
          <w:szCs w:val="24"/>
          <w:lang w:val="en-US" w:eastAsia="ru-RU"/>
        </w:rPr>
        <w:t xml:space="preserve">With the advent of Large Language Models (LLMs), the task of classifying constitutional articles into deontic categories has become computationally tractable. </w:t>
      </w:r>
      <w:r w:rsidRPr="0010224D">
        <w:rPr>
          <w:rFonts w:ascii="Times New Roman" w:eastAsia="Times New Roman" w:hAnsi="Times New Roman" w:cs="Times New Roman"/>
          <w:sz w:val="24"/>
          <w:szCs w:val="24"/>
          <w:lang w:eastAsia="ru-RU"/>
        </w:rPr>
        <w:t xml:space="preserve">We </w:t>
      </w:r>
      <w:proofErr w:type="spellStart"/>
      <w:r w:rsidRPr="0010224D">
        <w:rPr>
          <w:rFonts w:ascii="Times New Roman" w:eastAsia="Times New Roman" w:hAnsi="Times New Roman" w:cs="Times New Roman"/>
          <w:sz w:val="24"/>
          <w:szCs w:val="24"/>
          <w:lang w:eastAsia="ru-RU"/>
        </w:rPr>
        <w:t>propose</w:t>
      </w:r>
      <w:proofErr w:type="spellEnd"/>
      <w:r w:rsidRPr="0010224D">
        <w:rPr>
          <w:rFonts w:ascii="Times New Roman" w:eastAsia="Times New Roman" w:hAnsi="Times New Roman" w:cs="Times New Roman"/>
          <w:sz w:val="24"/>
          <w:szCs w:val="24"/>
          <w:lang w:eastAsia="ru-RU"/>
        </w:rPr>
        <w:t xml:space="preserve"> a </w:t>
      </w:r>
      <w:proofErr w:type="spellStart"/>
      <w:r w:rsidRPr="0010224D">
        <w:rPr>
          <w:rFonts w:ascii="Times New Roman" w:eastAsia="Times New Roman" w:hAnsi="Times New Roman" w:cs="Times New Roman"/>
          <w:sz w:val="24"/>
          <w:szCs w:val="24"/>
          <w:lang w:eastAsia="ru-RU"/>
        </w:rPr>
        <w:t>comparative</w:t>
      </w:r>
      <w:proofErr w:type="spellEnd"/>
      <w:r w:rsidRPr="0010224D">
        <w:rPr>
          <w:rFonts w:ascii="Times New Roman" w:eastAsia="Times New Roman" w:hAnsi="Times New Roman" w:cs="Times New Roman"/>
          <w:sz w:val="24"/>
          <w:szCs w:val="24"/>
          <w:lang w:eastAsia="ru-RU"/>
        </w:rPr>
        <w:t xml:space="preserve"> </w:t>
      </w:r>
      <w:proofErr w:type="spellStart"/>
      <w:r w:rsidRPr="0010224D">
        <w:rPr>
          <w:rFonts w:ascii="Times New Roman" w:eastAsia="Times New Roman" w:hAnsi="Times New Roman" w:cs="Times New Roman"/>
          <w:sz w:val="24"/>
          <w:szCs w:val="24"/>
          <w:lang w:eastAsia="ru-RU"/>
        </w:rPr>
        <w:t>mapping</w:t>
      </w:r>
      <w:proofErr w:type="spellEnd"/>
      <w:r w:rsidRPr="0010224D">
        <w:rPr>
          <w:rFonts w:ascii="Times New Roman" w:eastAsia="Times New Roman" w:hAnsi="Times New Roman" w:cs="Times New Roman"/>
          <w:sz w:val="24"/>
          <w:szCs w:val="24"/>
          <w:lang w:eastAsia="ru-RU"/>
        </w:rPr>
        <w:t xml:space="preserve"> </w:t>
      </w:r>
      <w:proofErr w:type="spellStart"/>
      <w:r w:rsidRPr="0010224D">
        <w:rPr>
          <w:rFonts w:ascii="Times New Roman" w:eastAsia="Times New Roman" w:hAnsi="Times New Roman" w:cs="Times New Roman"/>
          <w:sz w:val="24"/>
          <w:szCs w:val="24"/>
          <w:lang w:eastAsia="ru-RU"/>
        </w:rPr>
        <w:t>of</w:t>
      </w:r>
      <w:proofErr w:type="spellEnd"/>
      <w:r w:rsidRPr="0010224D">
        <w:rPr>
          <w:rFonts w:ascii="Times New Roman" w:eastAsia="Times New Roman" w:hAnsi="Times New Roman" w:cs="Times New Roman"/>
          <w:sz w:val="24"/>
          <w:szCs w:val="24"/>
          <w:lang w:eastAsia="ru-RU"/>
        </w:rPr>
        <w:t xml:space="preserve"> </w:t>
      </w:r>
      <w:proofErr w:type="spellStart"/>
      <w:r w:rsidRPr="0010224D">
        <w:rPr>
          <w:rFonts w:ascii="Times New Roman" w:eastAsia="Times New Roman" w:hAnsi="Times New Roman" w:cs="Times New Roman"/>
          <w:sz w:val="24"/>
          <w:szCs w:val="24"/>
          <w:lang w:eastAsia="ru-RU"/>
        </w:rPr>
        <w:t>three</w:t>
      </w:r>
      <w:proofErr w:type="spellEnd"/>
      <w:r w:rsidRPr="0010224D">
        <w:rPr>
          <w:rFonts w:ascii="Times New Roman" w:eastAsia="Times New Roman" w:hAnsi="Times New Roman" w:cs="Times New Roman"/>
          <w:sz w:val="24"/>
          <w:szCs w:val="24"/>
          <w:lang w:eastAsia="ru-RU"/>
        </w:rPr>
        <w:t xml:space="preserve"> </w:t>
      </w:r>
      <w:proofErr w:type="spellStart"/>
      <w:r w:rsidRPr="0010224D">
        <w:rPr>
          <w:rFonts w:ascii="Times New Roman" w:eastAsia="Times New Roman" w:hAnsi="Times New Roman" w:cs="Times New Roman"/>
          <w:sz w:val="24"/>
          <w:szCs w:val="24"/>
          <w:lang w:eastAsia="ru-RU"/>
        </w:rPr>
        <w:t>basic</w:t>
      </w:r>
      <w:proofErr w:type="spellEnd"/>
      <w:r w:rsidRPr="0010224D">
        <w:rPr>
          <w:rFonts w:ascii="Times New Roman" w:eastAsia="Times New Roman" w:hAnsi="Times New Roman" w:cs="Times New Roman"/>
          <w:sz w:val="24"/>
          <w:szCs w:val="24"/>
          <w:lang w:eastAsia="ru-RU"/>
        </w:rPr>
        <w:t xml:space="preserve"> </w:t>
      </w:r>
      <w:proofErr w:type="spellStart"/>
      <w:r w:rsidRPr="0010224D">
        <w:rPr>
          <w:rFonts w:ascii="Times New Roman" w:eastAsia="Times New Roman" w:hAnsi="Times New Roman" w:cs="Times New Roman"/>
          <w:sz w:val="24"/>
          <w:szCs w:val="24"/>
          <w:lang w:eastAsia="ru-RU"/>
        </w:rPr>
        <w:t>modalities</w:t>
      </w:r>
      <w:proofErr w:type="spellEnd"/>
      <w:r w:rsidRPr="0010224D">
        <w:rPr>
          <w:rFonts w:ascii="Times New Roman" w:eastAsia="Times New Roman" w:hAnsi="Times New Roman" w:cs="Times New Roman"/>
          <w:sz w:val="24"/>
          <w:szCs w:val="24"/>
          <w:lang w:eastAsia="ru-RU"/>
        </w:rPr>
        <w:t>:</w:t>
      </w:r>
    </w:p>
    <w:p w14:paraId="2C54A019" w14:textId="77777777" w:rsidR="0010224D" w:rsidRPr="0010224D" w:rsidRDefault="0010224D" w:rsidP="0010224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b/>
          <w:bCs/>
          <w:sz w:val="24"/>
          <w:szCs w:val="24"/>
          <w:lang w:val="en-US" w:eastAsia="ru-RU"/>
        </w:rPr>
        <w:t>Prescribed (O):</w:t>
      </w:r>
      <w:r w:rsidRPr="0010224D">
        <w:rPr>
          <w:rFonts w:ascii="Times New Roman" w:eastAsia="Times New Roman" w:hAnsi="Times New Roman" w:cs="Times New Roman"/>
          <w:sz w:val="24"/>
          <w:szCs w:val="24"/>
          <w:lang w:val="en-US" w:eastAsia="ru-RU"/>
        </w:rPr>
        <w:t xml:space="preserve"> Norms imposing positive obligations.</w:t>
      </w:r>
    </w:p>
    <w:p w14:paraId="458E97E1" w14:textId="77777777" w:rsidR="0010224D" w:rsidRPr="0010224D" w:rsidRDefault="0010224D" w:rsidP="0010224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b/>
          <w:bCs/>
          <w:sz w:val="24"/>
          <w:szCs w:val="24"/>
          <w:lang w:val="en-US" w:eastAsia="ru-RU"/>
        </w:rPr>
        <w:t>Forbidden (F):</w:t>
      </w:r>
      <w:r w:rsidRPr="0010224D">
        <w:rPr>
          <w:rFonts w:ascii="Times New Roman" w:eastAsia="Times New Roman" w:hAnsi="Times New Roman" w:cs="Times New Roman"/>
          <w:sz w:val="24"/>
          <w:szCs w:val="24"/>
          <w:lang w:val="en-US" w:eastAsia="ru-RU"/>
        </w:rPr>
        <w:t xml:space="preserve"> Norms establishing prohibitions.</w:t>
      </w:r>
    </w:p>
    <w:p w14:paraId="0A656071" w14:textId="77777777" w:rsidR="0010224D" w:rsidRPr="0010224D" w:rsidRDefault="0010224D" w:rsidP="0010224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b/>
          <w:bCs/>
          <w:sz w:val="24"/>
          <w:szCs w:val="24"/>
          <w:lang w:val="en-US" w:eastAsia="ru-RU"/>
        </w:rPr>
        <w:t>Permitted (P):</w:t>
      </w:r>
      <w:r w:rsidRPr="0010224D">
        <w:rPr>
          <w:rFonts w:ascii="Times New Roman" w:eastAsia="Times New Roman" w:hAnsi="Times New Roman" w:cs="Times New Roman"/>
          <w:sz w:val="24"/>
          <w:szCs w:val="24"/>
          <w:lang w:val="en-US" w:eastAsia="ru-RU"/>
        </w:rPr>
        <w:t xml:space="preserve"> Norms explicitly granting rights, options, or discretionary spaces.</w:t>
      </w:r>
    </w:p>
    <w:p w14:paraId="6E319063" w14:textId="77777777" w:rsidR="0010224D" w:rsidRPr="0010224D" w:rsidRDefault="0010224D" w:rsidP="0010224D">
      <w:p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sz w:val="24"/>
          <w:szCs w:val="24"/>
          <w:lang w:val="en-US" w:eastAsia="ru-RU"/>
        </w:rPr>
        <w:t>We suggest the introduction of two specific metrics:</w:t>
      </w:r>
    </w:p>
    <w:p w14:paraId="7E7D0EC9" w14:textId="77777777" w:rsidR="0010224D" w:rsidRPr="0010224D" w:rsidRDefault="0010224D" w:rsidP="0010224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b/>
          <w:bCs/>
          <w:sz w:val="24"/>
          <w:szCs w:val="24"/>
          <w:lang w:val="en-US" w:eastAsia="ru-RU"/>
        </w:rPr>
        <w:t>Permissiveness Index (PI):</w:t>
      </w:r>
      <w:r w:rsidRPr="0010224D">
        <w:rPr>
          <w:rFonts w:ascii="Times New Roman" w:eastAsia="Times New Roman" w:hAnsi="Times New Roman" w:cs="Times New Roman"/>
          <w:sz w:val="24"/>
          <w:szCs w:val="24"/>
          <w:lang w:val="en-US" w:eastAsia="ru-RU"/>
        </w:rPr>
        <w:t xml:space="preserve"> Defined as $P / (O + F)$. This serves as a measure of a system’s "operational openness."</w:t>
      </w:r>
    </w:p>
    <w:p w14:paraId="1EAD39B8" w14:textId="77777777" w:rsidR="0010224D" w:rsidRPr="0010224D" w:rsidRDefault="0010224D" w:rsidP="0010224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b/>
          <w:bCs/>
          <w:sz w:val="24"/>
          <w:szCs w:val="24"/>
          <w:lang w:val="en-US" w:eastAsia="ru-RU"/>
        </w:rPr>
        <w:t>Rigidity Ratio (F/O):</w:t>
      </w:r>
      <w:r w:rsidRPr="0010224D">
        <w:rPr>
          <w:rFonts w:ascii="Times New Roman" w:eastAsia="Times New Roman" w:hAnsi="Times New Roman" w:cs="Times New Roman"/>
          <w:sz w:val="24"/>
          <w:szCs w:val="24"/>
          <w:lang w:val="en-US" w:eastAsia="ru-RU"/>
        </w:rPr>
        <w:t xml:space="preserve"> The internal balance between negative control (prohibitions) and positive mandates (obligations), which may serve as a "structural signature" of a legal culture (e.g., Anglo-Saxon vs. Continental vs. Confucian).</w:t>
      </w:r>
    </w:p>
    <w:p w14:paraId="768C15B1" w14:textId="77777777" w:rsidR="0010224D" w:rsidRPr="0010224D" w:rsidRDefault="0010224D" w:rsidP="0010224D">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sidRPr="0010224D">
        <w:rPr>
          <w:rFonts w:ascii="Times New Roman" w:eastAsia="Times New Roman" w:hAnsi="Times New Roman" w:cs="Times New Roman"/>
          <w:b/>
          <w:bCs/>
          <w:sz w:val="24"/>
          <w:szCs w:val="24"/>
          <w:lang w:val="en-US" w:eastAsia="ru-RU"/>
        </w:rPr>
        <w:t>Call for Empirical Testing</w:t>
      </w:r>
    </w:p>
    <w:p w14:paraId="77291CEF" w14:textId="77777777" w:rsidR="0010224D" w:rsidRPr="0010224D" w:rsidRDefault="0010224D" w:rsidP="0010224D">
      <w:p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sz w:val="24"/>
          <w:szCs w:val="24"/>
          <w:lang w:val="en-US" w:eastAsia="ru-RU"/>
        </w:rPr>
        <w:t>The author of this note deliberately refrains from conducting the analysis, choosing instead to present this as an open methodological challenge. We invite data scientists, legal theorists, and institutional scholars to apply these metrics to existing constitutional corpora.</w:t>
      </w:r>
    </w:p>
    <w:p w14:paraId="7F4803EB" w14:textId="2A2FD399" w:rsidR="0010224D" w:rsidRDefault="0010224D" w:rsidP="0010224D">
      <w:pPr>
        <w:spacing w:before="100" w:beforeAutospacing="1" w:after="100" w:afterAutospacing="1" w:line="240" w:lineRule="auto"/>
        <w:rPr>
          <w:rFonts w:ascii="Times New Roman" w:eastAsia="Times New Roman" w:hAnsi="Times New Roman" w:cs="Times New Roman"/>
          <w:sz w:val="24"/>
          <w:szCs w:val="24"/>
          <w:lang w:val="en-US" w:eastAsia="ru-RU"/>
        </w:rPr>
      </w:pPr>
      <w:r w:rsidRPr="0010224D">
        <w:rPr>
          <w:rFonts w:ascii="Times New Roman" w:eastAsia="Times New Roman" w:hAnsi="Times New Roman" w:cs="Times New Roman"/>
          <w:sz w:val="24"/>
          <w:szCs w:val="24"/>
          <w:lang w:val="en-US" w:eastAsia="ru-RU"/>
        </w:rPr>
        <w:t>Whether the results confirm the dominance of the permitted or, conversely, reveal a preponderance of mandates, the act of quantification will provide the first objective map of the "normative economy" that sustains social systems.</w:t>
      </w:r>
    </w:p>
    <w:p w14:paraId="474775FB" w14:textId="77777777" w:rsidR="00D909C3" w:rsidRPr="00414E3D" w:rsidRDefault="00D909C3" w:rsidP="00D909C3">
      <w:pPr>
        <w:pStyle w:val="2"/>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4E3D">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Methodological Recommendations for Empirical Applications</w:t>
      </w:r>
    </w:p>
    <w:p w14:paraId="1B85F900" w14:textId="77777777" w:rsidR="00D909C3" w:rsidRPr="00D909C3" w:rsidRDefault="00D909C3" w:rsidP="00D909C3">
      <w:pPr>
        <w:pStyle w:val="a3"/>
        <w:rPr>
          <w:lang w:val="en-US"/>
        </w:rPr>
      </w:pPr>
      <w:r w:rsidRPr="00D909C3">
        <w:rPr>
          <w:lang w:val="en-US"/>
        </w:rPr>
        <w:t>The present proposal is intended as a methodological challenge rather than a finished empirical study. Researchers interested in applying the suggested metrics should be aware of several structural features of normative texts that may significantly affect quantitative results.</w:t>
      </w:r>
    </w:p>
    <w:p w14:paraId="7DAE2E2B" w14:textId="77777777" w:rsidR="00D909C3" w:rsidRPr="00D909C3" w:rsidRDefault="00D909C3" w:rsidP="00D909C3">
      <w:pPr>
        <w:pStyle w:val="3"/>
        <w:rPr>
          <w:lang w:val="en-US"/>
        </w:rPr>
      </w:pPr>
      <w:r w:rsidRPr="00D909C3">
        <w:rPr>
          <w:lang w:val="en-US"/>
        </w:rPr>
        <w:t>1. Deontic Content Is Not Coextensive with Legal Norms</w:t>
      </w:r>
    </w:p>
    <w:p w14:paraId="1E2E182A" w14:textId="77777777" w:rsidR="00D909C3" w:rsidRPr="00D909C3" w:rsidRDefault="00D909C3" w:rsidP="00D909C3">
      <w:pPr>
        <w:pStyle w:val="a3"/>
        <w:rPr>
          <w:lang w:val="en-US"/>
        </w:rPr>
      </w:pPr>
      <w:r w:rsidRPr="00D909C3">
        <w:rPr>
          <w:lang w:val="en-US"/>
        </w:rPr>
        <w:lastRenderedPageBreak/>
        <w:t>The analysis proposed here does not operate with legal norms as they are traditionally understood in jurisprudence. A single legal provision may simultaneously contain elements of obligation, prohibition, and permission. For the purposes of this methodology, such a provision must be decomposed into multiple deontic fixations.</w:t>
      </w:r>
    </w:p>
    <w:p w14:paraId="6961D680" w14:textId="77777777" w:rsidR="00D909C3" w:rsidRPr="00D909C3" w:rsidRDefault="00D909C3" w:rsidP="00D909C3">
      <w:pPr>
        <w:pStyle w:val="a3"/>
        <w:rPr>
          <w:lang w:val="en-US"/>
        </w:rPr>
      </w:pPr>
      <w:r w:rsidRPr="00D909C3">
        <w:rPr>
          <w:lang w:val="en-US"/>
        </w:rPr>
        <w:t>Accordingly, the unit of analysis is not the legal norm as such, but the explicit or implicit fixation of a deontic modality within the text. This implies that counts of O, F, and P will not correspond to counts of legal articles or provisions, and no such correspondence should be expected.</w:t>
      </w:r>
    </w:p>
    <w:p w14:paraId="696EE522" w14:textId="77777777" w:rsidR="00D909C3" w:rsidRPr="00D909C3" w:rsidRDefault="00D909C3" w:rsidP="00D909C3">
      <w:pPr>
        <w:pStyle w:val="3"/>
        <w:rPr>
          <w:lang w:val="en-US"/>
        </w:rPr>
      </w:pPr>
      <w:r w:rsidRPr="00D909C3">
        <w:rPr>
          <w:lang w:val="en-US"/>
        </w:rPr>
        <w:t>2. Declarative and “Empty” Provisions</w:t>
      </w:r>
    </w:p>
    <w:p w14:paraId="5E59341F" w14:textId="77777777" w:rsidR="00D909C3" w:rsidRPr="00D909C3" w:rsidRDefault="00D909C3" w:rsidP="00D909C3">
      <w:pPr>
        <w:pStyle w:val="a3"/>
        <w:rPr>
          <w:lang w:val="en-US"/>
        </w:rPr>
      </w:pPr>
      <w:r w:rsidRPr="00D909C3">
        <w:rPr>
          <w:lang w:val="en-US"/>
        </w:rPr>
        <w:t xml:space="preserve">Many constitutional texts contain declarative, symbolic, or programmatic provisions, including preambles and value statements. While such provisions may appear </w:t>
      </w:r>
      <w:proofErr w:type="spellStart"/>
      <w:r w:rsidRPr="00D909C3">
        <w:rPr>
          <w:lang w:val="en-US"/>
        </w:rPr>
        <w:t>deontically</w:t>
      </w:r>
      <w:proofErr w:type="spellEnd"/>
      <w:r w:rsidRPr="00D909C3">
        <w:rPr>
          <w:lang w:val="en-US"/>
        </w:rPr>
        <w:t xml:space="preserve"> empty at first glance, this appearance can be misleading.</w:t>
      </w:r>
    </w:p>
    <w:p w14:paraId="13A92632" w14:textId="77777777" w:rsidR="008D7DEA" w:rsidRPr="008D7DEA" w:rsidRDefault="008D7DEA" w:rsidP="008D7DEA">
      <w:pPr>
        <w:pStyle w:val="a3"/>
        <w:rPr>
          <w:lang w:val="en-US"/>
        </w:rPr>
      </w:pPr>
      <w:r w:rsidRPr="008D7DEA">
        <w:rPr>
          <w:lang w:val="en-US"/>
        </w:rPr>
        <w:t xml:space="preserve">Terms such as </w:t>
      </w:r>
      <w:r w:rsidRPr="008D7DEA">
        <w:rPr>
          <w:rStyle w:val="a4"/>
          <w:lang w:val="en-US"/>
        </w:rPr>
        <w:t>“guaranteed,” “recognized,” “entitled,” “secured,”</w:t>
      </w:r>
      <w:r w:rsidRPr="008D7DEA">
        <w:rPr>
          <w:lang w:val="en-US"/>
        </w:rPr>
        <w:t xml:space="preserve"> or </w:t>
      </w:r>
      <w:r w:rsidRPr="008D7DEA">
        <w:rPr>
          <w:rStyle w:val="a4"/>
          <w:lang w:val="en-US"/>
        </w:rPr>
        <w:t>“inviolable”</w:t>
      </w:r>
      <w:r w:rsidRPr="008D7DEA">
        <w:rPr>
          <w:lang w:val="en-US"/>
        </w:rPr>
        <w:t xml:space="preserve"> should be treated, for the purposes of this analysis, as </w:t>
      </w:r>
      <w:r w:rsidRPr="008D7DEA">
        <w:rPr>
          <w:rStyle w:val="a5"/>
          <w:lang w:val="en-US"/>
        </w:rPr>
        <w:t>forms of permission</w:t>
      </w:r>
      <w:r w:rsidRPr="008D7DEA">
        <w:rPr>
          <w:lang w:val="en-US"/>
        </w:rPr>
        <w:t>. From a structural perspective, such formulations expand the space of the permitted by stabilizing the conditions under which actions or claims are treated as allowable.</w:t>
      </w:r>
    </w:p>
    <w:p w14:paraId="5B2B10F2" w14:textId="77777777" w:rsidR="008D7DEA" w:rsidRPr="008D7DEA" w:rsidRDefault="008D7DEA" w:rsidP="008D7DEA">
      <w:pPr>
        <w:pStyle w:val="a3"/>
        <w:rPr>
          <w:lang w:val="en-US"/>
        </w:rPr>
      </w:pPr>
      <w:r w:rsidRPr="008D7DEA">
        <w:rPr>
          <w:lang w:val="en-US"/>
        </w:rPr>
        <w:t>This classification is not interpretive in a juridical sense but structural: these formulations do not prescribe action, nor do they forbid it; instead, they define domains in which action or claim-making is explicitly allowed.</w:t>
      </w:r>
    </w:p>
    <w:p w14:paraId="1E360A61" w14:textId="77777777" w:rsidR="008D7DEA" w:rsidRPr="008D7DEA" w:rsidRDefault="008D7DEA" w:rsidP="008D7DEA">
      <w:pPr>
        <w:pStyle w:val="a3"/>
        <w:rPr>
          <w:lang w:val="en-US"/>
        </w:rPr>
      </w:pPr>
      <w:r w:rsidRPr="008D7DEA">
        <w:rPr>
          <w:rStyle w:val="a5"/>
          <w:lang w:val="en-US"/>
        </w:rPr>
        <w:t>For purely declarative provisions</w:t>
      </w:r>
      <w:r w:rsidRPr="008D7DEA">
        <w:rPr>
          <w:lang w:val="en-US"/>
        </w:rPr>
        <w:t>, understood here as formulations that do not fix any actionable or claim-relevant modality (for example, symbolic statements or preambular affirmations without normative effect), researchers may adopt one of the following strategies:</w:t>
      </w:r>
    </w:p>
    <w:p w14:paraId="1A38E563" w14:textId="77777777" w:rsidR="008D7DEA" w:rsidRPr="008D7DEA" w:rsidRDefault="008D7DEA" w:rsidP="008D7DEA">
      <w:pPr>
        <w:pStyle w:val="a3"/>
        <w:numPr>
          <w:ilvl w:val="0"/>
          <w:numId w:val="5"/>
        </w:numPr>
        <w:rPr>
          <w:lang w:val="en-US"/>
        </w:rPr>
      </w:pPr>
      <w:r w:rsidRPr="008D7DEA">
        <w:rPr>
          <w:rStyle w:val="a5"/>
          <w:lang w:val="en-US"/>
        </w:rPr>
        <w:t>Exclusion strategy:</w:t>
      </w:r>
      <w:r w:rsidRPr="008D7DEA">
        <w:rPr>
          <w:lang w:val="en-US"/>
        </w:rPr>
        <w:t xml:space="preserve"> Treat such provisions as non-deontic and exclude them from modal counts.</w:t>
      </w:r>
    </w:p>
    <w:p w14:paraId="13C4B8A5" w14:textId="77777777" w:rsidR="008D7DEA" w:rsidRPr="008D7DEA" w:rsidRDefault="008D7DEA" w:rsidP="008D7DEA">
      <w:pPr>
        <w:pStyle w:val="a3"/>
        <w:numPr>
          <w:ilvl w:val="0"/>
          <w:numId w:val="5"/>
        </w:numPr>
        <w:rPr>
          <w:lang w:val="en-US"/>
        </w:rPr>
      </w:pPr>
      <w:r w:rsidRPr="008D7DEA">
        <w:rPr>
          <w:rStyle w:val="a5"/>
          <w:lang w:val="en-US"/>
        </w:rPr>
        <w:t>Indexing strategy:</w:t>
      </w:r>
      <w:r w:rsidRPr="008D7DEA">
        <w:rPr>
          <w:lang w:val="en-US"/>
        </w:rPr>
        <w:t xml:space="preserve"> Retain them in the dataset by introducing an additional index for </w:t>
      </w:r>
      <w:proofErr w:type="spellStart"/>
      <w:r w:rsidRPr="008D7DEA">
        <w:rPr>
          <w:lang w:val="en-US"/>
        </w:rPr>
        <w:t>deontically</w:t>
      </w:r>
      <w:proofErr w:type="spellEnd"/>
      <w:r w:rsidRPr="008D7DEA">
        <w:rPr>
          <w:lang w:val="en-US"/>
        </w:rPr>
        <w:t xml:space="preserve"> empty formulations.</w:t>
      </w:r>
    </w:p>
    <w:p w14:paraId="7CEC55D3" w14:textId="77777777" w:rsidR="008D7DEA" w:rsidRPr="008D7DEA" w:rsidRDefault="008D7DEA" w:rsidP="008D7DEA">
      <w:pPr>
        <w:pStyle w:val="a3"/>
        <w:rPr>
          <w:lang w:val="en-US"/>
        </w:rPr>
      </w:pPr>
      <w:r w:rsidRPr="008D7DEA">
        <w:rPr>
          <w:lang w:val="en-US"/>
        </w:rPr>
        <w:t>The present proposal does not privilege either strategy, but it strongly recommends that declarative-permission formulations be distinguished from genuinely empty declarations and classified accordingly.</w:t>
      </w:r>
    </w:p>
    <w:p w14:paraId="4BE5EAF0" w14:textId="77777777" w:rsidR="00D909C3" w:rsidRPr="00D909C3" w:rsidRDefault="00D909C3" w:rsidP="00D909C3">
      <w:pPr>
        <w:pStyle w:val="3"/>
        <w:rPr>
          <w:lang w:val="en-US"/>
        </w:rPr>
      </w:pPr>
      <w:r w:rsidRPr="00D909C3">
        <w:rPr>
          <w:lang w:val="en-US"/>
        </w:rPr>
        <w:t>3. Coherence Should Not Be Presumed</w:t>
      </w:r>
    </w:p>
    <w:p w14:paraId="4E72D81F" w14:textId="77777777" w:rsidR="00D909C3" w:rsidRPr="00D909C3" w:rsidRDefault="00D909C3" w:rsidP="00D909C3">
      <w:pPr>
        <w:pStyle w:val="a3"/>
        <w:rPr>
          <w:lang w:val="en-US"/>
        </w:rPr>
      </w:pPr>
      <w:r w:rsidRPr="00D909C3">
        <w:rPr>
          <w:lang w:val="en-US"/>
        </w:rPr>
        <w:t>The methodology does not assume the rational coherence or internal consistency of the legislator. Constitutional texts may contain contradictory, overlapping, or self-negating formulations, including cases where a norm effectively undermines its own stated modality.</w:t>
      </w:r>
    </w:p>
    <w:p w14:paraId="26D9FC6C" w14:textId="77777777" w:rsidR="00D909C3" w:rsidRPr="00D909C3" w:rsidRDefault="00D909C3" w:rsidP="00D909C3">
      <w:pPr>
        <w:pStyle w:val="a3"/>
        <w:rPr>
          <w:lang w:val="en-US"/>
        </w:rPr>
      </w:pPr>
      <w:r w:rsidRPr="00D909C3">
        <w:rPr>
          <w:lang w:val="en-US"/>
        </w:rPr>
        <w:t>Such cases should not be treated as errors of classification or noise to be eliminated. On the contrary, they constitute relevant structural data. The coexistence of incompatible modal fixations is itself an empirically meaningful feature of a normative system.</w:t>
      </w:r>
    </w:p>
    <w:p w14:paraId="13B588F0" w14:textId="77777777" w:rsidR="00D909C3" w:rsidRPr="00D909C3" w:rsidRDefault="00D909C3" w:rsidP="00D909C3">
      <w:pPr>
        <w:pStyle w:val="3"/>
        <w:rPr>
          <w:lang w:val="en-US"/>
        </w:rPr>
      </w:pPr>
      <w:r w:rsidRPr="00D909C3">
        <w:rPr>
          <w:lang w:val="en-US"/>
        </w:rPr>
        <w:t>4. Use of Large Language Models and Manual Verification</w:t>
      </w:r>
    </w:p>
    <w:p w14:paraId="36532087" w14:textId="77777777" w:rsidR="00D909C3" w:rsidRPr="00D909C3" w:rsidRDefault="00D909C3" w:rsidP="00D909C3">
      <w:pPr>
        <w:pStyle w:val="a3"/>
        <w:rPr>
          <w:lang w:val="en-US"/>
        </w:rPr>
      </w:pPr>
      <w:r w:rsidRPr="00D909C3">
        <w:rPr>
          <w:lang w:val="en-US"/>
        </w:rPr>
        <w:t>While Large Language Models make large-scale classification of normative texts computationally feasible, they should not be treated as autonomous normative interpreters.</w:t>
      </w:r>
    </w:p>
    <w:p w14:paraId="2E139D81" w14:textId="77777777" w:rsidR="00D909C3" w:rsidRPr="00D909C3" w:rsidRDefault="00D909C3" w:rsidP="00D909C3">
      <w:pPr>
        <w:pStyle w:val="a3"/>
        <w:rPr>
          <w:lang w:val="en-US"/>
        </w:rPr>
      </w:pPr>
      <w:r w:rsidRPr="00D909C3">
        <w:rPr>
          <w:lang w:val="en-US"/>
        </w:rPr>
        <w:lastRenderedPageBreak/>
        <w:t>This is not a criticism of language models as such. It reflects a structural mismatch between probabilistic language modeling and the internally recursive, exception-driven logic characteristic of legal normativity. Legal effects often arise from linguistically marginal, ambiguous, or internally strained constructions—precisely the kinds of features that language models tend to normalize or smooth over.</w:t>
      </w:r>
    </w:p>
    <w:p w14:paraId="418E3C20" w14:textId="68D5120E" w:rsidR="00D909C3" w:rsidRDefault="00D909C3" w:rsidP="00D909C3">
      <w:pPr>
        <w:pStyle w:val="a3"/>
        <w:rPr>
          <w:lang w:val="en-US"/>
        </w:rPr>
      </w:pPr>
      <w:r w:rsidRPr="00D909C3">
        <w:rPr>
          <w:lang w:val="en-US"/>
        </w:rPr>
        <w:t>For this reason, automated classification should be periodically cross-checked through manual analysis of selected sections of the same text. Such verification serves not to correct the model in a juridical sense, but to ensure that structurally significant modal fixations are not lost to linguistic averaging.</w:t>
      </w:r>
    </w:p>
    <w:p w14:paraId="51229A39" w14:textId="45217BA2" w:rsidR="00414E3D" w:rsidRPr="00414E3D" w:rsidRDefault="00414E3D" w:rsidP="00D909C3">
      <w:pPr>
        <w:pStyle w:val="a3"/>
        <w:rPr>
          <w:lang w:val="en-US"/>
        </w:rPr>
      </w:pPr>
      <w:r w:rsidRPr="00414E3D">
        <w:rPr>
          <w:lang w:val="en-US"/>
        </w:rPr>
        <w:t xml:space="preserve">The </w:t>
      </w:r>
      <w:r w:rsidR="00782642" w:rsidRPr="00782642">
        <w:rPr>
          <w:lang w:val="en-US"/>
        </w:rPr>
        <w:t xml:space="preserve">draft of  </w:t>
      </w:r>
      <w:r w:rsidRPr="00414E3D">
        <w:rPr>
          <w:lang w:val="en-US"/>
        </w:rPr>
        <w:t>map is drawn; the measurements are still waiting</w:t>
      </w:r>
      <w:r w:rsidR="00946EE6" w:rsidRPr="00946EE6">
        <w:rPr>
          <w:lang w:val="en-US"/>
        </w:rPr>
        <w:t xml:space="preserve"> </w:t>
      </w:r>
      <w:r w:rsidR="00946EE6" w:rsidRPr="00782642">
        <w:rPr>
          <w:lang w:val="en-US"/>
        </w:rPr>
        <w:t>for an enthusiast</w:t>
      </w:r>
      <w:r w:rsidRPr="00414E3D">
        <w:rPr>
          <w:lang w:val="en-US"/>
        </w:rPr>
        <w:t>.</w:t>
      </w:r>
    </w:p>
    <w:p w14:paraId="4397F1C2" w14:textId="06A2010E" w:rsidR="005C6E2E" w:rsidRDefault="005C6E2E" w:rsidP="005C6E2E">
      <w:pPr>
        <w:pStyle w:val="3"/>
        <w:rPr>
          <w:lang w:val="en-US"/>
        </w:rPr>
      </w:pPr>
      <w:r w:rsidRPr="00423952">
        <w:rPr>
          <w:lang w:val="en-US"/>
        </w:rPr>
        <w:t>Supplement</w:t>
      </w:r>
    </w:p>
    <w:p w14:paraId="7BA9BB9C" w14:textId="77777777" w:rsidR="00423952" w:rsidRPr="00423952" w:rsidRDefault="00423952" w:rsidP="00423952">
      <w:pPr>
        <w:pStyle w:val="3"/>
        <w:rPr>
          <w:lang w:val="en-US"/>
        </w:rPr>
      </w:pPr>
      <w:r w:rsidRPr="00423952">
        <w:rPr>
          <w:lang w:val="en-US"/>
        </w:rPr>
        <w:t>Primary Results of the First Methodological Trial and Their Discussion</w:t>
      </w:r>
    </w:p>
    <w:p w14:paraId="398F5113" w14:textId="77777777" w:rsidR="00423952" w:rsidRPr="00423952" w:rsidRDefault="00423952" w:rsidP="00423952">
      <w:pPr>
        <w:pStyle w:val="a3"/>
        <w:rPr>
          <w:lang w:val="en-US"/>
        </w:rPr>
      </w:pPr>
      <w:r w:rsidRPr="00423952">
        <w:rPr>
          <w:lang w:val="en-US"/>
        </w:rPr>
        <w:t>This supplement presents the primary results of a first trial application of the proposed method for quantitative mapping of normative modalities. Its purpose is not to establish representative statistical conclusions, but to test the operational viability of the methodological guidelines formulated in the main text and to identify points requiring further refinement.</w:t>
      </w:r>
    </w:p>
    <w:p w14:paraId="4A26140D" w14:textId="77777777" w:rsidR="00423952" w:rsidRPr="00423952" w:rsidRDefault="00423952" w:rsidP="00423952">
      <w:pPr>
        <w:pStyle w:val="3"/>
        <w:rPr>
          <w:lang w:val="en-US"/>
        </w:rPr>
      </w:pPr>
      <w:r w:rsidRPr="00423952">
        <w:rPr>
          <w:lang w:val="en-US"/>
        </w:rPr>
        <w:t>Choice of Material and Epistemic Position</w:t>
      </w:r>
    </w:p>
    <w:p w14:paraId="31DC21DF" w14:textId="64F7BAED" w:rsidR="00423952" w:rsidRPr="00423952" w:rsidRDefault="00423952" w:rsidP="00423952">
      <w:pPr>
        <w:pStyle w:val="a3"/>
        <w:rPr>
          <w:lang w:val="en-US"/>
        </w:rPr>
      </w:pPr>
      <w:r w:rsidRPr="00423952">
        <w:rPr>
          <w:lang w:val="en-US"/>
        </w:rPr>
        <w:t>The constitutional material was selected due to the author’s direct involvement in its official interpretation and subsequent modification, which provides a rare degree of internal transparency regarding the structure, intent, and operational ambiguities of the norms under analysis.</w:t>
      </w:r>
      <w:r w:rsidRPr="00423952">
        <w:rPr>
          <w:lang w:val="en-US"/>
        </w:rPr>
        <w:br/>
        <w:t>In particular, reference is made to a decision the Constitutional Court of Ukraine</w:t>
      </w:r>
      <w:r w:rsidR="00351273">
        <w:rPr>
          <w:lang w:val="en-US"/>
        </w:rPr>
        <w:t xml:space="preserve"> of 25 January 2010</w:t>
      </w:r>
      <w:r w:rsidRPr="00423952">
        <w:rPr>
          <w:lang w:val="en-US"/>
        </w:rPr>
        <w:t xml:space="preserve"> </w:t>
      </w:r>
      <w:r w:rsidR="00351273">
        <w:rPr>
          <w:lang w:val="en-US"/>
        </w:rPr>
        <w:t xml:space="preserve">in case 1- 7/2010 </w:t>
      </w:r>
      <w:r w:rsidRPr="00423952">
        <w:rPr>
          <w:lang w:val="en-US"/>
        </w:rPr>
        <w:t xml:space="preserve">issued in response to a constitutional petition submitted by the author, as well as to a published response by </w:t>
      </w:r>
      <w:proofErr w:type="spellStart"/>
      <w:r w:rsidRPr="00423952">
        <w:rPr>
          <w:lang w:val="en-US"/>
        </w:rPr>
        <w:t>Butenko</w:t>
      </w:r>
      <w:proofErr w:type="spellEnd"/>
      <w:r w:rsidRPr="00423952">
        <w:rPr>
          <w:lang w:val="en-US"/>
        </w:rPr>
        <w:t xml:space="preserve"> et al. addressing interpretative issues arising from related normative formulations</w:t>
      </w:r>
      <w:r w:rsidR="00351273">
        <w:rPr>
          <w:lang w:val="en-US"/>
        </w:rPr>
        <w:t xml:space="preserve"> </w:t>
      </w:r>
      <w:r w:rsidR="00351273" w:rsidRPr="00817DFA">
        <w:rPr>
          <w:color w:val="0080AC"/>
          <w:sz w:val="20"/>
          <w:szCs w:val="20"/>
          <w:shd w:val="clear" w:color="auto" w:fill="FFFFFF"/>
          <w:lang w:val="en-US"/>
        </w:rPr>
        <w:t>https://doi.org/10.1016/j.ijlp.2025.102158</w:t>
      </w:r>
      <w:r w:rsidRPr="00423952">
        <w:rPr>
          <w:lang w:val="en-US"/>
        </w:rPr>
        <w:t>. These references are introduced solely to document instances in which the modal structure of constitutional provisions was explicitly disentangled in authoritative or critical interpretation.</w:t>
      </w:r>
    </w:p>
    <w:p w14:paraId="650C381C" w14:textId="77777777" w:rsidR="00423952" w:rsidRPr="00423952" w:rsidRDefault="00423952" w:rsidP="00423952">
      <w:pPr>
        <w:pStyle w:val="a3"/>
        <w:rPr>
          <w:lang w:val="en-US"/>
        </w:rPr>
      </w:pPr>
      <w:r w:rsidRPr="00423952">
        <w:rPr>
          <w:lang w:val="en-US"/>
        </w:rPr>
        <w:t>The choice of material is thus motivated by epistemic proximity rather than representativeness. The aim of this trial is to minimize uncertainty concerning textual intent and normative layering, thereby allowing the method itself — rather than the legal system under examination — to be tested.</w:t>
      </w:r>
    </w:p>
    <w:p w14:paraId="20D16AAF" w14:textId="77777777" w:rsidR="00423952" w:rsidRPr="00423952" w:rsidRDefault="00423952" w:rsidP="00423952">
      <w:pPr>
        <w:pStyle w:val="3"/>
        <w:rPr>
          <w:lang w:val="en-US"/>
        </w:rPr>
      </w:pPr>
      <w:r w:rsidRPr="00423952">
        <w:rPr>
          <w:lang w:val="en-US"/>
        </w:rPr>
        <w:t>Scope and Mode of Application</w:t>
      </w:r>
    </w:p>
    <w:p w14:paraId="1CF66D41" w14:textId="77777777" w:rsidR="00423952" w:rsidRPr="00423952" w:rsidRDefault="00423952" w:rsidP="00423952">
      <w:pPr>
        <w:pStyle w:val="a3"/>
        <w:rPr>
          <w:lang w:val="en-US"/>
        </w:rPr>
      </w:pPr>
      <w:r w:rsidRPr="00423952">
        <w:rPr>
          <w:lang w:val="en-US"/>
        </w:rPr>
        <w:t xml:space="preserve">The analysis was conducted in accordance with the methodological constraints outlined in the main text. Constitutional provisions were not treated as juristic “norms” in the doctrinal sense, but were decomposed into analytically relevant modal </w:t>
      </w:r>
      <w:r>
        <w:t>фиксации</w:t>
      </w:r>
      <w:r w:rsidRPr="00423952">
        <w:rPr>
          <w:lang w:val="en-US"/>
        </w:rPr>
        <w:t>. A single provision could therefore yield multiple modal instances where it simultaneously structured permissions, prohibitions, obligations, or declarative guarantees.</w:t>
      </w:r>
    </w:p>
    <w:p w14:paraId="34CA1A80" w14:textId="77777777" w:rsidR="00423952" w:rsidRPr="00423952" w:rsidRDefault="00423952" w:rsidP="00423952">
      <w:pPr>
        <w:pStyle w:val="a3"/>
        <w:rPr>
          <w:lang w:val="en-US"/>
        </w:rPr>
      </w:pPr>
      <w:r w:rsidRPr="00423952">
        <w:rPr>
          <w:lang w:val="en-US"/>
        </w:rPr>
        <w:t xml:space="preserve">Declarative formulations — including guarantees, recognitions, and institutional affirmations — were treated as an operational category rather than as evaluative judgments. In the context of constitutional texts, declarative norms play a critical role in stabilizing the conditions under which actions and claims are treated as allowable. Structurally, such formulations expand the </w:t>
      </w:r>
      <w:r w:rsidRPr="00423952">
        <w:rPr>
          <w:lang w:val="en-US"/>
        </w:rPr>
        <w:lastRenderedPageBreak/>
        <w:t>space of the permitted and were therefore counted either as an extended form of permission or, alternatively, as a separate category, depending on the chosen mode of aggregation.</w:t>
      </w:r>
    </w:p>
    <w:p w14:paraId="486769B4" w14:textId="77777777" w:rsidR="00423952" w:rsidRPr="00423952" w:rsidRDefault="00423952" w:rsidP="00423952">
      <w:pPr>
        <w:pStyle w:val="a3"/>
        <w:rPr>
          <w:lang w:val="en-US"/>
        </w:rPr>
      </w:pPr>
      <w:r w:rsidRPr="00423952">
        <w:rPr>
          <w:lang w:val="en-US"/>
        </w:rPr>
        <w:t>The analysis was performed with the assistance of large language models, but their classifications were periodically verified through manual inspection of selected sections. This procedure is not intended as a critique of language models, but reflects a substantive incompatibility between automated linguistic pattern recognition and the non-linear, internally contradictory structure of legal reasoning.</w:t>
      </w:r>
    </w:p>
    <w:p w14:paraId="424F09FD" w14:textId="77777777" w:rsidR="00423952" w:rsidRPr="00423952" w:rsidRDefault="00423952" w:rsidP="00423952">
      <w:pPr>
        <w:pStyle w:val="3"/>
        <w:rPr>
          <w:lang w:val="en-US"/>
        </w:rPr>
      </w:pPr>
      <w:r w:rsidRPr="00423952">
        <w:rPr>
          <w:lang w:val="en-US"/>
        </w:rPr>
        <w:t>Primary Results</w:t>
      </w:r>
    </w:p>
    <w:p w14:paraId="6D3F0274" w14:textId="77777777" w:rsidR="00423952" w:rsidRPr="00423952" w:rsidRDefault="00423952" w:rsidP="00423952">
      <w:pPr>
        <w:pStyle w:val="a3"/>
        <w:rPr>
          <w:lang w:val="en-US"/>
        </w:rPr>
      </w:pPr>
      <w:r w:rsidRPr="00423952">
        <w:rPr>
          <w:lang w:val="en-US"/>
        </w:rPr>
        <w:t>The trial application broadly confirms several core methodological assumptions advanced in the main text.</w:t>
      </w:r>
    </w:p>
    <w:p w14:paraId="254E0A4A" w14:textId="77777777" w:rsidR="00423952" w:rsidRPr="00423952" w:rsidRDefault="00423952" w:rsidP="00423952">
      <w:pPr>
        <w:pStyle w:val="a3"/>
        <w:rPr>
          <w:lang w:val="en-US"/>
        </w:rPr>
      </w:pPr>
      <w:r w:rsidRPr="00423952">
        <w:rPr>
          <w:lang w:val="en-US"/>
        </w:rPr>
        <w:t>First, once declarative guarantees are treated as structurally permissive, the constitutional material exhibits a pronounced quantitative dominance of permissive modalities over prohibitions and obligations. Even in sections containing numerous explicit restrictions, the overall architecture remains permission-heavy.</w:t>
      </w:r>
    </w:p>
    <w:p w14:paraId="3DED6CF5" w14:textId="77777777" w:rsidR="00423952" w:rsidRPr="00423952" w:rsidRDefault="00423952" w:rsidP="00423952">
      <w:pPr>
        <w:pStyle w:val="a3"/>
        <w:rPr>
          <w:lang w:val="en-US"/>
        </w:rPr>
      </w:pPr>
      <w:r w:rsidRPr="00423952">
        <w:rPr>
          <w:lang w:val="en-US"/>
        </w:rPr>
        <w:t>Second, prohibitions within the analyzed material predominantly function as barriers against interference rather than as direct behavioral controls imposed on individual actors. Their primary role is protective rather than prescriptive.</w:t>
      </w:r>
    </w:p>
    <w:p w14:paraId="5879D60F" w14:textId="77777777" w:rsidR="00423952" w:rsidRPr="00423952" w:rsidRDefault="00423952" w:rsidP="00423952">
      <w:pPr>
        <w:pStyle w:val="a3"/>
        <w:rPr>
          <w:lang w:val="en-US"/>
        </w:rPr>
      </w:pPr>
      <w:r w:rsidRPr="00423952">
        <w:rPr>
          <w:lang w:val="en-US"/>
        </w:rPr>
        <w:t>Third, obligations addressed to abstract entities such as “the state” or institutional collectives tend, under modal reduction, to collapse into declarative norms. In contrast, obligations imposed on concrete human actors remain relatively sparse and sharply delimited.</w:t>
      </w:r>
    </w:p>
    <w:p w14:paraId="5515DC3C" w14:textId="1E08526C" w:rsidR="00423952" w:rsidRDefault="00423952" w:rsidP="00423952">
      <w:pPr>
        <w:pStyle w:val="a3"/>
        <w:rPr>
          <w:lang w:val="en-US"/>
        </w:rPr>
      </w:pPr>
      <w:r w:rsidRPr="00423952">
        <w:rPr>
          <w:lang w:val="en-US"/>
        </w:rPr>
        <w:t xml:space="preserve">Fourth, the trial confirms that constitutional provisions frequently contain hybrid or self-negating structures. A single textual unit may simultaneously establish a right, limit its exercise, and prohibit its infringement, thereby necessitating multiple modal </w:t>
      </w:r>
      <w:r>
        <w:t>фиксации</w:t>
      </w:r>
      <w:r w:rsidRPr="00423952">
        <w:rPr>
          <w:lang w:val="en-US"/>
        </w:rPr>
        <w:t xml:space="preserve"> for a single provision.</w:t>
      </w:r>
    </w:p>
    <w:p w14:paraId="15141580" w14:textId="77777777" w:rsidR="001B1938" w:rsidRPr="001B1938" w:rsidRDefault="001B1938" w:rsidP="001B1938">
      <w:pPr>
        <w:pStyle w:val="3"/>
        <w:rPr>
          <w:lang w:val="en-US"/>
        </w:rPr>
      </w:pPr>
      <w:r w:rsidRPr="001B1938">
        <w:rPr>
          <w:lang w:val="en-US"/>
        </w:rPr>
        <w:t>Design of the Trial</w:t>
      </w:r>
    </w:p>
    <w:p w14:paraId="3E89872C" w14:textId="77777777" w:rsidR="001B1938" w:rsidRPr="001B1938" w:rsidRDefault="001B1938" w:rsidP="001B1938">
      <w:pPr>
        <w:pStyle w:val="a3"/>
        <w:rPr>
          <w:lang w:val="en-US"/>
        </w:rPr>
      </w:pPr>
      <w:r w:rsidRPr="001B1938">
        <w:rPr>
          <w:lang w:val="en-US"/>
        </w:rPr>
        <w:t>The trial was conducted in two stages.</w:t>
      </w:r>
    </w:p>
    <w:p w14:paraId="3D137B40" w14:textId="77777777" w:rsidR="001B1938" w:rsidRPr="001B1938" w:rsidRDefault="001B1938" w:rsidP="001B1938">
      <w:pPr>
        <w:pStyle w:val="a3"/>
        <w:rPr>
          <w:lang w:val="en-US"/>
        </w:rPr>
      </w:pPr>
      <w:r w:rsidRPr="001B1938">
        <w:rPr>
          <w:lang w:val="en-US"/>
        </w:rPr>
        <w:t>In the first stage, the text of the First Section of the Constitution of Ukraine was manually annotated by the author according to the methodological rules formulated in the main text. This annotated version was then submitted independently to two large language models (</w:t>
      </w:r>
      <w:proofErr w:type="spellStart"/>
      <w:r w:rsidRPr="001B1938">
        <w:rPr>
          <w:lang w:val="en-US"/>
        </w:rPr>
        <w:t>ChatGPT</w:t>
      </w:r>
      <w:proofErr w:type="spellEnd"/>
      <w:r w:rsidRPr="001B1938">
        <w:rPr>
          <w:lang w:val="en-US"/>
        </w:rPr>
        <w:t xml:space="preserve"> and Gemini) with identical instructions: to identify and count instances of Permission (P), Obligation (O), and Prohibition (F), treating purely declarative provisions separately.</w:t>
      </w:r>
    </w:p>
    <w:p w14:paraId="2F6C1F0B" w14:textId="77777777" w:rsidR="001B1938" w:rsidRPr="001B1938" w:rsidRDefault="001B1938" w:rsidP="001B1938">
      <w:pPr>
        <w:pStyle w:val="a3"/>
        <w:rPr>
          <w:lang w:val="en-US"/>
        </w:rPr>
      </w:pPr>
      <w:r w:rsidRPr="001B1938">
        <w:rPr>
          <w:lang w:val="en-US"/>
        </w:rPr>
        <w:t>In the second stage, after divergences in the results became apparent, the instructions were refined in order to eliminate ambiguities concerning declarative norms, implicit permissions, and composite formulations containing multiple deontic elements.</w:t>
      </w:r>
    </w:p>
    <w:p w14:paraId="61EFA5D6" w14:textId="77777777" w:rsidR="001B1938" w:rsidRPr="001B1938" w:rsidRDefault="001B1938" w:rsidP="001B1938">
      <w:pPr>
        <w:pStyle w:val="3"/>
        <w:rPr>
          <w:lang w:val="en-US"/>
        </w:rPr>
      </w:pPr>
      <w:r w:rsidRPr="001B1938">
        <w:rPr>
          <w:lang w:val="en-US"/>
        </w:rPr>
        <w:t>Initial Results and Divergences</w:t>
      </w:r>
    </w:p>
    <w:p w14:paraId="41B9EF77" w14:textId="77777777" w:rsidR="001B1938" w:rsidRPr="001B1938" w:rsidRDefault="001B1938" w:rsidP="001B1938">
      <w:pPr>
        <w:pStyle w:val="a3"/>
        <w:rPr>
          <w:lang w:val="en-US"/>
        </w:rPr>
      </w:pPr>
      <w:r w:rsidRPr="001B1938">
        <w:rPr>
          <w:lang w:val="en-US"/>
        </w:rPr>
        <w:t>In the author’s manual annotation of the First Section, ten instances of Prohibition were identified.</w:t>
      </w:r>
    </w:p>
    <w:p w14:paraId="15247137" w14:textId="77777777" w:rsidR="001B1938" w:rsidRPr="001B1938" w:rsidRDefault="001B1938" w:rsidP="001B1938">
      <w:pPr>
        <w:pStyle w:val="a3"/>
        <w:rPr>
          <w:lang w:val="en-US"/>
        </w:rPr>
      </w:pPr>
      <w:r w:rsidRPr="001B1938">
        <w:rPr>
          <w:lang w:val="en-US"/>
        </w:rPr>
        <w:t>Under the initial, less explicit instructions:</w:t>
      </w:r>
    </w:p>
    <w:p w14:paraId="3217FB4F" w14:textId="77777777" w:rsidR="001B1938" w:rsidRDefault="001B1938" w:rsidP="001B1938">
      <w:pPr>
        <w:pStyle w:val="a3"/>
        <w:numPr>
          <w:ilvl w:val="0"/>
          <w:numId w:val="10"/>
        </w:numPr>
      </w:pPr>
      <w:proofErr w:type="spellStart"/>
      <w:r>
        <w:lastRenderedPageBreak/>
        <w:t>ChatGPT</w:t>
      </w:r>
      <w:proofErr w:type="spellEnd"/>
      <w:r>
        <w:t xml:space="preserve"> </w:t>
      </w:r>
      <w:proofErr w:type="spellStart"/>
      <w:r>
        <w:t>identified</w:t>
      </w:r>
      <w:proofErr w:type="spellEnd"/>
      <w:r>
        <w:t xml:space="preserve"> </w:t>
      </w:r>
      <w:proofErr w:type="spellStart"/>
      <w:r>
        <w:t>nine</w:t>
      </w:r>
      <w:proofErr w:type="spellEnd"/>
      <w:r>
        <w:t xml:space="preserve"> </w:t>
      </w:r>
      <w:proofErr w:type="spellStart"/>
      <w:r>
        <w:t>prohibitions</w:t>
      </w:r>
      <w:proofErr w:type="spellEnd"/>
      <w:r>
        <w:t>.</w:t>
      </w:r>
    </w:p>
    <w:p w14:paraId="5D10E59B" w14:textId="77777777" w:rsidR="001B1938" w:rsidRPr="001B1938" w:rsidRDefault="001B1938" w:rsidP="001B1938">
      <w:pPr>
        <w:pStyle w:val="a3"/>
        <w:numPr>
          <w:ilvl w:val="0"/>
          <w:numId w:val="10"/>
        </w:numPr>
        <w:rPr>
          <w:lang w:val="en-US"/>
        </w:rPr>
      </w:pPr>
      <w:r w:rsidRPr="001B1938">
        <w:rPr>
          <w:lang w:val="en-US"/>
        </w:rPr>
        <w:t>Gemini produced a different total, reflecting a broader divergence in the treatment of compound and declarative formulations.</w:t>
      </w:r>
    </w:p>
    <w:p w14:paraId="6C455854" w14:textId="77777777" w:rsidR="001B1938" w:rsidRDefault="001B1938" w:rsidP="001B1938">
      <w:pPr>
        <w:pStyle w:val="a3"/>
      </w:pPr>
      <w:r w:rsidRPr="001B1938">
        <w:rPr>
          <w:lang w:val="en-US"/>
        </w:rPr>
        <w:t xml:space="preserve">The discrepancy did not stem from random error, but from identifiable methodological causes. </w:t>
      </w:r>
      <w:r>
        <w:t xml:space="preserve">In </w:t>
      </w:r>
      <w:proofErr w:type="spellStart"/>
      <w:r>
        <w:t>particular</w:t>
      </w:r>
      <w:proofErr w:type="spellEnd"/>
      <w:r>
        <w:t>:</w:t>
      </w:r>
    </w:p>
    <w:p w14:paraId="3B5A735F" w14:textId="77777777" w:rsidR="001B1938" w:rsidRPr="001B1938" w:rsidRDefault="001B1938" w:rsidP="001B1938">
      <w:pPr>
        <w:pStyle w:val="a3"/>
        <w:numPr>
          <w:ilvl w:val="0"/>
          <w:numId w:val="11"/>
        </w:numPr>
        <w:rPr>
          <w:lang w:val="en-US"/>
        </w:rPr>
      </w:pPr>
      <w:r w:rsidRPr="001B1938">
        <w:rPr>
          <w:lang w:val="en-US"/>
        </w:rPr>
        <w:t>Linguistic ambiguity, where a single sentence simultaneously contained a prohibition and its structural negation.</w:t>
      </w:r>
    </w:p>
    <w:p w14:paraId="1808C9DF" w14:textId="77777777" w:rsidR="001B1938" w:rsidRPr="001B1938" w:rsidRDefault="001B1938" w:rsidP="001B1938">
      <w:pPr>
        <w:pStyle w:val="a3"/>
        <w:numPr>
          <w:ilvl w:val="0"/>
          <w:numId w:val="11"/>
        </w:numPr>
        <w:rPr>
          <w:lang w:val="en-US"/>
        </w:rPr>
      </w:pPr>
      <w:r w:rsidRPr="001B1938">
        <w:rPr>
          <w:lang w:val="en-US"/>
        </w:rPr>
        <w:t>Divergent treatment of declarative guarantees (e.g., “is guaranteed,” “is inviolable”), which one model classified as Permission while the other treated as non-operative declarations.</w:t>
      </w:r>
    </w:p>
    <w:p w14:paraId="243538FE" w14:textId="77777777" w:rsidR="001B1938" w:rsidRPr="001B1938" w:rsidRDefault="001B1938" w:rsidP="001B1938">
      <w:pPr>
        <w:pStyle w:val="a3"/>
        <w:numPr>
          <w:ilvl w:val="0"/>
          <w:numId w:val="11"/>
        </w:numPr>
        <w:rPr>
          <w:lang w:val="en-US"/>
        </w:rPr>
      </w:pPr>
      <w:r w:rsidRPr="001B1938">
        <w:rPr>
          <w:lang w:val="en-US"/>
        </w:rPr>
        <w:t>Insufficiently specified instructions regarding whether prohibitions directed at the state should be counted symmetrically with prohibitions directed at individual actors.</w:t>
      </w:r>
    </w:p>
    <w:p w14:paraId="28D83EF8" w14:textId="77777777" w:rsidR="001B1938" w:rsidRPr="001B1938" w:rsidRDefault="001B1938" w:rsidP="001B1938">
      <w:pPr>
        <w:pStyle w:val="3"/>
        <w:rPr>
          <w:lang w:val="en-US"/>
        </w:rPr>
      </w:pPr>
      <w:r w:rsidRPr="001B1938">
        <w:rPr>
          <w:lang w:val="en-US"/>
        </w:rPr>
        <w:t>Methodological Refinements</w:t>
      </w:r>
    </w:p>
    <w:p w14:paraId="0AF469A4" w14:textId="77777777" w:rsidR="001B1938" w:rsidRPr="001B1938" w:rsidRDefault="001B1938" w:rsidP="001B1938">
      <w:pPr>
        <w:pStyle w:val="a3"/>
        <w:rPr>
          <w:lang w:val="en-US"/>
        </w:rPr>
      </w:pPr>
      <w:r w:rsidRPr="001B1938">
        <w:rPr>
          <w:lang w:val="en-US"/>
        </w:rPr>
        <w:t>Following this comparison, the instructions were refined along the lines already anticipated in the main text:</w:t>
      </w:r>
    </w:p>
    <w:p w14:paraId="5D857F3C" w14:textId="77777777" w:rsidR="001B1938" w:rsidRPr="001B1938" w:rsidRDefault="001B1938" w:rsidP="001B1938">
      <w:pPr>
        <w:pStyle w:val="a3"/>
        <w:numPr>
          <w:ilvl w:val="0"/>
          <w:numId w:val="12"/>
        </w:numPr>
        <w:rPr>
          <w:lang w:val="en-US"/>
        </w:rPr>
      </w:pPr>
      <w:r w:rsidRPr="001B1938">
        <w:rPr>
          <w:lang w:val="en-US"/>
        </w:rPr>
        <w:t>Declarative norms that structurally stabilize the space of action (e.g., guarantees, inviolability clauses) were to be consistently treated as forms of Permission.</w:t>
      </w:r>
    </w:p>
    <w:p w14:paraId="656F05A6" w14:textId="77777777" w:rsidR="001B1938" w:rsidRPr="001B1938" w:rsidRDefault="001B1938" w:rsidP="001B1938">
      <w:pPr>
        <w:pStyle w:val="a3"/>
        <w:numPr>
          <w:ilvl w:val="0"/>
          <w:numId w:val="12"/>
        </w:numPr>
        <w:rPr>
          <w:lang w:val="en-US"/>
        </w:rPr>
      </w:pPr>
      <w:r w:rsidRPr="001B1938">
        <w:rPr>
          <w:lang w:val="en-US"/>
        </w:rPr>
        <w:t>Purely programmatic declarations without an identifiable subject of action could either be excluded from the count or recorded under a separate declarative category.</w:t>
      </w:r>
    </w:p>
    <w:p w14:paraId="6F389DE0" w14:textId="77777777" w:rsidR="001B1938" w:rsidRPr="001B1938" w:rsidRDefault="001B1938" w:rsidP="001B1938">
      <w:pPr>
        <w:pStyle w:val="a3"/>
        <w:numPr>
          <w:ilvl w:val="0"/>
          <w:numId w:val="12"/>
        </w:numPr>
        <w:rPr>
          <w:lang w:val="en-US"/>
        </w:rPr>
      </w:pPr>
      <w:r w:rsidRPr="001B1938">
        <w:rPr>
          <w:lang w:val="en-US"/>
        </w:rPr>
        <w:t>Each distinct deontic modality within a composite provision was to be counted separately, rather than collapsing the provision into a single dominant classification.</w:t>
      </w:r>
    </w:p>
    <w:p w14:paraId="6A0D7BC8" w14:textId="77777777" w:rsidR="001B1938" w:rsidRPr="001B1938" w:rsidRDefault="001B1938" w:rsidP="001B1938">
      <w:pPr>
        <w:pStyle w:val="a3"/>
        <w:rPr>
          <w:lang w:val="en-US"/>
        </w:rPr>
      </w:pPr>
      <w:r w:rsidRPr="001B1938">
        <w:rPr>
          <w:lang w:val="en-US"/>
        </w:rPr>
        <w:t>After these refinements, both models converged on the same classification logic for the First Section, and the resulting ratios aligned with the author’s original manual assessment.</w:t>
      </w:r>
    </w:p>
    <w:p w14:paraId="22528698" w14:textId="77777777" w:rsidR="001B1938" w:rsidRPr="001B1938" w:rsidRDefault="001B1938" w:rsidP="001B1938">
      <w:pPr>
        <w:pStyle w:val="3"/>
        <w:rPr>
          <w:lang w:val="en-US"/>
        </w:rPr>
      </w:pPr>
      <w:r w:rsidRPr="001B1938">
        <w:rPr>
          <w:lang w:val="en-US"/>
        </w:rPr>
        <w:t>Extension to the Second Section</w:t>
      </w:r>
    </w:p>
    <w:p w14:paraId="53022E03" w14:textId="77777777" w:rsidR="001B1938" w:rsidRPr="001B1938" w:rsidRDefault="001B1938" w:rsidP="001B1938">
      <w:pPr>
        <w:pStyle w:val="a3"/>
        <w:rPr>
          <w:lang w:val="en-US"/>
        </w:rPr>
      </w:pPr>
      <w:r w:rsidRPr="001B1938">
        <w:rPr>
          <w:lang w:val="en-US"/>
        </w:rPr>
        <w:t>The refined instructions were then applied to the Second Section of the Constitution (Articles 21–68), which concerns fundamental rights, freedoms, and duties of individuals.</w:t>
      </w:r>
    </w:p>
    <w:p w14:paraId="15AC1D28" w14:textId="77777777" w:rsidR="001B1938" w:rsidRDefault="001B1938" w:rsidP="001B1938">
      <w:pPr>
        <w:pStyle w:val="a3"/>
      </w:pPr>
      <w:r w:rsidRPr="001B1938">
        <w:rPr>
          <w:lang w:val="en-US"/>
        </w:rPr>
        <w:t xml:space="preserve">Both models, operating independently but under the clarified rules, produced closely convergent results. </w:t>
      </w:r>
      <w:r>
        <w:t xml:space="preserve">The Second </w:t>
      </w:r>
      <w:proofErr w:type="spellStart"/>
      <w:r>
        <w:t>Section</w:t>
      </w:r>
      <w:proofErr w:type="spellEnd"/>
      <w:r>
        <w:t xml:space="preserve"> </w:t>
      </w:r>
      <w:proofErr w:type="spellStart"/>
      <w:r>
        <w:t>exhibited</w:t>
      </w:r>
      <w:proofErr w:type="spellEnd"/>
      <w:r>
        <w:t>:</w:t>
      </w:r>
    </w:p>
    <w:p w14:paraId="06E748DF" w14:textId="77777777" w:rsidR="001B1938" w:rsidRPr="001B1938" w:rsidRDefault="001B1938" w:rsidP="001B1938">
      <w:pPr>
        <w:pStyle w:val="a3"/>
        <w:numPr>
          <w:ilvl w:val="0"/>
          <w:numId w:val="13"/>
        </w:numPr>
        <w:rPr>
          <w:lang w:val="en-US"/>
        </w:rPr>
      </w:pPr>
      <w:r w:rsidRPr="001B1938">
        <w:rPr>
          <w:lang w:val="en-US"/>
        </w:rPr>
        <w:t>A pronounced dominance of Permission (P),</w:t>
      </w:r>
    </w:p>
    <w:p w14:paraId="71E35578" w14:textId="77777777" w:rsidR="001B1938" w:rsidRPr="001B1938" w:rsidRDefault="001B1938" w:rsidP="001B1938">
      <w:pPr>
        <w:pStyle w:val="a3"/>
        <w:numPr>
          <w:ilvl w:val="0"/>
          <w:numId w:val="13"/>
        </w:numPr>
        <w:rPr>
          <w:lang w:val="en-US"/>
        </w:rPr>
      </w:pPr>
      <w:r w:rsidRPr="001B1938">
        <w:rPr>
          <w:lang w:val="en-US"/>
        </w:rPr>
        <w:t>A substantial but secondary presence of Prohibition (F), largely functioning as protective barriers against interference,</w:t>
      </w:r>
    </w:p>
    <w:p w14:paraId="3952E138" w14:textId="77777777" w:rsidR="001B1938" w:rsidRPr="001B1938" w:rsidRDefault="001B1938" w:rsidP="001B1938">
      <w:pPr>
        <w:pStyle w:val="a3"/>
        <w:numPr>
          <w:ilvl w:val="0"/>
          <w:numId w:val="13"/>
        </w:numPr>
        <w:rPr>
          <w:lang w:val="en-US"/>
        </w:rPr>
      </w:pPr>
      <w:r w:rsidRPr="001B1938">
        <w:rPr>
          <w:lang w:val="en-US"/>
        </w:rPr>
        <w:t>A comparatively small number of direct Obligations (O) imposed on individuals.</w:t>
      </w:r>
    </w:p>
    <w:p w14:paraId="3B96E84D" w14:textId="77777777" w:rsidR="001B1938" w:rsidRPr="001B1938" w:rsidRDefault="001B1938" w:rsidP="001B1938">
      <w:pPr>
        <w:pStyle w:val="a3"/>
        <w:rPr>
          <w:lang w:val="en-US"/>
        </w:rPr>
      </w:pPr>
      <w:r w:rsidRPr="001B1938">
        <w:rPr>
          <w:lang w:val="en-US"/>
        </w:rPr>
        <w:t>The resulting ratios differed sharply from those observed in the First Section, revealing a structural transition from a state-centered normative architecture to an actor-centered one. This contrast between sections is non-obvious, structurally significant, and, to the author’s knowledge, not described in the existing literature on constitutional normativity.</w:t>
      </w:r>
    </w:p>
    <w:p w14:paraId="448445E1" w14:textId="77777777" w:rsidR="001B1938" w:rsidRPr="001B1938" w:rsidRDefault="001B1938" w:rsidP="001B1938">
      <w:pPr>
        <w:pStyle w:val="3"/>
        <w:rPr>
          <w:lang w:val="en-US"/>
        </w:rPr>
      </w:pPr>
      <w:r w:rsidRPr="001B1938">
        <w:rPr>
          <w:lang w:val="en-US"/>
        </w:rPr>
        <w:t>Implications</w:t>
      </w:r>
    </w:p>
    <w:p w14:paraId="21798EE0" w14:textId="77777777" w:rsidR="001B1938" w:rsidRPr="001B1938" w:rsidRDefault="001B1938" w:rsidP="001B1938">
      <w:pPr>
        <w:pStyle w:val="a3"/>
        <w:rPr>
          <w:lang w:val="en-US"/>
        </w:rPr>
      </w:pPr>
      <w:r w:rsidRPr="001B1938">
        <w:rPr>
          <w:lang w:val="en-US"/>
        </w:rPr>
        <w:t>The first methodological trial allows several substantive conclusions to be stated explicitly.</w:t>
      </w:r>
    </w:p>
    <w:p w14:paraId="4F6ADB73" w14:textId="77777777" w:rsidR="001B1938" w:rsidRPr="001B1938" w:rsidRDefault="001B1938" w:rsidP="001B1938">
      <w:pPr>
        <w:pStyle w:val="a3"/>
        <w:rPr>
          <w:lang w:val="en-US"/>
        </w:rPr>
      </w:pPr>
      <w:r w:rsidRPr="001B1938">
        <w:rPr>
          <w:lang w:val="en-US"/>
        </w:rPr>
        <w:lastRenderedPageBreak/>
        <w:t xml:space="preserve">First, after refinement of the instructions, </w:t>
      </w:r>
      <w:r w:rsidRPr="001B1938">
        <w:rPr>
          <w:rStyle w:val="a5"/>
          <w:lang w:val="en-US"/>
        </w:rPr>
        <w:t>the divergence between models became minimal and structurally insignificant</w:t>
      </w:r>
      <w:r w:rsidRPr="001B1938">
        <w:rPr>
          <w:lang w:val="en-US"/>
        </w:rPr>
        <w:t>. For the First Section of the Constitution, both ChatGPT and Gemini converged on the same modal architecture, differing only by single borderline cases attributable to linguistic compression rather than conceptual disagreement. The resulting indices were effectively identical across models.</w:t>
      </w:r>
    </w:p>
    <w:p w14:paraId="5171ADD5" w14:textId="77777777" w:rsidR="001B1938" w:rsidRPr="001B1938" w:rsidRDefault="001B1938" w:rsidP="001B1938">
      <w:pPr>
        <w:pStyle w:val="a3"/>
        <w:rPr>
          <w:lang w:val="en-US"/>
        </w:rPr>
      </w:pPr>
      <w:r w:rsidRPr="001B1938">
        <w:rPr>
          <w:lang w:val="en-US"/>
        </w:rPr>
        <w:t>For the First Section, treating declarative guarantees as structurally operative permissions, the following values were obtained:</w:t>
      </w:r>
    </w:p>
    <w:p w14:paraId="1126A32B" w14:textId="77777777" w:rsidR="001B1938" w:rsidRPr="001B1938" w:rsidRDefault="001B1938" w:rsidP="001B1938">
      <w:pPr>
        <w:pStyle w:val="a3"/>
        <w:numPr>
          <w:ilvl w:val="0"/>
          <w:numId w:val="15"/>
        </w:numPr>
        <w:rPr>
          <w:lang w:val="en-US"/>
        </w:rPr>
      </w:pPr>
      <w:r w:rsidRPr="001B1938">
        <w:rPr>
          <w:rStyle w:val="a5"/>
          <w:lang w:val="en-US"/>
        </w:rPr>
        <w:t>Permissiveness Index (PI)</w:t>
      </w:r>
      <w:r w:rsidRPr="001B1938">
        <w:rPr>
          <w:lang w:val="en-US"/>
        </w:rPr>
        <w:br/>
        <w:t>ChatGPT: ≈ 7.0</w:t>
      </w:r>
      <w:r w:rsidRPr="001B1938">
        <w:rPr>
          <w:lang w:val="en-US"/>
        </w:rPr>
        <w:br/>
        <w:t>Gemini: ≈ 7.2</w:t>
      </w:r>
    </w:p>
    <w:p w14:paraId="124E537C" w14:textId="77777777" w:rsidR="001B1938" w:rsidRPr="001B1938" w:rsidRDefault="001B1938" w:rsidP="001B1938">
      <w:pPr>
        <w:pStyle w:val="a3"/>
        <w:numPr>
          <w:ilvl w:val="0"/>
          <w:numId w:val="15"/>
        </w:numPr>
        <w:rPr>
          <w:lang w:val="en-US"/>
        </w:rPr>
      </w:pPr>
      <w:r w:rsidRPr="001B1938">
        <w:rPr>
          <w:rStyle w:val="a5"/>
          <w:lang w:val="en-US"/>
        </w:rPr>
        <w:t>F/O ratio (Prohibition to Obligation)</w:t>
      </w:r>
      <w:r w:rsidRPr="001B1938">
        <w:rPr>
          <w:lang w:val="en-US"/>
        </w:rPr>
        <w:br/>
        <w:t>ChatGPT: ≈ 0.7</w:t>
      </w:r>
      <w:r w:rsidRPr="001B1938">
        <w:rPr>
          <w:lang w:val="en-US"/>
        </w:rPr>
        <w:br/>
        <w:t>Gemini: ≈ 0.66</w:t>
      </w:r>
    </w:p>
    <w:p w14:paraId="61E56BA0" w14:textId="77777777" w:rsidR="001B1938" w:rsidRPr="001B1938" w:rsidRDefault="001B1938" w:rsidP="001B1938">
      <w:pPr>
        <w:pStyle w:val="a3"/>
        <w:rPr>
          <w:lang w:val="en-US"/>
        </w:rPr>
      </w:pPr>
      <w:r w:rsidRPr="001B1938">
        <w:rPr>
          <w:lang w:val="en-US"/>
        </w:rPr>
        <w:t>This indicates a system in which coercive modalities (obligations and prohibitions) are numerically outweighed by declarative–permissive space by roughly seven to one.</w:t>
      </w:r>
    </w:p>
    <w:p w14:paraId="395EC014" w14:textId="77777777" w:rsidR="001B1938" w:rsidRDefault="001B1938" w:rsidP="001B1938">
      <w:pPr>
        <w:pStyle w:val="a3"/>
      </w:pPr>
      <w:r w:rsidRPr="001B1938">
        <w:rPr>
          <w:lang w:val="en-US"/>
        </w:rPr>
        <w:t xml:space="preserve">For the Second Section (Articles 21–68), applying the refined rules from the outset, both models again produced closely convergent results. </w:t>
      </w:r>
      <w:r>
        <w:t xml:space="preserve">The </w:t>
      </w:r>
      <w:proofErr w:type="spellStart"/>
      <w:r>
        <w:t>approximate</w:t>
      </w:r>
      <w:proofErr w:type="spellEnd"/>
      <w:r>
        <w:t xml:space="preserve"> </w:t>
      </w:r>
      <w:proofErr w:type="spellStart"/>
      <w:r>
        <w:t>values</w:t>
      </w:r>
      <w:proofErr w:type="spellEnd"/>
      <w:r>
        <w:t xml:space="preserve"> </w:t>
      </w:r>
      <w:proofErr w:type="spellStart"/>
      <w:r>
        <w:t>were</w:t>
      </w:r>
      <w:proofErr w:type="spellEnd"/>
      <w:r>
        <w:t>:</w:t>
      </w:r>
    </w:p>
    <w:p w14:paraId="02FB88C6" w14:textId="77777777" w:rsidR="001B1938" w:rsidRPr="001B1938" w:rsidRDefault="001B1938" w:rsidP="001B1938">
      <w:pPr>
        <w:pStyle w:val="a3"/>
        <w:numPr>
          <w:ilvl w:val="0"/>
          <w:numId w:val="16"/>
        </w:numPr>
        <w:rPr>
          <w:lang w:val="en-US"/>
        </w:rPr>
      </w:pPr>
      <w:r w:rsidRPr="001B1938">
        <w:rPr>
          <w:rStyle w:val="a5"/>
          <w:lang w:val="en-US"/>
        </w:rPr>
        <w:t>Permissiveness Index (PI)</w:t>
      </w:r>
      <w:r w:rsidRPr="001B1938">
        <w:rPr>
          <w:lang w:val="en-US"/>
        </w:rPr>
        <w:br/>
        <w:t>ChatGPT: ≈ 8.5</w:t>
      </w:r>
      <w:r w:rsidRPr="001B1938">
        <w:rPr>
          <w:lang w:val="en-US"/>
        </w:rPr>
        <w:br/>
        <w:t>Gemini: ≈ 8.7</w:t>
      </w:r>
    </w:p>
    <w:p w14:paraId="06BACEAD" w14:textId="77777777" w:rsidR="001B1938" w:rsidRPr="001B1938" w:rsidRDefault="001B1938" w:rsidP="001B1938">
      <w:pPr>
        <w:pStyle w:val="a3"/>
        <w:numPr>
          <w:ilvl w:val="0"/>
          <w:numId w:val="16"/>
        </w:numPr>
        <w:rPr>
          <w:lang w:val="en-US"/>
        </w:rPr>
      </w:pPr>
      <w:r w:rsidRPr="001B1938">
        <w:rPr>
          <w:rStyle w:val="a5"/>
          <w:lang w:val="en-US"/>
        </w:rPr>
        <w:t>P/F ratio (Permissions to Prohibitions)</w:t>
      </w:r>
      <w:r w:rsidRPr="001B1938">
        <w:rPr>
          <w:lang w:val="en-US"/>
        </w:rPr>
        <w:br/>
        <w:t>ChatGPT: ≈ 2.2</w:t>
      </w:r>
      <w:r w:rsidRPr="001B1938">
        <w:rPr>
          <w:lang w:val="en-US"/>
        </w:rPr>
        <w:br/>
        <w:t>Gemini: ≈ 2.3</w:t>
      </w:r>
    </w:p>
    <w:p w14:paraId="479785E9" w14:textId="77777777" w:rsidR="001B1938" w:rsidRPr="001B1938" w:rsidRDefault="001B1938" w:rsidP="001B1938">
      <w:pPr>
        <w:pStyle w:val="a3"/>
        <w:numPr>
          <w:ilvl w:val="0"/>
          <w:numId w:val="16"/>
        </w:numPr>
        <w:rPr>
          <w:lang w:val="en-US"/>
        </w:rPr>
      </w:pPr>
      <w:r w:rsidRPr="001B1938">
        <w:rPr>
          <w:rStyle w:val="a5"/>
          <w:lang w:val="en-US"/>
        </w:rPr>
        <w:t>F/O ratio</w:t>
      </w:r>
      <w:r w:rsidRPr="001B1938">
        <w:rPr>
          <w:lang w:val="en-US"/>
        </w:rPr>
        <w:br/>
        <w:t>ChatGPT: ≈ 3.5</w:t>
      </w:r>
      <w:r w:rsidRPr="001B1938">
        <w:rPr>
          <w:lang w:val="en-US"/>
        </w:rPr>
        <w:br/>
        <w:t>Gemini: ≈ 3.75</w:t>
      </w:r>
    </w:p>
    <w:p w14:paraId="1AF91BEC" w14:textId="77777777" w:rsidR="001B1938" w:rsidRPr="001B1938" w:rsidRDefault="001B1938" w:rsidP="001B1938">
      <w:pPr>
        <w:pStyle w:val="a3"/>
        <w:rPr>
          <w:lang w:val="en-US"/>
        </w:rPr>
      </w:pPr>
      <w:r w:rsidRPr="001B1938">
        <w:rPr>
          <w:lang w:val="en-US"/>
        </w:rPr>
        <w:t>Here, the system displays a markedly actor-centered structure: prohibitions function predominantly as protections against interference, while direct obligations imposed on individuals remain comparatively rare.</w:t>
      </w:r>
    </w:p>
    <w:p w14:paraId="61B0E095" w14:textId="77777777" w:rsidR="001B1938" w:rsidRPr="001B1938" w:rsidRDefault="001B1938" w:rsidP="001B1938">
      <w:pPr>
        <w:pStyle w:val="a3"/>
        <w:rPr>
          <w:lang w:val="en-US"/>
        </w:rPr>
      </w:pPr>
      <w:r w:rsidRPr="001B1938">
        <w:rPr>
          <w:lang w:val="en-US"/>
        </w:rPr>
        <w:t xml:space="preserve">Second, and unexpectedly for the author, the </w:t>
      </w:r>
      <w:r w:rsidRPr="001B1938">
        <w:rPr>
          <w:rStyle w:val="a5"/>
          <w:lang w:val="en-US"/>
        </w:rPr>
        <w:t>structural contrast between the two sections proved stronger and clearer than anticipated</w:t>
      </w:r>
      <w:r w:rsidRPr="001B1938">
        <w:rPr>
          <w:lang w:val="en-US"/>
        </w:rPr>
        <w:t>. While the First Section exhibits near parity between prohibitive and obligatory constraints (with permissiveness emerging primarily through declarative stabilization), the Second Section reveals a sharp modal asymmetry: permission dominates, prohibition shields, and obligation retreats to a residual role.</w:t>
      </w:r>
    </w:p>
    <w:p w14:paraId="59A4A8A4" w14:textId="77777777" w:rsidR="001B1938" w:rsidRPr="001B1938" w:rsidRDefault="001B1938" w:rsidP="001B1938">
      <w:pPr>
        <w:pStyle w:val="a3"/>
        <w:rPr>
          <w:lang w:val="en-US"/>
        </w:rPr>
      </w:pPr>
      <w:r w:rsidRPr="001B1938">
        <w:rPr>
          <w:lang w:val="en-US"/>
        </w:rPr>
        <w:t xml:space="preserve">Third, the trial demonstrates that </w:t>
      </w:r>
      <w:r w:rsidRPr="001B1938">
        <w:rPr>
          <w:rStyle w:val="a5"/>
          <w:lang w:val="en-US"/>
        </w:rPr>
        <w:t>declarativity is not a deficit category</w:t>
      </w:r>
      <w:r w:rsidRPr="001B1938">
        <w:rPr>
          <w:lang w:val="en-US"/>
        </w:rPr>
        <w:t>. Declarative provisions play a crucial operational role by stabilizing the space within which permissions and prohibitions become intelligible. Treating them as normatively inert would collapse the observed indices and obscure the actual structure of the text.</w:t>
      </w:r>
    </w:p>
    <w:p w14:paraId="1CE686BA" w14:textId="77777777" w:rsidR="001B1938" w:rsidRPr="001B1938" w:rsidRDefault="001B1938" w:rsidP="001B1938">
      <w:pPr>
        <w:pStyle w:val="a3"/>
        <w:rPr>
          <w:lang w:val="en-US"/>
        </w:rPr>
      </w:pPr>
      <w:r w:rsidRPr="001B1938">
        <w:rPr>
          <w:lang w:val="en-US"/>
        </w:rPr>
        <w:t xml:space="preserve">Finally, the experiment confirms that large language models can function as </w:t>
      </w:r>
      <w:r w:rsidRPr="001B1938">
        <w:rPr>
          <w:rStyle w:val="a5"/>
          <w:lang w:val="en-US"/>
        </w:rPr>
        <w:t>reliable instruments for modal registration</w:t>
      </w:r>
      <w:r w:rsidRPr="001B1938">
        <w:rPr>
          <w:lang w:val="en-US"/>
        </w:rPr>
        <w:t>, provided that the conceptual criteria are explicit and periodically checked against manual annotation. Their failures were not arbitrary but traceable to identifiable ambiguities in instruction and language, reinforcing the claim that the difficulty lies not in computation but in conceptual articulation.</w:t>
      </w:r>
    </w:p>
    <w:p w14:paraId="52CB5DAB" w14:textId="77777777" w:rsidR="001B1938" w:rsidRPr="001B1938" w:rsidRDefault="001B1938" w:rsidP="001B1938">
      <w:pPr>
        <w:pStyle w:val="a3"/>
        <w:rPr>
          <w:lang w:val="en-US"/>
        </w:rPr>
      </w:pPr>
      <w:r w:rsidRPr="001B1938">
        <w:rPr>
          <w:lang w:val="en-US"/>
        </w:rPr>
        <w:lastRenderedPageBreak/>
        <w:t>Taken together, these results support the core claim of the main text while indicating the need for further refinement of subject-identification and modality attribution. The empirical trial thus does not conclude the inquiry but validates its direction.</w:t>
      </w:r>
    </w:p>
    <w:p w14:paraId="5DFCBDBF" w14:textId="77777777" w:rsidR="008E5DD4" w:rsidRPr="00423952" w:rsidRDefault="008E5DD4">
      <w:pPr>
        <w:rPr>
          <w:lang w:val="en-US"/>
        </w:rPr>
      </w:pPr>
    </w:p>
    <w:sectPr w:rsidR="008E5DD4" w:rsidRPr="004239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24B7"/>
    <w:multiLevelType w:val="multilevel"/>
    <w:tmpl w:val="6B12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1416A"/>
    <w:multiLevelType w:val="multilevel"/>
    <w:tmpl w:val="768C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F3E0D"/>
    <w:multiLevelType w:val="multilevel"/>
    <w:tmpl w:val="7096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24683"/>
    <w:multiLevelType w:val="multilevel"/>
    <w:tmpl w:val="9F16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8F6C62"/>
    <w:multiLevelType w:val="multilevel"/>
    <w:tmpl w:val="7D9E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31AF8"/>
    <w:multiLevelType w:val="multilevel"/>
    <w:tmpl w:val="A488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16506"/>
    <w:multiLevelType w:val="multilevel"/>
    <w:tmpl w:val="E2EE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A53BA"/>
    <w:multiLevelType w:val="multilevel"/>
    <w:tmpl w:val="8132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B1E5E"/>
    <w:multiLevelType w:val="multilevel"/>
    <w:tmpl w:val="4FC4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D62E1"/>
    <w:multiLevelType w:val="multilevel"/>
    <w:tmpl w:val="40D4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42B17"/>
    <w:multiLevelType w:val="multilevel"/>
    <w:tmpl w:val="748E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0D5E43"/>
    <w:multiLevelType w:val="multilevel"/>
    <w:tmpl w:val="F7F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C1C6F"/>
    <w:multiLevelType w:val="multilevel"/>
    <w:tmpl w:val="140E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A08A5"/>
    <w:multiLevelType w:val="multilevel"/>
    <w:tmpl w:val="C7B2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622DF"/>
    <w:multiLevelType w:val="multilevel"/>
    <w:tmpl w:val="E81A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3B70E4"/>
    <w:multiLevelType w:val="multilevel"/>
    <w:tmpl w:val="518C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2"/>
  </w:num>
  <w:num w:numId="4">
    <w:abstractNumId w:val="15"/>
  </w:num>
  <w:num w:numId="5">
    <w:abstractNumId w:val="10"/>
  </w:num>
  <w:num w:numId="6">
    <w:abstractNumId w:val="7"/>
  </w:num>
  <w:num w:numId="7">
    <w:abstractNumId w:val="1"/>
  </w:num>
  <w:num w:numId="8">
    <w:abstractNumId w:val="0"/>
  </w:num>
  <w:num w:numId="9">
    <w:abstractNumId w:val="12"/>
  </w:num>
  <w:num w:numId="10">
    <w:abstractNumId w:val="13"/>
  </w:num>
  <w:num w:numId="11">
    <w:abstractNumId w:val="3"/>
  </w:num>
  <w:num w:numId="12">
    <w:abstractNumId w:val="14"/>
  </w:num>
  <w:num w:numId="13">
    <w:abstractNumId w:val="9"/>
  </w:num>
  <w:num w:numId="14">
    <w:abstractNumId w:val="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1E"/>
    <w:rsid w:val="0007081E"/>
    <w:rsid w:val="0010224D"/>
    <w:rsid w:val="001771AC"/>
    <w:rsid w:val="001B1938"/>
    <w:rsid w:val="00306E6B"/>
    <w:rsid w:val="00334206"/>
    <w:rsid w:val="00351273"/>
    <w:rsid w:val="00414E3D"/>
    <w:rsid w:val="00423952"/>
    <w:rsid w:val="005C6E2E"/>
    <w:rsid w:val="00782642"/>
    <w:rsid w:val="007B727D"/>
    <w:rsid w:val="008D7DEA"/>
    <w:rsid w:val="008E5DD4"/>
    <w:rsid w:val="009301C9"/>
    <w:rsid w:val="00946EE6"/>
    <w:rsid w:val="009E0B75"/>
    <w:rsid w:val="00D90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4CD1"/>
  <w15:chartTrackingRefBased/>
  <w15:docId w15:val="{DF027DE2-7A5D-4F0A-B999-3DCF0CA5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D909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1022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0224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0224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0224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102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h-inline">
    <w:name w:val="math-inline"/>
    <w:basedOn w:val="a0"/>
    <w:rsid w:val="0010224D"/>
  </w:style>
  <w:style w:type="character" w:customStyle="1" w:styleId="20">
    <w:name w:val="Заголовок 2 Знак"/>
    <w:basedOn w:val="a0"/>
    <w:link w:val="2"/>
    <w:uiPriority w:val="9"/>
    <w:semiHidden/>
    <w:rsid w:val="00D909C3"/>
    <w:rPr>
      <w:rFonts w:asciiTheme="majorHAnsi" w:eastAsiaTheme="majorEastAsia" w:hAnsiTheme="majorHAnsi" w:cstheme="majorBidi"/>
      <w:color w:val="2F5496" w:themeColor="accent1" w:themeShade="BF"/>
      <w:sz w:val="26"/>
      <w:szCs w:val="26"/>
    </w:rPr>
  </w:style>
  <w:style w:type="character" w:styleId="a4">
    <w:name w:val="Emphasis"/>
    <w:basedOn w:val="a0"/>
    <w:uiPriority w:val="20"/>
    <w:qFormat/>
    <w:rsid w:val="00D909C3"/>
    <w:rPr>
      <w:i/>
      <w:iCs/>
    </w:rPr>
  </w:style>
  <w:style w:type="character" w:styleId="a5">
    <w:name w:val="Strong"/>
    <w:basedOn w:val="a0"/>
    <w:uiPriority w:val="22"/>
    <w:qFormat/>
    <w:rsid w:val="00D909C3"/>
    <w:rPr>
      <w:b/>
      <w:bCs/>
    </w:rPr>
  </w:style>
  <w:style w:type="paragraph" w:styleId="a6">
    <w:name w:val="Body Text"/>
    <w:basedOn w:val="a"/>
    <w:link w:val="a7"/>
    <w:uiPriority w:val="99"/>
    <w:unhideWhenUsed/>
    <w:rsid w:val="00414E3D"/>
    <w:pPr>
      <w:spacing w:before="100" w:beforeAutospacing="1" w:after="100" w:afterAutospacing="1" w:line="240" w:lineRule="auto"/>
    </w:pPr>
    <w:rPr>
      <w:rFonts w:ascii="Times New Roman" w:hAnsi="Times New Roman" w:cs="Times New Roman"/>
      <w:b/>
      <w:bCs/>
      <w:sz w:val="32"/>
      <w:szCs w:val="32"/>
      <w:lang w:val="en-US"/>
    </w:rPr>
  </w:style>
  <w:style w:type="character" w:customStyle="1" w:styleId="a7">
    <w:name w:val="Основной текст Знак"/>
    <w:basedOn w:val="a0"/>
    <w:link w:val="a6"/>
    <w:uiPriority w:val="99"/>
    <w:rsid w:val="00414E3D"/>
    <w:rPr>
      <w:rFonts w:ascii="Times New Roman" w:hAnsi="Times New Roman" w:cs="Times New Roman"/>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7719">
      <w:bodyDiv w:val="1"/>
      <w:marLeft w:val="0"/>
      <w:marRight w:val="0"/>
      <w:marTop w:val="0"/>
      <w:marBottom w:val="0"/>
      <w:divBdr>
        <w:top w:val="none" w:sz="0" w:space="0" w:color="auto"/>
        <w:left w:val="none" w:sz="0" w:space="0" w:color="auto"/>
        <w:bottom w:val="none" w:sz="0" w:space="0" w:color="auto"/>
        <w:right w:val="none" w:sz="0" w:space="0" w:color="auto"/>
      </w:divBdr>
    </w:div>
    <w:div w:id="134878657">
      <w:bodyDiv w:val="1"/>
      <w:marLeft w:val="0"/>
      <w:marRight w:val="0"/>
      <w:marTop w:val="0"/>
      <w:marBottom w:val="0"/>
      <w:divBdr>
        <w:top w:val="none" w:sz="0" w:space="0" w:color="auto"/>
        <w:left w:val="none" w:sz="0" w:space="0" w:color="auto"/>
        <w:bottom w:val="none" w:sz="0" w:space="0" w:color="auto"/>
        <w:right w:val="none" w:sz="0" w:space="0" w:color="auto"/>
      </w:divBdr>
    </w:div>
    <w:div w:id="271858591">
      <w:bodyDiv w:val="1"/>
      <w:marLeft w:val="0"/>
      <w:marRight w:val="0"/>
      <w:marTop w:val="0"/>
      <w:marBottom w:val="0"/>
      <w:divBdr>
        <w:top w:val="none" w:sz="0" w:space="0" w:color="auto"/>
        <w:left w:val="none" w:sz="0" w:space="0" w:color="auto"/>
        <w:bottom w:val="none" w:sz="0" w:space="0" w:color="auto"/>
        <w:right w:val="none" w:sz="0" w:space="0" w:color="auto"/>
      </w:divBdr>
    </w:div>
    <w:div w:id="609898410">
      <w:bodyDiv w:val="1"/>
      <w:marLeft w:val="0"/>
      <w:marRight w:val="0"/>
      <w:marTop w:val="0"/>
      <w:marBottom w:val="0"/>
      <w:divBdr>
        <w:top w:val="none" w:sz="0" w:space="0" w:color="auto"/>
        <w:left w:val="none" w:sz="0" w:space="0" w:color="auto"/>
        <w:bottom w:val="none" w:sz="0" w:space="0" w:color="auto"/>
        <w:right w:val="none" w:sz="0" w:space="0" w:color="auto"/>
      </w:divBdr>
    </w:div>
    <w:div w:id="786971449">
      <w:bodyDiv w:val="1"/>
      <w:marLeft w:val="0"/>
      <w:marRight w:val="0"/>
      <w:marTop w:val="0"/>
      <w:marBottom w:val="0"/>
      <w:divBdr>
        <w:top w:val="none" w:sz="0" w:space="0" w:color="auto"/>
        <w:left w:val="none" w:sz="0" w:space="0" w:color="auto"/>
        <w:bottom w:val="none" w:sz="0" w:space="0" w:color="auto"/>
        <w:right w:val="none" w:sz="0" w:space="0" w:color="auto"/>
      </w:divBdr>
    </w:div>
    <w:div w:id="1270510199">
      <w:bodyDiv w:val="1"/>
      <w:marLeft w:val="0"/>
      <w:marRight w:val="0"/>
      <w:marTop w:val="0"/>
      <w:marBottom w:val="0"/>
      <w:divBdr>
        <w:top w:val="none" w:sz="0" w:space="0" w:color="auto"/>
        <w:left w:val="none" w:sz="0" w:space="0" w:color="auto"/>
        <w:bottom w:val="none" w:sz="0" w:space="0" w:color="auto"/>
        <w:right w:val="none" w:sz="0" w:space="0" w:color="auto"/>
      </w:divBdr>
    </w:div>
    <w:div w:id="1613244585">
      <w:bodyDiv w:val="1"/>
      <w:marLeft w:val="0"/>
      <w:marRight w:val="0"/>
      <w:marTop w:val="0"/>
      <w:marBottom w:val="0"/>
      <w:divBdr>
        <w:top w:val="none" w:sz="0" w:space="0" w:color="auto"/>
        <w:left w:val="none" w:sz="0" w:space="0" w:color="auto"/>
        <w:bottom w:val="none" w:sz="0" w:space="0" w:color="auto"/>
        <w:right w:val="none" w:sz="0" w:space="0" w:color="auto"/>
      </w:divBdr>
    </w:div>
    <w:div w:id="1663967177">
      <w:bodyDiv w:val="1"/>
      <w:marLeft w:val="0"/>
      <w:marRight w:val="0"/>
      <w:marTop w:val="0"/>
      <w:marBottom w:val="0"/>
      <w:divBdr>
        <w:top w:val="none" w:sz="0" w:space="0" w:color="auto"/>
        <w:left w:val="none" w:sz="0" w:space="0" w:color="auto"/>
        <w:bottom w:val="none" w:sz="0" w:space="0" w:color="auto"/>
        <w:right w:val="none" w:sz="0" w:space="0" w:color="auto"/>
      </w:divBdr>
    </w:div>
    <w:div w:id="1777947740">
      <w:bodyDiv w:val="1"/>
      <w:marLeft w:val="0"/>
      <w:marRight w:val="0"/>
      <w:marTop w:val="0"/>
      <w:marBottom w:val="0"/>
      <w:divBdr>
        <w:top w:val="none" w:sz="0" w:space="0" w:color="auto"/>
        <w:left w:val="none" w:sz="0" w:space="0" w:color="auto"/>
        <w:bottom w:val="none" w:sz="0" w:space="0" w:color="auto"/>
        <w:right w:val="none" w:sz="0" w:space="0" w:color="auto"/>
      </w:divBdr>
      <w:divsChild>
        <w:div w:id="1391924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28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1766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9702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8</Pages>
  <Words>2915</Words>
  <Characters>16622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2026-01-20T09:16:00Z</dcterms:created>
  <dcterms:modified xsi:type="dcterms:W3CDTF">2026-01-22T21:49:00Z</dcterms:modified>
</cp:coreProperties>
</file>