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41B133" w14:textId="2FA92D0F" w:rsidR="007146C3" w:rsidRPr="007146C3" w:rsidRDefault="007146C3" w:rsidP="007146C3">
      <w:pPr>
        <w:rPr>
          <w:i/>
          <w:iCs/>
        </w:rPr>
      </w:pPr>
      <w:bookmarkStart w:id="0" w:name="_heading=h.xvetec6lllzb" w:colFirst="0" w:colLast="0"/>
      <w:bookmarkEnd w:id="0"/>
      <w:r w:rsidRPr="007146C3">
        <w:rPr>
          <w:i/>
          <w:iCs/>
        </w:rPr>
        <w:t>This is a preprint. Please cite the published version</w:t>
      </w:r>
    </w:p>
    <w:p w14:paraId="00000001" w14:textId="79E228BC" w:rsidR="0059079A" w:rsidRPr="008A07B6" w:rsidRDefault="00000000">
      <w:pPr>
        <w:pStyle w:val="Titre1"/>
        <w:rPr>
          <w:rFonts w:ascii="Calibri" w:eastAsia="Arial" w:hAnsi="Calibri" w:cs="Calibri"/>
        </w:rPr>
      </w:pPr>
      <w:r w:rsidRPr="008A07B6">
        <w:rPr>
          <w:rFonts w:ascii="Calibri" w:eastAsia="Arial" w:hAnsi="Calibri" w:cs="Calibri"/>
        </w:rPr>
        <w:t>Title : From regularity to normativity : active inference and the origin of normative attitudes</w:t>
      </w:r>
    </w:p>
    <w:p w14:paraId="00000009" w14:textId="77777777" w:rsidR="0059079A" w:rsidRPr="008A07B6" w:rsidRDefault="0059079A">
      <w:pPr>
        <w:rPr>
          <w:rFonts w:ascii="Calibri" w:hAnsi="Calibri" w:cs="Calibri"/>
        </w:rPr>
      </w:pPr>
      <w:bookmarkStart w:id="1" w:name="_heading=h.4gtymu6yglt" w:colFirst="0" w:colLast="0"/>
      <w:bookmarkEnd w:id="1"/>
    </w:p>
    <w:p w14:paraId="0000000B" w14:textId="703E503D" w:rsidR="0059079A" w:rsidRPr="00B26DD2" w:rsidRDefault="00000000" w:rsidP="00B26DD2">
      <w:pPr>
        <w:pStyle w:val="Titre1"/>
        <w:jc w:val="both"/>
        <w:rPr>
          <w:rFonts w:ascii="Calibri" w:eastAsia="Arial" w:hAnsi="Calibri" w:cs="Calibri"/>
          <w:b w:val="0"/>
        </w:rPr>
      </w:pPr>
      <w:r w:rsidRPr="008A07B6">
        <w:rPr>
          <w:rFonts w:ascii="Calibri" w:eastAsia="Arial" w:hAnsi="Calibri" w:cs="Calibri"/>
        </w:rPr>
        <w:t xml:space="preserve">Abstract : </w:t>
      </w:r>
    </w:p>
    <w:p w14:paraId="0000000C" w14:textId="1766297C" w:rsidR="0059079A" w:rsidRPr="008A07B6" w:rsidRDefault="00000000">
      <w:pPr>
        <w:jc w:val="both"/>
        <w:rPr>
          <w:rFonts w:ascii="Calibri" w:hAnsi="Calibri" w:cs="Calibri"/>
        </w:rPr>
      </w:pPr>
      <w:r w:rsidRPr="008A07B6">
        <w:rPr>
          <w:rFonts w:ascii="Calibri" w:hAnsi="Calibri" w:cs="Calibri"/>
        </w:rPr>
        <w:t xml:space="preserve">In this paper, we develop an account of normative attitudes based on the active inference framework. According to this framework, by interacting with its environment, an organism integrates in its generative model the statistical regularities of its ecological niche, while simultaneously altering the niche to minimize prediction error. For social organisms such as humans, other members of the group and their behaviors constitute a crucial part of the ecological niche, which becomes a social niche. The active inference framework notably entails that the organism will not simply passively learn the regularities of its social niche, but also actively impose these regularities to construct a more predictable environment. The perception of a social regularity in the group should therefore lead to the integration of this regularity into the organism’s generative model in the form of social predictions, which in turn should lead to the production of various behaviors enforcing this predicted regularity in the group. On our account, these behaviors fulfill the role of social sanctions, and the social predictions that generate these behaviors constitute normative attitudes. This account can explain various empirical findings related to the development of normative cognition, as well as accommodate some apparent </w:t>
      </w:r>
      <w:r w:rsidR="00A066BC" w:rsidRPr="008A07B6">
        <w:rPr>
          <w:rFonts w:ascii="Calibri" w:hAnsi="Calibri" w:cs="Calibri"/>
        </w:rPr>
        <w:t>counterexamples</w:t>
      </w:r>
      <w:r w:rsidRPr="008A07B6">
        <w:rPr>
          <w:rFonts w:ascii="Calibri" w:hAnsi="Calibri" w:cs="Calibri"/>
        </w:rPr>
        <w:t xml:space="preserve">. </w:t>
      </w:r>
    </w:p>
    <w:p w14:paraId="0000000D" w14:textId="77777777" w:rsidR="0059079A" w:rsidRPr="008A07B6" w:rsidRDefault="0059079A">
      <w:pPr>
        <w:jc w:val="both"/>
        <w:rPr>
          <w:rFonts w:ascii="Calibri" w:eastAsia="Arial" w:hAnsi="Calibri" w:cs="Calibri"/>
        </w:rPr>
      </w:pPr>
    </w:p>
    <w:p w14:paraId="0000000E" w14:textId="77777777" w:rsidR="0059079A" w:rsidRPr="008A07B6" w:rsidRDefault="00000000">
      <w:pPr>
        <w:pStyle w:val="Titre1"/>
        <w:jc w:val="both"/>
        <w:rPr>
          <w:rFonts w:ascii="Calibri" w:eastAsia="Arial" w:hAnsi="Calibri" w:cs="Calibri"/>
        </w:rPr>
      </w:pPr>
      <w:r w:rsidRPr="008A07B6">
        <w:rPr>
          <w:rFonts w:ascii="Calibri" w:eastAsia="Arial" w:hAnsi="Calibri" w:cs="Calibri"/>
        </w:rPr>
        <w:t>Introduction</w:t>
      </w:r>
    </w:p>
    <w:p w14:paraId="0000000F" w14:textId="77777777" w:rsidR="0059079A" w:rsidRPr="008A07B6" w:rsidRDefault="0059079A">
      <w:pPr>
        <w:jc w:val="both"/>
        <w:rPr>
          <w:rFonts w:ascii="Calibri" w:eastAsia="Arial" w:hAnsi="Calibri" w:cs="Calibri"/>
        </w:rPr>
      </w:pPr>
    </w:p>
    <w:p w14:paraId="00000010" w14:textId="3E114260" w:rsidR="0059079A" w:rsidRPr="008A07B6" w:rsidRDefault="00000000">
      <w:pPr>
        <w:jc w:val="both"/>
        <w:rPr>
          <w:rFonts w:ascii="Calibri" w:eastAsia="Arial" w:hAnsi="Calibri" w:cs="Calibri"/>
        </w:rPr>
      </w:pPr>
      <w:r w:rsidRPr="008A07B6">
        <w:rPr>
          <w:rFonts w:ascii="Calibri" w:eastAsia="Arial" w:hAnsi="Calibri" w:cs="Calibri"/>
        </w:rPr>
        <w:t>In this paper, we develop and defend an account of normative attitudes based on the active inference framework. To a first approximation, normative attitudes are essentially attitudes that drive social sanctioning behavior, and, as such, are a central part of the set of cognitive processes involved in the acquisition, maintenance and enforcement of social norms</w:t>
      </w:r>
      <w:r w:rsidR="00702086">
        <w:rPr>
          <w:rStyle w:val="Appelnotedebasdep"/>
          <w:rFonts w:ascii="Calibri" w:eastAsia="Arial" w:hAnsi="Calibri" w:cs="Calibri"/>
        </w:rPr>
        <w:footnoteReference w:id="1"/>
      </w:r>
      <w:r w:rsidRPr="008A07B6">
        <w:rPr>
          <w:rFonts w:ascii="Calibri" w:eastAsia="Arial" w:hAnsi="Calibri" w:cs="Calibri"/>
        </w:rPr>
        <w:t xml:space="preserve">. The account proposed in this paper depicts normative attitudes as a way for </w:t>
      </w:r>
      <w:r w:rsidRPr="008A07B6">
        <w:rPr>
          <w:rFonts w:ascii="Calibri" w:eastAsia="Arial" w:hAnsi="Calibri" w:cs="Calibri"/>
        </w:rPr>
        <w:lastRenderedPageBreak/>
        <w:t>social organisms to actively construct a more predictable social environment. According to the active inference framework, very roughly, organisms continuously attempt to minimize the difference between the state of the world and their predictions concerning the state of the world. Crucially, this often involves acting on the world itself so that it fits the organisms’ predictions, which allows them to remain in states favoring their survival, reproduction and general well-being (</w:t>
      </w:r>
      <w:proofErr w:type="spellStart"/>
      <w:r w:rsidRPr="008A07B6">
        <w:rPr>
          <w:rFonts w:ascii="Calibri" w:eastAsia="Arial" w:hAnsi="Calibri" w:cs="Calibri"/>
        </w:rPr>
        <w:t>eg.</w:t>
      </w:r>
      <w:proofErr w:type="spellEnd"/>
      <w:r w:rsidRPr="008A07B6">
        <w:rPr>
          <w:rFonts w:ascii="Calibri" w:eastAsia="Arial" w:hAnsi="Calibri" w:cs="Calibri"/>
        </w:rPr>
        <w:t xml:space="preserve"> searching for food and consuming it to maintain blood sugar levels in a predicted range). </w:t>
      </w:r>
    </w:p>
    <w:p w14:paraId="00000011" w14:textId="77777777" w:rsidR="0059079A" w:rsidRPr="008A07B6" w:rsidRDefault="00000000">
      <w:pPr>
        <w:jc w:val="both"/>
        <w:rPr>
          <w:rFonts w:ascii="Calibri" w:eastAsia="Arial" w:hAnsi="Calibri" w:cs="Calibri"/>
        </w:rPr>
      </w:pPr>
      <w:r w:rsidRPr="008A07B6">
        <w:rPr>
          <w:rFonts w:ascii="Calibri" w:eastAsia="Arial" w:hAnsi="Calibri" w:cs="Calibri"/>
        </w:rPr>
        <w:t xml:space="preserve">For social organisms such as humans, this prediction minimization activity is not only directed toward the physical environment (and one’s body), but also toward the </w:t>
      </w:r>
      <w:r w:rsidRPr="008A07B6">
        <w:rPr>
          <w:rFonts w:ascii="Calibri" w:eastAsia="Arial" w:hAnsi="Calibri" w:cs="Calibri"/>
          <w:i/>
        </w:rPr>
        <w:t xml:space="preserve">social </w:t>
      </w:r>
      <w:r w:rsidRPr="008A07B6">
        <w:rPr>
          <w:rFonts w:ascii="Calibri" w:eastAsia="Arial" w:hAnsi="Calibri" w:cs="Calibri"/>
        </w:rPr>
        <w:t>environment; that is, the members of their social groups and their behavior. The core idea is very simple. Social organisms first learn the structure of their social environment. They then in turn actively enforce this structure on other members of their social group, which allows them to construct a more predictable social environment relative to this prior learning. Therefore, normative attitudes are seen as emerging from basic processes of biological regulation, understood as prediction error minimization in the active inference framework, applied to the context of social groups.</w:t>
      </w:r>
    </w:p>
    <w:p w14:paraId="00000012" w14:textId="7B8F2887" w:rsidR="0059079A" w:rsidRPr="008A07B6" w:rsidRDefault="00000000">
      <w:pPr>
        <w:jc w:val="both"/>
        <w:rPr>
          <w:rFonts w:ascii="Calibri" w:eastAsia="Arial" w:hAnsi="Calibri" w:cs="Calibri"/>
        </w:rPr>
      </w:pPr>
      <w:r w:rsidRPr="008A07B6">
        <w:rPr>
          <w:rFonts w:ascii="Calibri" w:eastAsia="Arial" w:hAnsi="Calibri" w:cs="Calibri"/>
        </w:rPr>
        <w:t>An outline of this account was briefly sketched in</w:t>
      </w:r>
      <w:r w:rsidR="004A777F">
        <w:rPr>
          <w:rFonts w:ascii="Calibri" w:eastAsia="Arial" w:hAnsi="Calibri" w:cs="Calibri"/>
        </w:rPr>
        <w:t xml:space="preserve"> Tison (2022)</w:t>
      </w:r>
      <w:r w:rsidR="00A066BC" w:rsidRPr="008A07B6">
        <w:rPr>
          <w:rFonts w:ascii="Calibri" w:eastAsia="Arial" w:hAnsi="Calibri" w:cs="Calibri"/>
        </w:rPr>
        <w:t xml:space="preserve">. </w:t>
      </w:r>
      <w:r w:rsidRPr="008A07B6">
        <w:rPr>
          <w:rFonts w:ascii="Calibri" w:eastAsia="Arial" w:hAnsi="Calibri" w:cs="Calibri"/>
        </w:rPr>
        <w:t xml:space="preserve">In this paper, we expand it, provide positive arguments in its favor and defend it against some potential objections. In section 1, we provide a brief introduction of the active inference framework, focusing on the elements that will be required to formulate the theory of normative attitudes presented in the paper. We then introduce in section 2 the theory itself and advance some arguments in its favor. Finally, in section 3, we discuss some potential objections to the theory, which allows us to illustrate its explanatory power. </w:t>
      </w:r>
    </w:p>
    <w:p w14:paraId="00000013" w14:textId="77777777" w:rsidR="0059079A" w:rsidRPr="008A07B6" w:rsidRDefault="0059079A">
      <w:pPr>
        <w:jc w:val="both"/>
        <w:rPr>
          <w:rFonts w:ascii="Calibri" w:eastAsia="Arial" w:hAnsi="Calibri" w:cs="Calibri"/>
        </w:rPr>
      </w:pPr>
    </w:p>
    <w:p w14:paraId="00000014" w14:textId="77777777" w:rsidR="0059079A" w:rsidRPr="008A07B6" w:rsidRDefault="00000000">
      <w:pPr>
        <w:pStyle w:val="Titre1"/>
        <w:jc w:val="both"/>
        <w:rPr>
          <w:rFonts w:ascii="Calibri" w:eastAsia="Arial" w:hAnsi="Calibri" w:cs="Calibri"/>
        </w:rPr>
      </w:pPr>
      <w:r w:rsidRPr="008A07B6">
        <w:rPr>
          <w:rFonts w:ascii="Calibri" w:eastAsia="Arial" w:hAnsi="Calibri" w:cs="Calibri"/>
        </w:rPr>
        <w:t>1. The active inference framework</w:t>
      </w:r>
    </w:p>
    <w:p w14:paraId="00000015" w14:textId="77777777" w:rsidR="0059079A" w:rsidRPr="008A07B6" w:rsidRDefault="0059079A">
      <w:pPr>
        <w:jc w:val="both"/>
        <w:rPr>
          <w:rFonts w:ascii="Calibri" w:eastAsia="Arial" w:hAnsi="Calibri" w:cs="Calibri"/>
        </w:rPr>
      </w:pPr>
    </w:p>
    <w:p w14:paraId="00000016" w14:textId="77777777" w:rsidR="0059079A" w:rsidRPr="008A07B6" w:rsidRDefault="00000000">
      <w:pPr>
        <w:jc w:val="both"/>
        <w:rPr>
          <w:rFonts w:ascii="Calibri" w:eastAsia="Arial" w:hAnsi="Calibri" w:cs="Calibri"/>
        </w:rPr>
      </w:pPr>
      <w:r w:rsidRPr="008A07B6">
        <w:rPr>
          <w:rFonts w:ascii="Calibri" w:eastAsia="Arial" w:hAnsi="Calibri" w:cs="Calibri"/>
        </w:rPr>
        <w:t>In this section, we provide a brief and informal introduction to the active inference framework and draw out the elements of this framework that will be useful to formulate the theory of social normativity presented in section 2</w:t>
      </w:r>
      <w:r w:rsidRPr="008A07B6">
        <w:rPr>
          <w:rFonts w:ascii="Calibri" w:eastAsia="Arial" w:hAnsi="Calibri" w:cs="Calibri"/>
          <w:vertAlign w:val="superscript"/>
        </w:rPr>
        <w:footnoteReference w:id="2"/>
      </w:r>
      <w:r w:rsidRPr="008A07B6">
        <w:rPr>
          <w:rFonts w:ascii="Calibri" w:eastAsia="Arial" w:hAnsi="Calibri" w:cs="Calibri"/>
        </w:rPr>
        <w:t xml:space="preserve">. The active inference framework is an integrative theory in theoretical biology and neuroscience which aims to explain in </w:t>
      </w:r>
      <w:r w:rsidRPr="008A07B6">
        <w:rPr>
          <w:rFonts w:ascii="Calibri" w:eastAsia="Arial" w:hAnsi="Calibri" w:cs="Calibri"/>
        </w:rPr>
        <w:lastRenderedPageBreak/>
        <w:t>a unified way biological and cognitive processes (Friston, 2009, 2010; Parr et al., 2022). Its starting point is the common observation that living systems (</w:t>
      </w:r>
      <w:proofErr w:type="spellStart"/>
      <w:r w:rsidRPr="008A07B6">
        <w:rPr>
          <w:rFonts w:ascii="Calibri" w:eastAsia="Arial" w:hAnsi="Calibri" w:cs="Calibri"/>
        </w:rPr>
        <w:t>i</w:t>
      </w:r>
      <w:proofErr w:type="spellEnd"/>
      <w:r w:rsidRPr="008A07B6">
        <w:rPr>
          <w:rFonts w:ascii="Calibri" w:eastAsia="Arial" w:hAnsi="Calibri" w:cs="Calibri"/>
        </w:rPr>
        <w:t>. e. organisms) are first and foremost systems that exhibit a statistical tendency to maintain themselves in a particular set of (internal and external) states, which are the states favouring their survival, reproduction, and general well-being (Schrodinger, 1944; Ramstead et al., 2018). For example, fish will tend to be found in water, humans will tend to be found in social groups, both will tend to keep their blood sugar level and internal temperature in a certain range, and so on.</w:t>
      </w:r>
    </w:p>
    <w:p w14:paraId="00000017" w14:textId="77777777" w:rsidR="0059079A" w:rsidRPr="008A07B6" w:rsidRDefault="00000000">
      <w:pPr>
        <w:jc w:val="both"/>
        <w:rPr>
          <w:rFonts w:ascii="Calibri" w:eastAsia="Arial" w:hAnsi="Calibri" w:cs="Calibri"/>
        </w:rPr>
      </w:pPr>
      <w:r w:rsidRPr="008A07B6">
        <w:rPr>
          <w:rFonts w:ascii="Calibri" w:eastAsia="Arial" w:hAnsi="Calibri" w:cs="Calibri"/>
        </w:rPr>
        <w:t>The innovation of the active inference framework is to suggest that organisms succeed in maintaining themselves in this set of states by embodying a generative model, which generates predictions specifying the parameters of these states. For example, the generative model of a fish will predict that the fish is in water, the generative model of the human will predict that she belongs in a social group, both will predict that their blood sugar levels and internal temperature are in a certain range, etc. When the (internal or external) sensory input of the organism informs it that it is veering away from these predicted states, prediction error, which encodes the difference between the predicted states and the actual states, is generated. At any moment, organisms attempt to minimize the long-term average of prediction error, which ensures that they will tend to remain in the set of states favoring their survival, reproduction and well-being</w:t>
      </w:r>
      <w:r w:rsidRPr="008A07B6">
        <w:rPr>
          <w:rFonts w:ascii="Calibri" w:eastAsia="Arial" w:hAnsi="Calibri" w:cs="Calibri"/>
          <w:vertAlign w:val="superscript"/>
        </w:rPr>
        <w:footnoteReference w:id="3"/>
      </w:r>
      <w:r w:rsidRPr="008A07B6">
        <w:rPr>
          <w:rFonts w:ascii="Calibri" w:eastAsia="Arial" w:hAnsi="Calibri" w:cs="Calibri"/>
        </w:rPr>
        <w:t xml:space="preserve">. </w:t>
      </w:r>
    </w:p>
    <w:p w14:paraId="00000018" w14:textId="77777777" w:rsidR="0059079A" w:rsidRPr="008A07B6" w:rsidRDefault="00000000">
      <w:pPr>
        <w:jc w:val="both"/>
        <w:rPr>
          <w:rFonts w:ascii="Calibri" w:eastAsia="Arial" w:hAnsi="Calibri" w:cs="Calibri"/>
        </w:rPr>
      </w:pPr>
      <w:r w:rsidRPr="008A07B6">
        <w:rPr>
          <w:rFonts w:ascii="Calibri" w:eastAsia="Arial" w:hAnsi="Calibri" w:cs="Calibri"/>
        </w:rPr>
        <w:t xml:space="preserve">In the active inference framework, there are two ways to reduce prediction error. Either the sensory input is adjusted to the model, or the model is adjusted to the sensory input. The first is called “active inference” and intuitively corresponds to action, whereby an organism transforms its environment or its internal states to make them fit its model’s prediction. For example, if my internal sensory input signals that my blood sugar level is lower than predicted, prediction error will be generated, driving an action of eating something, which will return my blood sugar level to predicted values and reduce prediction error. The second is called “perceptual inference” and intuitively corresponds to perception and learning, whereby an organism modifies the predictions of its generative model to fit the sensory input and the environmental structure that causes it. Indeed, deep generative models will not only rigidly predict vital parameters but will also evolve to predict the structure of the environment in which the organism finds itself, thereby allowing it to reduce prediction error more efficiently in this environment. For example, an organism perceiving the regular occurrence of a source of food in a particular location will see its generative model altered to predict the presence of food at that </w:t>
      </w:r>
      <w:r w:rsidRPr="008A07B6">
        <w:rPr>
          <w:rFonts w:ascii="Calibri" w:eastAsia="Arial" w:hAnsi="Calibri" w:cs="Calibri"/>
        </w:rPr>
        <w:lastRenderedPageBreak/>
        <w:t xml:space="preserve">location. So, if prediction error due to hunger is generated, the organism would predict moving to that location to find food.  </w:t>
      </w:r>
    </w:p>
    <w:p w14:paraId="00000019" w14:textId="66C7EBD7" w:rsidR="0059079A" w:rsidRPr="008A07B6" w:rsidRDefault="00000000">
      <w:pPr>
        <w:jc w:val="both"/>
        <w:rPr>
          <w:rFonts w:ascii="Calibri" w:eastAsia="Arial" w:hAnsi="Calibri" w:cs="Calibri"/>
          <w:highlight w:val="yellow"/>
        </w:rPr>
      </w:pPr>
      <w:r w:rsidRPr="008A07B6">
        <w:rPr>
          <w:rFonts w:ascii="Calibri" w:eastAsia="Arial" w:hAnsi="Calibri" w:cs="Calibri"/>
        </w:rPr>
        <w:t xml:space="preserve">An important feature of the generative model is its hierarchical structure. The generative model contains hierarchies in which predictions at a certain level aim to predict the activity of the predictions at the level below, </w:t>
      </w:r>
      <w:r w:rsidR="00AD2004" w:rsidRPr="008A07B6">
        <w:rPr>
          <w:rFonts w:ascii="Calibri" w:eastAsia="Arial" w:hAnsi="Calibri" w:cs="Calibri"/>
        </w:rPr>
        <w:t>which themselves</w:t>
      </w:r>
      <w:r w:rsidRPr="008A07B6">
        <w:rPr>
          <w:rFonts w:ascii="Calibri" w:eastAsia="Arial" w:hAnsi="Calibri" w:cs="Calibri"/>
        </w:rPr>
        <w:t xml:space="preserve"> aim to predict the activity of the level below, and so on until we get to the sensory periphery. Whenever a prediction error is detected at a certain level, its associated prediction is updated (or maintained until the sensory input is adjusted accordingly, in the case of active inference), which generates prediction error for the level above. The prediction at that level is then itself updated, until the prediction error is eliminated by the required adjustments in the model. This learning mechanism allows the generative model to adapt itself to the statistical structure of the environment. Predictions at the lower levels capture statistical regularities at a smaller and faster spatiotemporal scale (</w:t>
      </w:r>
      <w:proofErr w:type="spellStart"/>
      <w:r w:rsidRPr="008A07B6">
        <w:rPr>
          <w:rFonts w:ascii="Calibri" w:eastAsia="Arial" w:hAnsi="Calibri" w:cs="Calibri"/>
        </w:rPr>
        <w:t>i.e</w:t>
      </w:r>
      <w:proofErr w:type="spellEnd"/>
      <w:r w:rsidRPr="008A07B6">
        <w:rPr>
          <w:rFonts w:ascii="Calibri" w:eastAsia="Arial" w:hAnsi="Calibri" w:cs="Calibri"/>
        </w:rPr>
        <w:t xml:space="preserve"> perception), whereas predictions at the higher levels capture more abstract regularities of the environment (i.e. learning). The predictions at the higher level can be seen as “priors” conditioning and contextualizing the sensorimotor activity at the lower levels, as </w:t>
      </w:r>
      <w:r w:rsidR="00AD2004" w:rsidRPr="008A07B6">
        <w:rPr>
          <w:rFonts w:ascii="Calibri" w:eastAsia="Arial" w:hAnsi="Calibri" w:cs="Calibri"/>
        </w:rPr>
        <w:t>a function</w:t>
      </w:r>
      <w:r w:rsidRPr="008A07B6">
        <w:rPr>
          <w:rFonts w:ascii="Calibri" w:eastAsia="Arial" w:hAnsi="Calibri" w:cs="Calibri"/>
        </w:rPr>
        <w:t xml:space="preserve"> of the moment, the location or the activity in which the agent is engaged (Hosoya et al., 2005; Clark, 2013). For example, the low-level perceptual prediction that there is food at a particular location will be contextualized by the activity of the agent (</w:t>
      </w:r>
      <w:proofErr w:type="spellStart"/>
      <w:r w:rsidRPr="008A07B6">
        <w:rPr>
          <w:rFonts w:ascii="Calibri" w:eastAsia="Arial" w:hAnsi="Calibri" w:cs="Calibri"/>
        </w:rPr>
        <w:t>eg.</w:t>
      </w:r>
      <w:proofErr w:type="spellEnd"/>
      <w:r w:rsidRPr="008A07B6">
        <w:rPr>
          <w:rFonts w:ascii="Calibri" w:eastAsia="Arial" w:hAnsi="Calibri" w:cs="Calibri"/>
        </w:rPr>
        <w:t xml:space="preserve"> is it currently looking for food?), by its interoceptive state (</w:t>
      </w:r>
      <w:proofErr w:type="spellStart"/>
      <w:r w:rsidRPr="008A07B6">
        <w:rPr>
          <w:rFonts w:ascii="Calibri" w:eastAsia="Arial" w:hAnsi="Calibri" w:cs="Calibri"/>
        </w:rPr>
        <w:t>eg.</w:t>
      </w:r>
      <w:proofErr w:type="spellEnd"/>
      <w:r w:rsidRPr="008A07B6">
        <w:rPr>
          <w:rFonts w:ascii="Calibri" w:eastAsia="Arial" w:hAnsi="Calibri" w:cs="Calibri"/>
        </w:rPr>
        <w:t xml:space="preserve"> is it hungry?) as well as higher level predictions concerning the structure of the environment (e.g., is there regularly food there at this time of the day, and of the year?).</w:t>
      </w:r>
      <w:r w:rsidRPr="008A07B6">
        <w:rPr>
          <w:rFonts w:ascii="Calibri" w:eastAsia="Arial" w:hAnsi="Calibri" w:cs="Calibri"/>
          <w:highlight w:val="yellow"/>
        </w:rPr>
        <w:t xml:space="preserve"> </w:t>
      </w:r>
    </w:p>
    <w:p w14:paraId="0000001A" w14:textId="4A4B07AE" w:rsidR="0059079A" w:rsidRPr="00AD2004" w:rsidRDefault="00000000">
      <w:pPr>
        <w:jc w:val="both"/>
        <w:rPr>
          <w:rFonts w:ascii="Calibri" w:eastAsia="Arial" w:hAnsi="Calibri" w:cs="Calibri"/>
        </w:rPr>
      </w:pPr>
      <w:r w:rsidRPr="008A07B6">
        <w:rPr>
          <w:rFonts w:ascii="Calibri" w:eastAsia="Arial" w:hAnsi="Calibri" w:cs="Calibri"/>
        </w:rPr>
        <w:t>Three elements of the active inference framework are particularly relevant for the purposes of the theory of social normativity that will be sketched below. First, this framework has been fruitfully used to model the phenomenon of niche construction (</w:t>
      </w:r>
      <w:proofErr w:type="spellStart"/>
      <w:r w:rsidRPr="008A07B6">
        <w:rPr>
          <w:rFonts w:ascii="Calibri" w:eastAsia="Arial" w:hAnsi="Calibri" w:cs="Calibri"/>
        </w:rPr>
        <w:t>Bruineberg</w:t>
      </w:r>
      <w:proofErr w:type="spellEnd"/>
      <w:r w:rsidRPr="008A07B6">
        <w:rPr>
          <w:rFonts w:ascii="Calibri" w:eastAsia="Arial" w:hAnsi="Calibri" w:cs="Calibri"/>
        </w:rPr>
        <w:t xml:space="preserve"> et al., 2018; Constant et al., 2018, 2020), which is the process whereby an organism or a group of organisms actively transform the structure of their environment to favor  better adaptation (Lewontin, 1983; Laland et al., 2000, 2016; </w:t>
      </w:r>
      <w:proofErr w:type="spellStart"/>
      <w:r w:rsidRPr="008A07B6">
        <w:rPr>
          <w:rFonts w:ascii="Calibri" w:eastAsia="Arial" w:hAnsi="Calibri" w:cs="Calibri"/>
        </w:rPr>
        <w:t>Odling</w:t>
      </w:r>
      <w:proofErr w:type="spellEnd"/>
      <w:r w:rsidRPr="008A07B6">
        <w:rPr>
          <w:rFonts w:ascii="Calibri" w:eastAsia="Arial" w:hAnsi="Calibri" w:cs="Calibri"/>
        </w:rPr>
        <w:t xml:space="preserve">-Smee et al., 2003). This framework describes the interaction between an organization or a species and its environment as a process of mutual adaptation, where both the generative model of the organism adjusts to the structure of the environment (i.e. learning) and the environment adjusts to the structure of the generative model (i.e. niche construction). Indeed, by acting repeatedly in its environment, the organism progressively alters its structure so that it comes to reflect the predictions of the organism’s generative model. For example, an organism regularly traveling to the location of a food source will eventually trace a path that will make this preferred food source easier to reach. Therefore, niche construction and learning can be understood as two sides of the same </w:t>
      </w:r>
      <w:r w:rsidRPr="008A07B6">
        <w:rPr>
          <w:rFonts w:ascii="Calibri" w:eastAsia="Arial" w:hAnsi="Calibri" w:cs="Calibri"/>
        </w:rPr>
        <w:lastRenderedPageBreak/>
        <w:t>coin, both contributing to a mutual adaptation leading to more efficient prediction error minimization from the perspective of a joint organism-environment system (</w:t>
      </w:r>
      <w:proofErr w:type="spellStart"/>
      <w:r w:rsidRPr="008A07B6">
        <w:rPr>
          <w:rFonts w:ascii="Calibri" w:eastAsia="Arial" w:hAnsi="Calibri" w:cs="Calibri"/>
        </w:rPr>
        <w:t>Bruineberg</w:t>
      </w:r>
      <w:proofErr w:type="spellEnd"/>
      <w:r w:rsidRPr="008A07B6">
        <w:rPr>
          <w:rFonts w:ascii="Calibri" w:eastAsia="Arial" w:hAnsi="Calibri" w:cs="Calibri"/>
        </w:rPr>
        <w:t xml:space="preserve"> et al., 2018</w:t>
      </w:r>
      <w:r w:rsidRPr="00AD2004">
        <w:rPr>
          <w:rFonts w:ascii="Calibri" w:eastAsia="Arial" w:hAnsi="Calibri" w:cs="Calibri"/>
        </w:rPr>
        <w:t xml:space="preserve">). Moreover, this account aims to provide a multi-scale account of niche construction; that is, it aims to capture the dynamics of niche construction at the timescale of evolution (a species altering its niche over multiple generations), development (an organism altering its niche during its life) and in real time (an organism temporarily altering its niche in a short time frame). Indeed, the active inference framework can describe these organism-environment interactions at different scales as mutual adjustments between the typical generative model of a species and its niche (evolution) or between the generative model of an individual organism and its environment at longer timescales (development) and at shorter timescales (real time interaction). </w:t>
      </w:r>
      <w:r w:rsidR="00964823" w:rsidRPr="00AD2004">
        <w:rPr>
          <w:rFonts w:ascii="Calibri" w:eastAsia="Arial" w:hAnsi="Calibri" w:cs="Calibri"/>
        </w:rPr>
        <w:t xml:space="preserve">As we will see, the theory developed below </w:t>
      </w:r>
      <w:r w:rsidR="00392DAB" w:rsidRPr="00AD2004">
        <w:rPr>
          <w:rFonts w:ascii="Calibri" w:eastAsia="Arial" w:hAnsi="Calibri" w:cs="Calibri"/>
        </w:rPr>
        <w:t xml:space="preserve">similarly </w:t>
      </w:r>
      <w:r w:rsidR="00964823" w:rsidRPr="00AD2004">
        <w:rPr>
          <w:rFonts w:ascii="Calibri" w:eastAsia="Arial" w:hAnsi="Calibri" w:cs="Calibri"/>
        </w:rPr>
        <w:t xml:space="preserve">aims to provide an explanation of normative attitudes at these different </w:t>
      </w:r>
      <w:r w:rsidR="00AD2004" w:rsidRPr="00AD2004">
        <w:rPr>
          <w:rFonts w:ascii="Calibri" w:eastAsia="Arial" w:hAnsi="Calibri" w:cs="Calibri"/>
        </w:rPr>
        <w:t>scales and</w:t>
      </w:r>
      <w:r w:rsidR="00392DAB" w:rsidRPr="00AD2004">
        <w:rPr>
          <w:rFonts w:ascii="Calibri" w:eastAsia="Arial" w:hAnsi="Calibri" w:cs="Calibri"/>
        </w:rPr>
        <w:t xml:space="preserve"> therefore has implications both for the evolution and development of normative attitudes</w:t>
      </w:r>
      <w:r w:rsidR="00964823" w:rsidRPr="00AD2004">
        <w:rPr>
          <w:rFonts w:ascii="Calibri" w:eastAsia="Arial" w:hAnsi="Calibri" w:cs="Calibri"/>
        </w:rPr>
        <w:t xml:space="preserve">. </w:t>
      </w:r>
    </w:p>
    <w:p w14:paraId="0000001B" w14:textId="77777777" w:rsidR="0059079A" w:rsidRPr="008A07B6" w:rsidRDefault="00000000">
      <w:pPr>
        <w:jc w:val="both"/>
        <w:rPr>
          <w:rFonts w:ascii="Calibri" w:eastAsia="Arial" w:hAnsi="Calibri" w:cs="Calibri"/>
        </w:rPr>
      </w:pPr>
      <w:r w:rsidRPr="008A07B6">
        <w:rPr>
          <w:rFonts w:ascii="Calibri" w:eastAsia="Arial" w:hAnsi="Calibri" w:cs="Calibri"/>
        </w:rPr>
        <w:t xml:space="preserve">The second element is the mechanism of precision-weighting, which modulates the impact of prediction error on the model. Generative models assign a certain weight to the predictions that they generate relative to the sensory input to which they are compared. This weight essentially corresponds to the degree of confidence assigned by the model either in the prediction or in the sensory input. If a high precision is assigned to a prediction relative to the sensory input (for example when the sensory input is deemed unreliable), prediction error for that prediction will have little to no effect on the model. If, on the contrary, a high precision is assigned to the sensory input, prediction error will more likely lead to an adjustment of the model to accommodate this prediction error. The precision-weighting mechanism, usually taken to be implemented in the brain by neurotransmitters affecting the synaptic gain (Friston et al., 2012), therefore determines the learning rate for particular predictions and is thought to underlie many cognitive phenomena usually associated with attention (Feldman et Friston, 2010; Hohwy, 2012). It notably allows an organism to selectively attend to and explore aspects of the environment which are considered more informative and relevant for model updating. </w:t>
      </w:r>
    </w:p>
    <w:p w14:paraId="0000001C" w14:textId="77777777" w:rsidR="0059079A" w:rsidRPr="008A07B6" w:rsidRDefault="00000000">
      <w:pPr>
        <w:jc w:val="both"/>
        <w:rPr>
          <w:rFonts w:ascii="Calibri" w:eastAsia="Arial" w:hAnsi="Calibri" w:cs="Calibri"/>
        </w:rPr>
      </w:pPr>
      <w:bookmarkStart w:id="2" w:name="_heading=h.gjdgxs" w:colFirst="0" w:colLast="0"/>
      <w:bookmarkEnd w:id="2"/>
      <w:r w:rsidRPr="008A07B6">
        <w:rPr>
          <w:rFonts w:ascii="Calibri" w:eastAsia="Arial" w:hAnsi="Calibri" w:cs="Calibri"/>
        </w:rPr>
        <w:t xml:space="preserve">The third element, one of the most radical and consequential aspects of the active inference framework, is the erasure of the traditional distinction between </w:t>
      </w:r>
      <w:r w:rsidRPr="008A07B6">
        <w:rPr>
          <w:rFonts w:ascii="Calibri" w:eastAsia="Arial" w:hAnsi="Calibri" w:cs="Calibri"/>
          <w:i/>
        </w:rPr>
        <w:t>epistemic attitudes</w:t>
      </w:r>
      <w:r w:rsidRPr="008A07B6">
        <w:rPr>
          <w:rFonts w:ascii="Calibri" w:eastAsia="Arial" w:hAnsi="Calibri" w:cs="Calibri"/>
        </w:rPr>
        <w:t xml:space="preserve"> (</w:t>
      </w:r>
      <w:proofErr w:type="spellStart"/>
      <w:r w:rsidRPr="008A07B6">
        <w:rPr>
          <w:rFonts w:ascii="Calibri" w:eastAsia="Arial" w:hAnsi="Calibri" w:cs="Calibri"/>
        </w:rPr>
        <w:t>eg.</w:t>
      </w:r>
      <w:proofErr w:type="spellEnd"/>
      <w:r w:rsidRPr="008A07B6">
        <w:rPr>
          <w:rFonts w:ascii="Calibri" w:eastAsia="Arial" w:hAnsi="Calibri" w:cs="Calibri"/>
        </w:rPr>
        <w:t xml:space="preserve"> beliefs and perceptions), which aim to accurately describe the world, and </w:t>
      </w:r>
      <w:r w:rsidRPr="008A07B6">
        <w:rPr>
          <w:rFonts w:ascii="Calibri" w:eastAsia="Arial" w:hAnsi="Calibri" w:cs="Calibri"/>
          <w:i/>
        </w:rPr>
        <w:t>pragmatic attitudes</w:t>
      </w:r>
      <w:r w:rsidRPr="008A07B6">
        <w:rPr>
          <w:rFonts w:ascii="Calibri" w:eastAsia="Arial" w:hAnsi="Calibri" w:cs="Calibri"/>
        </w:rPr>
        <w:t xml:space="preserve"> (</w:t>
      </w:r>
      <w:proofErr w:type="spellStart"/>
      <w:r w:rsidRPr="008A07B6">
        <w:rPr>
          <w:rFonts w:ascii="Calibri" w:eastAsia="Arial" w:hAnsi="Calibri" w:cs="Calibri"/>
        </w:rPr>
        <w:t>eg.</w:t>
      </w:r>
      <w:proofErr w:type="spellEnd"/>
      <w:r w:rsidRPr="008A07B6">
        <w:rPr>
          <w:rFonts w:ascii="Calibri" w:eastAsia="Arial" w:hAnsi="Calibri" w:cs="Calibri"/>
        </w:rPr>
        <w:t xml:space="preserve"> desires and intentions), which aim to transform the world (Clark, 2020; Yon et al. 2020). As is often noted, in this framework, “[t]here is no essential difference between goals or desires and beliefs or predictions” (Van de Cruys et al., 2020, p. 3), and “this […] picture marks no fundamental distinction corresponding to cognitive and conative states” (Clark, 2020, p. 4). Indeed, the same notion of prediction subserves </w:t>
      </w:r>
      <w:r w:rsidRPr="008A07B6">
        <w:rPr>
          <w:rFonts w:ascii="Calibri" w:eastAsia="Arial" w:hAnsi="Calibri" w:cs="Calibri"/>
        </w:rPr>
        <w:lastRenderedPageBreak/>
        <w:t xml:space="preserve">both roles, sometimes behaving more like beliefs, when prediction error is mostly eliminated by an adjustment of the prediction to the sensory input (perceptual inference), and sometimes more like desires, when prediction error is rather mostly eliminated by an adjustment of the sensory input to the prediction (active inference), and anywhere in between, when prediction error is eliminated by a complex interplay of both. </w:t>
      </w:r>
    </w:p>
    <w:p w14:paraId="0000001D" w14:textId="77777777" w:rsidR="0059079A" w:rsidRPr="008A07B6" w:rsidRDefault="00000000">
      <w:pPr>
        <w:jc w:val="both"/>
        <w:rPr>
          <w:rFonts w:ascii="Calibri" w:eastAsia="Arial" w:hAnsi="Calibri" w:cs="Calibri"/>
        </w:rPr>
      </w:pPr>
      <w:bookmarkStart w:id="3" w:name="_heading=h.na42086bs9dy" w:colFirst="0" w:colLast="0"/>
      <w:bookmarkEnd w:id="3"/>
      <w:r w:rsidRPr="008A07B6">
        <w:rPr>
          <w:rFonts w:ascii="Calibri" w:eastAsia="Arial" w:hAnsi="Calibri" w:cs="Calibri"/>
        </w:rPr>
        <w:t xml:space="preserve">The main factor determining whether prediction error will lead to active inference or perceptual inference is precision-weighting. Active inference will be performed when prediction error is generated for a prediction with high precision maintained despite contrary sensory input. This maintained higher level prediction will issue lower level proprioceptive predictions specifying the motor trajectory which would generate the sensory input confirming the prediction, leading to the execution of the relevant movements and the fulfilment of the prediction (see Shipp et al. (2013) and Pezzulo et al. (2018) for a more complete explanation of the neurophysiological mechanism). For example, my action of drinking coffee will be brought about by a prediction that I am drinking coffee and comparatively attenuated sensory input that I am not currently drinking coffee. The prediction will issue local proprioceptive predictions that my arm is moving so as to grab my cup and bring it to my mouth, thereby generating the sensory input confirming my initial prediction that I am drinking coffee. Action is therefore produced by something like a “systematic misrepresentation” (Wiese, 2017) of the state of the world and the position of the body leading to confirmation of an </w:t>
      </w:r>
      <w:proofErr w:type="spellStart"/>
      <w:r w:rsidRPr="008A07B6">
        <w:rPr>
          <w:rFonts w:ascii="Calibri" w:eastAsia="Arial" w:hAnsi="Calibri" w:cs="Calibri"/>
        </w:rPr>
        <w:t>antecedently</w:t>
      </w:r>
      <w:proofErr w:type="spellEnd"/>
      <w:r w:rsidRPr="008A07B6">
        <w:rPr>
          <w:rFonts w:ascii="Calibri" w:eastAsia="Arial" w:hAnsi="Calibri" w:cs="Calibri"/>
        </w:rPr>
        <w:t xml:space="preserve"> inaccurate prediction, akin to a self-fulfilling prophecy.</w:t>
      </w:r>
    </w:p>
    <w:p w14:paraId="0000001E" w14:textId="0B817E25" w:rsidR="0059079A" w:rsidRPr="008A07B6" w:rsidRDefault="00000000">
      <w:pPr>
        <w:jc w:val="both"/>
        <w:rPr>
          <w:rFonts w:ascii="Calibri" w:eastAsia="Arial" w:hAnsi="Calibri" w:cs="Calibri"/>
        </w:rPr>
      </w:pPr>
      <w:bookmarkStart w:id="4" w:name="_heading=h.wbpdqzgf22nc" w:colFirst="0" w:colLast="0"/>
      <w:bookmarkEnd w:id="4"/>
      <w:r w:rsidRPr="008A07B6">
        <w:rPr>
          <w:rFonts w:ascii="Calibri" w:eastAsia="Arial" w:hAnsi="Calibri" w:cs="Calibri"/>
        </w:rPr>
        <w:t xml:space="preserve">At longer temporal scales, what determines whether a continuous interaction between an organism and an environment will lead to learning (i.e. perceptual inference at longer timescales), niche construction (i.e. active inference at longer timescales) or anywhere in between these two poles, is often the </w:t>
      </w:r>
      <w:r w:rsidRPr="008A07B6">
        <w:rPr>
          <w:rFonts w:ascii="Calibri" w:eastAsia="Arial" w:hAnsi="Calibri" w:cs="Calibri"/>
          <w:i/>
        </w:rPr>
        <w:t xml:space="preserve">relative malleability </w:t>
      </w:r>
      <w:r w:rsidRPr="008A07B6">
        <w:rPr>
          <w:rFonts w:ascii="Calibri" w:eastAsia="Arial" w:hAnsi="Calibri" w:cs="Calibri"/>
        </w:rPr>
        <w:t>of the model and the relevant aspect of the environment (</w:t>
      </w:r>
      <w:proofErr w:type="spellStart"/>
      <w:r w:rsidRPr="008A07B6">
        <w:rPr>
          <w:rFonts w:ascii="Calibri" w:eastAsia="Arial" w:hAnsi="Calibri" w:cs="Calibri"/>
        </w:rPr>
        <w:t>Bruineberg</w:t>
      </w:r>
      <w:proofErr w:type="spellEnd"/>
      <w:r w:rsidRPr="008A07B6">
        <w:rPr>
          <w:rFonts w:ascii="Calibri" w:eastAsia="Arial" w:hAnsi="Calibri" w:cs="Calibri"/>
        </w:rPr>
        <w:t xml:space="preserve"> et al., 2018, p. 162). Interactions between a malleable prediction and a rigid environment will lead to learning, whereas interactions between a rigid prediction and a malleable environment will lead to niche construction. Let’s illustrate this with the example of the path to the food location. Suppose that the path is hard to travel and does not become easier with time (rigid environment) and that other sources of food are easily accessible such that the prediction associated with this food source is not particularly crucial for the survival of the organism (malleable prediction); in this case, the organism will eventually abandon the prediction of going to that location to find food (learning). Suppose instead that the path easily becomes more and more usable as the organism travels it (malleable environment) and that this particular food location is crucial for the survival of the organism (rigid prediction)</w:t>
      </w:r>
      <w:r w:rsidR="00927D23">
        <w:rPr>
          <w:rFonts w:ascii="Calibri" w:eastAsia="Arial" w:hAnsi="Calibri" w:cs="Calibri"/>
        </w:rPr>
        <w:t>;</w:t>
      </w:r>
      <w:r w:rsidRPr="008A07B6">
        <w:rPr>
          <w:rFonts w:ascii="Calibri" w:eastAsia="Arial" w:hAnsi="Calibri" w:cs="Calibri"/>
        </w:rPr>
        <w:t xml:space="preserve"> the </w:t>
      </w:r>
      <w:r w:rsidRPr="008A07B6">
        <w:rPr>
          <w:rFonts w:ascii="Calibri" w:eastAsia="Arial" w:hAnsi="Calibri" w:cs="Calibri"/>
        </w:rPr>
        <w:lastRenderedPageBreak/>
        <w:t xml:space="preserve">organism will repeatedly use the path, which will in time alter the layout of the environment to facilitate access to the food source (niche construction). </w:t>
      </w:r>
    </w:p>
    <w:p w14:paraId="0000001F" w14:textId="77777777" w:rsidR="0059079A" w:rsidRPr="008A07B6" w:rsidRDefault="00000000">
      <w:pPr>
        <w:jc w:val="both"/>
        <w:rPr>
          <w:rFonts w:ascii="Calibri" w:eastAsia="Arial" w:hAnsi="Calibri" w:cs="Calibri"/>
        </w:rPr>
      </w:pPr>
      <w:bookmarkStart w:id="5" w:name="_heading=h.w37ccjkj6uz1" w:colFirst="0" w:colLast="0"/>
      <w:bookmarkEnd w:id="5"/>
      <w:r w:rsidRPr="008A07B6">
        <w:rPr>
          <w:rFonts w:ascii="Calibri" w:eastAsia="Arial" w:hAnsi="Calibri" w:cs="Calibri"/>
        </w:rPr>
        <w:t>The malleability of a prediction can be understood in terms of its likelihood of being adjusted to accommodate incoming sensory input, which can itself be understood in terms of precision weighting. The malleability of the environment, on the other hand, corresponds to the degree to which the structure of the environment can be altered by the action of the organism. A rigid environment will issue a steady sensory input with low variance (</w:t>
      </w:r>
      <w:proofErr w:type="spellStart"/>
      <w:r w:rsidRPr="008A07B6">
        <w:rPr>
          <w:rFonts w:ascii="Calibri" w:eastAsia="Arial" w:hAnsi="Calibri" w:cs="Calibri"/>
        </w:rPr>
        <w:t>eg.</w:t>
      </w:r>
      <w:proofErr w:type="spellEnd"/>
      <w:r w:rsidRPr="008A07B6">
        <w:rPr>
          <w:rFonts w:ascii="Calibri" w:eastAsia="Arial" w:hAnsi="Calibri" w:cs="Calibri"/>
        </w:rPr>
        <w:t xml:space="preserve"> the path is consistently hard to travel), which increases the precision of the sensory input and drives learning. A malleable environment provides a more variable sensory input that is moreover contingent on the action of the agent (</w:t>
      </w:r>
      <w:proofErr w:type="spellStart"/>
      <w:r w:rsidRPr="008A07B6">
        <w:rPr>
          <w:rFonts w:ascii="Calibri" w:eastAsia="Arial" w:hAnsi="Calibri" w:cs="Calibri"/>
        </w:rPr>
        <w:t>eg.</w:t>
      </w:r>
      <w:proofErr w:type="spellEnd"/>
      <w:r w:rsidRPr="008A07B6">
        <w:rPr>
          <w:rFonts w:ascii="Calibri" w:eastAsia="Arial" w:hAnsi="Calibri" w:cs="Calibri"/>
        </w:rPr>
        <w:t xml:space="preserve"> the path changes, especially in function of the organism’s action), which decreases sensory input precision and allows niche construction when coupled with suitably rigid predictions.  </w:t>
      </w:r>
    </w:p>
    <w:p w14:paraId="00000020" w14:textId="1B7244E8" w:rsidR="0059079A" w:rsidRPr="008A07B6" w:rsidRDefault="00000000">
      <w:pPr>
        <w:jc w:val="both"/>
        <w:rPr>
          <w:rFonts w:ascii="Calibri" w:eastAsia="Arial" w:hAnsi="Calibri" w:cs="Calibri"/>
        </w:rPr>
      </w:pPr>
      <w:bookmarkStart w:id="6" w:name="_heading=h.5207iclbbasi" w:colFirst="0" w:colLast="0"/>
      <w:bookmarkEnd w:id="6"/>
      <w:r w:rsidRPr="008A07B6">
        <w:rPr>
          <w:rFonts w:ascii="Calibri" w:eastAsia="Arial" w:hAnsi="Calibri" w:cs="Calibri"/>
        </w:rPr>
        <w:t xml:space="preserve">In the next section, we apply these basic </w:t>
      </w:r>
      <w:proofErr w:type="spellStart"/>
      <w:r w:rsidRPr="008A07B6">
        <w:rPr>
          <w:rFonts w:ascii="Calibri" w:eastAsia="Arial" w:hAnsi="Calibri" w:cs="Calibri"/>
        </w:rPr>
        <w:t>biocognitive</w:t>
      </w:r>
      <w:proofErr w:type="spellEnd"/>
      <w:r w:rsidRPr="008A07B6">
        <w:rPr>
          <w:rFonts w:ascii="Calibri" w:eastAsia="Arial" w:hAnsi="Calibri" w:cs="Calibri"/>
        </w:rPr>
        <w:t xml:space="preserve"> mechanisms to social organisms such as humans in order to explain the </w:t>
      </w:r>
      <w:r w:rsidR="00C74212">
        <w:rPr>
          <w:rFonts w:ascii="Calibri" w:eastAsia="Arial" w:hAnsi="Calibri" w:cs="Calibri"/>
        </w:rPr>
        <w:t>development and evolution</w:t>
      </w:r>
      <w:r w:rsidRPr="008A07B6">
        <w:rPr>
          <w:rFonts w:ascii="Calibri" w:eastAsia="Arial" w:hAnsi="Calibri" w:cs="Calibri"/>
        </w:rPr>
        <w:t xml:space="preserve"> of normative attitudes in groups of such social organisms. </w:t>
      </w:r>
    </w:p>
    <w:p w14:paraId="00000021" w14:textId="77777777" w:rsidR="0059079A" w:rsidRPr="008A07B6" w:rsidRDefault="0059079A">
      <w:pPr>
        <w:jc w:val="both"/>
        <w:rPr>
          <w:rFonts w:ascii="Calibri" w:eastAsia="Arial" w:hAnsi="Calibri" w:cs="Calibri"/>
        </w:rPr>
      </w:pPr>
      <w:bookmarkStart w:id="7" w:name="_heading=h.t20hbrp6ylsn" w:colFirst="0" w:colLast="0"/>
      <w:bookmarkEnd w:id="7"/>
    </w:p>
    <w:p w14:paraId="00000022" w14:textId="77777777" w:rsidR="0059079A" w:rsidRPr="008A07B6" w:rsidRDefault="0059079A">
      <w:pPr>
        <w:jc w:val="both"/>
        <w:rPr>
          <w:rFonts w:ascii="Calibri" w:eastAsia="Arial" w:hAnsi="Calibri" w:cs="Calibri"/>
        </w:rPr>
      </w:pPr>
      <w:bookmarkStart w:id="8" w:name="_heading=h.kwzikjrfxaly" w:colFirst="0" w:colLast="0"/>
      <w:bookmarkEnd w:id="8"/>
    </w:p>
    <w:p w14:paraId="00000023" w14:textId="77777777" w:rsidR="0059079A" w:rsidRPr="008A07B6" w:rsidRDefault="00000000">
      <w:pPr>
        <w:pStyle w:val="Titre1"/>
        <w:jc w:val="both"/>
        <w:rPr>
          <w:rFonts w:ascii="Calibri" w:eastAsia="Arial" w:hAnsi="Calibri" w:cs="Calibri"/>
        </w:rPr>
      </w:pPr>
      <w:r w:rsidRPr="008A07B6">
        <w:rPr>
          <w:rFonts w:ascii="Calibri" w:eastAsia="Arial" w:hAnsi="Calibri" w:cs="Calibri"/>
        </w:rPr>
        <w:t>2. An active inference theory of normative attitudes</w:t>
      </w:r>
    </w:p>
    <w:p w14:paraId="00000024" w14:textId="77777777" w:rsidR="0059079A" w:rsidRPr="008A07B6" w:rsidRDefault="0059079A">
      <w:pPr>
        <w:jc w:val="both"/>
        <w:rPr>
          <w:rFonts w:ascii="Calibri" w:eastAsia="Arial" w:hAnsi="Calibri" w:cs="Calibri"/>
        </w:rPr>
      </w:pPr>
    </w:p>
    <w:p w14:paraId="00000025" w14:textId="77777777" w:rsidR="0059079A" w:rsidRPr="008A07B6" w:rsidRDefault="00000000">
      <w:pPr>
        <w:pStyle w:val="Titre2"/>
        <w:jc w:val="both"/>
        <w:rPr>
          <w:rFonts w:ascii="Calibri" w:eastAsia="Arial" w:hAnsi="Calibri" w:cs="Calibri"/>
        </w:rPr>
      </w:pPr>
      <w:bookmarkStart w:id="9" w:name="_heading=h.4k6al27urzsq" w:colFirst="0" w:colLast="0"/>
      <w:bookmarkEnd w:id="9"/>
      <w:r w:rsidRPr="008A07B6">
        <w:rPr>
          <w:rFonts w:ascii="Calibri" w:eastAsia="Arial" w:hAnsi="Calibri" w:cs="Calibri"/>
        </w:rPr>
        <w:t>2.1 The explanandum: normative attitudes</w:t>
      </w:r>
    </w:p>
    <w:p w14:paraId="00000026" w14:textId="77777777" w:rsidR="0059079A" w:rsidRPr="008A07B6" w:rsidRDefault="0059079A">
      <w:pPr>
        <w:rPr>
          <w:rFonts w:ascii="Calibri" w:hAnsi="Calibri" w:cs="Calibri"/>
        </w:rPr>
      </w:pPr>
    </w:p>
    <w:p w14:paraId="00000027" w14:textId="77777777" w:rsidR="0059079A" w:rsidRPr="008A07B6" w:rsidRDefault="00000000">
      <w:pPr>
        <w:jc w:val="both"/>
        <w:rPr>
          <w:rFonts w:ascii="Calibri" w:eastAsia="Arial" w:hAnsi="Calibri" w:cs="Calibri"/>
        </w:rPr>
      </w:pPr>
      <w:r w:rsidRPr="008A07B6">
        <w:rPr>
          <w:rFonts w:ascii="Calibri" w:eastAsia="Arial" w:hAnsi="Calibri" w:cs="Calibri"/>
        </w:rPr>
        <w:t xml:space="preserve">In order to provide a theory of normative attitudes, we first have to clarify what it is that we want to explain. As Westra and Andrews (2022) have claimed, extant theories of normative cognition often target an explanandum in a way that already presupposes a particular cognitive architecture and sometimes circumscribes overlapping but distinct sets of social normative phenomena, which hinders rigorous discussion and comparison between these conflicting accounts (see also Legros and </w:t>
      </w:r>
      <w:proofErr w:type="spellStart"/>
      <w:r w:rsidRPr="008A07B6">
        <w:rPr>
          <w:rFonts w:ascii="Calibri" w:eastAsia="Arial" w:hAnsi="Calibri" w:cs="Calibri"/>
        </w:rPr>
        <w:t>Cislaghi</w:t>
      </w:r>
      <w:proofErr w:type="spellEnd"/>
      <w:r w:rsidRPr="008A07B6">
        <w:rPr>
          <w:rFonts w:ascii="Calibri" w:eastAsia="Arial" w:hAnsi="Calibri" w:cs="Calibri"/>
        </w:rPr>
        <w:t xml:space="preserve">, 2020). For example, Bicchieri’s (2006, 2016) well-known account of social norms takes conditional conformity, that is, the tendency to conform to a norm only if others also conform to it, to be a constitutive feature of social norms that any theory of normative cognition should explain, whereas Theriault et al. (2021) seek to explain a general tendency to conform to the expectations of others, irrespective of their own behavior.  </w:t>
      </w:r>
    </w:p>
    <w:p w14:paraId="00000028" w14:textId="77777777" w:rsidR="0059079A" w:rsidRPr="008A07B6" w:rsidRDefault="00000000">
      <w:pPr>
        <w:jc w:val="both"/>
        <w:rPr>
          <w:rFonts w:ascii="Calibri" w:eastAsia="Arial" w:hAnsi="Calibri" w:cs="Calibri"/>
        </w:rPr>
      </w:pPr>
      <w:r w:rsidRPr="008A07B6">
        <w:rPr>
          <w:rFonts w:ascii="Calibri" w:eastAsia="Arial" w:hAnsi="Calibri" w:cs="Calibri"/>
        </w:rPr>
        <w:lastRenderedPageBreak/>
        <w:t xml:space="preserve">To help resolve this problem, Westra and Andrews have proposed a more neutral and behaviorally centered explanatory target for theories of normative cognition which we will also adopt in this paper : </w:t>
      </w:r>
      <w:r w:rsidRPr="008A07B6">
        <w:rPr>
          <w:rFonts w:ascii="Calibri" w:eastAsia="Arial" w:hAnsi="Calibri" w:cs="Calibri"/>
          <w:i/>
        </w:rPr>
        <w:t>normative regularities</w:t>
      </w:r>
      <w:r w:rsidRPr="008A07B6">
        <w:rPr>
          <w:rFonts w:ascii="Calibri" w:eastAsia="Arial" w:hAnsi="Calibri" w:cs="Calibri"/>
        </w:rPr>
        <w:t xml:space="preserve">. Normative regularities are </w:t>
      </w:r>
      <w:r w:rsidRPr="008A07B6">
        <w:rPr>
          <w:rFonts w:ascii="Calibri" w:eastAsia="Arial" w:hAnsi="Calibri" w:cs="Calibri"/>
          <w:color w:val="000000"/>
        </w:rPr>
        <w:t>“socially maintained patterns of behavioral conformity within a community” (Westra and Andrews, 2022; Westra et al., 2024). Let</w:t>
      </w:r>
      <w:r w:rsidRPr="008A07B6">
        <w:rPr>
          <w:rFonts w:ascii="Calibri" w:eastAsia="Arial" w:hAnsi="Calibri" w:cs="Calibri"/>
        </w:rPr>
        <w:t>’s briefly unpack this.</w:t>
      </w:r>
      <w:r w:rsidRPr="008A07B6">
        <w:rPr>
          <w:rFonts w:ascii="Calibri" w:eastAsia="Arial" w:hAnsi="Calibri" w:cs="Calibri"/>
          <w:color w:val="000000"/>
        </w:rPr>
        <w:t xml:space="preserve"> A pattern of behavioral conformity is simply a behavioral regularity observed in a particular social group. </w:t>
      </w:r>
      <w:r w:rsidRPr="008A07B6">
        <w:rPr>
          <w:rFonts w:ascii="Calibri" w:eastAsia="Arial" w:hAnsi="Calibri" w:cs="Calibri"/>
        </w:rPr>
        <w:t>Identifying a normative regularity in a given group first and foremost requires that the members of this group behave in a statistically regular manner in a particular kind of context</w:t>
      </w:r>
      <w:r w:rsidRPr="008A07B6">
        <w:rPr>
          <w:rFonts w:ascii="Calibri" w:eastAsia="Arial" w:hAnsi="Calibri" w:cs="Calibri"/>
          <w:vertAlign w:val="superscript"/>
        </w:rPr>
        <w:footnoteReference w:id="4"/>
      </w:r>
      <w:r w:rsidRPr="008A07B6">
        <w:rPr>
          <w:rFonts w:ascii="Calibri" w:eastAsia="Arial" w:hAnsi="Calibri" w:cs="Calibri"/>
        </w:rPr>
        <w:t xml:space="preserve">. For example, to come back to our earlier example, members of a social group could regularly take a particular path to reach a particular food source, which would make it a pattern of behavioral conformity. </w:t>
      </w:r>
    </w:p>
    <w:p w14:paraId="00000029" w14:textId="77777777" w:rsidR="0059079A" w:rsidRPr="008A07B6" w:rsidRDefault="00000000">
      <w:pPr>
        <w:jc w:val="both"/>
        <w:rPr>
          <w:rFonts w:ascii="Calibri" w:eastAsia="Arial" w:hAnsi="Calibri" w:cs="Calibri"/>
        </w:rPr>
      </w:pPr>
      <w:r w:rsidRPr="008A07B6">
        <w:rPr>
          <w:rFonts w:ascii="Calibri" w:eastAsia="Arial" w:hAnsi="Calibri" w:cs="Calibri"/>
        </w:rPr>
        <w:t xml:space="preserve">But, as is well known, a behavioral regularity does not necessarily constitute a normative regularity. The fact that members of a group </w:t>
      </w:r>
      <w:r w:rsidRPr="008A07B6">
        <w:rPr>
          <w:rFonts w:ascii="Calibri" w:eastAsia="Arial" w:hAnsi="Calibri" w:cs="Calibri"/>
          <w:i/>
        </w:rPr>
        <w:t>tend</w:t>
      </w:r>
      <w:r w:rsidRPr="008A07B6">
        <w:rPr>
          <w:rFonts w:ascii="Calibri" w:eastAsia="Arial" w:hAnsi="Calibri" w:cs="Calibri"/>
        </w:rPr>
        <w:t xml:space="preserve"> to behave in a certain way does not entail that they </w:t>
      </w:r>
      <w:r w:rsidRPr="008A07B6">
        <w:rPr>
          <w:rFonts w:ascii="Calibri" w:eastAsia="Arial" w:hAnsi="Calibri" w:cs="Calibri"/>
          <w:i/>
        </w:rPr>
        <w:t>should</w:t>
      </w:r>
      <w:r w:rsidRPr="008A07B6">
        <w:rPr>
          <w:rFonts w:ascii="Calibri" w:eastAsia="Arial" w:hAnsi="Calibri" w:cs="Calibri"/>
        </w:rPr>
        <w:t xml:space="preserve"> in any sense behave that way. The members of the social group in our recurring example could regularly use the same path to reach the food source simply because this is the easier path, without any fact about social normativity entering into the picture. Indeed, behavioral regularities are ubiquitous in nonhuman animal species (</w:t>
      </w:r>
      <w:proofErr w:type="spellStart"/>
      <w:r w:rsidRPr="008A07B6">
        <w:rPr>
          <w:rFonts w:ascii="Calibri" w:eastAsia="Arial" w:hAnsi="Calibri" w:cs="Calibri"/>
        </w:rPr>
        <w:t>eg.</w:t>
      </w:r>
      <w:proofErr w:type="spellEnd"/>
      <w:r w:rsidRPr="008A07B6">
        <w:rPr>
          <w:rFonts w:ascii="Calibri" w:eastAsia="Arial" w:hAnsi="Calibri" w:cs="Calibri"/>
        </w:rPr>
        <w:t xml:space="preserve"> a group of wildebeest drinking at the same watering hole, deer mating at a particular time of the year, worms coming out when it's raining, etc.), but generally do not involve social normativity at all. </w:t>
      </w:r>
    </w:p>
    <w:p w14:paraId="0000002A" w14:textId="77777777" w:rsidR="0059079A" w:rsidRPr="008A07B6" w:rsidRDefault="00000000">
      <w:pPr>
        <w:jc w:val="both"/>
        <w:rPr>
          <w:rFonts w:ascii="Calibri" w:eastAsia="Arial" w:hAnsi="Calibri" w:cs="Calibri"/>
        </w:rPr>
      </w:pPr>
      <w:r w:rsidRPr="008A07B6">
        <w:rPr>
          <w:rFonts w:ascii="Calibri" w:eastAsia="Arial" w:hAnsi="Calibri" w:cs="Calibri"/>
        </w:rPr>
        <w:t xml:space="preserve">In Westra and Andrews’ view, what distinguishes simply statistically normal behavior from proper normative behavior is the fact that normative behavior is subject to </w:t>
      </w:r>
      <w:r w:rsidRPr="008A07B6">
        <w:rPr>
          <w:rFonts w:ascii="Calibri" w:eastAsia="Arial" w:hAnsi="Calibri" w:cs="Calibri"/>
          <w:i/>
        </w:rPr>
        <w:t>social maintenance</w:t>
      </w:r>
      <w:r w:rsidRPr="008A07B6">
        <w:rPr>
          <w:rFonts w:ascii="Calibri" w:eastAsia="Arial" w:hAnsi="Calibri" w:cs="Calibri"/>
        </w:rPr>
        <w:t xml:space="preserve">. In order to count as a normative regularity, a behavioral regularity instantiated in a group must be at least partly explained by behavior and attitudes of members of the group that incentivize conforming behavior and disincentivize non conforming behavior. Now various social mechanisms of different levels of cognitive complexity can accomplish such a task, but a crucial mechanism for more sophisticated forms of social maintenance is the performance of </w:t>
      </w:r>
      <w:r w:rsidRPr="008A07B6">
        <w:rPr>
          <w:rFonts w:ascii="Calibri" w:eastAsia="Arial" w:hAnsi="Calibri" w:cs="Calibri"/>
          <w:i/>
        </w:rPr>
        <w:t>social sanctions</w:t>
      </w:r>
      <w:r w:rsidRPr="008A07B6">
        <w:rPr>
          <w:rFonts w:ascii="Calibri" w:eastAsia="Arial" w:hAnsi="Calibri" w:cs="Calibri"/>
        </w:rPr>
        <w:t xml:space="preserve">, which directly rewards behavior following the norm and directly punishes behavior infringing upon it. For example, members of a group regularly following a particular path to reach a particular food source would count as a normative regularity if members of the group </w:t>
      </w:r>
      <w:r w:rsidRPr="008A07B6">
        <w:rPr>
          <w:rFonts w:ascii="Calibri" w:eastAsia="Arial" w:hAnsi="Calibri" w:cs="Calibri"/>
        </w:rPr>
        <w:lastRenderedPageBreak/>
        <w:t>rewarded members successfully following the path and/or punished members failing to follow the path</w:t>
      </w:r>
      <w:r w:rsidRPr="008A07B6">
        <w:rPr>
          <w:rFonts w:ascii="Calibri" w:eastAsia="Arial" w:hAnsi="Calibri" w:cs="Calibri"/>
          <w:vertAlign w:val="superscript"/>
        </w:rPr>
        <w:footnoteReference w:id="5"/>
      </w:r>
      <w:r w:rsidRPr="008A07B6">
        <w:rPr>
          <w:rFonts w:ascii="Calibri" w:eastAsia="Arial" w:hAnsi="Calibri" w:cs="Calibri"/>
        </w:rPr>
        <w:t xml:space="preserve">.   </w:t>
      </w:r>
    </w:p>
    <w:p w14:paraId="0000002B" w14:textId="77777777" w:rsidR="0059079A" w:rsidRPr="008A07B6" w:rsidRDefault="00000000">
      <w:pPr>
        <w:jc w:val="both"/>
        <w:rPr>
          <w:rFonts w:ascii="Calibri" w:eastAsia="Arial" w:hAnsi="Calibri" w:cs="Calibri"/>
        </w:rPr>
      </w:pPr>
      <w:r w:rsidRPr="008A07B6">
        <w:rPr>
          <w:rFonts w:ascii="Calibri" w:eastAsia="Arial" w:hAnsi="Calibri" w:cs="Calibri"/>
        </w:rPr>
        <w:t xml:space="preserve">It is important to note that social sanctions can take many forms, and vary widely on multiple dimensions such as their severity and the complexity of the cognitive processes or social practices on which they rely. In social groups such as human communities, where one’s prestige and status as potential collaboration partner (Sperber and </w:t>
      </w:r>
      <w:proofErr w:type="spellStart"/>
      <w:r w:rsidRPr="008A07B6">
        <w:rPr>
          <w:rFonts w:ascii="Calibri" w:eastAsia="Arial" w:hAnsi="Calibri" w:cs="Calibri"/>
        </w:rPr>
        <w:t>Baumard</w:t>
      </w:r>
      <w:proofErr w:type="spellEnd"/>
      <w:r w:rsidRPr="008A07B6">
        <w:rPr>
          <w:rFonts w:ascii="Calibri" w:eastAsia="Arial" w:hAnsi="Calibri" w:cs="Calibri"/>
        </w:rPr>
        <w:t xml:space="preserve">, 2012; Wu et al., 2016), as well as one’s maintaining positive and rewarding social relationship with other group members (Godman et al., 2014; Over, 2016) are essential to one’s survival and well-being, sanctions affecting one’s social status and social relations can be just as devastating as straightforwardly physical sanctions. Moreover, once normative practices are implemented in these social groups, </w:t>
      </w:r>
      <w:r w:rsidRPr="008A07B6">
        <w:rPr>
          <w:rFonts w:ascii="Calibri" w:eastAsia="Arial" w:hAnsi="Calibri" w:cs="Calibri"/>
          <w:i/>
        </w:rPr>
        <w:t xml:space="preserve">internal </w:t>
      </w:r>
      <w:r w:rsidRPr="008A07B6">
        <w:rPr>
          <w:rFonts w:ascii="Calibri" w:eastAsia="Arial" w:hAnsi="Calibri" w:cs="Calibri"/>
        </w:rPr>
        <w:t xml:space="preserve">sanctions (Brandom, 1994, p. 44) affecting one’s normative status, that is, what one is obligated or permitted to do, become available, enriching even more the palette of social sanctions at hand. As such, social sanctions can range from taking someone’s life for an unpardonable offense to a slight but public frown expressing distaste toward another’s behavior, from unconsciously avoiding interaction with an unpleasant individual to consciously and elaborately scolding someone for holding unacceptable political views, from hitting somebody in the head with a club to a police officer giving someone a ticket. In short, any behavior that increases or decreases the probability that a behavior will be reproduced could be counted as a </w:t>
      </w:r>
      <w:r w:rsidRPr="008A07B6">
        <w:rPr>
          <w:rFonts w:ascii="Calibri" w:eastAsia="Arial" w:hAnsi="Calibri" w:cs="Calibri"/>
        </w:rPr>
        <w:lastRenderedPageBreak/>
        <w:t xml:space="preserve">punishment or as a reward, insofar as it contributes to the active social maintenance of the normative regularity prescribing or proscribing this behavior.  </w:t>
      </w:r>
    </w:p>
    <w:p w14:paraId="0000002C" w14:textId="77777777" w:rsidR="0059079A" w:rsidRPr="008A07B6" w:rsidRDefault="00000000">
      <w:pPr>
        <w:jc w:val="both"/>
        <w:rPr>
          <w:rFonts w:ascii="Calibri" w:eastAsia="Arial" w:hAnsi="Calibri" w:cs="Calibri"/>
        </w:rPr>
      </w:pPr>
      <w:r w:rsidRPr="008A07B6">
        <w:rPr>
          <w:rFonts w:ascii="Calibri" w:eastAsia="Arial" w:hAnsi="Calibri" w:cs="Calibri"/>
        </w:rPr>
        <w:t>However, not every behavior that increases or decreases the probability that another behavior is reproduced counts as a social sanction enforcing a norm. I could hit somebody in the head with a club simply because I find that person’s behavior annoying, in so doing decreasing the probability of that person doing it again, without thereby enforcing a social norm</w:t>
      </w:r>
      <w:r w:rsidRPr="008A07B6">
        <w:rPr>
          <w:rFonts w:ascii="Calibri" w:eastAsia="Arial" w:hAnsi="Calibri" w:cs="Calibri"/>
          <w:vertAlign w:val="superscript"/>
        </w:rPr>
        <w:footnoteReference w:id="6"/>
      </w:r>
      <w:r w:rsidRPr="008A07B6">
        <w:rPr>
          <w:rFonts w:ascii="Calibri" w:eastAsia="Arial" w:hAnsi="Calibri" w:cs="Calibri"/>
        </w:rPr>
        <w:t>. Wrestling with the difficulty of distinguishing simple retaliatory behavior from proper norm enforcement, researchers studying the development of normative cognition have identified what can be considered a signature of norm enforcement : third-party enforcement (Fehr and Fischbacher, 2004; Rakoczy and Schmidt, 2013; Schmidt and Rakoczy, 2018). Third-party enforcement is the production of a positive or negative social sanction when the behavior sanctioned has no effect on the interests of the sanctioning individual (we will come back to this below). For example, an individual watching two people playing a game and protesting against one of them cheating would count as third-party enforcement, insofar as she is not herself playing and therefore has nothing to gain or lose from the sanctioned individual following correctly the rules or not</w:t>
      </w:r>
      <w:r w:rsidRPr="008A07B6">
        <w:rPr>
          <w:rFonts w:ascii="Calibri" w:eastAsia="Arial" w:hAnsi="Calibri" w:cs="Calibri"/>
          <w:vertAlign w:val="superscript"/>
        </w:rPr>
        <w:footnoteReference w:id="7"/>
      </w:r>
      <w:r w:rsidRPr="008A07B6">
        <w:rPr>
          <w:rFonts w:ascii="Calibri" w:eastAsia="Arial" w:hAnsi="Calibri" w:cs="Calibri"/>
        </w:rPr>
        <w:t xml:space="preserve">. This is tied to the idea that norm enforcement should involve some kind of </w:t>
      </w:r>
      <w:r w:rsidRPr="008A07B6">
        <w:rPr>
          <w:rFonts w:ascii="Calibri" w:eastAsia="Arial" w:hAnsi="Calibri" w:cs="Calibri"/>
          <w:i/>
        </w:rPr>
        <w:t xml:space="preserve">intrinsic motivation </w:t>
      </w:r>
      <w:r w:rsidRPr="008A07B6">
        <w:rPr>
          <w:rFonts w:ascii="Calibri" w:eastAsia="Arial" w:hAnsi="Calibri" w:cs="Calibri"/>
        </w:rPr>
        <w:t xml:space="preserve">(Sripada and Stich, 2006; Kelly and Davis, 2018; Kelly, 2020) to see the norm respected, over and above any instrumental reason for following or enforcing the norm.     </w:t>
      </w:r>
    </w:p>
    <w:p w14:paraId="0000002D" w14:textId="294F1DEB" w:rsidR="0059079A" w:rsidRPr="008A07B6" w:rsidRDefault="00000000">
      <w:pPr>
        <w:jc w:val="both"/>
        <w:rPr>
          <w:rFonts w:ascii="Calibri" w:eastAsia="Arial" w:hAnsi="Calibri" w:cs="Calibri"/>
        </w:rPr>
      </w:pPr>
      <w:r w:rsidRPr="008A07B6">
        <w:rPr>
          <w:rFonts w:ascii="Calibri" w:eastAsia="Arial" w:hAnsi="Calibri" w:cs="Calibri"/>
        </w:rPr>
        <w:t xml:space="preserve">Taking social sanctions to be an essential part of social normativity is reminiscent of an approach in the philosophy of normativity which takes normative </w:t>
      </w:r>
      <w:r w:rsidRPr="008A07B6">
        <w:rPr>
          <w:rFonts w:ascii="Calibri" w:eastAsia="Arial" w:hAnsi="Calibri" w:cs="Calibri"/>
          <w:i/>
        </w:rPr>
        <w:t>statuses</w:t>
      </w:r>
      <w:r w:rsidRPr="008A07B6">
        <w:rPr>
          <w:rFonts w:ascii="Calibri" w:eastAsia="Arial" w:hAnsi="Calibri" w:cs="Calibri"/>
        </w:rPr>
        <w:t xml:space="preserve"> to depend on normative </w:t>
      </w:r>
      <w:r w:rsidRPr="008A07B6">
        <w:rPr>
          <w:rFonts w:ascii="Calibri" w:eastAsia="Arial" w:hAnsi="Calibri" w:cs="Calibri"/>
          <w:i/>
        </w:rPr>
        <w:t>attitudes</w:t>
      </w:r>
      <w:r w:rsidRPr="008A07B6">
        <w:rPr>
          <w:rFonts w:ascii="Calibri" w:eastAsia="Arial" w:hAnsi="Calibri" w:cs="Calibri"/>
        </w:rPr>
        <w:t xml:space="preserve"> (Brandom, 1994; Peregrin, 2023). In other words, the fact that a person </w:t>
      </w:r>
      <w:r w:rsidRPr="008A07B6">
        <w:rPr>
          <w:rFonts w:ascii="Calibri" w:eastAsia="Arial" w:hAnsi="Calibri" w:cs="Calibri"/>
          <w:i/>
        </w:rPr>
        <w:t>should</w:t>
      </w:r>
      <w:r w:rsidRPr="008A07B6">
        <w:rPr>
          <w:rFonts w:ascii="Calibri" w:eastAsia="Arial" w:hAnsi="Calibri" w:cs="Calibri"/>
        </w:rPr>
        <w:t xml:space="preserve"> or </w:t>
      </w:r>
      <w:r w:rsidRPr="008A07B6">
        <w:rPr>
          <w:rFonts w:ascii="Calibri" w:eastAsia="Arial" w:hAnsi="Calibri" w:cs="Calibri"/>
          <w:i/>
        </w:rPr>
        <w:t>may</w:t>
      </w:r>
      <w:r w:rsidRPr="008A07B6">
        <w:rPr>
          <w:rFonts w:ascii="Calibri" w:eastAsia="Arial" w:hAnsi="Calibri" w:cs="Calibri"/>
        </w:rPr>
        <w:t xml:space="preserve"> do </w:t>
      </w:r>
      <w:r w:rsidRPr="008A07B6">
        <w:rPr>
          <w:rFonts w:ascii="Calibri" w:eastAsia="Arial" w:hAnsi="Calibri" w:cs="Calibri"/>
          <w:i/>
        </w:rPr>
        <w:t xml:space="preserve">x </w:t>
      </w:r>
      <w:r w:rsidRPr="008A07B6">
        <w:rPr>
          <w:rFonts w:ascii="Calibri" w:eastAsia="Arial" w:hAnsi="Calibri" w:cs="Calibri"/>
        </w:rPr>
        <w:t xml:space="preserve">depends on someone </w:t>
      </w:r>
      <w:r w:rsidRPr="008A07B6">
        <w:rPr>
          <w:rFonts w:ascii="Calibri" w:eastAsia="Arial" w:hAnsi="Calibri" w:cs="Calibri"/>
          <w:i/>
        </w:rPr>
        <w:t>considering</w:t>
      </w:r>
      <w:r w:rsidRPr="008A07B6">
        <w:rPr>
          <w:rFonts w:ascii="Calibri" w:eastAsia="Arial" w:hAnsi="Calibri" w:cs="Calibri"/>
        </w:rPr>
        <w:t xml:space="preserve"> that this person should or may do </w:t>
      </w:r>
      <w:r w:rsidRPr="008A07B6">
        <w:rPr>
          <w:rFonts w:ascii="Calibri" w:eastAsia="Arial" w:hAnsi="Calibri" w:cs="Calibri"/>
          <w:i/>
        </w:rPr>
        <w:t>x</w:t>
      </w:r>
      <w:r w:rsidRPr="008A07B6">
        <w:rPr>
          <w:rFonts w:ascii="Calibri" w:eastAsia="Arial" w:hAnsi="Calibri" w:cs="Calibri"/>
        </w:rPr>
        <w:t xml:space="preserve">. As for social sanctions, these normative attitudes are not necessarily conscious or explicitly articulated, and very often materialize in the form of embodied, affective and implicit reactions (Rietveld, 2008; Fernandez-Castro and Heras-Escribano, 2020). In any </w:t>
      </w:r>
      <w:r w:rsidRPr="008A07B6">
        <w:rPr>
          <w:rFonts w:ascii="Calibri" w:eastAsia="Arial" w:hAnsi="Calibri" w:cs="Calibri"/>
        </w:rPr>
        <w:lastRenderedPageBreak/>
        <w:t xml:space="preserve">case, they manifest themselves in a tendency to sanction behavior according to a norm. Explaining social norms in terms of normative attitudes constitutes a promising avenue toward the </w:t>
      </w:r>
      <w:r w:rsidRPr="008A07B6">
        <w:rPr>
          <w:rFonts w:ascii="Calibri" w:eastAsia="Arial" w:hAnsi="Calibri" w:cs="Calibri"/>
          <w:i/>
        </w:rPr>
        <w:t xml:space="preserve">naturalization </w:t>
      </w:r>
      <w:r w:rsidRPr="008A07B6">
        <w:rPr>
          <w:rFonts w:ascii="Calibri" w:eastAsia="Arial" w:hAnsi="Calibri" w:cs="Calibri"/>
        </w:rPr>
        <w:t>of normativity; that is, the explanation of normative properties in terms of natural (</w:t>
      </w:r>
      <w:proofErr w:type="spellStart"/>
      <w:r w:rsidRPr="008A07B6">
        <w:rPr>
          <w:rFonts w:ascii="Calibri" w:eastAsia="Arial" w:hAnsi="Calibri" w:cs="Calibri"/>
        </w:rPr>
        <w:t>eg.</w:t>
      </w:r>
      <w:proofErr w:type="spellEnd"/>
      <w:r w:rsidRPr="008A07B6">
        <w:rPr>
          <w:rFonts w:ascii="Calibri" w:eastAsia="Arial" w:hAnsi="Calibri" w:cs="Calibri"/>
        </w:rPr>
        <w:t xml:space="preserve"> physical, biological, functional, etc.) properties, because normative attitudes can themselves be understood in terms of natural properties; that is, dispositions to distribute social sanctions. </w:t>
      </w:r>
    </w:p>
    <w:p w14:paraId="0000002E" w14:textId="2D7505CF" w:rsidR="0059079A" w:rsidRPr="008A07B6" w:rsidRDefault="00000000">
      <w:pPr>
        <w:jc w:val="both"/>
        <w:rPr>
          <w:rFonts w:ascii="Calibri" w:eastAsia="Arial" w:hAnsi="Calibri" w:cs="Calibri"/>
        </w:rPr>
      </w:pPr>
      <w:r w:rsidRPr="008A07B6">
        <w:rPr>
          <w:rFonts w:ascii="Calibri" w:eastAsia="Arial" w:hAnsi="Calibri" w:cs="Calibri"/>
        </w:rPr>
        <w:t>Accordingly, in the account developed in this paper, one of the main mechanisms of social maintenance available to enforce a normative regularity in a social group involves the members of this group entertaining the requisite normative attitudes</w:t>
      </w:r>
      <w:r w:rsidR="002525CD">
        <w:rPr>
          <w:rFonts w:ascii="Calibri" w:eastAsia="Arial" w:hAnsi="Calibri" w:cs="Calibri"/>
        </w:rPr>
        <w:t xml:space="preserve">. </w:t>
      </w:r>
      <w:r w:rsidRPr="008A07B6">
        <w:rPr>
          <w:rFonts w:ascii="Calibri" w:eastAsia="Arial" w:hAnsi="Calibri" w:cs="Calibri"/>
        </w:rPr>
        <w:t>This means that a rel</w:t>
      </w:r>
      <w:r w:rsidR="00584166">
        <w:rPr>
          <w:rFonts w:ascii="Calibri" w:eastAsia="Arial" w:hAnsi="Calibri" w:cs="Calibri"/>
        </w:rPr>
        <w:t>ative</w:t>
      </w:r>
      <w:r w:rsidRPr="008A07B6">
        <w:rPr>
          <w:rFonts w:ascii="Calibri" w:eastAsia="Arial" w:hAnsi="Calibri" w:cs="Calibri"/>
        </w:rPr>
        <w:t>ly large</w:t>
      </w:r>
      <w:r w:rsidRPr="008A07B6">
        <w:rPr>
          <w:rFonts w:ascii="Calibri" w:eastAsia="Arial" w:hAnsi="Calibri" w:cs="Calibri"/>
          <w:vertAlign w:val="superscript"/>
        </w:rPr>
        <w:footnoteReference w:id="8"/>
      </w:r>
      <w:r w:rsidRPr="008A07B6">
        <w:rPr>
          <w:rFonts w:ascii="Calibri" w:eastAsia="Arial" w:hAnsi="Calibri" w:cs="Calibri"/>
        </w:rPr>
        <w:t xml:space="preserve"> portion of the group consider (explicitly or implicitly) that members of the group should follow this regularity, and are in consequence disposed to distribute the relevant social sanctions, rewarding behavior following the norm and punishing behavior infringing upon it. Thus, understanding how normative regularities arise depends in large part on understanding how normative attitudes arise, a task to which we turn in the next section.</w:t>
      </w:r>
    </w:p>
    <w:p w14:paraId="0000002F" w14:textId="77777777" w:rsidR="0059079A" w:rsidRPr="008A07B6" w:rsidRDefault="0059079A">
      <w:pPr>
        <w:jc w:val="both"/>
        <w:rPr>
          <w:rFonts w:ascii="Calibri" w:eastAsia="Arial" w:hAnsi="Calibri" w:cs="Calibri"/>
        </w:rPr>
      </w:pPr>
    </w:p>
    <w:p w14:paraId="00000030" w14:textId="77777777" w:rsidR="0059079A" w:rsidRPr="008A07B6" w:rsidRDefault="00000000">
      <w:pPr>
        <w:pStyle w:val="Titre2"/>
        <w:jc w:val="both"/>
        <w:rPr>
          <w:rFonts w:ascii="Calibri" w:eastAsia="Arial" w:hAnsi="Calibri" w:cs="Calibri"/>
        </w:rPr>
      </w:pPr>
      <w:bookmarkStart w:id="10" w:name="_heading=h.pnugtrqkjnp3" w:colFirst="0" w:colLast="0"/>
      <w:bookmarkEnd w:id="10"/>
      <w:r w:rsidRPr="008A07B6">
        <w:rPr>
          <w:rFonts w:ascii="Calibri" w:eastAsia="Arial" w:hAnsi="Calibri" w:cs="Calibri"/>
        </w:rPr>
        <w:t xml:space="preserve">2.2 The explanans: social predictions and social niche construction </w:t>
      </w:r>
    </w:p>
    <w:p w14:paraId="00000031" w14:textId="77777777" w:rsidR="0059079A" w:rsidRPr="008A07B6" w:rsidRDefault="0059079A">
      <w:pPr>
        <w:jc w:val="both"/>
        <w:rPr>
          <w:rFonts w:ascii="Calibri" w:eastAsia="Arial" w:hAnsi="Calibri" w:cs="Calibri"/>
        </w:rPr>
      </w:pPr>
    </w:p>
    <w:p w14:paraId="00000032" w14:textId="77777777" w:rsidR="0059079A" w:rsidRPr="008A07B6" w:rsidRDefault="00000000">
      <w:pPr>
        <w:jc w:val="both"/>
        <w:rPr>
          <w:rFonts w:ascii="Calibri" w:eastAsia="Arial" w:hAnsi="Calibri" w:cs="Calibri"/>
        </w:rPr>
      </w:pPr>
      <w:r w:rsidRPr="008A07B6">
        <w:rPr>
          <w:rFonts w:ascii="Calibri" w:eastAsia="Arial" w:hAnsi="Calibri" w:cs="Calibri"/>
        </w:rPr>
        <w:t>In recent years, the active inference framework, initially applied to neural (Friston and Stephan, 2007; Friston, 2009 and 2010) and biological systems (Friston, 2012 and 2013) has been applied to various social phenomena, including social cognition (</w:t>
      </w:r>
      <w:proofErr w:type="spellStart"/>
      <w:r w:rsidRPr="008A07B6">
        <w:rPr>
          <w:rFonts w:ascii="Calibri" w:eastAsia="Arial" w:hAnsi="Calibri" w:cs="Calibri"/>
        </w:rPr>
        <w:t>Veissière</w:t>
      </w:r>
      <w:proofErr w:type="spellEnd"/>
      <w:r w:rsidRPr="008A07B6">
        <w:rPr>
          <w:rFonts w:ascii="Calibri" w:eastAsia="Arial" w:hAnsi="Calibri" w:cs="Calibri"/>
        </w:rPr>
        <w:t xml:space="preserve"> et al., 2020), communication (Vasil et al., 2020; Tison and Poirier, 2021), narratives and scripts (Albarracin et al., 2021; Bouizaregene et al., 2024), collective action (Heins et al., 2024) and collective intelligence (Kaufman et al., 2021). There have also been promising attempts to account for social conformity and social normativity in terms of the active inference framework and in the broadly </w:t>
      </w:r>
      <w:proofErr w:type="spellStart"/>
      <w:r w:rsidRPr="008A07B6">
        <w:rPr>
          <w:rFonts w:ascii="Calibri" w:eastAsia="Arial" w:hAnsi="Calibri" w:cs="Calibri"/>
        </w:rPr>
        <w:t>predictivist</w:t>
      </w:r>
      <w:proofErr w:type="spellEnd"/>
      <w:r w:rsidRPr="008A07B6">
        <w:rPr>
          <w:rFonts w:ascii="Calibri" w:eastAsia="Arial" w:hAnsi="Calibri" w:cs="Calibri"/>
        </w:rPr>
        <w:t xml:space="preserve"> literature (Constant et al., 2019; Theriault et al., 2021), on which we will build in this section to formulate our theory of normative attitudes. </w:t>
      </w:r>
    </w:p>
    <w:p w14:paraId="00000033" w14:textId="47F9C821" w:rsidR="0059079A" w:rsidRPr="008A07B6" w:rsidRDefault="00000000">
      <w:pPr>
        <w:jc w:val="both"/>
        <w:rPr>
          <w:rFonts w:ascii="Calibri" w:eastAsia="Arial" w:hAnsi="Calibri" w:cs="Calibri"/>
        </w:rPr>
      </w:pPr>
      <w:r w:rsidRPr="008A07B6">
        <w:rPr>
          <w:rFonts w:ascii="Calibri" w:eastAsia="Arial" w:hAnsi="Calibri" w:cs="Calibri"/>
        </w:rPr>
        <w:t xml:space="preserve">The active inference theory of niche construction alluded to in section 1 can explain how the interaction of an organism or a set of organisms with an environment can alter the </w:t>
      </w:r>
      <w:r w:rsidRPr="008A07B6">
        <w:rPr>
          <w:rFonts w:ascii="Calibri" w:eastAsia="Arial" w:hAnsi="Calibri" w:cs="Calibri"/>
        </w:rPr>
        <w:lastRenderedPageBreak/>
        <w:t xml:space="preserve">structure of this environment to favor the performance of prediction error minimizing behavior. While this account can explain to some degree the emergence and consolidation of robust </w:t>
      </w:r>
      <w:r w:rsidRPr="008A07B6">
        <w:rPr>
          <w:rFonts w:ascii="Calibri" w:eastAsia="Arial" w:hAnsi="Calibri" w:cs="Calibri"/>
          <w:i/>
        </w:rPr>
        <w:t>behavioral</w:t>
      </w:r>
      <w:r w:rsidRPr="008A07B6">
        <w:rPr>
          <w:rFonts w:ascii="Calibri" w:eastAsia="Arial" w:hAnsi="Calibri" w:cs="Calibri"/>
        </w:rPr>
        <w:t xml:space="preserve"> regularities in a social group, it still does not explain the emergence of </w:t>
      </w:r>
      <w:r w:rsidRPr="008A07B6">
        <w:rPr>
          <w:rFonts w:ascii="Calibri" w:eastAsia="Arial" w:hAnsi="Calibri" w:cs="Calibri"/>
          <w:i/>
        </w:rPr>
        <w:t>normative</w:t>
      </w:r>
      <w:r w:rsidRPr="008A07B6">
        <w:rPr>
          <w:rFonts w:ascii="Calibri" w:eastAsia="Arial" w:hAnsi="Calibri" w:cs="Calibri"/>
        </w:rPr>
        <w:t xml:space="preserve"> regularities. In particular, it does not explain normative attitudes actively enforcing these regularities on the members of the group. In this sense, following the path to the food source is a behavioral regularity, but not yet a normative regularity subject to normative attitudes and maintained through regimes of social sanctions: no members of the group would punish other members for not following it. We want to suggest here that the active inference framework has all the tools to take this step. In order to explain normative attitudes as a social maintenance mechanism, we must realize that agents not only minimize prediction error with respect to their physical environment, but also with respect to their social environment. Accordingly, just as an agent will act on their physical environment in order to produce predictable sensory input, they will act on their </w:t>
      </w:r>
      <w:r w:rsidRPr="008A07B6">
        <w:rPr>
          <w:rFonts w:ascii="Calibri" w:eastAsia="Arial" w:hAnsi="Calibri" w:cs="Calibri"/>
          <w:i/>
        </w:rPr>
        <w:t xml:space="preserve">social </w:t>
      </w:r>
      <w:r w:rsidRPr="008A07B6">
        <w:rPr>
          <w:rFonts w:ascii="Calibri" w:eastAsia="Arial" w:hAnsi="Calibri" w:cs="Calibri"/>
        </w:rPr>
        <w:t>environment, that is, the behavior of the members of their group, to produce predictable</w:t>
      </w:r>
      <w:r w:rsidRPr="008A07B6">
        <w:rPr>
          <w:rFonts w:ascii="Calibri" w:eastAsia="Arial" w:hAnsi="Calibri" w:cs="Calibri"/>
          <w:i/>
        </w:rPr>
        <w:t xml:space="preserve"> social </w:t>
      </w:r>
      <w:r w:rsidRPr="008A07B6">
        <w:rPr>
          <w:rFonts w:ascii="Calibri" w:eastAsia="Arial" w:hAnsi="Calibri" w:cs="Calibri"/>
        </w:rPr>
        <w:t>sensory input.</w:t>
      </w:r>
    </w:p>
    <w:p w14:paraId="00000034" w14:textId="77777777" w:rsidR="0059079A" w:rsidRPr="008A07B6" w:rsidRDefault="00000000">
      <w:pPr>
        <w:jc w:val="both"/>
        <w:rPr>
          <w:rFonts w:ascii="Calibri" w:eastAsia="Arial" w:hAnsi="Calibri" w:cs="Calibri"/>
        </w:rPr>
      </w:pPr>
      <w:r w:rsidRPr="008A07B6">
        <w:rPr>
          <w:rFonts w:ascii="Calibri" w:eastAsia="Arial" w:hAnsi="Calibri" w:cs="Calibri"/>
        </w:rPr>
        <w:t xml:space="preserve">Let’s suppose that some relatively robust behavioral regularity is instantiated in a social group, perhaps along the lines suggested by Constant et al.’s account. The members of the group will come to learn this behavioral regularity, which will come to be predicted by their generative model. Put simply, they will expect people to behave as they usually do. But, in the active inference framework, these expectations are never purely descriptive : any prediction error can be reduced either by learning or by action. In this social context, performing active inference essentially consists in acting so as to suppress or diminish behaviors from others that generate prediction error and, at longer timescales, shaping these behaviors so that they correspond to the regularities predicted by the generative model. This constitutes a form of </w:t>
      </w:r>
      <w:r w:rsidRPr="008A07B6">
        <w:rPr>
          <w:rFonts w:ascii="Calibri" w:eastAsia="Arial" w:hAnsi="Calibri" w:cs="Calibri"/>
          <w:i/>
        </w:rPr>
        <w:t>social niche construction</w:t>
      </w:r>
      <w:r w:rsidRPr="008A07B6">
        <w:rPr>
          <w:rFonts w:ascii="Calibri" w:eastAsia="Arial" w:hAnsi="Calibri" w:cs="Calibri"/>
        </w:rPr>
        <w:t xml:space="preserve">. If a member of the group produces a behavior straying from the robust regularity predicted by the member’s generative model, they will reduce the ensuing prediction error by influencing the behavior of the contravening individual to make it more predictable. In other words, they will </w:t>
      </w:r>
      <w:r w:rsidRPr="008A07B6">
        <w:rPr>
          <w:rFonts w:ascii="Calibri" w:eastAsia="Arial" w:hAnsi="Calibri" w:cs="Calibri"/>
          <w:i/>
        </w:rPr>
        <w:t xml:space="preserve">socially sanction </w:t>
      </w:r>
      <w:r w:rsidRPr="008A07B6">
        <w:rPr>
          <w:rFonts w:ascii="Calibri" w:eastAsia="Arial" w:hAnsi="Calibri" w:cs="Calibri"/>
        </w:rPr>
        <w:t xml:space="preserve">the individual to conform its behavior to the predicted regularity. </w:t>
      </w:r>
    </w:p>
    <w:p w14:paraId="00000035" w14:textId="77777777" w:rsidR="0059079A" w:rsidRPr="008A07B6" w:rsidRDefault="00000000">
      <w:pPr>
        <w:jc w:val="both"/>
        <w:rPr>
          <w:rFonts w:ascii="Calibri" w:eastAsia="Arial" w:hAnsi="Calibri" w:cs="Calibri"/>
        </w:rPr>
      </w:pPr>
      <w:r w:rsidRPr="008A07B6">
        <w:rPr>
          <w:rFonts w:ascii="Calibri" w:eastAsia="Arial" w:hAnsi="Calibri" w:cs="Calibri"/>
        </w:rPr>
        <w:t xml:space="preserve">However, such active inference via social sanctioning seems to come in both normative and non-normative varieties. For example, consider a bully at school who predicts that other children will give them their lunch money, and makes this social regularity true through active measures, like physically harming those who refuse. We would not call this a normative regularity, nor would we call the bully’s prediction a normative attitude. Traditionally, one way of distinguishing between such social preferences and true normative attitudes is in terms of the distinction between second party and third party </w:t>
      </w:r>
      <w:r w:rsidRPr="008A07B6">
        <w:rPr>
          <w:rFonts w:ascii="Calibri" w:eastAsia="Arial" w:hAnsi="Calibri" w:cs="Calibri"/>
        </w:rPr>
        <w:lastRenderedPageBreak/>
        <w:t>punishment introduced above (section 2.1). The idea is that, in second party punishment, modifying social patterns through manipulation of incentives serves the biological or pragmatic goals of the punisher. But, in third party punishment, the punisher’s goal is unrelated to personal interests: there is an intrinsic preference for a certain social pattern. Consider, for example, criticizing a cheater in a game in which one is not a participant. Unfortunately, this distinction is difficult to make in the active inference framework. The reason is that maintaining a social niche that conforms to one’s predictions is always in one’s biological and pragmatic interests. This includes cases like policing cheaters in games in which one is not participating. So, what has been called “third party punishment” is hard to distinguish from second party punishment in the active inference framework.</w:t>
      </w:r>
    </w:p>
    <w:p w14:paraId="00000036" w14:textId="77777777" w:rsidR="0059079A" w:rsidRPr="008A07B6" w:rsidRDefault="00000000">
      <w:pPr>
        <w:jc w:val="both"/>
        <w:rPr>
          <w:rFonts w:ascii="Calibri" w:eastAsia="Arial" w:hAnsi="Calibri" w:cs="Calibri"/>
        </w:rPr>
      </w:pPr>
      <w:r w:rsidRPr="008A07B6">
        <w:rPr>
          <w:rFonts w:ascii="Calibri" w:eastAsia="Arial" w:hAnsi="Calibri" w:cs="Calibri"/>
        </w:rPr>
        <w:t xml:space="preserve">There are nevertheless resources available in the active inference framework for reconstructing </w:t>
      </w:r>
      <w:r w:rsidRPr="008A07B6">
        <w:rPr>
          <w:rFonts w:ascii="Calibri" w:eastAsia="Arial" w:hAnsi="Calibri" w:cs="Calibri"/>
          <w:i/>
        </w:rPr>
        <w:t xml:space="preserve">something like </w:t>
      </w:r>
      <w:r w:rsidRPr="008A07B6">
        <w:rPr>
          <w:rFonts w:ascii="Calibri" w:eastAsia="Arial" w:hAnsi="Calibri" w:cs="Calibri"/>
        </w:rPr>
        <w:t>the distinction between second- and third-party punishment. In particular, the efficacy of third-party punishment appears significantly more dependent on how widespread the relevant social expectations are in a group. The bully might be the only person who expects other children to give him their lunch money, but this expectation is efficacious in fulfilling itself simply in virtue of the bully’s physical power. But in cases typically taken to illustrate third-party punishment, the efficacy of the relevant social expectations depends essentially on how widespread they are in the group. Criticisms of cheaters in games in which one is not participating are efficacious only to the extent that there is a widespread expectation that people play by the rules. Even in cases where an extremely high status individual, like a monarch, can single-handedly induce fulfillment of a new, whimsical, normative expectation, this efficacy depends on the authority the monarch derives from normative attitudes that are widespread in the community they govern.</w:t>
      </w:r>
    </w:p>
    <w:p w14:paraId="00000037" w14:textId="16F5AC3E" w:rsidR="0059079A" w:rsidRPr="00C74212" w:rsidRDefault="00000000">
      <w:pPr>
        <w:jc w:val="both"/>
        <w:rPr>
          <w:rFonts w:ascii="Calibri" w:eastAsia="Arial" w:hAnsi="Calibri" w:cs="Calibri"/>
          <w:color w:val="0070C0"/>
        </w:rPr>
      </w:pPr>
      <w:r w:rsidRPr="008A07B6">
        <w:rPr>
          <w:rFonts w:ascii="Calibri" w:eastAsia="Arial" w:hAnsi="Calibri" w:cs="Calibri"/>
        </w:rPr>
        <w:t xml:space="preserve">Thus, from the active inference perspective, the distinction between mere social preferences and true normative attitudes does not consist in some cognitive difference internal to individuals: both are preferences for social regularities. Instead, the difference depends on social facts, i.e., the degree to which the efficacy of the preferences depends on how widely shared they are in the relevant group. If enough children in the schoolyard come to expect that the bully gets the other children’s lunch money and in turn enforce this expectation on each other, we will be justified in </w:t>
      </w:r>
      <w:r w:rsidR="00F448D2">
        <w:rPr>
          <w:rFonts w:ascii="Calibri" w:eastAsia="Arial" w:hAnsi="Calibri" w:cs="Calibri"/>
        </w:rPr>
        <w:t>concluding</w:t>
      </w:r>
      <w:r w:rsidR="00F448D2" w:rsidRPr="008A07B6">
        <w:rPr>
          <w:rFonts w:ascii="Calibri" w:eastAsia="Arial" w:hAnsi="Calibri" w:cs="Calibri"/>
        </w:rPr>
        <w:t xml:space="preserve"> </w:t>
      </w:r>
      <w:r w:rsidRPr="008A07B6">
        <w:rPr>
          <w:rFonts w:ascii="Calibri" w:eastAsia="Arial" w:hAnsi="Calibri" w:cs="Calibri"/>
        </w:rPr>
        <w:t xml:space="preserve">that this social expectation, initially idiosyncratic to the bully, has become a normative attitude. As a consequence, in the active inference framework, the difference between mere social preferences and normative attitudes is one of degree, not kind. However, this is a feature, not a bug. This view can explain how preferences for social regularities seemingly unrelated to an agent's personal interests can emerge, thereby doing justice to the </w:t>
      </w:r>
      <w:r w:rsidRPr="008A07B6">
        <w:rPr>
          <w:rFonts w:ascii="Calibri" w:eastAsia="Arial" w:hAnsi="Calibri" w:cs="Calibri"/>
        </w:rPr>
        <w:lastRenderedPageBreak/>
        <w:t>behavioral phenomena which originally motivated the notion of third party punishment, while eschewing appeals for dedicated cognitive mechanisms</w:t>
      </w:r>
      <w:r w:rsidRPr="00AD2004">
        <w:rPr>
          <w:rFonts w:ascii="Calibri" w:eastAsia="Arial" w:hAnsi="Calibri" w:cs="Calibri"/>
        </w:rPr>
        <w:t xml:space="preserve">. </w:t>
      </w:r>
      <w:r w:rsidR="00C74212" w:rsidRPr="00AD2004">
        <w:rPr>
          <w:rFonts w:ascii="Calibri" w:eastAsia="Arial" w:hAnsi="Calibri" w:cs="Calibri"/>
        </w:rPr>
        <w:t xml:space="preserve">This original </w:t>
      </w:r>
      <w:r w:rsidR="00F448D2" w:rsidRPr="00AD2004">
        <w:rPr>
          <w:rFonts w:ascii="Calibri" w:eastAsia="Arial" w:hAnsi="Calibri" w:cs="Calibri"/>
        </w:rPr>
        <w:t xml:space="preserve">feature </w:t>
      </w:r>
      <w:r w:rsidR="00C74212" w:rsidRPr="00AD2004">
        <w:rPr>
          <w:rFonts w:ascii="Calibri" w:eastAsia="Arial" w:hAnsi="Calibri" w:cs="Calibri"/>
        </w:rPr>
        <w:t xml:space="preserve">of our view is a distinctive advantage over standard theories of normative cognition, which often either fail to explain third party enforcement, or need to invoke explanatorily costly theoretical resources to do so. </w:t>
      </w:r>
      <w:r w:rsidR="00C74212" w:rsidRPr="00C74212">
        <w:rPr>
          <w:rFonts w:ascii="Calibri" w:eastAsia="Arial" w:hAnsi="Calibri" w:cs="Calibri"/>
          <w:color w:val="0070C0"/>
        </w:rPr>
        <w:t xml:space="preserve">  </w:t>
      </w:r>
    </w:p>
    <w:p w14:paraId="00000038" w14:textId="77777777" w:rsidR="0059079A" w:rsidRPr="008A07B6" w:rsidRDefault="00000000">
      <w:pPr>
        <w:jc w:val="both"/>
        <w:rPr>
          <w:rFonts w:ascii="Calibri" w:eastAsia="Arial" w:hAnsi="Calibri" w:cs="Calibri"/>
        </w:rPr>
      </w:pPr>
      <w:r w:rsidRPr="008A07B6">
        <w:rPr>
          <w:rFonts w:ascii="Calibri" w:eastAsia="Arial" w:hAnsi="Calibri" w:cs="Calibri"/>
        </w:rPr>
        <w:t>With this in mind, we will now use our recurring example to illustrate this theory of normative attitudes. The members of the group regularly taking the path to the food source will eventually lead to them internalizing the prediction that members of their group normally take this path to the food source. If the regularity is robust enough, the prediction will become sufficiently rigid, so that prediction error (</w:t>
      </w:r>
      <w:proofErr w:type="spellStart"/>
      <w:r w:rsidRPr="008A07B6">
        <w:rPr>
          <w:rFonts w:ascii="Calibri" w:eastAsia="Arial" w:hAnsi="Calibri" w:cs="Calibri"/>
        </w:rPr>
        <w:t>eg.</w:t>
      </w:r>
      <w:proofErr w:type="spellEnd"/>
      <w:r w:rsidRPr="008A07B6">
        <w:rPr>
          <w:rFonts w:ascii="Calibri" w:eastAsia="Arial" w:hAnsi="Calibri" w:cs="Calibri"/>
        </w:rPr>
        <w:t xml:space="preserve"> generated by someone taking a different path) could be minimized not by learning (i.e. forming the prediction that members of the group sometimes take another path) but rather by action (i.e. influencing the behavior of the individual so that she stops straying from the path)</w:t>
      </w:r>
      <w:r w:rsidRPr="008A07B6">
        <w:rPr>
          <w:rFonts w:ascii="Calibri" w:eastAsia="Arial" w:hAnsi="Calibri" w:cs="Calibri"/>
          <w:vertAlign w:val="superscript"/>
        </w:rPr>
        <w:footnoteReference w:id="9"/>
      </w:r>
      <w:r w:rsidRPr="008A07B6">
        <w:rPr>
          <w:rFonts w:ascii="Calibri" w:eastAsia="Arial" w:hAnsi="Calibri" w:cs="Calibri"/>
        </w:rPr>
        <w:t xml:space="preserve">. Some members of the group will then adopt what can be considered a social preference for following the path, and begin to sanction behavior accordingly. When enough members of the group have joined them in forming this rigid social prediction and in turn enforcing it on other members, such that the efficient maintenance of this regularity relies on its widespread prediction and enforcement in the group, it will turn into a proper normative attitude.  </w:t>
      </w:r>
    </w:p>
    <w:p w14:paraId="00000039" w14:textId="0A758ECA" w:rsidR="0059079A" w:rsidRPr="008A07B6" w:rsidRDefault="00000000">
      <w:pPr>
        <w:jc w:val="both"/>
        <w:rPr>
          <w:rFonts w:ascii="Calibri" w:eastAsia="Arial" w:hAnsi="Calibri" w:cs="Calibri"/>
        </w:rPr>
      </w:pPr>
      <w:r w:rsidRPr="008A07B6">
        <w:rPr>
          <w:rFonts w:ascii="Calibri" w:eastAsia="Arial" w:hAnsi="Calibri" w:cs="Calibri"/>
        </w:rPr>
        <w:t>We have explained in section 1 that what determines whether an interaction between an organism and its environment leads to learning (perceptual inference) or niche construction (active inference) is often the relative malleability of the prediction and the aspect of the environment on which it bears. We should therefore expect normative social niche construction to happen in groups of organisms whose behavior is relatively malleable and sensitive to the behavior of other members of the group. On this count, human social groups are outliers. According to influential accounts, the evolutionary history of the human species is characterized by the selection of various prosocial behaviors, which mainly had the function of stabilizing cooperation in small foraging groups (</w:t>
      </w:r>
      <w:proofErr w:type="spellStart"/>
      <w:r w:rsidRPr="008A07B6">
        <w:rPr>
          <w:rFonts w:ascii="Calibri" w:eastAsia="Arial" w:hAnsi="Calibri" w:cs="Calibri"/>
        </w:rPr>
        <w:t>Sterelny</w:t>
      </w:r>
      <w:proofErr w:type="spellEnd"/>
      <w:r w:rsidRPr="008A07B6">
        <w:rPr>
          <w:rFonts w:ascii="Calibri" w:eastAsia="Arial" w:hAnsi="Calibri" w:cs="Calibri"/>
        </w:rPr>
        <w:t>, 2007, 2012, 2021; see also</w:t>
      </w:r>
      <w:r w:rsidR="004A777F">
        <w:rPr>
          <w:rFonts w:ascii="Calibri" w:eastAsia="Arial" w:hAnsi="Calibri" w:cs="Calibri"/>
        </w:rPr>
        <w:t xml:space="preserve"> </w:t>
      </w:r>
      <w:proofErr w:type="spellStart"/>
      <w:r w:rsidR="004A777F">
        <w:rPr>
          <w:rFonts w:ascii="Calibri" w:eastAsia="Arial" w:hAnsi="Calibri" w:cs="Calibri"/>
        </w:rPr>
        <w:t>Zawidzki</w:t>
      </w:r>
      <w:proofErr w:type="spellEnd"/>
      <w:r w:rsidR="004A777F">
        <w:rPr>
          <w:rFonts w:ascii="Calibri" w:eastAsia="Arial" w:hAnsi="Calibri" w:cs="Calibri"/>
        </w:rPr>
        <w:t>, 2013</w:t>
      </w:r>
      <w:r w:rsidRPr="008A07B6">
        <w:rPr>
          <w:rFonts w:ascii="Calibri" w:eastAsia="Arial" w:hAnsi="Calibri" w:cs="Calibri"/>
        </w:rPr>
        <w:t xml:space="preserve"> and Sanchez-Villagra and van Schaik, 2019). These prosocial behaviors and attitudes include a heightened sensitivity to the behaviors, attitudes and reactions of others, thereby making social learning possible </w:t>
      </w:r>
      <w:r w:rsidRPr="008A07B6">
        <w:rPr>
          <w:rFonts w:ascii="Calibri" w:eastAsia="Arial" w:hAnsi="Calibri" w:cs="Calibri"/>
        </w:rPr>
        <w:lastRenderedPageBreak/>
        <w:t>and increasing the malleability of group members’ behavior. In particular, these selective pressures would give rise to what Theriault et al. (2021) have called a “sense of should”, which is an intrinsic motivation to conform to others’ expectations. This account of normative motivation, also based on the extension of predictive mechanisms of biological regulation to social contexts, is remarkably similar to the one proposed here, so a more detailed presentation and comparison is in order.</w:t>
      </w:r>
    </w:p>
    <w:p w14:paraId="0000003A" w14:textId="77777777" w:rsidR="0059079A" w:rsidRPr="008A07B6" w:rsidRDefault="00000000">
      <w:pPr>
        <w:jc w:val="both"/>
        <w:rPr>
          <w:rFonts w:ascii="Calibri" w:eastAsia="Arial" w:hAnsi="Calibri" w:cs="Calibri"/>
        </w:rPr>
      </w:pPr>
      <w:r w:rsidRPr="008A07B6">
        <w:rPr>
          <w:rFonts w:ascii="Calibri" w:eastAsia="Arial" w:hAnsi="Calibri" w:cs="Calibri"/>
        </w:rPr>
        <w:t xml:space="preserve">The “sense of should” arises from the fact that, in social contexts, an agent producing unexpected behavior generates prediction error in others, which leads to them changing their generative model (i.e. learning) and therefore producing new unexpected behavior, in turn generating prediction error in the first agent. This means that, to minimize prediction error in one’s social group, one must strive to produce behavior that follows the expectations of the members of the group. This mechanism of social prediction error minimization greatly increases the malleability of human social environments, and therefore complements the mechanism of active enforcement of social regularities described above.  </w:t>
      </w:r>
    </w:p>
    <w:p w14:paraId="0000003B" w14:textId="77777777" w:rsidR="0059079A" w:rsidRPr="008A07B6" w:rsidRDefault="00000000">
      <w:pPr>
        <w:jc w:val="both"/>
        <w:rPr>
          <w:rFonts w:ascii="Calibri" w:eastAsia="Arial" w:hAnsi="Calibri" w:cs="Calibri"/>
        </w:rPr>
      </w:pPr>
      <w:r w:rsidRPr="008A07B6">
        <w:rPr>
          <w:rFonts w:ascii="Calibri" w:eastAsia="Arial" w:hAnsi="Calibri" w:cs="Calibri"/>
        </w:rPr>
        <w:t xml:space="preserve">There are two main differences between our account and Theriault et al.’s. First, Theriault et al.’s account doesn’t emphasize the active maintenance of social norms via social sanctions by the members of the community, noting instead that normatively regulated behavior can arise simply from a motivation of conforming to others’ expectations, irrespective of whether these expectations are actively enforced or not (see Theriault, 2021, p. 119). This first difference seems to make our accounts complementary rather than incompatible. As we see it, Theriault et al. (2021) focus on self-directed normative attitudes, whereas we focus on other-directed normative attitudes. While Theriault et al.’s account focuses on the motivation of a subject to abide by social expectations, our account focuses on the enforcement of social norms on others, and, in so doing, greatly increases the potency of the sense of should described by Theriault et al. Indeed, conforming to others’ expectations becomes an even more indispensable strategy for minimizing social prediction error when others not only learn and change their own behavior, but also respond with social sanctions when faced with counter-normative behavior.  </w:t>
      </w:r>
    </w:p>
    <w:p w14:paraId="0000003C" w14:textId="77777777" w:rsidR="0059079A" w:rsidRPr="008A07B6" w:rsidRDefault="00000000">
      <w:pPr>
        <w:jc w:val="both"/>
        <w:rPr>
          <w:rFonts w:ascii="Calibri" w:eastAsia="Arial" w:hAnsi="Calibri" w:cs="Calibri"/>
        </w:rPr>
      </w:pPr>
      <w:r w:rsidRPr="008A07B6">
        <w:rPr>
          <w:rFonts w:ascii="Calibri" w:eastAsia="Arial" w:hAnsi="Calibri" w:cs="Calibri"/>
        </w:rPr>
        <w:t xml:space="preserve">Second, Theriault et al. (2021, p. 114-117) argue that conforming to others’ expectations most of the time involves mentalizing, that is, the inference of the expectations of others. We don’t make that assumption here. Indeed, there is no need to appeal to mentalizing to explain conformity to social expectations, which heavily increases the cognitive load involved in normative cognition. Instead, one can infer the other’s expectation not by directly inferring their mental states, but rather by performing what Theriault et al. call </w:t>
      </w:r>
      <w:r w:rsidRPr="008A07B6">
        <w:rPr>
          <w:rFonts w:ascii="Calibri" w:eastAsia="Arial" w:hAnsi="Calibri" w:cs="Calibri"/>
        </w:rPr>
        <w:lastRenderedPageBreak/>
        <w:t>“situational inference” (2021, p. 116), which essentially consists in observing what people usually do in a particular context and simply doing the same (</w:t>
      </w:r>
      <w:proofErr w:type="spellStart"/>
      <w:r w:rsidRPr="008A07B6">
        <w:rPr>
          <w:rFonts w:ascii="Calibri" w:eastAsia="Arial" w:hAnsi="Calibri" w:cs="Calibri"/>
        </w:rPr>
        <w:t>eg.</w:t>
      </w:r>
      <w:proofErr w:type="spellEnd"/>
      <w:r w:rsidRPr="008A07B6">
        <w:rPr>
          <w:rFonts w:ascii="Calibri" w:eastAsia="Arial" w:hAnsi="Calibri" w:cs="Calibri"/>
        </w:rPr>
        <w:t xml:space="preserve"> learning what is expected of a customer in a restaurant by observing what the other customers are doing). Presuming that the behaviors that are usually performed in a particular context will come to be learned and expected in that context, this simple “social learning heuristic” (Westra and Andrews, 2022, p. 13) allows one to in fact conform to others’ expectations without having to explicitly represent and reason about these expectations as such</w:t>
      </w:r>
      <w:r w:rsidRPr="008A07B6">
        <w:rPr>
          <w:rFonts w:ascii="Calibri" w:eastAsia="Arial" w:hAnsi="Calibri" w:cs="Calibri"/>
          <w:vertAlign w:val="superscript"/>
        </w:rPr>
        <w:footnoteReference w:id="10"/>
      </w:r>
      <w:r w:rsidRPr="008A07B6">
        <w:rPr>
          <w:rFonts w:ascii="Calibri" w:eastAsia="Arial" w:hAnsi="Calibri" w:cs="Calibri"/>
        </w:rPr>
        <w:t xml:space="preserve">. We do not deny that mentalizing is sometimes involved in normative cognition and useful in some cases to infer the expectations of others when no situational cue or knowledge is available, but it remains much more cognitively parsimonious and realistic from a developmental standpoint to explain the bulk, or at least the ontogeny and phylogeny, of conformity to social expectations by situational inference rather than by mental inference. </w:t>
      </w:r>
    </w:p>
    <w:p w14:paraId="0000003D" w14:textId="77777777" w:rsidR="0059079A" w:rsidRPr="008A07B6" w:rsidRDefault="00000000">
      <w:pPr>
        <w:jc w:val="both"/>
        <w:rPr>
          <w:rFonts w:ascii="Calibri" w:eastAsia="Arial" w:hAnsi="Calibri" w:cs="Calibri"/>
        </w:rPr>
      </w:pPr>
      <w:r w:rsidRPr="008A07B6">
        <w:rPr>
          <w:rFonts w:ascii="Calibri" w:eastAsia="Arial" w:hAnsi="Calibri" w:cs="Calibri"/>
        </w:rPr>
        <w:t>The theory sketched above can also be applied to explain relevant empirical phenomena associated with the development of normative attitudes. Notably, the idea that relative malleability determines the learning/niche construction ratio (</w:t>
      </w:r>
      <w:proofErr w:type="spellStart"/>
      <w:r w:rsidRPr="008A07B6">
        <w:rPr>
          <w:rFonts w:ascii="Calibri" w:eastAsia="Arial" w:hAnsi="Calibri" w:cs="Calibri"/>
        </w:rPr>
        <w:t>i</w:t>
      </w:r>
      <w:proofErr w:type="spellEnd"/>
      <w:r w:rsidRPr="008A07B6">
        <w:rPr>
          <w:rFonts w:ascii="Calibri" w:eastAsia="Arial" w:hAnsi="Calibri" w:cs="Calibri"/>
        </w:rPr>
        <w:t>. e. a malleable prediction and a rigid environment will lead to learning, whereas a rigid prediction and a malleable environment will lead to niche construction) allows us to make sense of the acquisition of social norms in developmental normative cognition. Young children, whose social predictions are still heavily in flux, will typically encounter a social environment with somewhat rigid behavioral regularities (</w:t>
      </w:r>
      <w:proofErr w:type="spellStart"/>
      <w:r w:rsidRPr="008A07B6">
        <w:rPr>
          <w:rFonts w:ascii="Calibri" w:eastAsia="Arial" w:hAnsi="Calibri" w:cs="Calibri"/>
        </w:rPr>
        <w:t>eg.</w:t>
      </w:r>
      <w:proofErr w:type="spellEnd"/>
      <w:r w:rsidRPr="008A07B6">
        <w:rPr>
          <w:rFonts w:ascii="Calibri" w:eastAsia="Arial" w:hAnsi="Calibri" w:cs="Calibri"/>
        </w:rPr>
        <w:t xml:space="preserve"> their parents tend to do things in a particular and regular way). This interaction between malleable social predictions and a comparatively rigid social environment will lead to an “asymmetric enculturation” (Renzi et al., 2017), where the child’s generative model is importantly shaped to fit the regularities of its social environment</w:t>
      </w:r>
      <w:r w:rsidRPr="008A07B6">
        <w:rPr>
          <w:rFonts w:ascii="Calibri" w:eastAsia="Arial" w:hAnsi="Calibri" w:cs="Calibri"/>
          <w:vertAlign w:val="superscript"/>
        </w:rPr>
        <w:footnoteReference w:id="11"/>
      </w:r>
      <w:r w:rsidRPr="008A07B6">
        <w:rPr>
          <w:rFonts w:ascii="Calibri" w:eastAsia="Arial" w:hAnsi="Calibri" w:cs="Calibri"/>
        </w:rPr>
        <w:t xml:space="preserve">. For example, around one year of age, children start manifesting expectations concerning the correct use of words (Henderson &amp; </w:t>
      </w:r>
      <w:r w:rsidRPr="008A07B6">
        <w:rPr>
          <w:rFonts w:ascii="Calibri" w:eastAsia="Arial" w:hAnsi="Calibri" w:cs="Calibri"/>
        </w:rPr>
        <w:lastRenderedPageBreak/>
        <w:t xml:space="preserve">Woodward 2012; Henderson &amp; Scott 2015) and objects (Elsner et </w:t>
      </w:r>
      <w:proofErr w:type="spellStart"/>
      <w:r w:rsidRPr="008A07B6">
        <w:rPr>
          <w:rFonts w:ascii="Calibri" w:eastAsia="Arial" w:hAnsi="Calibri" w:cs="Calibri"/>
        </w:rPr>
        <w:t>Pauen</w:t>
      </w:r>
      <w:proofErr w:type="spellEnd"/>
      <w:r w:rsidRPr="008A07B6">
        <w:rPr>
          <w:rFonts w:ascii="Calibri" w:eastAsia="Arial" w:hAnsi="Calibri" w:cs="Calibri"/>
        </w:rPr>
        <w:t xml:space="preserve">, 2007), having learned the relevant behavioral regularities. At this point, these expectations, while widely shared in the group, would not yet be considered </w:t>
      </w:r>
      <w:r w:rsidRPr="008A07B6">
        <w:rPr>
          <w:rFonts w:ascii="Calibri" w:eastAsia="Arial" w:hAnsi="Calibri" w:cs="Calibri"/>
          <w:i/>
        </w:rPr>
        <w:t>normative</w:t>
      </w:r>
      <w:r w:rsidRPr="008A07B6">
        <w:rPr>
          <w:rFonts w:ascii="Calibri" w:eastAsia="Arial" w:hAnsi="Calibri" w:cs="Calibri"/>
        </w:rPr>
        <w:t xml:space="preserve"> because they do not generate social sanctions when subverted. However, even at this age, infants already have a </w:t>
      </w:r>
      <w:r w:rsidRPr="008A07B6">
        <w:rPr>
          <w:rFonts w:ascii="Calibri" w:eastAsia="Arial" w:hAnsi="Calibri" w:cs="Calibri"/>
          <w:i/>
        </w:rPr>
        <w:t>preference</w:t>
      </w:r>
      <w:r w:rsidRPr="008A07B6">
        <w:rPr>
          <w:rFonts w:ascii="Calibri" w:eastAsia="Arial" w:hAnsi="Calibri" w:cs="Calibri"/>
        </w:rPr>
        <w:t xml:space="preserve"> for the correct use of words and objects. These preferences will morph into proper normative attitudes when young children acquire and refine their capacity to control their social environment so as to actively enforce these preferences, which often comes with a basic mastery of language and communication more broadly, and with it an understanding of the effects that such abilities can produce on the behavior of others. Accordingly, around two or three years old, children start sanctioning (usually via protest) the incorrect use of words (Paulus and Worle, 2019) and objects (Casler et al., 2009), allowing them to actively generate social sensory input confirming these social expectations.</w:t>
      </w:r>
    </w:p>
    <w:p w14:paraId="0000003E" w14:textId="77777777" w:rsidR="0059079A" w:rsidRPr="008A07B6" w:rsidRDefault="00000000">
      <w:pPr>
        <w:jc w:val="both"/>
        <w:rPr>
          <w:rFonts w:ascii="Calibri" w:eastAsia="Arial" w:hAnsi="Calibri" w:cs="Calibri"/>
        </w:rPr>
      </w:pPr>
      <w:r w:rsidRPr="008A07B6">
        <w:rPr>
          <w:rFonts w:ascii="Calibri" w:eastAsia="Arial" w:hAnsi="Calibri" w:cs="Calibri"/>
        </w:rPr>
        <w:t xml:space="preserve">In sum, the active inference framework, through its imperative of prediction error minimization, entails a preference for social regularity, which induces practices of social sanctions to sculpt and consolidate these regularities in the social niche. Members of a social group will learn the behavioral regularities instantiated in their group, and in turn act in their group so as to minimize prediction error relative to this prior learning, which in many cases entails distributing social sanctions to shape a more predictable social niche. Just as the active inference framework frames action as being driven by self-fulfilling motor expectations, normative attitudes are understood here as </w:t>
      </w:r>
      <w:r w:rsidRPr="008A07B6">
        <w:rPr>
          <w:rFonts w:ascii="Calibri" w:eastAsia="Arial" w:hAnsi="Calibri" w:cs="Calibri"/>
          <w:i/>
        </w:rPr>
        <w:t>self-fulfilling social expectations</w:t>
      </w:r>
      <w:r w:rsidRPr="008A07B6">
        <w:rPr>
          <w:rFonts w:ascii="Calibri" w:eastAsia="Arial" w:hAnsi="Calibri" w:cs="Calibri"/>
          <w:vertAlign w:val="superscript"/>
        </w:rPr>
        <w:footnoteReference w:id="12"/>
      </w:r>
      <w:r w:rsidRPr="008A07B6">
        <w:rPr>
          <w:rFonts w:ascii="Calibri" w:eastAsia="Arial" w:hAnsi="Calibri" w:cs="Calibri"/>
        </w:rPr>
        <w:t xml:space="preserve">. Such an active construction of the social niche is to be expected in social groups such as human communities, especially given their high malleability, that is, the sensitivity of their members to social attitudes and sanctions, the “sense of should” described by Theriault et al. (2021) being a case in point. </w:t>
      </w:r>
    </w:p>
    <w:p w14:paraId="0000003F" w14:textId="77777777" w:rsidR="0059079A" w:rsidRPr="008A07B6" w:rsidRDefault="0059079A">
      <w:pPr>
        <w:jc w:val="both"/>
        <w:rPr>
          <w:rFonts w:ascii="Calibri" w:eastAsia="Arial" w:hAnsi="Calibri" w:cs="Calibri"/>
        </w:rPr>
      </w:pPr>
    </w:p>
    <w:p w14:paraId="00000040" w14:textId="77777777" w:rsidR="0059079A" w:rsidRPr="008A07B6" w:rsidRDefault="00000000">
      <w:pPr>
        <w:pStyle w:val="Titre2"/>
        <w:jc w:val="both"/>
        <w:rPr>
          <w:rFonts w:ascii="Calibri" w:eastAsia="Arial" w:hAnsi="Calibri" w:cs="Calibri"/>
        </w:rPr>
      </w:pPr>
      <w:bookmarkStart w:id="11" w:name="_heading=h.knfb3puz04yf" w:colFirst="0" w:colLast="0"/>
      <w:bookmarkEnd w:id="11"/>
      <w:r w:rsidRPr="008A07B6">
        <w:rPr>
          <w:rFonts w:ascii="Calibri" w:eastAsia="Arial" w:hAnsi="Calibri" w:cs="Calibri"/>
        </w:rPr>
        <w:t>2.3 Evidence for the active inference theory of normative attitudes</w:t>
      </w:r>
    </w:p>
    <w:p w14:paraId="00000041" w14:textId="77777777" w:rsidR="0059079A" w:rsidRPr="008A07B6" w:rsidRDefault="0059079A">
      <w:pPr>
        <w:jc w:val="both"/>
        <w:rPr>
          <w:rFonts w:ascii="Calibri" w:eastAsia="Arial" w:hAnsi="Calibri" w:cs="Calibri"/>
        </w:rPr>
      </w:pPr>
    </w:p>
    <w:p w14:paraId="00000042" w14:textId="77777777" w:rsidR="0059079A" w:rsidRPr="008A07B6" w:rsidRDefault="00000000">
      <w:pPr>
        <w:jc w:val="both"/>
        <w:rPr>
          <w:rFonts w:ascii="Calibri" w:eastAsia="Arial" w:hAnsi="Calibri" w:cs="Calibri"/>
        </w:rPr>
      </w:pPr>
      <w:r w:rsidRPr="008A07B6">
        <w:rPr>
          <w:rFonts w:ascii="Calibri" w:eastAsia="Arial" w:hAnsi="Calibri" w:cs="Calibri"/>
        </w:rPr>
        <w:t xml:space="preserve">The account of social normativity sketched above flows nicely from the active inference framework and its account of niche construction, but is there any positive empirical </w:t>
      </w:r>
      <w:r w:rsidRPr="008A07B6">
        <w:rPr>
          <w:rFonts w:ascii="Calibri" w:eastAsia="Arial" w:hAnsi="Calibri" w:cs="Calibri"/>
        </w:rPr>
        <w:lastRenderedPageBreak/>
        <w:t xml:space="preserve">evidence in its favor? In this section, we will suggest that the active inference theory of social normativity provides an elegant explanation for various pervasive and well-confirmed empirical phenomena associated with normative cognition. </w:t>
      </w:r>
    </w:p>
    <w:p w14:paraId="00000043" w14:textId="30C3A0A4" w:rsidR="0059079A" w:rsidRPr="008A07B6" w:rsidRDefault="00000000">
      <w:pPr>
        <w:jc w:val="both"/>
        <w:rPr>
          <w:rFonts w:ascii="Calibri" w:eastAsia="Arial" w:hAnsi="Calibri" w:cs="Calibri"/>
        </w:rPr>
      </w:pPr>
      <w:r w:rsidRPr="008A07B6">
        <w:rPr>
          <w:rFonts w:ascii="Calibri" w:eastAsia="Arial" w:hAnsi="Calibri" w:cs="Calibri"/>
        </w:rPr>
        <w:t xml:space="preserve">It must first be noted that the preference for regular sensory input is not exclusive to the social domain, and applies to any type of sensory input, as suggested by the account offered above. Indeed, the famous “mere-exposure effect” in cognitive psychology shows that repeated exposure to a neutral stimulus generates a positive attitude toward that stimulus (Zajonc, 1968; Bornstein, 1989; Bornstein and Craver-Lemley, 2017; Montoya, 2017). In the active inference framework, this is simply explained by the fact that the stimulus will come to be predicted by the individual’s model, so that its reiteration will minimize prediction error for the individual. But there is also evidence that something like a mere-exposure effect takes place in the social domain. </w:t>
      </w:r>
    </w:p>
    <w:p w14:paraId="00000044" w14:textId="77777777" w:rsidR="0059079A" w:rsidRDefault="00000000">
      <w:pPr>
        <w:jc w:val="both"/>
        <w:rPr>
          <w:rFonts w:ascii="Calibri" w:eastAsia="Arial" w:hAnsi="Calibri" w:cs="Calibri"/>
        </w:rPr>
      </w:pPr>
      <w:r w:rsidRPr="008A07B6">
        <w:rPr>
          <w:rFonts w:ascii="Calibri" w:eastAsia="Arial" w:hAnsi="Calibri" w:cs="Calibri"/>
        </w:rPr>
        <w:t>Important studies have shown that the development of normative cognition in young children is characterized by what has been called “promiscuous normativity” (Schmidt et al., 2011, 2016; Schmidt &amp; Rakoczy, 2023), which is the tendency to overgeneralize social normativity. In these studies, when adults performed arbitrary but purposeful</w:t>
      </w:r>
      <w:r w:rsidRPr="008A07B6">
        <w:rPr>
          <w:rFonts w:ascii="Calibri" w:eastAsia="Arial" w:hAnsi="Calibri" w:cs="Calibri"/>
          <w:vertAlign w:val="superscript"/>
        </w:rPr>
        <w:footnoteReference w:id="13"/>
      </w:r>
      <w:r w:rsidRPr="008A07B6">
        <w:rPr>
          <w:rFonts w:ascii="Calibri" w:eastAsia="Arial" w:hAnsi="Calibri" w:cs="Calibri"/>
        </w:rPr>
        <w:t xml:space="preserve"> actions during a given activity, the children automatically assumed that these actions were normatively guided and constituted a normatively required part of the activity. In turn, they would thus protest against other agents later performing the activity without adding these additional arbitrary movements, enforcing what they perceived as a social norm. As reported by Schmidt and Rakoczy : “It almost seems as if the default assumption for children [is] that social actions are norm-governed unless noted otherwise” (2023, p. 202). Similarly to the mere exposure effect, the perception of a neutral </w:t>
      </w:r>
      <w:r w:rsidRPr="008A07B6">
        <w:rPr>
          <w:rFonts w:ascii="Calibri" w:eastAsia="Arial" w:hAnsi="Calibri" w:cs="Calibri"/>
          <w:i/>
        </w:rPr>
        <w:t>social</w:t>
      </w:r>
      <w:r w:rsidRPr="008A07B6">
        <w:rPr>
          <w:rFonts w:ascii="Calibri" w:eastAsia="Arial" w:hAnsi="Calibri" w:cs="Calibri"/>
        </w:rPr>
        <w:t xml:space="preserve"> sensory input leads to a preference for this sensory input, and to an enforcement of this preference in their social environment. </w:t>
      </w:r>
    </w:p>
    <w:p w14:paraId="0836AE79" w14:textId="0E163DF0" w:rsidR="00253D37" w:rsidRPr="00AD2004" w:rsidRDefault="00253D37">
      <w:pPr>
        <w:jc w:val="both"/>
        <w:rPr>
          <w:rFonts w:ascii="Calibri" w:eastAsia="Arial" w:hAnsi="Calibri" w:cs="Calibri"/>
        </w:rPr>
      </w:pPr>
      <w:r w:rsidRPr="00AD2004">
        <w:rPr>
          <w:rFonts w:ascii="Calibri" w:eastAsia="Arial" w:hAnsi="Calibri" w:cs="Calibri"/>
        </w:rPr>
        <w:t xml:space="preserve">One </w:t>
      </w:r>
      <w:r w:rsidR="005B372A" w:rsidRPr="00AD2004">
        <w:rPr>
          <w:rFonts w:ascii="Calibri" w:eastAsia="Arial" w:hAnsi="Calibri" w:cs="Calibri"/>
        </w:rPr>
        <w:t>might doubt that young children are in a position to enforce</w:t>
      </w:r>
      <w:r w:rsidR="00CE7E77" w:rsidRPr="00AD2004">
        <w:rPr>
          <w:rFonts w:ascii="Calibri" w:eastAsia="Arial" w:hAnsi="Calibri" w:cs="Calibri"/>
        </w:rPr>
        <w:t xml:space="preserve"> any norms on their social environment; indeed, it is typically rather the adults around them that make the rules. If this is so, we might wonder how they could ever develop normative attitudes if they never </w:t>
      </w:r>
      <w:r w:rsidR="00CD0125" w:rsidRPr="00AD2004">
        <w:rPr>
          <w:rFonts w:ascii="Calibri" w:eastAsia="Arial" w:hAnsi="Calibri" w:cs="Calibri"/>
        </w:rPr>
        <w:t>minimize prediction error with respect to their social predictions</w:t>
      </w:r>
      <w:r w:rsidR="00CE7E77" w:rsidRPr="00AD2004">
        <w:rPr>
          <w:rFonts w:ascii="Calibri" w:eastAsia="Arial" w:hAnsi="Calibri" w:cs="Calibri"/>
        </w:rPr>
        <w:t xml:space="preserve">. However, our theory </w:t>
      </w:r>
      <w:r w:rsidR="00CE7E77" w:rsidRPr="00AD2004">
        <w:rPr>
          <w:rFonts w:ascii="Calibri" w:eastAsia="Arial" w:hAnsi="Calibri" w:cs="Calibri"/>
        </w:rPr>
        <w:lastRenderedPageBreak/>
        <w:t xml:space="preserve">does not entail that children always, or even most of time </w:t>
      </w:r>
      <w:r w:rsidR="00CE7E77" w:rsidRPr="00AD2004">
        <w:rPr>
          <w:rFonts w:ascii="Calibri" w:eastAsia="Arial" w:hAnsi="Calibri" w:cs="Calibri"/>
          <w:i/>
          <w:iCs/>
        </w:rPr>
        <w:t xml:space="preserve">succeed </w:t>
      </w:r>
      <w:r w:rsidR="00CE7E77" w:rsidRPr="00AD2004">
        <w:rPr>
          <w:rFonts w:ascii="Calibri" w:eastAsia="Arial" w:hAnsi="Calibri" w:cs="Calibri"/>
        </w:rPr>
        <w:t xml:space="preserve">in reducing social prediction error through social sanctions. It only requires that they </w:t>
      </w:r>
      <w:r w:rsidR="00CE7E77" w:rsidRPr="00AD2004">
        <w:rPr>
          <w:rFonts w:ascii="Calibri" w:eastAsia="Arial" w:hAnsi="Calibri" w:cs="Calibri"/>
          <w:i/>
          <w:iCs/>
        </w:rPr>
        <w:t>attempt</w:t>
      </w:r>
      <w:r w:rsidR="00CE7E77" w:rsidRPr="00AD2004">
        <w:rPr>
          <w:rFonts w:ascii="Calibri" w:eastAsia="Arial" w:hAnsi="Calibri" w:cs="Calibri"/>
        </w:rPr>
        <w:t xml:space="preserve"> to do so, and the literature on promiscuous normativity mentioned here decisively show that they do.</w:t>
      </w:r>
      <w:r w:rsidR="00D4091E" w:rsidRPr="00AD2004">
        <w:rPr>
          <w:rFonts w:ascii="Calibri" w:eastAsia="Arial" w:hAnsi="Calibri" w:cs="Calibri"/>
        </w:rPr>
        <w:t xml:space="preserve"> Indeed, in the active inference framework, organisms frequently fail to minimize prediction error. This will happen for instance when an organism predicts that its action will bring about a certain sensory input, but its action fails, and the predicted sensory input is not perceived. An organism would eventually stop attempting an action</w:t>
      </w:r>
      <w:r w:rsidR="00E021CF" w:rsidRPr="00AD2004">
        <w:rPr>
          <w:rFonts w:ascii="Calibri" w:eastAsia="Arial" w:hAnsi="Calibri" w:cs="Calibri"/>
        </w:rPr>
        <w:t xml:space="preserve"> </w:t>
      </w:r>
      <w:r w:rsidR="00D4091E" w:rsidRPr="00AD2004">
        <w:rPr>
          <w:rFonts w:ascii="Calibri" w:eastAsia="Arial" w:hAnsi="Calibri" w:cs="Calibri"/>
        </w:rPr>
        <w:t>if it never allowed it to minimize prediction error, but it is quite clear that this is not the case for children.</w:t>
      </w:r>
      <w:r w:rsidR="00E021CF" w:rsidRPr="00AD2004">
        <w:rPr>
          <w:rFonts w:ascii="Calibri" w:eastAsia="Arial" w:hAnsi="Calibri" w:cs="Calibri"/>
        </w:rPr>
        <w:t xml:space="preserve"> As </w:t>
      </w:r>
      <w:r w:rsidR="003E02E2" w:rsidRPr="00AD2004">
        <w:rPr>
          <w:rFonts w:ascii="Calibri" w:eastAsia="Arial" w:hAnsi="Calibri" w:cs="Calibri"/>
        </w:rPr>
        <w:t>mentioned</w:t>
      </w:r>
      <w:r w:rsidR="00E021CF" w:rsidRPr="00AD2004">
        <w:rPr>
          <w:rFonts w:ascii="Calibri" w:eastAsia="Arial" w:hAnsi="Calibri" w:cs="Calibri"/>
        </w:rPr>
        <w:t xml:space="preserve"> above, children learn</w:t>
      </w:r>
      <w:r w:rsidR="003E02E2" w:rsidRPr="00AD2004">
        <w:rPr>
          <w:rFonts w:ascii="Calibri" w:eastAsia="Arial" w:hAnsi="Calibri" w:cs="Calibri"/>
        </w:rPr>
        <w:t xml:space="preserve"> early in development</w:t>
      </w:r>
      <w:r w:rsidR="00E021CF" w:rsidRPr="00AD2004">
        <w:rPr>
          <w:rFonts w:ascii="Calibri" w:eastAsia="Arial" w:hAnsi="Calibri" w:cs="Calibri"/>
        </w:rPr>
        <w:t xml:space="preserve"> that their behavior </w:t>
      </w:r>
      <w:r w:rsidR="003E02E2" w:rsidRPr="00AD2004">
        <w:rPr>
          <w:rFonts w:ascii="Calibri" w:eastAsia="Arial" w:hAnsi="Calibri" w:cs="Calibri"/>
        </w:rPr>
        <w:t>influences</w:t>
      </w:r>
      <w:r w:rsidR="00E021CF" w:rsidRPr="00AD2004">
        <w:rPr>
          <w:rFonts w:ascii="Calibri" w:eastAsia="Arial" w:hAnsi="Calibri" w:cs="Calibri"/>
        </w:rPr>
        <w:t xml:space="preserve"> the behavior</w:t>
      </w:r>
      <w:r w:rsidR="003E02E2" w:rsidRPr="00AD2004">
        <w:rPr>
          <w:rFonts w:ascii="Calibri" w:eastAsia="Arial" w:hAnsi="Calibri" w:cs="Calibri"/>
        </w:rPr>
        <w:t xml:space="preserve"> of their caregivers and other </w:t>
      </w:r>
      <w:r w:rsidR="00362AC0" w:rsidRPr="00AD2004">
        <w:rPr>
          <w:rFonts w:ascii="Calibri" w:eastAsia="Arial" w:hAnsi="Calibri" w:cs="Calibri"/>
        </w:rPr>
        <w:t>members of their communities</w:t>
      </w:r>
      <w:r w:rsidR="003E02E2" w:rsidRPr="00AD2004">
        <w:rPr>
          <w:rFonts w:ascii="Calibri" w:eastAsia="Arial" w:hAnsi="Calibri" w:cs="Calibri"/>
        </w:rPr>
        <w:t>, which fixes in their generative model the assumption</w:t>
      </w:r>
      <w:r w:rsidR="00E021CF" w:rsidRPr="00AD2004">
        <w:rPr>
          <w:rFonts w:ascii="Calibri" w:eastAsia="Arial" w:hAnsi="Calibri" w:cs="Calibri"/>
        </w:rPr>
        <w:t xml:space="preserve"> that they can regulate to some extent their social environment</w:t>
      </w:r>
      <w:r w:rsidR="003E02E2" w:rsidRPr="00AD2004">
        <w:rPr>
          <w:rFonts w:ascii="Calibri" w:eastAsia="Arial" w:hAnsi="Calibri" w:cs="Calibri"/>
        </w:rPr>
        <w:t xml:space="preserve"> through communicative behavior (Tison and Poirier, 2021)</w:t>
      </w:r>
      <w:r w:rsidR="00E021CF" w:rsidRPr="00AD2004">
        <w:rPr>
          <w:rFonts w:ascii="Calibri" w:eastAsia="Arial" w:hAnsi="Calibri" w:cs="Calibri"/>
        </w:rPr>
        <w:t>.</w:t>
      </w:r>
      <w:r w:rsidR="003E02E2" w:rsidRPr="00AD2004">
        <w:rPr>
          <w:rFonts w:ascii="Calibri" w:eastAsia="Arial" w:hAnsi="Calibri" w:cs="Calibri"/>
        </w:rPr>
        <w:t xml:space="preserve"> This is a crucial prior in human social interaction that later drives social sanctioning behavior, even when faced with limited success. Moreover, a</w:t>
      </w:r>
      <w:r w:rsidR="00CE7E77" w:rsidRPr="00AD2004">
        <w:rPr>
          <w:rFonts w:ascii="Calibri" w:eastAsia="Arial" w:hAnsi="Calibri" w:cs="Calibri"/>
        </w:rPr>
        <w:t>t least in some specific contexts such as during play and make-beli</w:t>
      </w:r>
      <w:r w:rsidR="00CD0125" w:rsidRPr="00AD2004">
        <w:rPr>
          <w:rFonts w:ascii="Calibri" w:eastAsia="Arial" w:hAnsi="Calibri" w:cs="Calibri"/>
        </w:rPr>
        <w:t>e</w:t>
      </w:r>
      <w:r w:rsidR="00CE7E77" w:rsidRPr="00AD2004">
        <w:rPr>
          <w:rFonts w:ascii="Calibri" w:eastAsia="Arial" w:hAnsi="Calibri" w:cs="Calibri"/>
        </w:rPr>
        <w:t xml:space="preserve">ve, children </w:t>
      </w:r>
      <w:r w:rsidR="00CD0125" w:rsidRPr="00AD2004">
        <w:rPr>
          <w:rFonts w:ascii="Calibri" w:eastAsia="Arial" w:hAnsi="Calibri" w:cs="Calibri"/>
        </w:rPr>
        <w:t>can</w:t>
      </w:r>
      <w:r w:rsidR="00CE7E77" w:rsidRPr="00AD2004">
        <w:rPr>
          <w:rFonts w:ascii="Calibri" w:eastAsia="Arial" w:hAnsi="Calibri" w:cs="Calibri"/>
        </w:rPr>
        <w:t xml:space="preserve"> exercise their ability to create, modify and enforce </w:t>
      </w:r>
      <w:r w:rsidR="00CD0125" w:rsidRPr="00AD2004">
        <w:rPr>
          <w:rFonts w:ascii="Calibri" w:eastAsia="Arial" w:hAnsi="Calibri" w:cs="Calibri"/>
        </w:rPr>
        <w:t>social norms on other agents, be it other children or adults (Ruci</w:t>
      </w:r>
      <w:r w:rsidR="00362AC0" w:rsidRPr="00AD2004">
        <w:rPr>
          <w:rFonts w:ascii="Calibri" w:eastAsia="Arial" w:hAnsi="Calibri" w:cs="Calibri"/>
        </w:rPr>
        <w:t>ń</w:t>
      </w:r>
      <w:r w:rsidR="00CD0125" w:rsidRPr="00AD2004">
        <w:rPr>
          <w:rFonts w:ascii="Calibri" w:eastAsia="Arial" w:hAnsi="Calibri" w:cs="Calibri"/>
        </w:rPr>
        <w:t xml:space="preserve">ska, 2025). This can be seen as a kind of active exploration and rehearsal of social normative practices scaffolding the development of normative attitudes. </w:t>
      </w:r>
    </w:p>
    <w:p w14:paraId="03D3D933" w14:textId="771D8F24" w:rsidR="00A266D0" w:rsidRPr="00AD2004" w:rsidRDefault="00E021CF">
      <w:pPr>
        <w:jc w:val="both"/>
        <w:rPr>
          <w:rFonts w:ascii="Calibri" w:eastAsia="Arial" w:hAnsi="Calibri" w:cs="Calibri"/>
        </w:rPr>
      </w:pPr>
      <w:r w:rsidRPr="00AD2004">
        <w:rPr>
          <w:rFonts w:ascii="Calibri" w:eastAsia="Arial" w:hAnsi="Calibri" w:cs="Calibri"/>
        </w:rPr>
        <w:t>In fact, t</w:t>
      </w:r>
      <w:r w:rsidR="00D93C94" w:rsidRPr="00AD2004">
        <w:rPr>
          <w:rFonts w:ascii="Calibri" w:eastAsia="Arial" w:hAnsi="Calibri" w:cs="Calibri"/>
        </w:rPr>
        <w:t xml:space="preserve">he active inference theory </w:t>
      </w:r>
      <w:r w:rsidR="00EC7AF2" w:rsidRPr="00AD2004">
        <w:rPr>
          <w:rFonts w:ascii="Calibri" w:eastAsia="Arial" w:hAnsi="Calibri" w:cs="Calibri"/>
        </w:rPr>
        <w:t>provides a more parsimonious and satisfying explanation of</w:t>
      </w:r>
      <w:r w:rsidRPr="00AD2004">
        <w:rPr>
          <w:rFonts w:ascii="Calibri" w:eastAsia="Arial" w:hAnsi="Calibri" w:cs="Calibri"/>
        </w:rPr>
        <w:t xml:space="preserve"> promiscuous normativity than </w:t>
      </w:r>
      <w:r w:rsidR="005255CA" w:rsidRPr="00AD2004">
        <w:rPr>
          <w:rFonts w:ascii="Calibri" w:eastAsia="Arial" w:hAnsi="Calibri" w:cs="Calibri"/>
        </w:rPr>
        <w:t>many</w:t>
      </w:r>
      <w:r w:rsidR="00A266D0" w:rsidRPr="00AD2004">
        <w:rPr>
          <w:rFonts w:ascii="Calibri" w:eastAsia="Arial" w:hAnsi="Calibri" w:cs="Calibri"/>
        </w:rPr>
        <w:t xml:space="preserve"> </w:t>
      </w:r>
      <w:r w:rsidRPr="00AD2004">
        <w:rPr>
          <w:rFonts w:ascii="Calibri" w:eastAsia="Arial" w:hAnsi="Calibri" w:cs="Calibri"/>
        </w:rPr>
        <w:t>standard accounts.</w:t>
      </w:r>
      <w:r w:rsidR="00A266D0" w:rsidRPr="00AD2004">
        <w:rPr>
          <w:rFonts w:ascii="Calibri" w:eastAsia="Arial" w:hAnsi="Calibri" w:cs="Calibri"/>
        </w:rPr>
        <w:t xml:space="preserve"> Standard theories often explain young children’s normative enforcement of arbitrary behaviors by appealing to</w:t>
      </w:r>
      <w:r w:rsidR="00F84C43" w:rsidRPr="00AD2004">
        <w:rPr>
          <w:rFonts w:ascii="Calibri" w:eastAsia="Arial" w:hAnsi="Calibri" w:cs="Calibri"/>
        </w:rPr>
        <w:t xml:space="preserve"> innate and </w:t>
      </w:r>
      <w:r w:rsidR="00A266D0" w:rsidRPr="00AD2004">
        <w:rPr>
          <w:rFonts w:ascii="Calibri" w:eastAsia="Arial" w:hAnsi="Calibri" w:cs="Calibri"/>
        </w:rPr>
        <w:t>domain-specific cognitive module</w:t>
      </w:r>
      <w:r w:rsidR="004510F2" w:rsidRPr="00AD2004">
        <w:rPr>
          <w:rFonts w:ascii="Calibri" w:eastAsia="Arial" w:hAnsi="Calibri" w:cs="Calibri"/>
        </w:rPr>
        <w:t>s</w:t>
      </w:r>
      <w:r w:rsidR="00A266D0" w:rsidRPr="00AD2004">
        <w:rPr>
          <w:rFonts w:ascii="Calibri" w:eastAsia="Arial" w:hAnsi="Calibri" w:cs="Calibri"/>
        </w:rPr>
        <w:t xml:space="preserve"> devised to recognize norms among the multitude of available social stimuli and in turn </w:t>
      </w:r>
      <w:r w:rsidR="00CD6895" w:rsidRPr="00AD2004">
        <w:rPr>
          <w:rFonts w:ascii="Calibri" w:eastAsia="Arial" w:hAnsi="Calibri" w:cs="Calibri"/>
        </w:rPr>
        <w:t>motivate social sanctioning behavior to enforce these norms (Sripada and Stich, 2006</w:t>
      </w:r>
      <w:r w:rsidR="005255CA" w:rsidRPr="00AD2004">
        <w:rPr>
          <w:rFonts w:ascii="Calibri" w:eastAsia="Arial" w:hAnsi="Calibri" w:cs="Calibri"/>
        </w:rPr>
        <w:t>; Mikhail, 2007</w:t>
      </w:r>
      <w:r w:rsidR="004510F2" w:rsidRPr="00AD2004">
        <w:rPr>
          <w:rFonts w:ascii="Calibri" w:eastAsia="Arial" w:hAnsi="Calibri" w:cs="Calibri"/>
        </w:rPr>
        <w:t>; see also Kelly and Davis, 2018</w:t>
      </w:r>
      <w:r w:rsidR="00CD6895" w:rsidRPr="00AD2004">
        <w:rPr>
          <w:rFonts w:ascii="Calibri" w:eastAsia="Arial" w:hAnsi="Calibri" w:cs="Calibri"/>
        </w:rPr>
        <w:t>)</w:t>
      </w:r>
      <w:r w:rsidR="00A266D0" w:rsidRPr="00AD2004">
        <w:rPr>
          <w:rFonts w:ascii="Calibri" w:eastAsia="Arial" w:hAnsi="Calibri" w:cs="Calibri"/>
        </w:rPr>
        <w:t xml:space="preserve">. However, </w:t>
      </w:r>
      <w:r w:rsidR="00CD6895" w:rsidRPr="00AD2004">
        <w:rPr>
          <w:rFonts w:ascii="Calibri" w:eastAsia="Arial" w:hAnsi="Calibri" w:cs="Calibri"/>
        </w:rPr>
        <w:t xml:space="preserve">the data on promiscuous normativity (and on the descriptive-prescriptive conflation discussed below) </w:t>
      </w:r>
      <w:r w:rsidR="00EC7AF2" w:rsidRPr="00AD2004">
        <w:rPr>
          <w:rFonts w:ascii="Calibri" w:eastAsia="Arial" w:hAnsi="Calibri" w:cs="Calibri"/>
        </w:rPr>
        <w:t>shows precisely</w:t>
      </w:r>
      <w:r w:rsidR="00CD6895" w:rsidRPr="00AD2004">
        <w:rPr>
          <w:rFonts w:ascii="Calibri" w:eastAsia="Arial" w:hAnsi="Calibri" w:cs="Calibri"/>
        </w:rPr>
        <w:t xml:space="preserve"> that there is </w:t>
      </w:r>
      <w:r w:rsidR="00CD6895" w:rsidRPr="00AD2004">
        <w:rPr>
          <w:rFonts w:ascii="Calibri" w:eastAsia="Arial" w:hAnsi="Calibri" w:cs="Calibri"/>
          <w:i/>
          <w:iCs/>
        </w:rPr>
        <w:t>no</w:t>
      </w:r>
      <w:r w:rsidR="00CD6895" w:rsidRPr="00AD2004">
        <w:rPr>
          <w:rFonts w:ascii="Calibri" w:eastAsia="Arial" w:hAnsi="Calibri" w:cs="Calibri"/>
        </w:rPr>
        <w:t xml:space="preserve"> such strict distinction between normative and non</w:t>
      </w:r>
      <w:r w:rsidR="00362AC0" w:rsidRPr="00AD2004">
        <w:rPr>
          <w:rFonts w:ascii="Calibri" w:eastAsia="Arial" w:hAnsi="Calibri" w:cs="Calibri"/>
        </w:rPr>
        <w:t>-</w:t>
      </w:r>
      <w:r w:rsidR="00CD6895" w:rsidRPr="00AD2004">
        <w:rPr>
          <w:rFonts w:ascii="Calibri" w:eastAsia="Arial" w:hAnsi="Calibri" w:cs="Calibri"/>
        </w:rPr>
        <w:t xml:space="preserve">normative social stimuli: any </w:t>
      </w:r>
      <w:r w:rsidR="00F84C43" w:rsidRPr="00AD2004">
        <w:rPr>
          <w:rFonts w:ascii="Calibri" w:eastAsia="Arial" w:hAnsi="Calibri" w:cs="Calibri"/>
        </w:rPr>
        <w:t xml:space="preserve">sufficiently </w:t>
      </w:r>
      <w:r w:rsidR="00CD6895" w:rsidRPr="00AD2004">
        <w:rPr>
          <w:rFonts w:ascii="Calibri" w:eastAsia="Arial" w:hAnsi="Calibri" w:cs="Calibri"/>
        </w:rPr>
        <w:t>regular</w:t>
      </w:r>
      <w:r w:rsidR="00F84C43" w:rsidRPr="00AD2004">
        <w:rPr>
          <w:rFonts w:ascii="Calibri" w:eastAsia="Arial" w:hAnsi="Calibri" w:cs="Calibri"/>
        </w:rPr>
        <w:t xml:space="preserve"> (or salient, see section 3.1)</w:t>
      </w:r>
      <w:r w:rsidR="00CD6895" w:rsidRPr="00AD2004">
        <w:rPr>
          <w:rFonts w:ascii="Calibri" w:eastAsia="Arial" w:hAnsi="Calibri" w:cs="Calibri"/>
        </w:rPr>
        <w:t xml:space="preserve"> social stimulus can be perceived as normative and subsequently enforced, which is exactly what the active inference theory predicts.</w:t>
      </w:r>
      <w:r w:rsidR="00F84C43" w:rsidRPr="00AD2004">
        <w:rPr>
          <w:rFonts w:ascii="Calibri" w:eastAsia="Arial" w:hAnsi="Calibri" w:cs="Calibri"/>
        </w:rPr>
        <w:t xml:space="preserve"> </w:t>
      </w:r>
      <w:r w:rsidR="00362AC0" w:rsidRPr="00AD2004">
        <w:rPr>
          <w:rFonts w:ascii="Calibri" w:eastAsia="Arial" w:hAnsi="Calibri" w:cs="Calibri"/>
        </w:rPr>
        <w:t xml:space="preserve">Of course, nativist theories might be tweaked to accommodate promiscuous normativity, but any such modification will likely </w:t>
      </w:r>
      <w:r w:rsidR="00EC7AF2" w:rsidRPr="00AD2004">
        <w:rPr>
          <w:rFonts w:ascii="Calibri" w:eastAsia="Arial" w:hAnsi="Calibri" w:cs="Calibri"/>
        </w:rPr>
        <w:t>seem</w:t>
      </w:r>
      <w:r w:rsidR="00362AC0" w:rsidRPr="00AD2004">
        <w:rPr>
          <w:rFonts w:ascii="Calibri" w:eastAsia="Arial" w:hAnsi="Calibri" w:cs="Calibri"/>
        </w:rPr>
        <w:t xml:space="preserve"> ad hoc relative to the active inference model, which straightforwardly predicts promiscuous normativity and descriptive-prescriptive conflation as inevitable by-products of prediction error minimization in malleable social environments.</w:t>
      </w:r>
      <w:r w:rsidR="00CD6895" w:rsidRPr="00AD2004">
        <w:rPr>
          <w:rFonts w:ascii="Calibri" w:eastAsia="Arial" w:hAnsi="Calibri" w:cs="Calibri"/>
        </w:rPr>
        <w:t xml:space="preserve"> </w:t>
      </w:r>
    </w:p>
    <w:p w14:paraId="442194C1" w14:textId="5A0A63E7" w:rsidR="00E021CF" w:rsidRPr="00AD2004" w:rsidRDefault="00CD6895">
      <w:pPr>
        <w:jc w:val="both"/>
        <w:rPr>
          <w:rFonts w:ascii="Calibri" w:eastAsia="Arial" w:hAnsi="Calibri" w:cs="Calibri"/>
        </w:rPr>
      </w:pPr>
      <w:r w:rsidRPr="00AD2004">
        <w:rPr>
          <w:rFonts w:ascii="Calibri" w:eastAsia="Arial" w:hAnsi="Calibri" w:cs="Calibri"/>
        </w:rPr>
        <w:t xml:space="preserve">As for theories </w:t>
      </w:r>
      <w:r w:rsidR="00F84C43" w:rsidRPr="00AD2004">
        <w:rPr>
          <w:rFonts w:ascii="Calibri" w:eastAsia="Arial" w:hAnsi="Calibri" w:cs="Calibri"/>
        </w:rPr>
        <w:t xml:space="preserve">relying on domain-general cognitive mechanisms, it is unclear how they could </w:t>
      </w:r>
      <w:r w:rsidR="00C95EA4" w:rsidRPr="00AD2004">
        <w:rPr>
          <w:rFonts w:ascii="Calibri" w:eastAsia="Arial" w:hAnsi="Calibri" w:cs="Calibri"/>
        </w:rPr>
        <w:t>explain the</w:t>
      </w:r>
      <w:r w:rsidR="00F84C43" w:rsidRPr="00AD2004">
        <w:rPr>
          <w:rFonts w:ascii="Calibri" w:eastAsia="Arial" w:hAnsi="Calibri" w:cs="Calibri"/>
        </w:rPr>
        <w:t xml:space="preserve"> </w:t>
      </w:r>
      <w:r w:rsidR="00C95EA4" w:rsidRPr="00AD2004">
        <w:rPr>
          <w:rFonts w:ascii="Calibri" w:eastAsia="Arial" w:hAnsi="Calibri" w:cs="Calibri"/>
        </w:rPr>
        <w:t>intrinsic motivation to apply social sanctions</w:t>
      </w:r>
      <w:r w:rsidR="004510F2" w:rsidRPr="00AD2004">
        <w:rPr>
          <w:rFonts w:ascii="Calibri" w:eastAsia="Arial" w:hAnsi="Calibri" w:cs="Calibri"/>
        </w:rPr>
        <w:t xml:space="preserve">, which has </w:t>
      </w:r>
      <w:r w:rsidR="00293F38" w:rsidRPr="00AD2004">
        <w:rPr>
          <w:rFonts w:ascii="Calibri" w:eastAsia="Arial" w:hAnsi="Calibri" w:cs="Calibri"/>
        </w:rPr>
        <w:t>repeatedly</w:t>
      </w:r>
      <w:r w:rsidR="004510F2" w:rsidRPr="00AD2004">
        <w:rPr>
          <w:rFonts w:ascii="Calibri" w:eastAsia="Arial" w:hAnsi="Calibri" w:cs="Calibri"/>
        </w:rPr>
        <w:t xml:space="preserve"> been pointed out by their nativist opponents</w:t>
      </w:r>
      <w:r w:rsidR="00C95EA4" w:rsidRPr="00AD2004">
        <w:rPr>
          <w:rFonts w:ascii="Calibri" w:eastAsia="Arial" w:hAnsi="Calibri" w:cs="Calibri"/>
        </w:rPr>
        <w:t xml:space="preserve"> (see </w:t>
      </w:r>
      <w:proofErr w:type="spellStart"/>
      <w:r w:rsidR="00DC18A6" w:rsidRPr="00AD2004">
        <w:rPr>
          <w:rFonts w:ascii="Calibri" w:eastAsia="Arial" w:hAnsi="Calibri" w:cs="Calibri"/>
        </w:rPr>
        <w:t>eg.</w:t>
      </w:r>
      <w:proofErr w:type="spellEnd"/>
      <w:r w:rsidR="00DC18A6" w:rsidRPr="00AD2004">
        <w:rPr>
          <w:rFonts w:ascii="Calibri" w:eastAsia="Arial" w:hAnsi="Calibri" w:cs="Calibri"/>
        </w:rPr>
        <w:t xml:space="preserve"> </w:t>
      </w:r>
      <w:r w:rsidR="00C95EA4" w:rsidRPr="00AD2004">
        <w:rPr>
          <w:rFonts w:ascii="Calibri" w:eastAsia="Arial" w:hAnsi="Calibri" w:cs="Calibri"/>
        </w:rPr>
        <w:t>Sripada and Stich, 2006)</w:t>
      </w:r>
      <w:r w:rsidR="00F84C43" w:rsidRPr="00AD2004">
        <w:rPr>
          <w:rFonts w:ascii="Calibri" w:eastAsia="Arial" w:hAnsi="Calibri" w:cs="Calibri"/>
        </w:rPr>
        <w:t xml:space="preserve">. </w:t>
      </w:r>
      <w:r w:rsidR="00EC7AF2" w:rsidRPr="00AD2004">
        <w:rPr>
          <w:rFonts w:ascii="Calibri" w:eastAsia="Arial" w:hAnsi="Calibri" w:cs="Calibri"/>
        </w:rPr>
        <w:t xml:space="preserve">How could </w:t>
      </w:r>
      <w:r w:rsidR="00EC7AF2" w:rsidRPr="00AD2004">
        <w:rPr>
          <w:rFonts w:ascii="Calibri" w:eastAsia="Arial" w:hAnsi="Calibri" w:cs="Calibri"/>
        </w:rPr>
        <w:lastRenderedPageBreak/>
        <w:t xml:space="preserve">children learn, just via, e.g., reinforcement learning, that enforcing norms is </w:t>
      </w:r>
      <w:r w:rsidR="00D442BD" w:rsidRPr="00AD2004">
        <w:rPr>
          <w:rFonts w:ascii="Calibri" w:eastAsia="Arial" w:hAnsi="Calibri" w:cs="Calibri"/>
        </w:rPr>
        <w:t>valuable, even</w:t>
      </w:r>
      <w:r w:rsidR="00EC7AF2" w:rsidRPr="00AD2004">
        <w:rPr>
          <w:rFonts w:ascii="Calibri" w:eastAsia="Arial" w:hAnsi="Calibri" w:cs="Calibri"/>
        </w:rPr>
        <w:t xml:space="preserve"> when it comes with risks to satisfaction of other preferences? </w:t>
      </w:r>
      <w:r w:rsidR="00F84C43" w:rsidRPr="00AD2004">
        <w:rPr>
          <w:rFonts w:ascii="Calibri" w:eastAsia="Arial" w:hAnsi="Calibri" w:cs="Calibri"/>
        </w:rPr>
        <w:t xml:space="preserve">The more promising </w:t>
      </w:r>
      <w:r w:rsidR="00EC7AF2" w:rsidRPr="00AD2004">
        <w:rPr>
          <w:rFonts w:ascii="Calibri" w:eastAsia="Arial" w:hAnsi="Calibri" w:cs="Calibri"/>
        </w:rPr>
        <w:t>domain general theories</w:t>
      </w:r>
      <w:r w:rsidR="00F84C43" w:rsidRPr="00AD2004">
        <w:rPr>
          <w:rFonts w:ascii="Calibri" w:eastAsia="Arial" w:hAnsi="Calibri" w:cs="Calibri"/>
        </w:rPr>
        <w:t xml:space="preserve"> have begun to explicitly appeal</w:t>
      </w:r>
      <w:r w:rsidR="005255CA" w:rsidRPr="00AD2004">
        <w:rPr>
          <w:rFonts w:ascii="Calibri" w:eastAsia="Arial" w:hAnsi="Calibri" w:cs="Calibri"/>
        </w:rPr>
        <w:t xml:space="preserve"> to prediction error minimization to explain </w:t>
      </w:r>
      <w:r w:rsidR="00DC18A6" w:rsidRPr="00AD2004">
        <w:rPr>
          <w:rFonts w:ascii="Calibri" w:eastAsia="Arial" w:hAnsi="Calibri" w:cs="Calibri"/>
        </w:rPr>
        <w:t>normative cognition</w:t>
      </w:r>
      <w:r w:rsidR="005255CA" w:rsidRPr="00AD2004">
        <w:rPr>
          <w:rFonts w:ascii="Calibri" w:eastAsia="Arial" w:hAnsi="Calibri" w:cs="Calibri"/>
        </w:rPr>
        <w:t xml:space="preserve"> (Theriault et al. 2021; Heyes, 2024, p. 25-26)</w:t>
      </w:r>
      <w:r w:rsidR="00F84C43" w:rsidRPr="00AD2004">
        <w:rPr>
          <w:rFonts w:ascii="Calibri" w:eastAsia="Arial" w:hAnsi="Calibri" w:cs="Calibri"/>
        </w:rPr>
        <w:t xml:space="preserve">, </w:t>
      </w:r>
      <w:r w:rsidR="00EC7AF2" w:rsidRPr="00AD2004">
        <w:rPr>
          <w:rFonts w:ascii="Calibri" w:eastAsia="Arial" w:hAnsi="Calibri" w:cs="Calibri"/>
        </w:rPr>
        <w:t>consistent with our account</w:t>
      </w:r>
      <w:r w:rsidR="00F84C43" w:rsidRPr="00AD2004">
        <w:rPr>
          <w:rFonts w:ascii="Calibri" w:eastAsia="Arial" w:hAnsi="Calibri" w:cs="Calibri"/>
        </w:rPr>
        <w:t xml:space="preserve">. </w:t>
      </w:r>
      <w:r w:rsidR="00EC7AF2" w:rsidRPr="00AD2004">
        <w:rPr>
          <w:rFonts w:ascii="Calibri" w:eastAsia="Arial" w:hAnsi="Calibri" w:cs="Calibri"/>
        </w:rPr>
        <w:t xml:space="preserve">The reason is obvious: active inference essentially involves acting to minimize prediction error, which, in the social domain, shows up as an intrinsic preference for conformity to social regularities, exactly </w:t>
      </w:r>
      <w:r w:rsidR="00D442BD" w:rsidRPr="00AD2004">
        <w:rPr>
          <w:rFonts w:ascii="Calibri" w:eastAsia="Arial" w:hAnsi="Calibri" w:cs="Calibri"/>
        </w:rPr>
        <w:t>what nativists find lacking in older domain general models.</w:t>
      </w:r>
    </w:p>
    <w:p w14:paraId="00000045" w14:textId="637D4B5C" w:rsidR="0059079A" w:rsidRPr="008A07B6" w:rsidRDefault="00C95EA4">
      <w:pPr>
        <w:jc w:val="both"/>
        <w:rPr>
          <w:rFonts w:ascii="Calibri" w:eastAsia="Arial" w:hAnsi="Calibri" w:cs="Calibri"/>
        </w:rPr>
      </w:pPr>
      <w:r>
        <w:rPr>
          <w:rFonts w:ascii="Calibri" w:eastAsia="Arial" w:hAnsi="Calibri" w:cs="Calibri"/>
        </w:rPr>
        <w:t>Another relevant set of empirical data concerns the context-relativity of social norms</w:t>
      </w:r>
      <w:r w:rsidRPr="008A07B6">
        <w:rPr>
          <w:rFonts w:ascii="Calibri" w:eastAsia="Arial" w:hAnsi="Calibri" w:cs="Calibri"/>
        </w:rPr>
        <w:t>: most norms apply only in a particular set of circumstances or in the context of a particular activity (the only exception might be some categorical moral imperatives), such that performing behavior flouting these norms outside of these contexts does not elicit social sanction (the rules of chess apply only when playing chess, traffic laws apply only when driving on the road, etc.). This is reflected in the fact that, in studies similar to the ones mentioned above, children do not protest when counter normative behavior is performed outside of the context of the activity or game in which the “correct behavior” was originally perceived and learned (Rakoczy et al., 2009; Wyman et al., 2009). This context-relativity can be readily explained in the active inference framework, which is geared toward explaining the context-relativity of action and perception in general (Pezzulo et al., 2018; see also Clark, 2013). Indeed, as explained in section 1, the cognitive activity of an agent will be determined at any moment by higher level predictions contextualizing lower level sensorimotor predictions, which allow it to adapt its behavior to the regularities of a range of different environmental contexts. In social settings, this means that the predictive model will learn to distinguish various social contexts and types of activities, and learn to predict differing behavioral regularities in these contexts (</w:t>
      </w:r>
      <w:proofErr w:type="spellStart"/>
      <w:r w:rsidRPr="008A07B6">
        <w:rPr>
          <w:rFonts w:ascii="Calibri" w:eastAsia="Arial" w:hAnsi="Calibri" w:cs="Calibri"/>
        </w:rPr>
        <w:t>eg.</w:t>
      </w:r>
      <w:proofErr w:type="spellEnd"/>
      <w:r w:rsidRPr="008A07B6">
        <w:rPr>
          <w:rFonts w:ascii="Calibri" w:eastAsia="Arial" w:hAnsi="Calibri" w:cs="Calibri"/>
        </w:rPr>
        <w:t xml:space="preserve"> predicting what people do at a restaurant, while playing a particular kind of game, in a cinema, with a certain group of friends, etc.), therefore also leading to contextually differentiated norm enforcement</w:t>
      </w:r>
      <w:r w:rsidRPr="008A07B6">
        <w:rPr>
          <w:rFonts w:ascii="Calibri" w:eastAsia="Arial" w:hAnsi="Calibri" w:cs="Calibri"/>
          <w:vertAlign w:val="superscript"/>
        </w:rPr>
        <w:footnoteReference w:id="14"/>
      </w:r>
      <w:r w:rsidRPr="008A07B6">
        <w:rPr>
          <w:rFonts w:ascii="Calibri" w:eastAsia="Arial" w:hAnsi="Calibri" w:cs="Calibri"/>
        </w:rPr>
        <w:t xml:space="preserve">. </w:t>
      </w:r>
    </w:p>
    <w:p w14:paraId="00000046" w14:textId="5670192D" w:rsidR="0059079A" w:rsidRPr="00AD2004" w:rsidRDefault="00000000">
      <w:pPr>
        <w:jc w:val="both"/>
        <w:rPr>
          <w:rFonts w:ascii="Calibri" w:eastAsia="Arial" w:hAnsi="Calibri" w:cs="Calibri"/>
        </w:rPr>
      </w:pPr>
      <w:r w:rsidRPr="008A07B6">
        <w:rPr>
          <w:rFonts w:ascii="Calibri" w:eastAsia="Arial" w:hAnsi="Calibri" w:cs="Calibri"/>
        </w:rPr>
        <w:t xml:space="preserve">The tendency to treat seemingly neutral social regularities as normatively appropriate, exhibited in the phenomenon of promiscuous normativity, is not limited to developing children. Indeed, in recent years, a large body of literature has started to uncover the fact that children and adults alike tend to conflate what is descriptively normal and what is </w:t>
      </w:r>
      <w:r w:rsidRPr="008A07B6">
        <w:rPr>
          <w:rFonts w:ascii="Calibri" w:eastAsia="Arial" w:hAnsi="Calibri" w:cs="Calibri"/>
        </w:rPr>
        <w:lastRenderedPageBreak/>
        <w:t>prescriptively normal (Bear &amp; Knobe, 2017; Roberts et al., 2017, 2018; Eriksson et al., 2021; Foster-Hanson, 2021). As Heyes sums it up, in normative cognition, “common is right” (Heyes, 2024, p. 18). For instance, children told that listening to a particular kind of music was common in a certain group formed a negative view and expressed normative disapproval of members of the group who did not listen to that kind of music (Roberts et al., 2017). In another study, adults’ judgments about the frequency of problematic social behaviors (</w:t>
      </w:r>
      <w:proofErr w:type="spellStart"/>
      <w:r w:rsidRPr="008A07B6">
        <w:rPr>
          <w:rFonts w:ascii="Calibri" w:eastAsia="Arial" w:hAnsi="Calibri" w:cs="Calibri"/>
        </w:rPr>
        <w:t>eg.</w:t>
      </w:r>
      <w:proofErr w:type="spellEnd"/>
      <w:r w:rsidRPr="008A07B6">
        <w:rPr>
          <w:rFonts w:ascii="Calibri" w:eastAsia="Arial" w:hAnsi="Calibri" w:cs="Calibri"/>
        </w:rPr>
        <w:t xml:space="preserve"> drinking and driving, consuming drugs, etc.) were positively correlated with their evaluation of the degree to which the behavior was normatively acceptable (Eriksson et al., 2021</w:t>
      </w:r>
      <w:r w:rsidRPr="00AD2004">
        <w:rPr>
          <w:rFonts w:ascii="Calibri" w:eastAsia="Arial" w:hAnsi="Calibri" w:cs="Calibri"/>
        </w:rPr>
        <w:t xml:space="preserve">). </w:t>
      </w:r>
      <w:r w:rsidR="00392DAB" w:rsidRPr="00AD2004">
        <w:rPr>
          <w:rFonts w:ascii="Calibri" w:eastAsia="Arial" w:hAnsi="Calibri" w:cs="Calibri"/>
        </w:rPr>
        <w:t>Moreover, as Bear an Knobe (2017) point out, t</w:t>
      </w:r>
      <w:r w:rsidR="00C74212" w:rsidRPr="00AD2004">
        <w:rPr>
          <w:rFonts w:ascii="Calibri" w:eastAsia="Arial" w:hAnsi="Calibri" w:cs="Calibri"/>
        </w:rPr>
        <w:t xml:space="preserve">his inference </w:t>
      </w:r>
      <w:r w:rsidR="00392DAB" w:rsidRPr="00AD2004">
        <w:rPr>
          <w:rFonts w:ascii="Calibri" w:eastAsia="Arial" w:hAnsi="Calibri" w:cs="Calibri"/>
        </w:rPr>
        <w:t xml:space="preserve">from something being regular to it being normative is not limited to behavior, but also applies to artefacts such as tools and clothing. As with the mere exposure effect mentioned above, this extension of normative attitudes to non behavioral targets is readily explained in the active inference framework. </w:t>
      </w:r>
    </w:p>
    <w:p w14:paraId="00000047" w14:textId="77777777" w:rsidR="0059079A" w:rsidRPr="008A07B6" w:rsidRDefault="00000000">
      <w:pPr>
        <w:jc w:val="both"/>
        <w:rPr>
          <w:rFonts w:ascii="Calibri" w:eastAsia="Arial" w:hAnsi="Calibri" w:cs="Calibri"/>
        </w:rPr>
      </w:pPr>
      <w:r w:rsidRPr="008A07B6">
        <w:rPr>
          <w:rFonts w:ascii="Calibri" w:eastAsia="Arial" w:hAnsi="Calibri" w:cs="Calibri"/>
        </w:rPr>
        <w:t xml:space="preserve">This descriptive-prescriptive conflation, of which the phenomenon of promiscuous normativity seems to be a particularly acute example early in development, constitutes the main source of empirical evidence for the active inference account of social normativity. This account essentially states that agents will integrate in their generative model the behavioral regularities of their social environment, which will in turn be predicted and, in many cases, actively enforced on the social environment through normative attitudes and social sanctions. In other words, normal behavior automatically becomes, to one degree or another, normative behavior. It is therefore to be expected that the descriptive-prescriptive distinction, albeit fundamental in our epistemic and moral linguistic practices, turns out to be murky in our implicit normative attitudes. The active inference account provides a tailor-made explanation for this pervasive and otherwise puzzling feature of normative cognition. </w:t>
      </w:r>
    </w:p>
    <w:p w14:paraId="00000048" w14:textId="77777777" w:rsidR="0059079A" w:rsidRPr="008A07B6" w:rsidRDefault="0059079A">
      <w:pPr>
        <w:jc w:val="both"/>
        <w:rPr>
          <w:rFonts w:ascii="Calibri" w:eastAsia="Arial" w:hAnsi="Calibri" w:cs="Calibri"/>
        </w:rPr>
      </w:pPr>
    </w:p>
    <w:p w14:paraId="00000049" w14:textId="77777777" w:rsidR="0059079A" w:rsidRPr="008A07B6" w:rsidRDefault="00000000">
      <w:pPr>
        <w:pStyle w:val="Titre1"/>
        <w:jc w:val="both"/>
        <w:rPr>
          <w:rFonts w:ascii="Calibri" w:eastAsia="Arial" w:hAnsi="Calibri" w:cs="Calibri"/>
        </w:rPr>
      </w:pPr>
      <w:r w:rsidRPr="008A07B6">
        <w:rPr>
          <w:rFonts w:ascii="Calibri" w:eastAsia="Arial" w:hAnsi="Calibri" w:cs="Calibri"/>
        </w:rPr>
        <w:t>3. Objections</w:t>
      </w:r>
    </w:p>
    <w:p w14:paraId="0000004A" w14:textId="77777777" w:rsidR="0059079A" w:rsidRPr="008A07B6" w:rsidRDefault="0059079A">
      <w:pPr>
        <w:jc w:val="both"/>
        <w:rPr>
          <w:rFonts w:ascii="Calibri" w:eastAsia="Arial" w:hAnsi="Calibri" w:cs="Calibri"/>
        </w:rPr>
      </w:pPr>
    </w:p>
    <w:p w14:paraId="0000004B" w14:textId="77777777" w:rsidR="0059079A" w:rsidRPr="008A07B6" w:rsidRDefault="00000000">
      <w:pPr>
        <w:pStyle w:val="Titre2"/>
        <w:jc w:val="both"/>
        <w:rPr>
          <w:rFonts w:ascii="Calibri" w:eastAsia="Arial" w:hAnsi="Calibri" w:cs="Calibri"/>
        </w:rPr>
      </w:pPr>
      <w:r w:rsidRPr="008A07B6">
        <w:rPr>
          <w:rFonts w:ascii="Calibri" w:eastAsia="Arial" w:hAnsi="Calibri" w:cs="Calibri"/>
        </w:rPr>
        <w:t>3.1 Normativity without regularity</w:t>
      </w:r>
    </w:p>
    <w:p w14:paraId="0000004C" w14:textId="77777777" w:rsidR="0059079A" w:rsidRPr="008A07B6" w:rsidRDefault="0059079A">
      <w:pPr>
        <w:jc w:val="both"/>
        <w:rPr>
          <w:rFonts w:ascii="Calibri" w:eastAsia="Arial" w:hAnsi="Calibri" w:cs="Calibri"/>
        </w:rPr>
      </w:pPr>
    </w:p>
    <w:p w14:paraId="0000004D" w14:textId="77777777" w:rsidR="0059079A" w:rsidRPr="008A07B6" w:rsidRDefault="00000000">
      <w:pPr>
        <w:jc w:val="both"/>
        <w:rPr>
          <w:rFonts w:ascii="Calibri" w:eastAsia="Arial" w:hAnsi="Calibri" w:cs="Calibri"/>
        </w:rPr>
      </w:pPr>
      <w:r w:rsidRPr="008A07B6">
        <w:rPr>
          <w:rFonts w:ascii="Calibri" w:eastAsia="Arial" w:hAnsi="Calibri" w:cs="Calibri"/>
        </w:rPr>
        <w:t xml:space="preserve">While there are some reasons to adopt the active inference account of normative attitudes presented above, there also seem to be apparent counterexamples. The theory roughly suggests that generative models interacting with a regular social sensory input will learn this regularity and in turn enforce it on their social environment. Normative </w:t>
      </w:r>
      <w:r w:rsidRPr="008A07B6">
        <w:rPr>
          <w:rFonts w:ascii="Calibri" w:eastAsia="Arial" w:hAnsi="Calibri" w:cs="Calibri"/>
        </w:rPr>
        <w:lastRenderedPageBreak/>
        <w:t xml:space="preserve">attitudes appear when, under the imperative of prediction error minimization applied to social contexts, learned behavioral regularities become actively enforced social expectations. But there seem to be cases where normative attitudes are established without being preceded by the perception of a behavioral regularity, as well as cases where social regularities are instantiated in a social group without them generating normative attitudes. We will begin by discussing this first kind of counterexample, before turning to the second kind in the next section. </w:t>
      </w:r>
    </w:p>
    <w:p w14:paraId="0000004E" w14:textId="77777777" w:rsidR="0059079A" w:rsidRPr="008A07B6" w:rsidRDefault="00000000">
      <w:pPr>
        <w:jc w:val="both"/>
        <w:rPr>
          <w:rFonts w:ascii="Calibri" w:eastAsia="Arial" w:hAnsi="Calibri" w:cs="Calibri"/>
        </w:rPr>
      </w:pPr>
      <w:r w:rsidRPr="008A07B6">
        <w:rPr>
          <w:rFonts w:ascii="Calibri" w:eastAsia="Arial" w:hAnsi="Calibri" w:cs="Calibri"/>
        </w:rPr>
        <w:t xml:space="preserve">Important work on cultural evolution has shown that social learning does not just rely on the reproduction of the most frequently observed behaviors in a social group, but often on the reproduction of behaviors from individuals who are considered more influential or “prestigious” (Henrich &amp; Gil-White, 2001; Richerson and Boyd, 2005; </w:t>
      </w:r>
      <w:proofErr w:type="spellStart"/>
      <w:r w:rsidRPr="008A07B6">
        <w:rPr>
          <w:rFonts w:ascii="Calibri" w:eastAsia="Arial" w:hAnsi="Calibri" w:cs="Calibri"/>
        </w:rPr>
        <w:t>Chudek</w:t>
      </w:r>
      <w:proofErr w:type="spellEnd"/>
      <w:r w:rsidRPr="008A07B6">
        <w:rPr>
          <w:rFonts w:ascii="Calibri" w:eastAsia="Arial" w:hAnsi="Calibri" w:cs="Calibri"/>
        </w:rPr>
        <w:t xml:space="preserve"> et al., 2012; Cheng et al., 2013; but see </w:t>
      </w:r>
      <w:proofErr w:type="spellStart"/>
      <w:r w:rsidRPr="008A07B6">
        <w:rPr>
          <w:rFonts w:ascii="Calibri" w:eastAsia="Arial" w:hAnsi="Calibri" w:cs="Calibri"/>
        </w:rPr>
        <w:t>Chellappoo</w:t>
      </w:r>
      <w:proofErr w:type="spellEnd"/>
      <w:r w:rsidRPr="008A07B6">
        <w:rPr>
          <w:rFonts w:ascii="Calibri" w:eastAsia="Arial" w:hAnsi="Calibri" w:cs="Calibri"/>
        </w:rPr>
        <w:t xml:space="preserve"> (2021) for a discussion of the conceptual difficulties surrounding the notion of prestige bias). Prestigious individuals can be understood as individuals who have attained a certain degree of skill and success in a socially relevant domain (</w:t>
      </w:r>
      <w:proofErr w:type="spellStart"/>
      <w:r w:rsidRPr="008A07B6">
        <w:rPr>
          <w:rFonts w:ascii="Calibri" w:eastAsia="Arial" w:hAnsi="Calibri" w:cs="Calibri"/>
        </w:rPr>
        <w:t>eg.</w:t>
      </w:r>
      <w:proofErr w:type="spellEnd"/>
      <w:r w:rsidRPr="008A07B6">
        <w:rPr>
          <w:rFonts w:ascii="Calibri" w:eastAsia="Arial" w:hAnsi="Calibri" w:cs="Calibri"/>
        </w:rPr>
        <w:t xml:space="preserve"> foraging, tool-making, social relations, etc.), such that other members of the group gain from paying attention to and copying their behavior. This “prestige bias” in social learning can be extended to the institution of social norms. For example, Henrich and Henrich (2010) report that, in Fiji, norms concerning which food to consume when pregnant are primarily shaped by prestigious individuals known as “wise women”, considered to be depository of a relevant expertise on the matter (in a way quite analogous to how pregnant women in the West follow the health norms communicated by prestigious individuals known as “doctors”). The fact that some individuals will be more influential in the institution and maintenance of social norms than others constitutes a </w:t>
      </w:r>
      <w:r w:rsidRPr="008A07B6">
        <w:rPr>
          <w:rFonts w:ascii="Calibri" w:eastAsia="Arial" w:hAnsi="Calibri" w:cs="Calibri"/>
          <w:i/>
        </w:rPr>
        <w:t>prima facie</w:t>
      </w:r>
      <w:r w:rsidRPr="008A07B6">
        <w:rPr>
          <w:rFonts w:ascii="Calibri" w:eastAsia="Arial" w:hAnsi="Calibri" w:cs="Calibri"/>
        </w:rPr>
        <w:t xml:space="preserve"> objection to the account developed above. Indeed, such individuals could in principle unilaterally introduce or impose a new social norm in a group without it being </w:t>
      </w:r>
      <w:proofErr w:type="spellStart"/>
      <w:r w:rsidRPr="008A07B6">
        <w:rPr>
          <w:rFonts w:ascii="Calibri" w:eastAsia="Arial" w:hAnsi="Calibri" w:cs="Calibri"/>
        </w:rPr>
        <w:t>antecedently</w:t>
      </w:r>
      <w:proofErr w:type="spellEnd"/>
      <w:r w:rsidRPr="008A07B6">
        <w:rPr>
          <w:rFonts w:ascii="Calibri" w:eastAsia="Arial" w:hAnsi="Calibri" w:cs="Calibri"/>
        </w:rPr>
        <w:t xml:space="preserve"> instantiated as a behavioral regularity in this group. Similarly, the studies of promiscuous normativity mentioned in section 2.3. have discovered that children can learn a norm from a single action performed by an adult (Schmidt et al., 2016). Not only do children learn and subsequently enforce on others a norm based on non normative behavior from an adult, they often infer such a norm based on a single unrepeated behavior. Here also, normative attitudes appear without involving the learning of a behavioral regularity through the perception of a repeated behavior.</w:t>
      </w:r>
    </w:p>
    <w:p w14:paraId="0000004F" w14:textId="77777777" w:rsidR="0059079A" w:rsidRPr="008A07B6" w:rsidRDefault="00000000">
      <w:pPr>
        <w:jc w:val="both"/>
        <w:rPr>
          <w:rFonts w:ascii="Calibri" w:eastAsia="Arial" w:hAnsi="Calibri" w:cs="Calibri"/>
        </w:rPr>
      </w:pPr>
      <w:r w:rsidRPr="008A07B6">
        <w:rPr>
          <w:rFonts w:ascii="Calibri" w:eastAsia="Arial" w:hAnsi="Calibri" w:cs="Calibri"/>
        </w:rPr>
        <w:t xml:space="preserve">However, a deeper consideration of the explanatory resources available in the active inference framework shows how these cases of norm introduction and maintenance can be integrated in the active inference account developed above. As explained in section 1, learning in the generative model is modulated by a precision mechanism, which assigns a weight to particular predictions relative to their sensory input. When a high precision is </w:t>
      </w:r>
      <w:r w:rsidRPr="008A07B6">
        <w:rPr>
          <w:rFonts w:ascii="Calibri" w:eastAsia="Arial" w:hAnsi="Calibri" w:cs="Calibri"/>
        </w:rPr>
        <w:lastRenderedPageBreak/>
        <w:t xml:space="preserve">assigned to the sensory input associated with a prediction (essentially meaning that this sensory input is treated as relevant and informative by the generative model), prediction error for that prediction will heavily impact the model, which will have to be adjusted to eliminate this precision error. In short, assigning high precision to the sensory input associated with a prediction in effect increases the learning rate for that prediction.     </w:t>
      </w:r>
    </w:p>
    <w:p w14:paraId="00000050" w14:textId="77777777" w:rsidR="0059079A" w:rsidRPr="008A07B6" w:rsidRDefault="00000000">
      <w:pPr>
        <w:jc w:val="both"/>
        <w:rPr>
          <w:rFonts w:ascii="Calibri" w:eastAsia="Arial" w:hAnsi="Calibri" w:cs="Calibri"/>
        </w:rPr>
      </w:pPr>
      <w:r w:rsidRPr="008A07B6">
        <w:rPr>
          <w:rFonts w:ascii="Calibri" w:eastAsia="Arial" w:hAnsi="Calibri" w:cs="Calibri"/>
        </w:rPr>
        <w:t xml:space="preserve">Generative models attempting to predict the regularities instantiated in a given social niche will therefore learn to assign different precision levels to predictions associated with different kinds of behavior from different kinds of agents. This learning relies in large part on an “education of attention”, whereby developing members of a group learn to direct attention to socially relevant aspects of the environment. Important work on cultural learning in the active inference framework has already detailed the mechanisms underlying such learning (Ramstead et al., 2016; </w:t>
      </w:r>
      <w:proofErr w:type="spellStart"/>
      <w:r w:rsidRPr="008A07B6">
        <w:rPr>
          <w:rFonts w:ascii="Calibri" w:eastAsia="Arial" w:hAnsi="Calibri" w:cs="Calibri"/>
        </w:rPr>
        <w:t>Veissière</w:t>
      </w:r>
      <w:proofErr w:type="spellEnd"/>
      <w:r w:rsidRPr="008A07B6">
        <w:rPr>
          <w:rFonts w:ascii="Calibri" w:eastAsia="Arial" w:hAnsi="Calibri" w:cs="Calibri"/>
        </w:rPr>
        <w:t xml:space="preserve"> et al., 2020). In particular, some individuals in the environment will come to be considered as “epistemic resources” (</w:t>
      </w:r>
      <w:proofErr w:type="spellStart"/>
      <w:r w:rsidRPr="008A07B6">
        <w:rPr>
          <w:rFonts w:ascii="Calibri" w:eastAsia="Arial" w:hAnsi="Calibri" w:cs="Calibri"/>
        </w:rPr>
        <w:t>Veissière</w:t>
      </w:r>
      <w:proofErr w:type="spellEnd"/>
      <w:r w:rsidRPr="008A07B6">
        <w:rPr>
          <w:rFonts w:ascii="Calibri" w:eastAsia="Arial" w:hAnsi="Calibri" w:cs="Calibri"/>
        </w:rPr>
        <w:t xml:space="preserve"> et al., 2020, p. 14), that is, sources of relevant information whose behavior will be assigned a high precision and drive learning in the generative model. One of the main ways of identifying these “epistemic resources” will be to follow closely who other people in the niche are paying attention to, which is an efficient social heuristic outsourcing to others the task of identifying the relevant individuals (see </w:t>
      </w:r>
      <w:proofErr w:type="spellStart"/>
      <w:r w:rsidRPr="008A07B6">
        <w:rPr>
          <w:rFonts w:ascii="Calibri" w:eastAsia="Arial" w:hAnsi="Calibri" w:cs="Calibri"/>
        </w:rPr>
        <w:t>Chudek</w:t>
      </w:r>
      <w:proofErr w:type="spellEnd"/>
      <w:r w:rsidRPr="008A07B6">
        <w:rPr>
          <w:rFonts w:ascii="Calibri" w:eastAsia="Arial" w:hAnsi="Calibri" w:cs="Calibri"/>
        </w:rPr>
        <w:t xml:space="preserve"> (2012) for an empirical investigation of the use of this heuristic in children). Prestigious individuals, or adults interacting with children, especially in settings unfamiliar to them such as those of a psychology experiment, will be treated as such “epistemic resources”, whose behavior is likely to be considered highly informative with respect to the behavioral regularities of a given social context, and accordingly allocated a high precision by the generative model. Given the account developed above, in the appropriate setting, this means that these individuals would </w:t>
      </w:r>
      <w:r w:rsidRPr="008A07B6">
        <w:rPr>
          <w:rFonts w:ascii="Calibri" w:eastAsia="Arial" w:hAnsi="Calibri" w:cs="Calibri"/>
          <w:i/>
        </w:rPr>
        <w:t>ipso facto</w:t>
      </w:r>
      <w:r w:rsidRPr="008A07B6">
        <w:rPr>
          <w:rFonts w:ascii="Calibri" w:eastAsia="Arial" w:hAnsi="Calibri" w:cs="Calibri"/>
        </w:rPr>
        <w:t xml:space="preserve"> constitute something like “normative resources”, whose behavior will drive learning of the normative regularities relevant to particular social contexts. If the appropriate precision is allocated to the sensory input produced by the behavior of a single person (</w:t>
      </w:r>
      <w:proofErr w:type="spellStart"/>
      <w:r w:rsidRPr="008A07B6">
        <w:rPr>
          <w:rFonts w:ascii="Calibri" w:eastAsia="Arial" w:hAnsi="Calibri" w:cs="Calibri"/>
        </w:rPr>
        <w:t>eg.</w:t>
      </w:r>
      <w:proofErr w:type="spellEnd"/>
      <w:r w:rsidRPr="008A07B6">
        <w:rPr>
          <w:rFonts w:ascii="Calibri" w:eastAsia="Arial" w:hAnsi="Calibri" w:cs="Calibri"/>
        </w:rPr>
        <w:t xml:space="preserve"> a prestigious individual), or by a particular action of a single person (</w:t>
      </w:r>
      <w:proofErr w:type="spellStart"/>
      <w:r w:rsidRPr="008A07B6">
        <w:rPr>
          <w:rFonts w:ascii="Calibri" w:eastAsia="Arial" w:hAnsi="Calibri" w:cs="Calibri"/>
        </w:rPr>
        <w:t>eg.</w:t>
      </w:r>
      <w:proofErr w:type="spellEnd"/>
      <w:r w:rsidRPr="008A07B6">
        <w:rPr>
          <w:rFonts w:ascii="Calibri" w:eastAsia="Arial" w:hAnsi="Calibri" w:cs="Calibri"/>
        </w:rPr>
        <w:t xml:space="preserve"> an adult interacting with a child in an unfamiliar context), an individual could therefore integrate a sufficiently rigid social prediction and then enforce it without having to perceive and integrate a repeated and regular behavior. </w:t>
      </w:r>
    </w:p>
    <w:p w14:paraId="00000051" w14:textId="77777777" w:rsidR="0059079A" w:rsidRPr="008A07B6" w:rsidRDefault="0059079A">
      <w:pPr>
        <w:jc w:val="both"/>
        <w:rPr>
          <w:rFonts w:ascii="Calibri" w:eastAsia="Arial" w:hAnsi="Calibri" w:cs="Calibri"/>
        </w:rPr>
      </w:pPr>
    </w:p>
    <w:p w14:paraId="00000052" w14:textId="77777777" w:rsidR="0059079A" w:rsidRPr="008A07B6" w:rsidRDefault="00000000">
      <w:pPr>
        <w:pStyle w:val="Titre2"/>
        <w:jc w:val="both"/>
        <w:rPr>
          <w:rFonts w:ascii="Calibri" w:eastAsia="Arial" w:hAnsi="Calibri" w:cs="Calibri"/>
        </w:rPr>
      </w:pPr>
      <w:r w:rsidRPr="008A07B6">
        <w:rPr>
          <w:rFonts w:ascii="Calibri" w:eastAsia="Arial" w:hAnsi="Calibri" w:cs="Calibri"/>
        </w:rPr>
        <w:t>3.2 Regularity without normativity</w:t>
      </w:r>
    </w:p>
    <w:p w14:paraId="00000053" w14:textId="77777777" w:rsidR="0059079A" w:rsidRPr="008A07B6" w:rsidRDefault="0059079A">
      <w:pPr>
        <w:jc w:val="both"/>
        <w:rPr>
          <w:rFonts w:ascii="Calibri" w:eastAsia="Arial" w:hAnsi="Calibri" w:cs="Calibri"/>
        </w:rPr>
      </w:pPr>
    </w:p>
    <w:p w14:paraId="00000054" w14:textId="77777777" w:rsidR="0059079A" w:rsidRPr="008A07B6" w:rsidRDefault="00000000">
      <w:pPr>
        <w:jc w:val="both"/>
        <w:rPr>
          <w:rFonts w:ascii="Calibri" w:eastAsia="Arial" w:hAnsi="Calibri" w:cs="Calibri"/>
        </w:rPr>
      </w:pPr>
      <w:r w:rsidRPr="008A07B6">
        <w:rPr>
          <w:rFonts w:ascii="Calibri" w:eastAsia="Arial" w:hAnsi="Calibri" w:cs="Calibri"/>
        </w:rPr>
        <w:t xml:space="preserve">The second type of counterexample consists in identifying cases where a social group instantiates a behavioral regularity that does not evolve into a normative regularity, as </w:t>
      </w:r>
      <w:r w:rsidRPr="008A07B6">
        <w:rPr>
          <w:rFonts w:ascii="Calibri" w:eastAsia="Arial" w:hAnsi="Calibri" w:cs="Calibri"/>
        </w:rPr>
        <w:lastRenderedPageBreak/>
        <w:t>would be predicted by the active inference theory developed above. A first remark on this front could be to point out that children eventually do grow out of promiscuous normativity. Although even adults are regularly guilty of conflating prescriptive and descriptive judgments, only children generalize normativity to any regular social behavior that they perceive. During development, children do come to learn the distinction between a simple behavioral regularity and a proper social norm. Where does this distinction come from?</w:t>
      </w:r>
    </w:p>
    <w:p w14:paraId="00000055" w14:textId="77777777" w:rsidR="0059079A" w:rsidRPr="008A07B6" w:rsidRDefault="00000000">
      <w:pPr>
        <w:jc w:val="both"/>
        <w:rPr>
          <w:rFonts w:ascii="Calibri" w:eastAsia="Arial" w:hAnsi="Calibri" w:cs="Calibri"/>
        </w:rPr>
      </w:pPr>
      <w:r w:rsidRPr="008A07B6">
        <w:rPr>
          <w:rFonts w:ascii="Calibri" w:eastAsia="Arial" w:hAnsi="Calibri" w:cs="Calibri"/>
        </w:rPr>
        <w:t xml:space="preserve">We want to suggest that learning such a distinction is analogous to learning the distinction between an accidental and spurious environmental regularity and a robust and generalizable regularity. In the same way that children eventually learn that not every book has pictures in it by repeatedly interacting with different kinds of books, they eventually learn that some behaviors are not indicative of a normative regularity by encountering different types of behaviors in the same social normative contexts. For example, the children in the promiscuous normativity study (Schmidt et al., 2016) infer a norm concerning how to use a new object from a single action of an adult with this object, but they will eventually learn that this action was not indicative of a normative regularity concerning the proper use of this object if they encounter many other adults using the same object in a different way. Repeated exposure to such experiences will eventually curb this normative overgeneralization, as children’s generative models capture more and more accurately the normative structure of their social niche. Therefore, an adult not automatically forming a normative attitude in response to the perception of a locally regular behavior comes from the adult’s mature generative model having learned that local regularities are potentially idiosyncratic and not necessarily generalizable to future instantiations of the same situation, and this lesson applies equally to the physical and the normative environment. </w:t>
      </w:r>
    </w:p>
    <w:p w14:paraId="00000056" w14:textId="77777777" w:rsidR="0059079A" w:rsidRPr="008A07B6" w:rsidRDefault="00000000">
      <w:pPr>
        <w:jc w:val="both"/>
        <w:rPr>
          <w:rFonts w:ascii="Calibri" w:eastAsia="Arial" w:hAnsi="Calibri" w:cs="Calibri"/>
        </w:rPr>
      </w:pPr>
      <w:r w:rsidRPr="008A07B6">
        <w:rPr>
          <w:rFonts w:ascii="Calibri" w:eastAsia="Arial" w:hAnsi="Calibri" w:cs="Calibri"/>
        </w:rPr>
        <w:t xml:space="preserve">A variation on the theme of this first objection is to mention that societies exhibit many behavioral regularities that are not normatively enforced. For example, the United States experiences more public shootings per year than many other countries, but this does not seem to make public shootings more normatively accepted in the United States than they are elsewhere. Often, such cases can be explained by an incompatibility between these non-normative behavioral regularities and preexisting rigid predictions shared in the group, preventing such regularities from acquiring themselves the status of rigid social prediction. As explained by Theriault et al., an agent (or a group) must always “balance the benefits of a predictable social environment against her other needs (e.g. food, sex, safety)” (2021, p. 111). Many socially deleterious behavioral regularities will thus be prevented from generating positive normative attitudes because they conflict with rigid and widely shared predictions of positive social outcomes. For example, somebody </w:t>
      </w:r>
      <w:r w:rsidRPr="008A07B6">
        <w:rPr>
          <w:rFonts w:ascii="Calibri" w:eastAsia="Arial" w:hAnsi="Calibri" w:cs="Calibri"/>
        </w:rPr>
        <w:lastRenderedPageBreak/>
        <w:t>getting regularly bullied at school would not necessarily come to act in a way so as to actively generate bullying behavior from their schoolmates, because that would generate significant prediction error related to other important social predictions, such as receiving social validation and maintaining positive relationships with the members of one’s group (Baumeister and Leary, 1995; Over, 2016). In the same sense, public shootings, although regular, conflict with a relatively rigid normative expectation of public security and would therefore not be consolidated as a rigid social prediction</w:t>
      </w:r>
      <w:r w:rsidRPr="008A07B6">
        <w:rPr>
          <w:rFonts w:ascii="Calibri" w:eastAsia="Arial" w:hAnsi="Calibri" w:cs="Calibri"/>
          <w:vertAlign w:val="superscript"/>
        </w:rPr>
        <w:footnoteReference w:id="15"/>
      </w:r>
      <w:r w:rsidRPr="008A07B6">
        <w:rPr>
          <w:rFonts w:ascii="Calibri" w:eastAsia="Arial" w:hAnsi="Calibri" w:cs="Calibri"/>
        </w:rPr>
        <w:t xml:space="preserve">. </w:t>
      </w:r>
    </w:p>
    <w:p w14:paraId="00000057" w14:textId="6EEBD201" w:rsidR="0059079A" w:rsidRPr="008A07B6" w:rsidRDefault="00000000">
      <w:pPr>
        <w:jc w:val="both"/>
        <w:rPr>
          <w:rFonts w:ascii="Calibri" w:eastAsia="Arial" w:hAnsi="Calibri" w:cs="Calibri"/>
        </w:rPr>
      </w:pPr>
      <w:r w:rsidRPr="008A07B6">
        <w:rPr>
          <w:rFonts w:ascii="Calibri" w:eastAsia="Arial" w:hAnsi="Calibri" w:cs="Calibri"/>
        </w:rPr>
        <w:t xml:space="preserve">In the other direction, behavioral regularities that </w:t>
      </w:r>
      <w:r w:rsidRPr="008A07B6">
        <w:rPr>
          <w:rFonts w:ascii="Calibri" w:eastAsia="Arial" w:hAnsi="Calibri" w:cs="Calibri"/>
          <w:i/>
        </w:rPr>
        <w:t>align</w:t>
      </w:r>
      <w:r w:rsidRPr="008A07B6">
        <w:rPr>
          <w:rFonts w:ascii="Calibri" w:eastAsia="Arial" w:hAnsi="Calibri" w:cs="Calibri"/>
        </w:rPr>
        <w:t xml:space="preserve"> with preexisting social predictions will tend to be more easily acquired and enforced. This is in part why norms performing a socially useful function will tend to appear and stabilize relatively easily</w:t>
      </w:r>
      <w:r w:rsidR="00967E23">
        <w:rPr>
          <w:rFonts w:ascii="Calibri" w:eastAsia="Arial" w:hAnsi="Calibri" w:cs="Calibri"/>
        </w:rPr>
        <w:t xml:space="preserve"> (see </w:t>
      </w:r>
      <w:proofErr w:type="spellStart"/>
      <w:r w:rsidR="00967E23">
        <w:rPr>
          <w:rFonts w:ascii="Calibri" w:eastAsia="Arial" w:hAnsi="Calibri" w:cs="Calibri"/>
        </w:rPr>
        <w:t>eg.</w:t>
      </w:r>
      <w:proofErr w:type="spellEnd"/>
      <w:r w:rsidR="00967E23">
        <w:rPr>
          <w:rFonts w:ascii="Calibri" w:eastAsia="Arial" w:hAnsi="Calibri" w:cs="Calibri"/>
        </w:rPr>
        <w:t xml:space="preserve"> Boyd and Richerson, 2002)</w:t>
      </w:r>
      <w:r w:rsidRPr="008A07B6">
        <w:rPr>
          <w:rFonts w:ascii="Calibri" w:eastAsia="Arial" w:hAnsi="Calibri" w:cs="Calibri"/>
        </w:rPr>
        <w:t>: they are more easily predicted by generative models independently predicting positive social outcomes</w:t>
      </w:r>
      <w:r w:rsidRPr="008A07B6">
        <w:rPr>
          <w:rFonts w:ascii="Calibri" w:eastAsia="Arial" w:hAnsi="Calibri" w:cs="Calibri"/>
          <w:vertAlign w:val="superscript"/>
        </w:rPr>
        <w:footnoteReference w:id="16"/>
      </w:r>
      <w:r w:rsidRPr="008A07B6">
        <w:rPr>
          <w:rFonts w:ascii="Calibri" w:eastAsia="Arial" w:hAnsi="Calibri" w:cs="Calibri"/>
        </w:rPr>
        <w:t xml:space="preserve">. In the active inference account developed here, a large part of the dynamic evolution of systems of norms in a social group is explained by the relation between perceived behavioral regularities and preexisting social or metabolic predictions shared in the group. This relation captures what Kelly and Davis (2018) call the “psychological stickiness” of norms, that is, the fact that norms will be more easily acquired and enforced in a group when they fit well with the preexisting system of norms, dominant narratives, cultural habits and worldview of that group (Gottschall, 2012; Bicchieri and McNally, 2018). For example, a group where a widely shared narrative assigns an inferior status to a certain class of individuals will more easily adopt a norm removing certain rights to this class rather than to a more dominant class. Quite simply, a behavioral regularity will be more easily integrated in the generative models of the members of a group, and in turn enforced as a normative regularity, if it generates less </w:t>
      </w:r>
      <w:r w:rsidRPr="008A07B6">
        <w:rPr>
          <w:rFonts w:ascii="Calibri" w:eastAsia="Arial" w:hAnsi="Calibri" w:cs="Calibri"/>
        </w:rPr>
        <w:lastRenderedPageBreak/>
        <w:t>prediction error and therefore requires fewer adjustments in its preexisting social predictions.</w:t>
      </w:r>
    </w:p>
    <w:p w14:paraId="00000058" w14:textId="663A3A46" w:rsidR="0059079A" w:rsidRPr="008A07B6" w:rsidRDefault="00000000">
      <w:pPr>
        <w:jc w:val="both"/>
        <w:rPr>
          <w:rFonts w:ascii="Calibri" w:eastAsia="Arial" w:hAnsi="Calibri" w:cs="Calibri"/>
        </w:rPr>
      </w:pPr>
      <w:r w:rsidRPr="008A07B6">
        <w:rPr>
          <w:rFonts w:ascii="Calibri" w:eastAsia="Arial" w:hAnsi="Calibri" w:cs="Calibri"/>
        </w:rPr>
        <w:t xml:space="preserve">Finally, a last objection consists in remarking that numerous nonhuman animal species also form social groups and exhibit behavioral regularities, but do not seem to enforce these regularities through social sanctions and normative attitudes. Indeed, many believe that social normativity, and normative attitudes in particular, are an exclusively human phenomenon (see </w:t>
      </w:r>
      <w:proofErr w:type="spellStart"/>
      <w:r w:rsidRPr="008A07B6">
        <w:rPr>
          <w:rFonts w:ascii="Calibri" w:eastAsia="Arial" w:hAnsi="Calibri" w:cs="Calibri"/>
        </w:rPr>
        <w:t>eg.</w:t>
      </w:r>
      <w:proofErr w:type="spellEnd"/>
      <w:r w:rsidRPr="008A07B6">
        <w:rPr>
          <w:rFonts w:ascii="Calibri" w:eastAsia="Arial" w:hAnsi="Calibri" w:cs="Calibri"/>
        </w:rPr>
        <w:t xml:space="preserve"> Schmidt and Rakoczy, 2019; Peregrin, 2023). If normative attitudes emerge from a fundamental biological tendency to alter one’s niche to make it more predictable, why aren’t they more prevalent among nonhuman social species? The answer is that not every social species evolves the kind of social malleability that promotes active social niche construction. As explained in section 2.2, the ecological conditions of human social groups selected for pro-social attitudes and behaviors that made possible active and durable behavior shaping. The interaction between these pro-social characteristics and the tendency to construct a more predictable niche created a self-reinforcing loop increasing at the same time these pro-social tendencies (through the enforcement of norms favoring these tendencies) and the active enforcement of social regularities (through the increased effectiveness of social sanctions) (see </w:t>
      </w:r>
      <w:r w:rsidR="004A777F">
        <w:rPr>
          <w:rFonts w:ascii="Calibri" w:eastAsia="Arial" w:hAnsi="Calibri" w:cs="Calibri"/>
        </w:rPr>
        <w:t>Tison</w:t>
      </w:r>
      <w:r w:rsidRPr="008A07B6">
        <w:rPr>
          <w:rFonts w:ascii="Calibri" w:eastAsia="Arial" w:hAnsi="Calibri" w:cs="Calibri"/>
        </w:rPr>
        <w:t xml:space="preserve">, </w:t>
      </w:r>
      <w:r w:rsidR="004A777F">
        <w:rPr>
          <w:rFonts w:ascii="Calibri" w:eastAsia="Arial" w:hAnsi="Calibri" w:cs="Calibri"/>
        </w:rPr>
        <w:t>2025</w:t>
      </w:r>
      <w:r w:rsidRPr="008A07B6">
        <w:rPr>
          <w:rFonts w:ascii="Calibri" w:eastAsia="Arial" w:hAnsi="Calibri" w:cs="Calibri"/>
        </w:rPr>
        <w:t xml:space="preserve">, for more details). This interdependent cocktail of pro-social and normative attitudes was then itself selected in social groups for its positive effects on social coordination, enabling and stabilizing large-scale cooperation in human societies (Fehr and </w:t>
      </w:r>
      <w:proofErr w:type="spellStart"/>
      <w:r w:rsidRPr="008A07B6">
        <w:rPr>
          <w:rFonts w:ascii="Calibri" w:eastAsia="Arial" w:hAnsi="Calibri" w:cs="Calibri"/>
        </w:rPr>
        <w:t>Fischbasher</w:t>
      </w:r>
      <w:proofErr w:type="spellEnd"/>
      <w:r w:rsidRPr="008A07B6">
        <w:rPr>
          <w:rFonts w:ascii="Calibri" w:eastAsia="Arial" w:hAnsi="Calibri" w:cs="Calibri"/>
        </w:rPr>
        <w:t>, 2004;</w:t>
      </w:r>
      <w:r w:rsidR="004A777F">
        <w:rPr>
          <w:rFonts w:ascii="Calibri" w:eastAsia="Arial" w:hAnsi="Calibri" w:cs="Calibri"/>
        </w:rPr>
        <w:t xml:space="preserve"> </w:t>
      </w:r>
      <w:proofErr w:type="spellStart"/>
      <w:r w:rsidR="004A777F">
        <w:rPr>
          <w:rFonts w:ascii="Calibri" w:eastAsia="Arial" w:hAnsi="Calibri" w:cs="Calibri"/>
        </w:rPr>
        <w:t>Zawidzki</w:t>
      </w:r>
      <w:proofErr w:type="spellEnd"/>
      <w:r w:rsidR="004A777F">
        <w:rPr>
          <w:rFonts w:ascii="Calibri" w:eastAsia="Arial" w:hAnsi="Calibri" w:cs="Calibri"/>
        </w:rPr>
        <w:t>, 2013</w:t>
      </w:r>
      <w:r w:rsidRPr="008A07B6">
        <w:rPr>
          <w:rFonts w:ascii="Calibri" w:eastAsia="Arial" w:hAnsi="Calibri" w:cs="Calibri"/>
        </w:rPr>
        <w:t xml:space="preserve">; Henrich and </w:t>
      </w:r>
      <w:proofErr w:type="spellStart"/>
      <w:r w:rsidRPr="008A07B6">
        <w:rPr>
          <w:rFonts w:ascii="Calibri" w:eastAsia="Arial" w:hAnsi="Calibri" w:cs="Calibri"/>
        </w:rPr>
        <w:t>Muthukrishna</w:t>
      </w:r>
      <w:proofErr w:type="spellEnd"/>
      <w:r w:rsidRPr="008A07B6">
        <w:rPr>
          <w:rFonts w:ascii="Calibri" w:eastAsia="Arial" w:hAnsi="Calibri" w:cs="Calibri"/>
        </w:rPr>
        <w:t>, 2021</w:t>
      </w:r>
      <w:r w:rsidRPr="00AD2004">
        <w:rPr>
          <w:rFonts w:ascii="Calibri" w:eastAsia="Arial" w:hAnsi="Calibri" w:cs="Calibri"/>
        </w:rPr>
        <w:t>)</w:t>
      </w:r>
      <w:r w:rsidR="00F27F29" w:rsidRPr="00AD2004">
        <w:rPr>
          <w:rFonts w:ascii="Calibri" w:eastAsia="Arial" w:hAnsi="Calibri" w:cs="Calibri"/>
        </w:rPr>
        <w:t>,</w:t>
      </w:r>
      <w:r w:rsidR="00267893" w:rsidRPr="00AD2004">
        <w:rPr>
          <w:rFonts w:ascii="Calibri" w:eastAsia="Arial" w:hAnsi="Calibri" w:cs="Calibri"/>
        </w:rPr>
        <w:t xml:space="preserve"> and increasing social predictability (Boyd and Richerson, 1994; Ross et al., 2023)</w:t>
      </w:r>
      <w:r w:rsidRPr="00AD2004">
        <w:rPr>
          <w:rFonts w:ascii="Calibri" w:eastAsia="Arial" w:hAnsi="Calibri" w:cs="Calibri"/>
        </w:rPr>
        <w:t xml:space="preserve">. </w:t>
      </w:r>
      <w:r w:rsidRPr="008A07B6">
        <w:rPr>
          <w:rFonts w:ascii="Calibri" w:eastAsia="Arial" w:hAnsi="Calibri" w:cs="Calibri"/>
        </w:rPr>
        <w:t xml:space="preserve">These ideas are notably consistent with the </w:t>
      </w:r>
      <w:proofErr w:type="spellStart"/>
      <w:r w:rsidRPr="008A07B6">
        <w:rPr>
          <w:rFonts w:ascii="Calibri" w:eastAsia="Arial" w:hAnsi="Calibri" w:cs="Calibri"/>
        </w:rPr>
        <w:t>mindshaping</w:t>
      </w:r>
      <w:proofErr w:type="spellEnd"/>
      <w:r w:rsidRPr="008A07B6">
        <w:rPr>
          <w:rFonts w:ascii="Calibri" w:eastAsia="Arial" w:hAnsi="Calibri" w:cs="Calibri"/>
        </w:rPr>
        <w:t xml:space="preserve"> hypothesis (</w:t>
      </w:r>
      <w:proofErr w:type="spellStart"/>
      <w:r w:rsidR="004A777F">
        <w:rPr>
          <w:rFonts w:ascii="Calibri" w:eastAsia="Arial" w:hAnsi="Calibri" w:cs="Calibri"/>
        </w:rPr>
        <w:t>Zawidzki</w:t>
      </w:r>
      <w:proofErr w:type="spellEnd"/>
      <w:r w:rsidR="004A777F">
        <w:rPr>
          <w:rFonts w:ascii="Calibri" w:eastAsia="Arial" w:hAnsi="Calibri" w:cs="Calibri"/>
        </w:rPr>
        <w:t xml:space="preserve">, 2013; </w:t>
      </w:r>
      <w:proofErr w:type="spellStart"/>
      <w:r w:rsidR="004A777F">
        <w:rPr>
          <w:rFonts w:ascii="Calibri" w:eastAsia="Arial" w:hAnsi="Calibri" w:cs="Calibri"/>
        </w:rPr>
        <w:t>Zawidzki</w:t>
      </w:r>
      <w:proofErr w:type="spellEnd"/>
      <w:r w:rsidR="004A777F">
        <w:rPr>
          <w:rFonts w:ascii="Calibri" w:eastAsia="Arial" w:hAnsi="Calibri" w:cs="Calibri"/>
        </w:rPr>
        <w:t xml:space="preserve"> and Tison, 2025</w:t>
      </w:r>
      <w:r w:rsidRPr="008A07B6">
        <w:rPr>
          <w:rFonts w:ascii="Calibri" w:eastAsia="Arial" w:hAnsi="Calibri" w:cs="Calibri"/>
        </w:rPr>
        <w:t>), which suggests that the large-scale coordination and joint activities characteristic of human social groups are explained by various socio-cognitive mechanisms aiming to increase behavioral homogeneity and conformity, in which norm cognition takes a central place.</w:t>
      </w:r>
    </w:p>
    <w:p w14:paraId="00000059" w14:textId="663BC90C" w:rsidR="0059079A" w:rsidRDefault="00000000">
      <w:pPr>
        <w:jc w:val="both"/>
        <w:rPr>
          <w:rFonts w:ascii="Calibri" w:eastAsia="Arial" w:hAnsi="Calibri" w:cs="Calibri"/>
        </w:rPr>
      </w:pPr>
      <w:r w:rsidRPr="008A07B6">
        <w:rPr>
          <w:rFonts w:ascii="Calibri" w:eastAsia="Arial" w:hAnsi="Calibri" w:cs="Calibri"/>
        </w:rPr>
        <w:t xml:space="preserve">This view is even in a prime position to explain the </w:t>
      </w:r>
      <w:r w:rsidR="00F27F29">
        <w:rPr>
          <w:rFonts w:ascii="Calibri" w:eastAsia="Arial" w:hAnsi="Calibri" w:cs="Calibri"/>
        </w:rPr>
        <w:t>presence</w:t>
      </w:r>
      <w:r w:rsidR="00F27F29" w:rsidRPr="008A07B6">
        <w:rPr>
          <w:rFonts w:ascii="Calibri" w:eastAsia="Arial" w:hAnsi="Calibri" w:cs="Calibri"/>
        </w:rPr>
        <w:t xml:space="preserve"> </w:t>
      </w:r>
      <w:r w:rsidRPr="008A07B6">
        <w:rPr>
          <w:rFonts w:ascii="Calibri" w:eastAsia="Arial" w:hAnsi="Calibri" w:cs="Calibri"/>
        </w:rPr>
        <w:t xml:space="preserve">of forms of proto-normative attitudes in nonhuman social species such as chimpanzees (Andrews, 2020; Fitzpatrick, 2020). Indeed, if a social species evolves the sort of social sensibility and behavioral malleability described above, we should expect it to start instantiating some mechanisms of active enforcement of the behavioral regularities found in its various social groups. Different social species might figure at different points of a continuum ranging from no active social enforcement to the pervasive normative practices characteristic of human societies. This is consistent with recent calls for a more gradualist view of social normativity across the animal kingdom (Westra et al., 2024; Andrews et al., 2024).    </w:t>
      </w:r>
    </w:p>
    <w:p w14:paraId="1688E583" w14:textId="77777777" w:rsidR="002E4FC0" w:rsidRDefault="002E4FC0">
      <w:pPr>
        <w:jc w:val="both"/>
        <w:rPr>
          <w:rFonts w:ascii="Calibri" w:eastAsia="Arial" w:hAnsi="Calibri" w:cs="Calibri"/>
        </w:rPr>
      </w:pPr>
    </w:p>
    <w:p w14:paraId="0000005A" w14:textId="7663C785" w:rsidR="0059079A" w:rsidRPr="008A07B6" w:rsidRDefault="00000000" w:rsidP="008A07B6">
      <w:pPr>
        <w:pStyle w:val="Titre1"/>
      </w:pPr>
      <w:r w:rsidRPr="008A07B6">
        <w:lastRenderedPageBreak/>
        <w:t>Conclusion</w:t>
      </w:r>
    </w:p>
    <w:p w14:paraId="0000005B" w14:textId="77777777" w:rsidR="0059079A" w:rsidRPr="008A07B6" w:rsidRDefault="0059079A">
      <w:pPr>
        <w:rPr>
          <w:rFonts w:ascii="Calibri" w:hAnsi="Calibri" w:cs="Calibri"/>
        </w:rPr>
      </w:pPr>
    </w:p>
    <w:p w14:paraId="0000005D" w14:textId="032CBE75" w:rsidR="0059079A" w:rsidRDefault="00000000">
      <w:pPr>
        <w:jc w:val="both"/>
        <w:rPr>
          <w:rFonts w:ascii="Calibri" w:hAnsi="Calibri" w:cs="Calibri"/>
        </w:rPr>
      </w:pPr>
      <w:r w:rsidRPr="008A07B6">
        <w:rPr>
          <w:rFonts w:ascii="Calibri" w:hAnsi="Calibri" w:cs="Calibri"/>
        </w:rPr>
        <w:t xml:space="preserve">In this paper, we have sketched an account of normative attitudes based on the active inference framework. This framework suggests that biological systems fundamentally aim to minimize the discrepancy between sensory inputs informing them of their state in the world and predictions issued by a generative model, which allows them to maintain themselves in states conducive to their survival, reproduction and well-being. For eminently social species such as humans, this predictive activity will be directed toward the social environment, that is, the behavior of the members of one’s social group. When the social environment instantiates a behavioral regularity, the generative models of the members of the group will come to predict this regularity, and in turn actively sculpt their social environment so as to generate social sensory input confirming this prediction. Such a social prediction therefore becomes a normative attitude, enforcing a normative regularity through the distribution of social sanctions incentivizing behavior </w:t>
      </w:r>
      <w:r w:rsidR="00F27F29">
        <w:rPr>
          <w:rFonts w:ascii="Calibri" w:hAnsi="Calibri" w:cs="Calibri"/>
        </w:rPr>
        <w:t>consistent with</w:t>
      </w:r>
      <w:r w:rsidR="00F27F29" w:rsidRPr="008A07B6">
        <w:rPr>
          <w:rFonts w:ascii="Calibri" w:hAnsi="Calibri" w:cs="Calibri"/>
        </w:rPr>
        <w:t xml:space="preserve"> </w:t>
      </w:r>
      <w:r w:rsidRPr="008A07B6">
        <w:rPr>
          <w:rFonts w:ascii="Calibri" w:hAnsi="Calibri" w:cs="Calibri"/>
        </w:rPr>
        <w:t>this predicted regularity. This account illuminates a variety of well-confirmed empirical phenomena related to normative cognition and can explain a wide range of relevant facts concerning the evolution and development of normative attitudes.</w:t>
      </w:r>
    </w:p>
    <w:p w14:paraId="31FB7651" w14:textId="77777777" w:rsidR="00AD2004" w:rsidRDefault="00AD2004">
      <w:pPr>
        <w:jc w:val="both"/>
        <w:rPr>
          <w:rFonts w:ascii="Calibri" w:hAnsi="Calibri" w:cs="Calibri"/>
        </w:rPr>
      </w:pPr>
    </w:p>
    <w:p w14:paraId="57BBAFB5" w14:textId="77777777" w:rsidR="00AD2004" w:rsidRDefault="00AD2004">
      <w:pPr>
        <w:jc w:val="both"/>
        <w:rPr>
          <w:rFonts w:ascii="Calibri" w:hAnsi="Calibri" w:cs="Calibri"/>
        </w:rPr>
      </w:pPr>
    </w:p>
    <w:p w14:paraId="55C177EF" w14:textId="77777777" w:rsidR="00A20D01" w:rsidRDefault="00A20D01">
      <w:pPr>
        <w:jc w:val="both"/>
        <w:rPr>
          <w:rFonts w:ascii="Calibri" w:hAnsi="Calibri" w:cs="Calibri"/>
        </w:rPr>
      </w:pPr>
    </w:p>
    <w:p w14:paraId="2A0D82B2" w14:textId="77777777" w:rsidR="00A20D01" w:rsidRDefault="00A20D01">
      <w:pPr>
        <w:jc w:val="both"/>
        <w:rPr>
          <w:rFonts w:ascii="Calibri" w:hAnsi="Calibri" w:cs="Calibri"/>
        </w:rPr>
      </w:pPr>
    </w:p>
    <w:p w14:paraId="4FBBC024" w14:textId="77777777" w:rsidR="00A20D01" w:rsidRDefault="00A20D01">
      <w:pPr>
        <w:jc w:val="both"/>
        <w:rPr>
          <w:rFonts w:ascii="Calibri" w:hAnsi="Calibri" w:cs="Calibri"/>
        </w:rPr>
      </w:pPr>
    </w:p>
    <w:p w14:paraId="1EA9BDF9" w14:textId="77777777" w:rsidR="00A20D01" w:rsidRDefault="00A20D01">
      <w:pPr>
        <w:jc w:val="both"/>
        <w:rPr>
          <w:rFonts w:ascii="Calibri" w:hAnsi="Calibri" w:cs="Calibri"/>
        </w:rPr>
      </w:pPr>
    </w:p>
    <w:p w14:paraId="5447E8B2" w14:textId="77777777" w:rsidR="00A20D01" w:rsidRDefault="00A20D01">
      <w:pPr>
        <w:jc w:val="both"/>
        <w:rPr>
          <w:rFonts w:ascii="Calibri" w:hAnsi="Calibri" w:cs="Calibri"/>
        </w:rPr>
      </w:pPr>
    </w:p>
    <w:p w14:paraId="32DD685D" w14:textId="77777777" w:rsidR="00A20D01" w:rsidRDefault="00A20D01">
      <w:pPr>
        <w:jc w:val="both"/>
        <w:rPr>
          <w:rFonts w:ascii="Calibri" w:hAnsi="Calibri" w:cs="Calibri"/>
        </w:rPr>
      </w:pPr>
    </w:p>
    <w:p w14:paraId="66E7EBC0" w14:textId="77777777" w:rsidR="00A20D01" w:rsidRDefault="00A20D01">
      <w:pPr>
        <w:jc w:val="both"/>
        <w:rPr>
          <w:rFonts w:ascii="Calibri" w:hAnsi="Calibri" w:cs="Calibri"/>
        </w:rPr>
      </w:pPr>
    </w:p>
    <w:p w14:paraId="023EA3D7" w14:textId="77777777" w:rsidR="00A20D01" w:rsidRDefault="00A20D01">
      <w:pPr>
        <w:jc w:val="both"/>
        <w:rPr>
          <w:rFonts w:ascii="Calibri" w:hAnsi="Calibri" w:cs="Calibri"/>
        </w:rPr>
      </w:pPr>
    </w:p>
    <w:p w14:paraId="42B64CFF" w14:textId="77777777" w:rsidR="00A20D01" w:rsidRDefault="00A20D01">
      <w:pPr>
        <w:jc w:val="both"/>
        <w:rPr>
          <w:rFonts w:ascii="Calibri" w:hAnsi="Calibri" w:cs="Calibri"/>
        </w:rPr>
      </w:pPr>
    </w:p>
    <w:p w14:paraId="16ED7563" w14:textId="77777777" w:rsidR="00AD2004" w:rsidRPr="008A07B6" w:rsidRDefault="00AD2004">
      <w:pPr>
        <w:jc w:val="both"/>
        <w:rPr>
          <w:rFonts w:ascii="Calibri" w:hAnsi="Calibri" w:cs="Calibri"/>
        </w:rPr>
      </w:pPr>
    </w:p>
    <w:p w14:paraId="0000005E" w14:textId="77777777" w:rsidR="0059079A" w:rsidRPr="008A07B6" w:rsidRDefault="00000000" w:rsidP="008A07B6">
      <w:pPr>
        <w:pStyle w:val="Titre1"/>
      </w:pPr>
      <w:bookmarkStart w:id="12" w:name="_heading=h.hjveh6d3q7a6" w:colFirst="0" w:colLast="0"/>
      <w:bookmarkEnd w:id="12"/>
      <w:r w:rsidRPr="008A07B6">
        <w:lastRenderedPageBreak/>
        <w:t xml:space="preserve"> References</w:t>
      </w:r>
    </w:p>
    <w:p w14:paraId="0000005F" w14:textId="77777777" w:rsidR="0059079A" w:rsidRPr="008A07B6" w:rsidRDefault="0059079A">
      <w:pPr>
        <w:rPr>
          <w:rFonts w:ascii="Calibri" w:hAnsi="Calibri" w:cs="Calibri"/>
        </w:rPr>
      </w:pPr>
    </w:p>
    <w:p w14:paraId="00000060"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Albarracin, M., Constant, A., Friston, K., &amp; Ramstead, M. (2021). A Variational Approach to Scripts. </w:t>
      </w:r>
      <w:r w:rsidRPr="008A07B6">
        <w:rPr>
          <w:rFonts w:ascii="Calibri" w:hAnsi="Calibri" w:cs="Calibri"/>
          <w:i/>
        </w:rPr>
        <w:t>Frontiers in Psychology</w:t>
      </w:r>
      <w:r w:rsidRPr="008A07B6">
        <w:rPr>
          <w:rFonts w:ascii="Calibri" w:hAnsi="Calibri" w:cs="Calibri"/>
        </w:rPr>
        <w:t xml:space="preserve">, </w:t>
      </w:r>
      <w:r w:rsidRPr="008A07B6">
        <w:rPr>
          <w:rFonts w:ascii="Calibri" w:hAnsi="Calibri" w:cs="Calibri"/>
          <w:i/>
        </w:rPr>
        <w:t>12</w:t>
      </w:r>
      <w:r w:rsidRPr="008A07B6">
        <w:rPr>
          <w:rFonts w:ascii="Calibri" w:hAnsi="Calibri" w:cs="Calibri"/>
        </w:rPr>
        <w:t>, 585493. https://doi.org/10.3389/fpsyg.2021.585493</w:t>
      </w:r>
    </w:p>
    <w:p w14:paraId="00000061"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Andrews, K. (2020). Naïve Normativity: The Social Foundation of Moral Cognition. </w:t>
      </w:r>
      <w:r w:rsidRPr="008A07B6">
        <w:rPr>
          <w:rFonts w:ascii="Calibri" w:hAnsi="Calibri" w:cs="Calibri"/>
          <w:i/>
        </w:rPr>
        <w:t>Journal of the American Philosophical Association</w:t>
      </w:r>
      <w:r w:rsidRPr="008A07B6">
        <w:rPr>
          <w:rFonts w:ascii="Calibri" w:hAnsi="Calibri" w:cs="Calibri"/>
        </w:rPr>
        <w:t xml:space="preserve">, </w:t>
      </w:r>
      <w:r w:rsidRPr="008A07B6">
        <w:rPr>
          <w:rFonts w:ascii="Calibri" w:hAnsi="Calibri" w:cs="Calibri"/>
          <w:i/>
        </w:rPr>
        <w:t>6</w:t>
      </w:r>
      <w:r w:rsidRPr="008A07B6">
        <w:rPr>
          <w:rFonts w:ascii="Calibri" w:hAnsi="Calibri" w:cs="Calibri"/>
        </w:rPr>
        <w:t>(1), 36–56. https://doi.org/10.1017/apa.2019.30</w:t>
      </w:r>
    </w:p>
    <w:p w14:paraId="00000062"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Andrews, K., Fitzpatrick, S., &amp; Westra, E. (2024). Human and nonhuman norms: A dimensional framework. </w:t>
      </w:r>
      <w:r w:rsidRPr="008A07B6">
        <w:rPr>
          <w:rFonts w:ascii="Calibri" w:hAnsi="Calibri" w:cs="Calibri"/>
          <w:i/>
        </w:rPr>
        <w:t>Philosophical Transactions of the Royal Society B: Biological Sciences</w:t>
      </w:r>
      <w:r w:rsidRPr="008A07B6">
        <w:rPr>
          <w:rFonts w:ascii="Calibri" w:hAnsi="Calibri" w:cs="Calibri"/>
        </w:rPr>
        <w:t xml:space="preserve">, </w:t>
      </w:r>
      <w:r w:rsidRPr="008A07B6">
        <w:rPr>
          <w:rFonts w:ascii="Calibri" w:hAnsi="Calibri" w:cs="Calibri"/>
          <w:i/>
        </w:rPr>
        <w:t>379</w:t>
      </w:r>
      <w:r w:rsidRPr="008A07B6">
        <w:rPr>
          <w:rFonts w:ascii="Calibri" w:hAnsi="Calibri" w:cs="Calibri"/>
        </w:rPr>
        <w:t>(1897), 20230026. https://doi.org/10.1098/rstb.2023.0026</w:t>
      </w:r>
    </w:p>
    <w:p w14:paraId="00000063"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Arrow, K. (1970). Political and Economic Evaluation of Social Effects and Externalities. </w:t>
      </w:r>
      <w:r w:rsidRPr="008A07B6">
        <w:rPr>
          <w:rFonts w:ascii="Calibri" w:hAnsi="Calibri" w:cs="Calibri"/>
          <w:i/>
        </w:rPr>
        <w:t>NBER Chapters</w:t>
      </w:r>
      <w:r w:rsidRPr="008A07B6">
        <w:rPr>
          <w:rFonts w:ascii="Calibri" w:hAnsi="Calibri" w:cs="Calibri"/>
        </w:rPr>
        <w:t>, 1–30.</w:t>
      </w:r>
    </w:p>
    <w:p w14:paraId="00000064"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Baumeister, R. F., &amp; Leary, M. R. (1995). The need to belong: Desire for interpersonal attachments as a fundamental human motivation. </w:t>
      </w:r>
      <w:r w:rsidRPr="008A07B6">
        <w:rPr>
          <w:rFonts w:ascii="Calibri" w:hAnsi="Calibri" w:cs="Calibri"/>
          <w:i/>
        </w:rPr>
        <w:t>Psychological Bulletin</w:t>
      </w:r>
      <w:r w:rsidRPr="008A07B6">
        <w:rPr>
          <w:rFonts w:ascii="Calibri" w:hAnsi="Calibri" w:cs="Calibri"/>
        </w:rPr>
        <w:t xml:space="preserve">, </w:t>
      </w:r>
      <w:r w:rsidRPr="008A07B6">
        <w:rPr>
          <w:rFonts w:ascii="Calibri" w:hAnsi="Calibri" w:cs="Calibri"/>
          <w:i/>
        </w:rPr>
        <w:t>117</w:t>
      </w:r>
      <w:r w:rsidRPr="008A07B6">
        <w:rPr>
          <w:rFonts w:ascii="Calibri" w:hAnsi="Calibri" w:cs="Calibri"/>
        </w:rPr>
        <w:t>(3), 497–529. https://doi.org/10.1037/0033-2909.117.3.497</w:t>
      </w:r>
    </w:p>
    <w:p w14:paraId="00000065"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Bear, A., &amp; Knobe, J. (2017). Normality: Part descriptive, part prescriptive. </w:t>
      </w:r>
      <w:r w:rsidRPr="008A07B6">
        <w:rPr>
          <w:rFonts w:ascii="Calibri" w:hAnsi="Calibri" w:cs="Calibri"/>
          <w:i/>
        </w:rPr>
        <w:t>Cognition</w:t>
      </w:r>
      <w:r w:rsidRPr="008A07B6">
        <w:rPr>
          <w:rFonts w:ascii="Calibri" w:hAnsi="Calibri" w:cs="Calibri"/>
        </w:rPr>
        <w:t xml:space="preserve">, </w:t>
      </w:r>
      <w:r w:rsidRPr="008A07B6">
        <w:rPr>
          <w:rFonts w:ascii="Calibri" w:hAnsi="Calibri" w:cs="Calibri"/>
          <w:i/>
        </w:rPr>
        <w:t>167</w:t>
      </w:r>
      <w:r w:rsidRPr="008A07B6">
        <w:rPr>
          <w:rFonts w:ascii="Calibri" w:hAnsi="Calibri" w:cs="Calibri"/>
        </w:rPr>
        <w:t>, 25–37. https://doi.org/10.1016/j.cognition.2016.10.024</w:t>
      </w:r>
    </w:p>
    <w:p w14:paraId="00000066"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Bicchieri, C. (2006). </w:t>
      </w:r>
      <w:r w:rsidRPr="008A07B6">
        <w:rPr>
          <w:rFonts w:ascii="Calibri" w:hAnsi="Calibri" w:cs="Calibri"/>
          <w:i/>
        </w:rPr>
        <w:t>The Grammar of Society: The Nature and Dynamics of Social Norms</w:t>
      </w:r>
      <w:r w:rsidRPr="008A07B6">
        <w:rPr>
          <w:rFonts w:ascii="Calibri" w:hAnsi="Calibri" w:cs="Calibri"/>
        </w:rPr>
        <w:t>. Cambridge University Press. https://doi.org/10.1017/CBO9780511616037</w:t>
      </w:r>
    </w:p>
    <w:p w14:paraId="00000067"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Bicchieri, C. (2016). </w:t>
      </w:r>
      <w:r w:rsidRPr="008A07B6">
        <w:rPr>
          <w:rFonts w:ascii="Calibri" w:hAnsi="Calibri" w:cs="Calibri"/>
          <w:i/>
        </w:rPr>
        <w:t>Norms in the Wild: How to Diagnose, Measure, and Change Social Norms</w:t>
      </w:r>
      <w:r w:rsidRPr="008A07B6">
        <w:rPr>
          <w:rFonts w:ascii="Calibri" w:hAnsi="Calibri" w:cs="Calibri"/>
        </w:rPr>
        <w:t>. Oxford University Press USA.</w:t>
      </w:r>
    </w:p>
    <w:p w14:paraId="00000068"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Bicchieri, C., &amp; McNally, P. (2018). Shrieking Sirens: Schemata, Scripts, and Social Norms. How Change Occurs. </w:t>
      </w:r>
      <w:r w:rsidRPr="008A07B6">
        <w:rPr>
          <w:rFonts w:ascii="Calibri" w:hAnsi="Calibri" w:cs="Calibri"/>
          <w:i/>
        </w:rPr>
        <w:t>Social Philosophy and Policy</w:t>
      </w:r>
      <w:r w:rsidRPr="008A07B6">
        <w:rPr>
          <w:rFonts w:ascii="Calibri" w:hAnsi="Calibri" w:cs="Calibri"/>
        </w:rPr>
        <w:t xml:space="preserve">, </w:t>
      </w:r>
      <w:r w:rsidRPr="008A07B6">
        <w:rPr>
          <w:rFonts w:ascii="Calibri" w:hAnsi="Calibri" w:cs="Calibri"/>
          <w:i/>
        </w:rPr>
        <w:t>35</w:t>
      </w:r>
      <w:r w:rsidRPr="008A07B6">
        <w:rPr>
          <w:rFonts w:ascii="Calibri" w:hAnsi="Calibri" w:cs="Calibri"/>
        </w:rPr>
        <w:t>(1), 23–53. https://doi.org/10.1017/s0265052518000079</w:t>
      </w:r>
    </w:p>
    <w:p w14:paraId="00000069" w14:textId="77777777" w:rsidR="0059079A" w:rsidRPr="008A07B6" w:rsidRDefault="00000000">
      <w:pPr>
        <w:spacing w:before="240" w:after="240" w:line="276" w:lineRule="auto"/>
        <w:rPr>
          <w:rFonts w:ascii="Calibri" w:hAnsi="Calibri" w:cs="Calibri"/>
          <w:lang w:val="fr-CA"/>
        </w:rPr>
      </w:pPr>
      <w:r w:rsidRPr="008A07B6">
        <w:rPr>
          <w:rFonts w:ascii="Calibri" w:hAnsi="Calibri" w:cs="Calibri"/>
        </w:rPr>
        <w:t xml:space="preserve">Bornstein, R. F. (1989). Exposure and affect: Overview and meta-analysis of research, 1968–1987. </w:t>
      </w:r>
      <w:proofErr w:type="spellStart"/>
      <w:r w:rsidRPr="008A07B6">
        <w:rPr>
          <w:rFonts w:ascii="Calibri" w:hAnsi="Calibri" w:cs="Calibri"/>
          <w:i/>
          <w:lang w:val="fr-CA"/>
        </w:rPr>
        <w:t>Psychological</w:t>
      </w:r>
      <w:proofErr w:type="spellEnd"/>
      <w:r w:rsidRPr="008A07B6">
        <w:rPr>
          <w:rFonts w:ascii="Calibri" w:hAnsi="Calibri" w:cs="Calibri"/>
          <w:i/>
          <w:lang w:val="fr-CA"/>
        </w:rPr>
        <w:t xml:space="preserve"> Bulletin</w:t>
      </w:r>
      <w:r w:rsidRPr="008A07B6">
        <w:rPr>
          <w:rFonts w:ascii="Calibri" w:hAnsi="Calibri" w:cs="Calibri"/>
          <w:lang w:val="fr-CA"/>
        </w:rPr>
        <w:t xml:space="preserve">, </w:t>
      </w:r>
      <w:r w:rsidRPr="008A07B6">
        <w:rPr>
          <w:rFonts w:ascii="Calibri" w:hAnsi="Calibri" w:cs="Calibri"/>
          <w:i/>
          <w:lang w:val="fr-CA"/>
        </w:rPr>
        <w:t>106</w:t>
      </w:r>
      <w:r w:rsidRPr="008A07B6">
        <w:rPr>
          <w:rFonts w:ascii="Calibri" w:hAnsi="Calibri" w:cs="Calibri"/>
          <w:lang w:val="fr-CA"/>
        </w:rPr>
        <w:t>(2), 265–289. https://doi.org/10.1037/0033-2909.106.2.265</w:t>
      </w:r>
    </w:p>
    <w:p w14:paraId="0000006A" w14:textId="77777777" w:rsidR="0059079A" w:rsidRPr="008A07B6" w:rsidRDefault="00000000">
      <w:pPr>
        <w:spacing w:before="240" w:after="240" w:line="276" w:lineRule="auto"/>
        <w:rPr>
          <w:rFonts w:ascii="Calibri" w:hAnsi="Calibri" w:cs="Calibri"/>
        </w:rPr>
      </w:pPr>
      <w:proofErr w:type="spellStart"/>
      <w:r w:rsidRPr="008A07B6">
        <w:rPr>
          <w:rFonts w:ascii="Calibri" w:hAnsi="Calibri" w:cs="Calibri"/>
          <w:lang w:val="fr-CA"/>
        </w:rPr>
        <w:lastRenderedPageBreak/>
        <w:t>Bornstein</w:t>
      </w:r>
      <w:proofErr w:type="spellEnd"/>
      <w:r w:rsidRPr="008A07B6">
        <w:rPr>
          <w:rFonts w:ascii="Calibri" w:hAnsi="Calibri" w:cs="Calibri"/>
          <w:lang w:val="fr-CA"/>
        </w:rPr>
        <w:t xml:space="preserve">, R. F., &amp; </w:t>
      </w:r>
      <w:proofErr w:type="spellStart"/>
      <w:r w:rsidRPr="008A07B6">
        <w:rPr>
          <w:rFonts w:ascii="Calibri" w:hAnsi="Calibri" w:cs="Calibri"/>
          <w:lang w:val="fr-CA"/>
        </w:rPr>
        <w:t>Craver-Lemley</w:t>
      </w:r>
      <w:proofErr w:type="spellEnd"/>
      <w:r w:rsidRPr="008A07B6">
        <w:rPr>
          <w:rFonts w:ascii="Calibri" w:hAnsi="Calibri" w:cs="Calibri"/>
          <w:lang w:val="fr-CA"/>
        </w:rPr>
        <w:t xml:space="preserve">, C. (2017). </w:t>
      </w:r>
      <w:r w:rsidRPr="008A07B6">
        <w:rPr>
          <w:rFonts w:ascii="Calibri" w:hAnsi="Calibri" w:cs="Calibri"/>
        </w:rPr>
        <w:t xml:space="preserve">Mere exposure effect. In </w:t>
      </w:r>
      <w:r w:rsidRPr="008A07B6">
        <w:rPr>
          <w:rFonts w:ascii="Calibri" w:hAnsi="Calibri" w:cs="Calibri"/>
          <w:i/>
        </w:rPr>
        <w:t>Cognitive illusions: Intriguing phenomena in thinking, judgment and memory, 2nd ed</w:t>
      </w:r>
      <w:r w:rsidRPr="008A07B6">
        <w:rPr>
          <w:rFonts w:ascii="Calibri" w:hAnsi="Calibri" w:cs="Calibri"/>
        </w:rPr>
        <w:t xml:space="preserve"> (pp. 256–275). Routledge/Taylor &amp; Francis Group.</w:t>
      </w:r>
    </w:p>
    <w:p w14:paraId="0000006B" w14:textId="7992F760" w:rsidR="0059079A" w:rsidRPr="00A20D01" w:rsidRDefault="00000000">
      <w:pPr>
        <w:spacing w:before="240" w:after="240" w:line="276" w:lineRule="auto"/>
        <w:rPr>
          <w:rFonts w:ascii="Calibri" w:hAnsi="Calibri" w:cs="Calibri"/>
        </w:rPr>
      </w:pPr>
      <w:proofErr w:type="spellStart"/>
      <w:r w:rsidRPr="008A07B6">
        <w:rPr>
          <w:rFonts w:ascii="Calibri" w:hAnsi="Calibri" w:cs="Calibri"/>
        </w:rPr>
        <w:t>Bouizegarene</w:t>
      </w:r>
      <w:proofErr w:type="spellEnd"/>
      <w:r w:rsidRPr="008A07B6">
        <w:rPr>
          <w:rFonts w:ascii="Calibri" w:hAnsi="Calibri" w:cs="Calibri"/>
        </w:rPr>
        <w:t xml:space="preserve">, N., Ramstead, M., Constant, A., Friston, K., &amp; </w:t>
      </w:r>
      <w:proofErr w:type="spellStart"/>
      <w:r w:rsidRPr="008A07B6">
        <w:rPr>
          <w:rFonts w:ascii="Calibri" w:hAnsi="Calibri" w:cs="Calibri"/>
        </w:rPr>
        <w:t>Kirmayer</w:t>
      </w:r>
      <w:proofErr w:type="spellEnd"/>
      <w:r w:rsidRPr="008A07B6">
        <w:rPr>
          <w:rFonts w:ascii="Calibri" w:hAnsi="Calibri" w:cs="Calibri"/>
        </w:rPr>
        <w:t xml:space="preserve">, L. (2024). Narrative as active inference: An integrative account of cognitive and social functions in adaptation. </w:t>
      </w:r>
      <w:r w:rsidRPr="00A20D01">
        <w:rPr>
          <w:rFonts w:ascii="Calibri" w:hAnsi="Calibri" w:cs="Calibri"/>
          <w:i/>
        </w:rPr>
        <w:t>Frontiers in Psychology</w:t>
      </w:r>
      <w:r w:rsidRPr="00A20D01">
        <w:rPr>
          <w:rFonts w:ascii="Calibri" w:hAnsi="Calibri" w:cs="Calibri"/>
        </w:rPr>
        <w:t xml:space="preserve">, </w:t>
      </w:r>
      <w:r w:rsidRPr="00A20D01">
        <w:rPr>
          <w:rFonts w:ascii="Calibri" w:hAnsi="Calibri" w:cs="Calibri"/>
          <w:i/>
        </w:rPr>
        <w:t>15</w:t>
      </w:r>
      <w:r w:rsidRPr="00A20D01">
        <w:rPr>
          <w:rFonts w:ascii="Calibri" w:hAnsi="Calibri" w:cs="Calibri"/>
        </w:rPr>
        <w:t xml:space="preserve">, 1–19. </w:t>
      </w:r>
    </w:p>
    <w:p w14:paraId="393C70E1" w14:textId="6AC3903F" w:rsidR="00267893" w:rsidRPr="00267893" w:rsidRDefault="00267893">
      <w:pPr>
        <w:spacing w:before="240" w:after="240" w:line="276" w:lineRule="auto"/>
        <w:rPr>
          <w:rFonts w:ascii="Calibri" w:hAnsi="Calibri" w:cs="Calibri"/>
        </w:rPr>
      </w:pPr>
      <w:r w:rsidRPr="00A20D01">
        <w:rPr>
          <w:rFonts w:ascii="Calibri" w:hAnsi="Calibri" w:cs="Calibri"/>
        </w:rPr>
        <w:t xml:space="preserve">Boyd, R., &amp; Richerson, P. J. (1994). </w:t>
      </w:r>
      <w:r w:rsidRPr="00267893">
        <w:rPr>
          <w:rFonts w:ascii="Calibri" w:hAnsi="Calibri" w:cs="Calibri"/>
        </w:rPr>
        <w:t>The evolution of norms: An anthropological view. </w:t>
      </w:r>
      <w:r w:rsidRPr="00267893">
        <w:rPr>
          <w:rFonts w:ascii="Calibri" w:hAnsi="Calibri" w:cs="Calibri"/>
          <w:i/>
          <w:iCs/>
        </w:rPr>
        <w:t>Journal of Institutional and Theoretical Economics (JITE)/</w:t>
      </w:r>
      <w:proofErr w:type="spellStart"/>
      <w:r w:rsidRPr="00267893">
        <w:rPr>
          <w:rFonts w:ascii="Calibri" w:hAnsi="Calibri" w:cs="Calibri"/>
          <w:i/>
          <w:iCs/>
        </w:rPr>
        <w:t>Zeitschrift</w:t>
      </w:r>
      <w:proofErr w:type="spellEnd"/>
      <w:r w:rsidRPr="00267893">
        <w:rPr>
          <w:rFonts w:ascii="Calibri" w:hAnsi="Calibri" w:cs="Calibri"/>
          <w:i/>
          <w:iCs/>
        </w:rPr>
        <w:t xml:space="preserve"> für die </w:t>
      </w:r>
      <w:proofErr w:type="spellStart"/>
      <w:r w:rsidRPr="00267893">
        <w:rPr>
          <w:rFonts w:ascii="Calibri" w:hAnsi="Calibri" w:cs="Calibri"/>
          <w:i/>
          <w:iCs/>
        </w:rPr>
        <w:t>gesamte</w:t>
      </w:r>
      <w:proofErr w:type="spellEnd"/>
      <w:r w:rsidRPr="00267893">
        <w:rPr>
          <w:rFonts w:ascii="Calibri" w:hAnsi="Calibri" w:cs="Calibri"/>
          <w:i/>
          <w:iCs/>
        </w:rPr>
        <w:t xml:space="preserve"> </w:t>
      </w:r>
      <w:proofErr w:type="spellStart"/>
      <w:r w:rsidRPr="00267893">
        <w:rPr>
          <w:rFonts w:ascii="Calibri" w:hAnsi="Calibri" w:cs="Calibri"/>
          <w:i/>
          <w:iCs/>
        </w:rPr>
        <w:t>Staatswissenschaft</w:t>
      </w:r>
      <w:proofErr w:type="spellEnd"/>
      <w:r w:rsidRPr="00267893">
        <w:rPr>
          <w:rFonts w:ascii="Calibri" w:hAnsi="Calibri" w:cs="Calibri"/>
        </w:rPr>
        <w:t>, 72-87.</w:t>
      </w:r>
    </w:p>
    <w:p w14:paraId="6387A1D9" w14:textId="633311BD" w:rsidR="00EF0358" w:rsidRDefault="00EF0358">
      <w:pPr>
        <w:spacing w:before="240" w:after="240" w:line="276" w:lineRule="auto"/>
        <w:rPr>
          <w:rFonts w:ascii="Calibri" w:hAnsi="Calibri" w:cs="Calibri"/>
        </w:rPr>
      </w:pPr>
      <w:r w:rsidRPr="00C05388">
        <w:rPr>
          <w:rFonts w:ascii="Calibri" w:hAnsi="Calibri" w:cs="Calibri"/>
        </w:rPr>
        <w:t xml:space="preserve">Boyd, R., &amp; Richerson, P. J. (2001). </w:t>
      </w:r>
      <w:r w:rsidRPr="00EF0358">
        <w:rPr>
          <w:rFonts w:ascii="Calibri" w:hAnsi="Calibri" w:cs="Calibri"/>
        </w:rPr>
        <w:t>Norms and bounded rationality. In</w:t>
      </w:r>
      <w:r>
        <w:rPr>
          <w:rFonts w:ascii="Calibri" w:hAnsi="Calibri" w:cs="Calibri"/>
        </w:rPr>
        <w:t xml:space="preserve"> </w:t>
      </w:r>
      <w:r w:rsidRPr="00EF0358">
        <w:rPr>
          <w:rFonts w:ascii="Calibri" w:hAnsi="Calibri" w:cs="Calibri"/>
        </w:rPr>
        <w:t xml:space="preserve">G. </w:t>
      </w:r>
      <w:proofErr w:type="spellStart"/>
      <w:r w:rsidRPr="00EF0358">
        <w:rPr>
          <w:rFonts w:ascii="Calibri" w:hAnsi="Calibri" w:cs="Calibri"/>
        </w:rPr>
        <w:t>Gigerenzer</w:t>
      </w:r>
      <w:proofErr w:type="spellEnd"/>
      <w:r w:rsidRPr="00EF0358">
        <w:rPr>
          <w:rFonts w:ascii="Calibri" w:hAnsi="Calibri" w:cs="Calibri"/>
        </w:rPr>
        <w:t xml:space="preserve"> &amp; R. </w:t>
      </w:r>
      <w:proofErr w:type="spellStart"/>
      <w:r w:rsidRPr="00EF0358">
        <w:rPr>
          <w:rFonts w:ascii="Calibri" w:hAnsi="Calibri" w:cs="Calibri"/>
        </w:rPr>
        <w:t>Selten</w:t>
      </w:r>
      <w:proofErr w:type="spellEnd"/>
      <w:r w:rsidRPr="00EF0358">
        <w:rPr>
          <w:rFonts w:ascii="Calibri" w:hAnsi="Calibri" w:cs="Calibri"/>
        </w:rPr>
        <w:t xml:space="preserve"> (Eds.)</w:t>
      </w:r>
      <w:r>
        <w:rPr>
          <w:rFonts w:ascii="Calibri" w:hAnsi="Calibri" w:cs="Calibri"/>
        </w:rPr>
        <w:t>,</w:t>
      </w:r>
      <w:r w:rsidRPr="00EF0358">
        <w:rPr>
          <w:rFonts w:ascii="Calibri" w:hAnsi="Calibri" w:cs="Calibri"/>
        </w:rPr>
        <w:t xml:space="preserve"> </w:t>
      </w:r>
      <w:r w:rsidRPr="00EF0358">
        <w:rPr>
          <w:rFonts w:ascii="Calibri" w:hAnsi="Calibri" w:cs="Calibri"/>
          <w:i/>
          <w:iCs/>
        </w:rPr>
        <w:t>Bounded rationality: The adaptive toolbox</w:t>
      </w:r>
      <w:r w:rsidRPr="00EF0358">
        <w:rPr>
          <w:rFonts w:ascii="Calibri" w:hAnsi="Calibri" w:cs="Calibri"/>
        </w:rPr>
        <w:t xml:space="preserve"> (pp. 181–296). The MIT Press.</w:t>
      </w:r>
    </w:p>
    <w:p w14:paraId="261E9820" w14:textId="78655C02" w:rsidR="00EF0358" w:rsidRPr="008A07B6" w:rsidRDefault="00EF0358">
      <w:pPr>
        <w:spacing w:before="240" w:after="240" w:line="276" w:lineRule="auto"/>
        <w:rPr>
          <w:rFonts w:ascii="Calibri" w:hAnsi="Calibri" w:cs="Calibri"/>
        </w:rPr>
      </w:pPr>
      <w:r w:rsidRPr="00EF0358">
        <w:rPr>
          <w:rFonts w:ascii="Calibri" w:hAnsi="Calibri" w:cs="Calibri"/>
        </w:rPr>
        <w:t xml:space="preserve">Boyd, R., &amp; Richerson, P. J. (2002). Group Beneficial Norms Can Spread Rapidly in a Structured Population. </w:t>
      </w:r>
      <w:r w:rsidRPr="00EF0358">
        <w:rPr>
          <w:rFonts w:ascii="Calibri" w:hAnsi="Calibri" w:cs="Calibri"/>
          <w:i/>
          <w:iCs/>
        </w:rPr>
        <w:t>Journal of Theoretical Biology</w:t>
      </w:r>
      <w:r w:rsidRPr="00EF0358">
        <w:rPr>
          <w:rFonts w:ascii="Calibri" w:hAnsi="Calibri" w:cs="Calibri"/>
        </w:rPr>
        <w:t xml:space="preserve">, </w:t>
      </w:r>
      <w:r w:rsidRPr="00EF0358">
        <w:rPr>
          <w:rFonts w:ascii="Calibri" w:hAnsi="Calibri" w:cs="Calibri"/>
          <w:i/>
          <w:iCs/>
        </w:rPr>
        <w:t>215</w:t>
      </w:r>
      <w:r w:rsidRPr="00EF0358">
        <w:rPr>
          <w:rFonts w:ascii="Calibri" w:hAnsi="Calibri" w:cs="Calibri"/>
        </w:rPr>
        <w:t xml:space="preserve">(3), 287–296. </w:t>
      </w:r>
      <w:hyperlink r:id="rId8" w:history="1">
        <w:r w:rsidRPr="00EF0358">
          <w:rPr>
            <w:rStyle w:val="Hyperlien"/>
            <w:rFonts w:ascii="Calibri" w:hAnsi="Calibri" w:cs="Calibri"/>
          </w:rPr>
          <w:t>https://doi.org/10.1006/jtbi.2001.2515</w:t>
        </w:r>
      </w:hyperlink>
    </w:p>
    <w:p w14:paraId="0000006C"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Brandom, R. B. (1994). </w:t>
      </w:r>
      <w:r w:rsidRPr="008A07B6">
        <w:rPr>
          <w:rFonts w:ascii="Calibri" w:hAnsi="Calibri" w:cs="Calibri"/>
          <w:i/>
        </w:rPr>
        <w:t>Making It Explicit: Reasoning, Representing, and Discursive Commitment</w:t>
      </w:r>
      <w:r w:rsidRPr="008A07B6">
        <w:rPr>
          <w:rFonts w:ascii="Calibri" w:hAnsi="Calibri" w:cs="Calibri"/>
        </w:rPr>
        <w:t>. Harvard University Press.</w:t>
      </w:r>
    </w:p>
    <w:p w14:paraId="0000006D" w14:textId="77777777" w:rsidR="0059079A" w:rsidRPr="008A07B6" w:rsidRDefault="00000000">
      <w:pPr>
        <w:spacing w:before="240" w:after="240" w:line="276" w:lineRule="auto"/>
        <w:rPr>
          <w:rFonts w:ascii="Calibri" w:hAnsi="Calibri" w:cs="Calibri"/>
        </w:rPr>
      </w:pPr>
      <w:proofErr w:type="spellStart"/>
      <w:r w:rsidRPr="008A07B6">
        <w:rPr>
          <w:rFonts w:ascii="Calibri" w:hAnsi="Calibri" w:cs="Calibri"/>
        </w:rPr>
        <w:t>Bruineberg</w:t>
      </w:r>
      <w:proofErr w:type="spellEnd"/>
      <w:r w:rsidRPr="008A07B6">
        <w:rPr>
          <w:rFonts w:ascii="Calibri" w:hAnsi="Calibri" w:cs="Calibri"/>
        </w:rPr>
        <w:t xml:space="preserve">, J., Rietveld, E., Parr, T., van Maanen, L., &amp; Friston, K. J. (2018). Free-energy minimization in joint agent-environment systems: A niche construction perspective. </w:t>
      </w:r>
      <w:r w:rsidRPr="008A07B6">
        <w:rPr>
          <w:rFonts w:ascii="Calibri" w:hAnsi="Calibri" w:cs="Calibri"/>
          <w:i/>
        </w:rPr>
        <w:t>Journal of Theoretical Biology</w:t>
      </w:r>
      <w:r w:rsidRPr="008A07B6">
        <w:rPr>
          <w:rFonts w:ascii="Calibri" w:hAnsi="Calibri" w:cs="Calibri"/>
        </w:rPr>
        <w:t xml:space="preserve">, </w:t>
      </w:r>
      <w:r w:rsidRPr="008A07B6">
        <w:rPr>
          <w:rFonts w:ascii="Calibri" w:hAnsi="Calibri" w:cs="Calibri"/>
          <w:i/>
        </w:rPr>
        <w:t>455</w:t>
      </w:r>
      <w:r w:rsidRPr="008A07B6">
        <w:rPr>
          <w:rFonts w:ascii="Calibri" w:hAnsi="Calibri" w:cs="Calibri"/>
        </w:rPr>
        <w:t>, 161–178. https://doi.org/10.1016/j.jtbi.2018.07.002</w:t>
      </w:r>
    </w:p>
    <w:p w14:paraId="0000006E"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Buckley, C. L., Kim, C. S., McGregor, S., &amp; Seth, A. K. (2017). The free energy principle for action and perception: A mathematical review. </w:t>
      </w:r>
      <w:r w:rsidRPr="008A07B6">
        <w:rPr>
          <w:rFonts w:ascii="Calibri" w:hAnsi="Calibri" w:cs="Calibri"/>
          <w:i/>
        </w:rPr>
        <w:t>Journal of Mathematical Psychology</w:t>
      </w:r>
      <w:r w:rsidRPr="008A07B6">
        <w:rPr>
          <w:rFonts w:ascii="Calibri" w:hAnsi="Calibri" w:cs="Calibri"/>
        </w:rPr>
        <w:t xml:space="preserve">, </w:t>
      </w:r>
      <w:r w:rsidRPr="008A07B6">
        <w:rPr>
          <w:rFonts w:ascii="Calibri" w:hAnsi="Calibri" w:cs="Calibri"/>
          <w:i/>
        </w:rPr>
        <w:t>81</w:t>
      </w:r>
      <w:r w:rsidRPr="008A07B6">
        <w:rPr>
          <w:rFonts w:ascii="Calibri" w:hAnsi="Calibri" w:cs="Calibri"/>
        </w:rPr>
        <w:t>, 55–79. https://doi.org/10.1016/j.jmp.2017.09.004</w:t>
      </w:r>
    </w:p>
    <w:p w14:paraId="0000006F"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Casler, K., </w:t>
      </w:r>
      <w:proofErr w:type="spellStart"/>
      <w:r w:rsidRPr="008A07B6">
        <w:rPr>
          <w:rFonts w:ascii="Calibri" w:hAnsi="Calibri" w:cs="Calibri"/>
        </w:rPr>
        <w:t>Terziyan</w:t>
      </w:r>
      <w:proofErr w:type="spellEnd"/>
      <w:r w:rsidRPr="008A07B6">
        <w:rPr>
          <w:rFonts w:ascii="Calibri" w:hAnsi="Calibri" w:cs="Calibri"/>
        </w:rPr>
        <w:t xml:space="preserve">, T., &amp; Greene, K. (2009). Toddlers view artifact function normatively. </w:t>
      </w:r>
      <w:r w:rsidRPr="008A07B6">
        <w:rPr>
          <w:rFonts w:ascii="Calibri" w:hAnsi="Calibri" w:cs="Calibri"/>
          <w:i/>
        </w:rPr>
        <w:t>Cognitive Development</w:t>
      </w:r>
      <w:r w:rsidRPr="008A07B6">
        <w:rPr>
          <w:rFonts w:ascii="Calibri" w:hAnsi="Calibri" w:cs="Calibri"/>
        </w:rPr>
        <w:t xml:space="preserve">, </w:t>
      </w:r>
      <w:r w:rsidRPr="008A07B6">
        <w:rPr>
          <w:rFonts w:ascii="Calibri" w:hAnsi="Calibri" w:cs="Calibri"/>
          <w:i/>
        </w:rPr>
        <w:t>24</w:t>
      </w:r>
      <w:r w:rsidRPr="008A07B6">
        <w:rPr>
          <w:rFonts w:ascii="Calibri" w:hAnsi="Calibri" w:cs="Calibri"/>
        </w:rPr>
        <w:t>(3), 240–247. https://doi.org/10.1016/j.cogdev.2009.03.005</w:t>
      </w:r>
    </w:p>
    <w:p w14:paraId="00000070" w14:textId="77777777" w:rsidR="0059079A" w:rsidRPr="008A07B6" w:rsidRDefault="00000000">
      <w:pPr>
        <w:spacing w:before="240" w:after="240" w:line="276" w:lineRule="auto"/>
        <w:rPr>
          <w:rFonts w:ascii="Calibri" w:hAnsi="Calibri" w:cs="Calibri"/>
        </w:rPr>
      </w:pPr>
      <w:proofErr w:type="spellStart"/>
      <w:r w:rsidRPr="008A07B6">
        <w:rPr>
          <w:rFonts w:ascii="Calibri" w:hAnsi="Calibri" w:cs="Calibri"/>
        </w:rPr>
        <w:t>Chellappoo</w:t>
      </w:r>
      <w:proofErr w:type="spellEnd"/>
      <w:r w:rsidRPr="008A07B6">
        <w:rPr>
          <w:rFonts w:ascii="Calibri" w:hAnsi="Calibri" w:cs="Calibri"/>
        </w:rPr>
        <w:t xml:space="preserve">, A. (2021). Rethinking prestige bias. </w:t>
      </w:r>
      <w:proofErr w:type="spellStart"/>
      <w:r w:rsidRPr="008A07B6">
        <w:rPr>
          <w:rFonts w:ascii="Calibri" w:hAnsi="Calibri" w:cs="Calibri"/>
          <w:i/>
        </w:rPr>
        <w:t>Synthese</w:t>
      </w:r>
      <w:proofErr w:type="spellEnd"/>
      <w:r w:rsidRPr="008A07B6">
        <w:rPr>
          <w:rFonts w:ascii="Calibri" w:hAnsi="Calibri" w:cs="Calibri"/>
        </w:rPr>
        <w:t xml:space="preserve">, </w:t>
      </w:r>
      <w:r w:rsidRPr="008A07B6">
        <w:rPr>
          <w:rFonts w:ascii="Calibri" w:hAnsi="Calibri" w:cs="Calibri"/>
          <w:i/>
        </w:rPr>
        <w:t>198</w:t>
      </w:r>
      <w:r w:rsidRPr="008A07B6">
        <w:rPr>
          <w:rFonts w:ascii="Calibri" w:hAnsi="Calibri" w:cs="Calibri"/>
        </w:rPr>
        <w:t>(9), 8191–8212. https://doi.org/10.1007/s11229-020-02565-8</w:t>
      </w:r>
    </w:p>
    <w:p w14:paraId="00000071"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Cheng, J. T., Tracy, J. L., </w:t>
      </w:r>
      <w:proofErr w:type="spellStart"/>
      <w:r w:rsidRPr="008A07B6">
        <w:rPr>
          <w:rFonts w:ascii="Calibri" w:hAnsi="Calibri" w:cs="Calibri"/>
        </w:rPr>
        <w:t>Foulsham</w:t>
      </w:r>
      <w:proofErr w:type="spellEnd"/>
      <w:r w:rsidRPr="008A07B6">
        <w:rPr>
          <w:rFonts w:ascii="Calibri" w:hAnsi="Calibri" w:cs="Calibri"/>
        </w:rPr>
        <w:t xml:space="preserve">, T., Kingstone, A., &amp; Henrich, J. (2013). Two ways to the top: Evidence that dominance and prestige are distinct yet viable avenues to social rank and influence. </w:t>
      </w:r>
      <w:r w:rsidRPr="008A07B6">
        <w:rPr>
          <w:rFonts w:ascii="Calibri" w:hAnsi="Calibri" w:cs="Calibri"/>
          <w:i/>
        </w:rPr>
        <w:t>Journal of Personality and Social Psychology</w:t>
      </w:r>
      <w:r w:rsidRPr="008A07B6">
        <w:rPr>
          <w:rFonts w:ascii="Calibri" w:hAnsi="Calibri" w:cs="Calibri"/>
        </w:rPr>
        <w:t xml:space="preserve">, </w:t>
      </w:r>
      <w:r w:rsidRPr="008A07B6">
        <w:rPr>
          <w:rFonts w:ascii="Calibri" w:hAnsi="Calibri" w:cs="Calibri"/>
          <w:i/>
        </w:rPr>
        <w:t>104</w:t>
      </w:r>
      <w:r w:rsidRPr="008A07B6">
        <w:rPr>
          <w:rFonts w:ascii="Calibri" w:hAnsi="Calibri" w:cs="Calibri"/>
        </w:rPr>
        <w:t>, 103–125. https://doi.org/10.1037/a0030398</w:t>
      </w:r>
    </w:p>
    <w:p w14:paraId="00000072" w14:textId="77777777" w:rsidR="0059079A" w:rsidRPr="008A07B6" w:rsidRDefault="00000000">
      <w:pPr>
        <w:spacing w:before="240" w:after="240" w:line="276" w:lineRule="auto"/>
        <w:rPr>
          <w:rFonts w:ascii="Calibri" w:hAnsi="Calibri" w:cs="Calibri"/>
        </w:rPr>
      </w:pPr>
      <w:r w:rsidRPr="008A07B6">
        <w:rPr>
          <w:rFonts w:ascii="Calibri" w:hAnsi="Calibri" w:cs="Calibri"/>
        </w:rPr>
        <w:lastRenderedPageBreak/>
        <w:t xml:space="preserve">Chudek, M., Heller, S., Birch, S., &amp; Henrich, J. (2012). Prestige-biased cultural learning: Bystander’s differential attention to potential models influences children’s learning. </w:t>
      </w:r>
      <w:r w:rsidRPr="008A07B6">
        <w:rPr>
          <w:rFonts w:ascii="Calibri" w:hAnsi="Calibri" w:cs="Calibri"/>
          <w:i/>
        </w:rPr>
        <w:t>Evolution and Human Behavior</w:t>
      </w:r>
      <w:r w:rsidRPr="008A07B6">
        <w:rPr>
          <w:rFonts w:ascii="Calibri" w:hAnsi="Calibri" w:cs="Calibri"/>
        </w:rPr>
        <w:t xml:space="preserve">, </w:t>
      </w:r>
      <w:r w:rsidRPr="008A07B6">
        <w:rPr>
          <w:rFonts w:ascii="Calibri" w:hAnsi="Calibri" w:cs="Calibri"/>
          <w:i/>
        </w:rPr>
        <w:t>33</w:t>
      </w:r>
      <w:r w:rsidRPr="008A07B6">
        <w:rPr>
          <w:rFonts w:ascii="Calibri" w:hAnsi="Calibri" w:cs="Calibri"/>
        </w:rPr>
        <w:t>, 46–56. https://doi.org/10.1016/j.evolhumbehav.2011.05.005</w:t>
      </w:r>
    </w:p>
    <w:p w14:paraId="00000073"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Clark, A. (2013). Whatever Next? Predictive Brains, Situated Agents, and the Future of Cognitive Science. </w:t>
      </w:r>
      <w:r w:rsidRPr="008A07B6">
        <w:rPr>
          <w:rFonts w:ascii="Calibri" w:hAnsi="Calibri" w:cs="Calibri"/>
          <w:i/>
        </w:rPr>
        <w:t>Behavioral and Brain Sciences</w:t>
      </w:r>
      <w:r w:rsidRPr="008A07B6">
        <w:rPr>
          <w:rFonts w:ascii="Calibri" w:hAnsi="Calibri" w:cs="Calibri"/>
        </w:rPr>
        <w:t xml:space="preserve">, </w:t>
      </w:r>
      <w:r w:rsidRPr="008A07B6">
        <w:rPr>
          <w:rFonts w:ascii="Calibri" w:hAnsi="Calibri" w:cs="Calibri"/>
          <w:i/>
        </w:rPr>
        <w:t>36</w:t>
      </w:r>
      <w:r w:rsidRPr="008A07B6">
        <w:rPr>
          <w:rFonts w:ascii="Calibri" w:hAnsi="Calibri" w:cs="Calibri"/>
        </w:rPr>
        <w:t>(3), 181–204. https://doi.org/10.1017/s0140525x12000477</w:t>
      </w:r>
    </w:p>
    <w:p w14:paraId="00000074"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Clark, A. (2020). Beyond Desire? Agency, Choice, and the Predictive Mind. </w:t>
      </w:r>
      <w:r w:rsidRPr="008A07B6">
        <w:rPr>
          <w:rFonts w:ascii="Calibri" w:hAnsi="Calibri" w:cs="Calibri"/>
          <w:i/>
        </w:rPr>
        <w:t>Australasian Journal of Philosophy</w:t>
      </w:r>
      <w:r w:rsidRPr="008A07B6">
        <w:rPr>
          <w:rFonts w:ascii="Calibri" w:hAnsi="Calibri" w:cs="Calibri"/>
        </w:rPr>
        <w:t xml:space="preserve">, </w:t>
      </w:r>
      <w:r w:rsidRPr="008A07B6">
        <w:rPr>
          <w:rFonts w:ascii="Calibri" w:hAnsi="Calibri" w:cs="Calibri"/>
          <w:i/>
        </w:rPr>
        <w:t>98</w:t>
      </w:r>
      <w:r w:rsidRPr="008A07B6">
        <w:rPr>
          <w:rFonts w:ascii="Calibri" w:hAnsi="Calibri" w:cs="Calibri"/>
        </w:rPr>
        <w:t>(1), 1–15. https://doi.org/10.1080/00048402.2019.1602661</w:t>
      </w:r>
    </w:p>
    <w:p w14:paraId="00000075"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Constant, A., Clark, A., Kirchhoff, M., &amp; Friston, K. J. (2020). Extended Active Inference: Constructing Predictive Cognition Beyond Skulls. </w:t>
      </w:r>
      <w:r w:rsidRPr="008A07B6">
        <w:rPr>
          <w:rFonts w:ascii="Calibri" w:hAnsi="Calibri" w:cs="Calibri"/>
          <w:i/>
        </w:rPr>
        <w:t>Mind and Language</w:t>
      </w:r>
      <w:r w:rsidRPr="008A07B6">
        <w:rPr>
          <w:rFonts w:ascii="Calibri" w:hAnsi="Calibri" w:cs="Calibri"/>
        </w:rPr>
        <w:t>. https://doi.org/10.1111/mila.12330</w:t>
      </w:r>
    </w:p>
    <w:p w14:paraId="00000076"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Constant, A., Ramstead, M. J. D., </w:t>
      </w:r>
      <w:proofErr w:type="spellStart"/>
      <w:r w:rsidRPr="008A07B6">
        <w:rPr>
          <w:rFonts w:ascii="Calibri" w:hAnsi="Calibri" w:cs="Calibri"/>
        </w:rPr>
        <w:t>Veissière</w:t>
      </w:r>
      <w:proofErr w:type="spellEnd"/>
      <w:r w:rsidRPr="008A07B6">
        <w:rPr>
          <w:rFonts w:ascii="Calibri" w:hAnsi="Calibri" w:cs="Calibri"/>
        </w:rPr>
        <w:t xml:space="preserve">, S. P. L., &amp; Friston, K. (2019). Regimes of Expectations: An Active Inference Model of Social Conformity and Human Decision Making. </w:t>
      </w:r>
      <w:r w:rsidRPr="008A07B6">
        <w:rPr>
          <w:rFonts w:ascii="Calibri" w:hAnsi="Calibri" w:cs="Calibri"/>
          <w:i/>
        </w:rPr>
        <w:t>Frontiers in Psychology</w:t>
      </w:r>
      <w:r w:rsidRPr="008A07B6">
        <w:rPr>
          <w:rFonts w:ascii="Calibri" w:hAnsi="Calibri" w:cs="Calibri"/>
        </w:rPr>
        <w:t xml:space="preserve">, </w:t>
      </w:r>
      <w:r w:rsidRPr="008A07B6">
        <w:rPr>
          <w:rFonts w:ascii="Calibri" w:hAnsi="Calibri" w:cs="Calibri"/>
          <w:i/>
        </w:rPr>
        <w:t>10</w:t>
      </w:r>
      <w:r w:rsidRPr="008A07B6">
        <w:rPr>
          <w:rFonts w:ascii="Calibri" w:hAnsi="Calibri" w:cs="Calibri"/>
        </w:rPr>
        <w:t>. https://doi.org/10.3389/fpsyg.2019.00679</w:t>
      </w:r>
    </w:p>
    <w:p w14:paraId="00000077"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Constant, A., Ramstead, M., </w:t>
      </w:r>
      <w:proofErr w:type="spellStart"/>
      <w:r w:rsidRPr="008A07B6">
        <w:rPr>
          <w:rFonts w:ascii="Calibri" w:hAnsi="Calibri" w:cs="Calibri"/>
        </w:rPr>
        <w:t>Veissière</w:t>
      </w:r>
      <w:proofErr w:type="spellEnd"/>
      <w:r w:rsidRPr="008A07B6">
        <w:rPr>
          <w:rFonts w:ascii="Calibri" w:hAnsi="Calibri" w:cs="Calibri"/>
        </w:rPr>
        <w:t xml:space="preserve">, S., Campbell, J., &amp; Friston, K. (2018). A Variational Approach to Niche Construction. </w:t>
      </w:r>
      <w:r w:rsidRPr="008A07B6">
        <w:rPr>
          <w:rFonts w:ascii="Calibri" w:hAnsi="Calibri" w:cs="Calibri"/>
          <w:i/>
        </w:rPr>
        <w:t>Journals of the Royal Society Interface</w:t>
      </w:r>
      <w:r w:rsidRPr="008A07B6">
        <w:rPr>
          <w:rFonts w:ascii="Calibri" w:hAnsi="Calibri" w:cs="Calibri"/>
        </w:rPr>
        <w:t xml:space="preserve">, </w:t>
      </w:r>
      <w:r w:rsidRPr="008A07B6">
        <w:rPr>
          <w:rFonts w:ascii="Calibri" w:hAnsi="Calibri" w:cs="Calibri"/>
          <w:i/>
        </w:rPr>
        <w:t>15</w:t>
      </w:r>
      <w:r w:rsidRPr="008A07B6">
        <w:rPr>
          <w:rFonts w:ascii="Calibri" w:hAnsi="Calibri" w:cs="Calibri"/>
        </w:rPr>
        <w:t>, 1–14.</w:t>
      </w:r>
    </w:p>
    <w:p w14:paraId="00000078"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Elsner, B., &amp; </w:t>
      </w:r>
      <w:proofErr w:type="spellStart"/>
      <w:r w:rsidRPr="008A07B6">
        <w:rPr>
          <w:rFonts w:ascii="Calibri" w:hAnsi="Calibri" w:cs="Calibri"/>
        </w:rPr>
        <w:t>Pauen</w:t>
      </w:r>
      <w:proofErr w:type="spellEnd"/>
      <w:r w:rsidRPr="008A07B6">
        <w:rPr>
          <w:rFonts w:ascii="Calibri" w:hAnsi="Calibri" w:cs="Calibri"/>
        </w:rPr>
        <w:t xml:space="preserve">, S. (2007). Social learning of artefact function in 12- and 15-month-olds. </w:t>
      </w:r>
      <w:r w:rsidRPr="008A07B6">
        <w:rPr>
          <w:rFonts w:ascii="Calibri" w:hAnsi="Calibri" w:cs="Calibri"/>
          <w:i/>
        </w:rPr>
        <w:t>European Journal of Developmental Psychology</w:t>
      </w:r>
      <w:r w:rsidRPr="008A07B6">
        <w:rPr>
          <w:rFonts w:ascii="Calibri" w:hAnsi="Calibri" w:cs="Calibri"/>
        </w:rPr>
        <w:t xml:space="preserve">, </w:t>
      </w:r>
      <w:r w:rsidRPr="008A07B6">
        <w:rPr>
          <w:rFonts w:ascii="Calibri" w:hAnsi="Calibri" w:cs="Calibri"/>
          <w:i/>
        </w:rPr>
        <w:t>4</w:t>
      </w:r>
      <w:r w:rsidRPr="008A07B6">
        <w:rPr>
          <w:rFonts w:ascii="Calibri" w:hAnsi="Calibri" w:cs="Calibri"/>
        </w:rPr>
        <w:t>(1), 80–99. https://doi.org/10.1080/17405620601051220</w:t>
      </w:r>
    </w:p>
    <w:p w14:paraId="00000079"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Elster, J. (1989a). Social Norms and Economic Theory. </w:t>
      </w:r>
      <w:r w:rsidRPr="008A07B6">
        <w:rPr>
          <w:rFonts w:ascii="Calibri" w:hAnsi="Calibri" w:cs="Calibri"/>
          <w:i/>
        </w:rPr>
        <w:t>Journal of Economic Perspectives</w:t>
      </w:r>
      <w:r w:rsidRPr="008A07B6">
        <w:rPr>
          <w:rFonts w:ascii="Calibri" w:hAnsi="Calibri" w:cs="Calibri"/>
        </w:rPr>
        <w:t xml:space="preserve">, </w:t>
      </w:r>
      <w:r w:rsidRPr="008A07B6">
        <w:rPr>
          <w:rFonts w:ascii="Calibri" w:hAnsi="Calibri" w:cs="Calibri"/>
          <w:i/>
        </w:rPr>
        <w:t>3</w:t>
      </w:r>
      <w:r w:rsidRPr="008A07B6">
        <w:rPr>
          <w:rFonts w:ascii="Calibri" w:hAnsi="Calibri" w:cs="Calibri"/>
        </w:rPr>
        <w:t>(4), 99–117. https://doi.org/10.1257/jep.3.4.99</w:t>
      </w:r>
    </w:p>
    <w:p w14:paraId="0000007A"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Elster, J. (1989b). </w:t>
      </w:r>
      <w:r w:rsidRPr="008A07B6">
        <w:rPr>
          <w:rFonts w:ascii="Calibri" w:hAnsi="Calibri" w:cs="Calibri"/>
          <w:i/>
        </w:rPr>
        <w:t>The Cement of Society: A Survey of Social Order</w:t>
      </w:r>
      <w:r w:rsidRPr="008A07B6">
        <w:rPr>
          <w:rFonts w:ascii="Calibri" w:hAnsi="Calibri" w:cs="Calibri"/>
        </w:rPr>
        <w:t>. Cambridge University Press. https://doi.org/10.1017/CBO9780511624995</w:t>
      </w:r>
    </w:p>
    <w:p w14:paraId="0000007B"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Eriksson, K., </w:t>
      </w:r>
      <w:proofErr w:type="spellStart"/>
      <w:r w:rsidRPr="008A07B6">
        <w:rPr>
          <w:rFonts w:ascii="Calibri" w:hAnsi="Calibri" w:cs="Calibri"/>
        </w:rPr>
        <w:t>Vartanova</w:t>
      </w:r>
      <w:proofErr w:type="spellEnd"/>
      <w:r w:rsidRPr="008A07B6">
        <w:rPr>
          <w:rFonts w:ascii="Calibri" w:hAnsi="Calibri" w:cs="Calibri"/>
        </w:rPr>
        <w:t xml:space="preserve">, I., Ornstein, P., &amp; Strimling, P. (2021). The common-is-moral association is stronger among less religious people. </w:t>
      </w:r>
      <w:r w:rsidRPr="008A07B6">
        <w:rPr>
          <w:rFonts w:ascii="Calibri" w:hAnsi="Calibri" w:cs="Calibri"/>
          <w:i/>
        </w:rPr>
        <w:t>Humanities and Social Sciences Communications</w:t>
      </w:r>
      <w:r w:rsidRPr="008A07B6">
        <w:rPr>
          <w:rFonts w:ascii="Calibri" w:hAnsi="Calibri" w:cs="Calibri"/>
        </w:rPr>
        <w:t xml:space="preserve">, </w:t>
      </w:r>
      <w:r w:rsidRPr="008A07B6">
        <w:rPr>
          <w:rFonts w:ascii="Calibri" w:hAnsi="Calibri" w:cs="Calibri"/>
          <w:i/>
        </w:rPr>
        <w:t>8</w:t>
      </w:r>
      <w:r w:rsidRPr="008A07B6">
        <w:rPr>
          <w:rFonts w:ascii="Calibri" w:hAnsi="Calibri" w:cs="Calibri"/>
        </w:rPr>
        <w:t>(1), 1–8. https://doi.org/10.1057/s41599-021-00791-0</w:t>
      </w:r>
    </w:p>
    <w:p w14:paraId="0000007C"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Fehr, E., &amp; Fischbacher, U. (2004a). Social norms and human cooperation. </w:t>
      </w:r>
      <w:r w:rsidRPr="008A07B6">
        <w:rPr>
          <w:rFonts w:ascii="Calibri" w:hAnsi="Calibri" w:cs="Calibri"/>
          <w:i/>
        </w:rPr>
        <w:t>Trends in Cognitive Sciences</w:t>
      </w:r>
      <w:r w:rsidRPr="008A07B6">
        <w:rPr>
          <w:rFonts w:ascii="Calibri" w:hAnsi="Calibri" w:cs="Calibri"/>
        </w:rPr>
        <w:t xml:space="preserve">, </w:t>
      </w:r>
      <w:r w:rsidRPr="008A07B6">
        <w:rPr>
          <w:rFonts w:ascii="Calibri" w:hAnsi="Calibri" w:cs="Calibri"/>
          <w:i/>
        </w:rPr>
        <w:t>8</w:t>
      </w:r>
      <w:r w:rsidRPr="008A07B6">
        <w:rPr>
          <w:rFonts w:ascii="Calibri" w:hAnsi="Calibri" w:cs="Calibri"/>
        </w:rPr>
        <w:t>(4), 185–190. https://doi.org/10.1016/j.tics.2004.02.007</w:t>
      </w:r>
    </w:p>
    <w:p w14:paraId="0000007D" w14:textId="77777777" w:rsidR="0059079A" w:rsidRPr="008A07B6" w:rsidRDefault="00000000">
      <w:pPr>
        <w:spacing w:before="240" w:after="240" w:line="276" w:lineRule="auto"/>
        <w:rPr>
          <w:rFonts w:ascii="Calibri" w:hAnsi="Calibri" w:cs="Calibri"/>
        </w:rPr>
      </w:pPr>
      <w:r w:rsidRPr="008A07B6">
        <w:rPr>
          <w:rFonts w:ascii="Calibri" w:hAnsi="Calibri" w:cs="Calibri"/>
        </w:rPr>
        <w:lastRenderedPageBreak/>
        <w:t xml:space="preserve">Fehr, E., &amp; Fischbacher, U. (2004b). Third-party punishment and social norms. </w:t>
      </w:r>
      <w:r w:rsidRPr="008A07B6">
        <w:rPr>
          <w:rFonts w:ascii="Calibri" w:hAnsi="Calibri" w:cs="Calibri"/>
          <w:i/>
        </w:rPr>
        <w:t>Evolution and Human Behavior</w:t>
      </w:r>
      <w:r w:rsidRPr="008A07B6">
        <w:rPr>
          <w:rFonts w:ascii="Calibri" w:hAnsi="Calibri" w:cs="Calibri"/>
        </w:rPr>
        <w:t xml:space="preserve">, </w:t>
      </w:r>
      <w:r w:rsidRPr="008A07B6">
        <w:rPr>
          <w:rFonts w:ascii="Calibri" w:hAnsi="Calibri" w:cs="Calibri"/>
          <w:i/>
        </w:rPr>
        <w:t>25</w:t>
      </w:r>
      <w:r w:rsidRPr="008A07B6">
        <w:rPr>
          <w:rFonts w:ascii="Calibri" w:hAnsi="Calibri" w:cs="Calibri"/>
        </w:rPr>
        <w:t>(2), 63–87. https://doi.org/10.1016/S1090-5138(04)00005-4</w:t>
      </w:r>
    </w:p>
    <w:p w14:paraId="0000007E"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Feldman, H., &amp; Friston, K. (2010). Attention, Uncertainty, and Free-Energy. </w:t>
      </w:r>
      <w:r w:rsidRPr="008A07B6">
        <w:rPr>
          <w:rFonts w:ascii="Calibri" w:hAnsi="Calibri" w:cs="Calibri"/>
          <w:i/>
        </w:rPr>
        <w:t>Frontiers in Human Neuroscience</w:t>
      </w:r>
      <w:r w:rsidRPr="008A07B6">
        <w:rPr>
          <w:rFonts w:ascii="Calibri" w:hAnsi="Calibri" w:cs="Calibri"/>
        </w:rPr>
        <w:t xml:space="preserve">, </w:t>
      </w:r>
      <w:r w:rsidRPr="008A07B6">
        <w:rPr>
          <w:rFonts w:ascii="Calibri" w:hAnsi="Calibri" w:cs="Calibri"/>
          <w:i/>
        </w:rPr>
        <w:t>4</w:t>
      </w:r>
      <w:r w:rsidRPr="008A07B6">
        <w:rPr>
          <w:rFonts w:ascii="Calibri" w:hAnsi="Calibri" w:cs="Calibri"/>
        </w:rPr>
        <w:t>. https://www.frontiersin.org/article/10.3389/fnhum.2010.00215</w:t>
      </w:r>
    </w:p>
    <w:p w14:paraId="0000007F" w14:textId="77777777" w:rsidR="0059079A" w:rsidRPr="008A07B6" w:rsidRDefault="00000000">
      <w:pPr>
        <w:spacing w:before="240" w:after="240" w:line="276" w:lineRule="auto"/>
        <w:rPr>
          <w:rFonts w:ascii="Calibri" w:hAnsi="Calibri" w:cs="Calibri"/>
        </w:rPr>
      </w:pPr>
      <w:r w:rsidRPr="008A07B6">
        <w:rPr>
          <w:rFonts w:ascii="Calibri" w:hAnsi="Calibri" w:cs="Calibri"/>
          <w:lang w:val="fr-CA"/>
        </w:rPr>
        <w:t>Fernandez-Castro, V., &amp; Heras-</w:t>
      </w:r>
      <w:proofErr w:type="spellStart"/>
      <w:r w:rsidRPr="008A07B6">
        <w:rPr>
          <w:rFonts w:ascii="Calibri" w:hAnsi="Calibri" w:cs="Calibri"/>
          <w:lang w:val="fr-CA"/>
        </w:rPr>
        <w:t>Escribano</w:t>
      </w:r>
      <w:proofErr w:type="spellEnd"/>
      <w:r w:rsidRPr="008A07B6">
        <w:rPr>
          <w:rFonts w:ascii="Calibri" w:hAnsi="Calibri" w:cs="Calibri"/>
          <w:lang w:val="fr-CA"/>
        </w:rPr>
        <w:t xml:space="preserve">, M. (2020). </w:t>
      </w:r>
      <w:r w:rsidRPr="008A07B6">
        <w:rPr>
          <w:rFonts w:ascii="Calibri" w:hAnsi="Calibri" w:cs="Calibri"/>
        </w:rPr>
        <w:t xml:space="preserve">Social Cognition: A Normative Approach. </w:t>
      </w:r>
      <w:r w:rsidRPr="008A07B6">
        <w:rPr>
          <w:rFonts w:ascii="Calibri" w:hAnsi="Calibri" w:cs="Calibri"/>
          <w:i/>
        </w:rPr>
        <w:t>Acta Analytica</w:t>
      </w:r>
      <w:r w:rsidRPr="008A07B6">
        <w:rPr>
          <w:rFonts w:ascii="Calibri" w:hAnsi="Calibri" w:cs="Calibri"/>
        </w:rPr>
        <w:t xml:space="preserve">, </w:t>
      </w:r>
      <w:r w:rsidRPr="008A07B6">
        <w:rPr>
          <w:rFonts w:ascii="Calibri" w:hAnsi="Calibri" w:cs="Calibri"/>
          <w:i/>
        </w:rPr>
        <w:t>35</w:t>
      </w:r>
      <w:r w:rsidRPr="008A07B6">
        <w:rPr>
          <w:rFonts w:ascii="Calibri" w:hAnsi="Calibri" w:cs="Calibri"/>
        </w:rPr>
        <w:t>(1), 75–100. https://doi.org/10.1007/s12136-019-00388-y</w:t>
      </w:r>
    </w:p>
    <w:p w14:paraId="00000080"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Fitzpatrick, S. (2020). Chimpanzee Normativity: Evidence and Objections. </w:t>
      </w:r>
      <w:r w:rsidRPr="008A07B6">
        <w:rPr>
          <w:rFonts w:ascii="Calibri" w:hAnsi="Calibri" w:cs="Calibri"/>
          <w:i/>
        </w:rPr>
        <w:t>Biology and Philosophy</w:t>
      </w:r>
      <w:r w:rsidRPr="008A07B6">
        <w:rPr>
          <w:rFonts w:ascii="Calibri" w:hAnsi="Calibri" w:cs="Calibri"/>
        </w:rPr>
        <w:t xml:space="preserve">, </w:t>
      </w:r>
      <w:r w:rsidRPr="008A07B6">
        <w:rPr>
          <w:rFonts w:ascii="Calibri" w:hAnsi="Calibri" w:cs="Calibri"/>
          <w:i/>
        </w:rPr>
        <w:t>35</w:t>
      </w:r>
      <w:r w:rsidRPr="008A07B6">
        <w:rPr>
          <w:rFonts w:ascii="Calibri" w:hAnsi="Calibri" w:cs="Calibri"/>
        </w:rPr>
        <w:t>(4), 1–28. https://doi.org/10.1007/s10539-020-09763-1</w:t>
      </w:r>
    </w:p>
    <w:p w14:paraId="00000081"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Foster-Hanson, E., Roberts, S. O., Gelman, S. A., &amp; Rhodes, M. (2021). Categories convey prescriptive information across domains and development. </w:t>
      </w:r>
      <w:r w:rsidRPr="008A07B6">
        <w:rPr>
          <w:rFonts w:ascii="Calibri" w:hAnsi="Calibri" w:cs="Calibri"/>
          <w:i/>
        </w:rPr>
        <w:t>Journal of Experimental Child Psychology</w:t>
      </w:r>
      <w:r w:rsidRPr="008A07B6">
        <w:rPr>
          <w:rFonts w:ascii="Calibri" w:hAnsi="Calibri" w:cs="Calibri"/>
        </w:rPr>
        <w:t xml:space="preserve">, </w:t>
      </w:r>
      <w:r w:rsidRPr="008A07B6">
        <w:rPr>
          <w:rFonts w:ascii="Calibri" w:hAnsi="Calibri" w:cs="Calibri"/>
          <w:i/>
        </w:rPr>
        <w:t>212</w:t>
      </w:r>
      <w:r w:rsidRPr="008A07B6">
        <w:rPr>
          <w:rFonts w:ascii="Calibri" w:hAnsi="Calibri" w:cs="Calibri"/>
        </w:rPr>
        <w:t>, 105231. https://doi.org/10.1016/j.jecp.2021.105231</w:t>
      </w:r>
    </w:p>
    <w:p w14:paraId="00000082"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Friston, K. (2009). The Free-Energy Principle: A Rough Guide to the Brain? </w:t>
      </w:r>
      <w:r w:rsidRPr="008A07B6">
        <w:rPr>
          <w:rFonts w:ascii="Calibri" w:hAnsi="Calibri" w:cs="Calibri"/>
          <w:i/>
        </w:rPr>
        <w:t>Trends in Cognitive Sciences</w:t>
      </w:r>
      <w:r w:rsidRPr="008A07B6">
        <w:rPr>
          <w:rFonts w:ascii="Calibri" w:hAnsi="Calibri" w:cs="Calibri"/>
        </w:rPr>
        <w:t xml:space="preserve">, </w:t>
      </w:r>
      <w:r w:rsidRPr="008A07B6">
        <w:rPr>
          <w:rFonts w:ascii="Calibri" w:hAnsi="Calibri" w:cs="Calibri"/>
          <w:i/>
        </w:rPr>
        <w:t>13</w:t>
      </w:r>
      <w:r w:rsidRPr="008A07B6">
        <w:rPr>
          <w:rFonts w:ascii="Calibri" w:hAnsi="Calibri" w:cs="Calibri"/>
        </w:rPr>
        <w:t>(7), 293–301. https://doi.org/10.1016/j.tics.2009.04.005</w:t>
      </w:r>
    </w:p>
    <w:p w14:paraId="00000083"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Friston, K. (2010). The free-energy principle: A unified brain theory? </w:t>
      </w:r>
      <w:r w:rsidRPr="008A07B6">
        <w:rPr>
          <w:rFonts w:ascii="Calibri" w:hAnsi="Calibri" w:cs="Calibri"/>
          <w:i/>
        </w:rPr>
        <w:t>Nature Reviews Neuroscience</w:t>
      </w:r>
      <w:r w:rsidRPr="008A07B6">
        <w:rPr>
          <w:rFonts w:ascii="Calibri" w:hAnsi="Calibri" w:cs="Calibri"/>
        </w:rPr>
        <w:t xml:space="preserve">, </w:t>
      </w:r>
      <w:r w:rsidRPr="008A07B6">
        <w:rPr>
          <w:rFonts w:ascii="Calibri" w:hAnsi="Calibri" w:cs="Calibri"/>
          <w:i/>
        </w:rPr>
        <w:t>11</w:t>
      </w:r>
      <w:r w:rsidRPr="008A07B6">
        <w:rPr>
          <w:rFonts w:ascii="Calibri" w:hAnsi="Calibri" w:cs="Calibri"/>
        </w:rPr>
        <w:t>(2), Article 2. https://doi.org/10.1038/nrn2787</w:t>
      </w:r>
    </w:p>
    <w:p w14:paraId="00000084"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Friston, K. (2012). A Free Energy Principle for Biological Systems. </w:t>
      </w:r>
      <w:r w:rsidRPr="008A07B6">
        <w:rPr>
          <w:rFonts w:ascii="Calibri" w:hAnsi="Calibri" w:cs="Calibri"/>
          <w:i/>
        </w:rPr>
        <w:t>Entropy</w:t>
      </w:r>
      <w:r w:rsidRPr="008A07B6">
        <w:rPr>
          <w:rFonts w:ascii="Calibri" w:hAnsi="Calibri" w:cs="Calibri"/>
        </w:rPr>
        <w:t xml:space="preserve">, </w:t>
      </w:r>
      <w:r w:rsidRPr="008A07B6">
        <w:rPr>
          <w:rFonts w:ascii="Calibri" w:hAnsi="Calibri" w:cs="Calibri"/>
          <w:i/>
        </w:rPr>
        <w:t>14</w:t>
      </w:r>
      <w:r w:rsidRPr="008A07B6">
        <w:rPr>
          <w:rFonts w:ascii="Calibri" w:hAnsi="Calibri" w:cs="Calibri"/>
        </w:rPr>
        <w:t>(11), Article 11. https://doi.org/10.3390/e14112100</w:t>
      </w:r>
    </w:p>
    <w:p w14:paraId="00000085"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Friston, K. (2013). Life as we know it. </w:t>
      </w:r>
      <w:r w:rsidRPr="008A07B6">
        <w:rPr>
          <w:rFonts w:ascii="Calibri" w:hAnsi="Calibri" w:cs="Calibri"/>
          <w:i/>
        </w:rPr>
        <w:t>Journal of The Royal Society Interface</w:t>
      </w:r>
      <w:r w:rsidRPr="008A07B6">
        <w:rPr>
          <w:rFonts w:ascii="Calibri" w:hAnsi="Calibri" w:cs="Calibri"/>
        </w:rPr>
        <w:t xml:space="preserve">, </w:t>
      </w:r>
      <w:r w:rsidRPr="008A07B6">
        <w:rPr>
          <w:rFonts w:ascii="Calibri" w:hAnsi="Calibri" w:cs="Calibri"/>
          <w:i/>
        </w:rPr>
        <w:t>10</w:t>
      </w:r>
      <w:r w:rsidRPr="008A07B6">
        <w:rPr>
          <w:rFonts w:ascii="Calibri" w:hAnsi="Calibri" w:cs="Calibri"/>
        </w:rPr>
        <w:t>(86). https://doi.org/10.1098/rsif.2013.0475</w:t>
      </w:r>
    </w:p>
    <w:p w14:paraId="00000086"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Friston, K., Shiner, T., FitzGerald, T., Galea, J. M., Adams, R., Brown, H., Dolan, R. J., Moran, R., Stephan, K. E., &amp; </w:t>
      </w:r>
      <w:proofErr w:type="spellStart"/>
      <w:r w:rsidRPr="008A07B6">
        <w:rPr>
          <w:rFonts w:ascii="Calibri" w:hAnsi="Calibri" w:cs="Calibri"/>
        </w:rPr>
        <w:t>Bestmann</w:t>
      </w:r>
      <w:proofErr w:type="spellEnd"/>
      <w:r w:rsidRPr="008A07B6">
        <w:rPr>
          <w:rFonts w:ascii="Calibri" w:hAnsi="Calibri" w:cs="Calibri"/>
        </w:rPr>
        <w:t xml:space="preserve">, S. (2012). Dopamine, Affordance and Active Inference. </w:t>
      </w:r>
      <w:r w:rsidRPr="008A07B6">
        <w:rPr>
          <w:rFonts w:ascii="Calibri" w:hAnsi="Calibri" w:cs="Calibri"/>
          <w:i/>
        </w:rPr>
        <w:t>PLOS Computational Biology</w:t>
      </w:r>
      <w:r w:rsidRPr="008A07B6">
        <w:rPr>
          <w:rFonts w:ascii="Calibri" w:hAnsi="Calibri" w:cs="Calibri"/>
        </w:rPr>
        <w:t xml:space="preserve">, </w:t>
      </w:r>
      <w:r w:rsidRPr="008A07B6">
        <w:rPr>
          <w:rFonts w:ascii="Calibri" w:hAnsi="Calibri" w:cs="Calibri"/>
          <w:i/>
        </w:rPr>
        <w:t>8</w:t>
      </w:r>
      <w:r w:rsidRPr="008A07B6">
        <w:rPr>
          <w:rFonts w:ascii="Calibri" w:hAnsi="Calibri" w:cs="Calibri"/>
        </w:rPr>
        <w:t>(1), e1002327. https://doi.org/10.1371/journal.pcbi.1002327</w:t>
      </w:r>
    </w:p>
    <w:p w14:paraId="00000087"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Friston, K., &amp; Stephan, K. E. (2007). Free-energy and the brain. </w:t>
      </w:r>
      <w:proofErr w:type="spellStart"/>
      <w:r w:rsidRPr="008A07B6">
        <w:rPr>
          <w:rFonts w:ascii="Calibri" w:hAnsi="Calibri" w:cs="Calibri"/>
          <w:i/>
        </w:rPr>
        <w:t>Synthese</w:t>
      </w:r>
      <w:proofErr w:type="spellEnd"/>
      <w:r w:rsidRPr="008A07B6">
        <w:rPr>
          <w:rFonts w:ascii="Calibri" w:hAnsi="Calibri" w:cs="Calibri"/>
        </w:rPr>
        <w:t xml:space="preserve">, </w:t>
      </w:r>
      <w:r w:rsidRPr="008A07B6">
        <w:rPr>
          <w:rFonts w:ascii="Calibri" w:hAnsi="Calibri" w:cs="Calibri"/>
          <w:i/>
        </w:rPr>
        <w:t>159</w:t>
      </w:r>
      <w:r w:rsidRPr="008A07B6">
        <w:rPr>
          <w:rFonts w:ascii="Calibri" w:hAnsi="Calibri" w:cs="Calibri"/>
        </w:rPr>
        <w:t>(3), 417–458. https://doi.org/10.1007/s11229-007-9237-y</w:t>
      </w:r>
    </w:p>
    <w:p w14:paraId="00000088"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Godman, M., </w:t>
      </w:r>
      <w:proofErr w:type="spellStart"/>
      <w:r w:rsidRPr="008A07B6">
        <w:rPr>
          <w:rFonts w:ascii="Calibri" w:hAnsi="Calibri" w:cs="Calibri"/>
        </w:rPr>
        <w:t>Nagatsu</w:t>
      </w:r>
      <w:proofErr w:type="spellEnd"/>
      <w:r w:rsidRPr="008A07B6">
        <w:rPr>
          <w:rFonts w:ascii="Calibri" w:hAnsi="Calibri" w:cs="Calibri"/>
        </w:rPr>
        <w:t xml:space="preserve">, M., &amp; Salmela, M. (2014). The Social Motivation Hypothesis for Prosocial Behavior. </w:t>
      </w:r>
      <w:r w:rsidRPr="008A07B6">
        <w:rPr>
          <w:rFonts w:ascii="Calibri" w:hAnsi="Calibri" w:cs="Calibri"/>
          <w:i/>
        </w:rPr>
        <w:t>Philosophy of the Social Sciences</w:t>
      </w:r>
      <w:r w:rsidRPr="008A07B6">
        <w:rPr>
          <w:rFonts w:ascii="Calibri" w:hAnsi="Calibri" w:cs="Calibri"/>
        </w:rPr>
        <w:t xml:space="preserve">, </w:t>
      </w:r>
      <w:r w:rsidRPr="008A07B6">
        <w:rPr>
          <w:rFonts w:ascii="Calibri" w:hAnsi="Calibri" w:cs="Calibri"/>
          <w:i/>
        </w:rPr>
        <w:t>44</w:t>
      </w:r>
      <w:r w:rsidRPr="008A07B6">
        <w:rPr>
          <w:rFonts w:ascii="Calibri" w:hAnsi="Calibri" w:cs="Calibri"/>
        </w:rPr>
        <w:t>, 563–587. https://doi.org/10.1177/0048393114530841</w:t>
      </w:r>
    </w:p>
    <w:p w14:paraId="00000089" w14:textId="77777777" w:rsidR="0059079A" w:rsidRPr="008A07B6" w:rsidRDefault="00000000">
      <w:pPr>
        <w:spacing w:before="240" w:after="240" w:line="276" w:lineRule="auto"/>
        <w:rPr>
          <w:rFonts w:ascii="Calibri" w:hAnsi="Calibri" w:cs="Calibri"/>
        </w:rPr>
      </w:pPr>
      <w:r w:rsidRPr="008A07B6">
        <w:rPr>
          <w:rFonts w:ascii="Calibri" w:hAnsi="Calibri" w:cs="Calibri"/>
        </w:rPr>
        <w:lastRenderedPageBreak/>
        <w:t xml:space="preserve">Gottschall, J. (2012). </w:t>
      </w:r>
      <w:r w:rsidRPr="008A07B6">
        <w:rPr>
          <w:rFonts w:ascii="Calibri" w:hAnsi="Calibri" w:cs="Calibri"/>
          <w:i/>
        </w:rPr>
        <w:t>The Storytelling Animal: How Stories Make Us Human</w:t>
      </w:r>
      <w:r w:rsidRPr="008A07B6">
        <w:rPr>
          <w:rFonts w:ascii="Calibri" w:hAnsi="Calibri" w:cs="Calibri"/>
        </w:rPr>
        <w:t>. Houghton Mifflin Harcourt.</w:t>
      </w:r>
    </w:p>
    <w:p w14:paraId="0000008A"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Heins, C., Millidge, B., Da Costa, L., Mann, R. P., Friston, K. J., &amp; </w:t>
      </w:r>
      <w:proofErr w:type="spellStart"/>
      <w:r w:rsidRPr="008A07B6">
        <w:rPr>
          <w:rFonts w:ascii="Calibri" w:hAnsi="Calibri" w:cs="Calibri"/>
        </w:rPr>
        <w:t>Couzin</w:t>
      </w:r>
      <w:proofErr w:type="spellEnd"/>
      <w:r w:rsidRPr="008A07B6">
        <w:rPr>
          <w:rFonts w:ascii="Calibri" w:hAnsi="Calibri" w:cs="Calibri"/>
        </w:rPr>
        <w:t xml:space="preserve">, I. D. (2024). Collective behavior from surprise minimization. </w:t>
      </w:r>
      <w:r w:rsidRPr="008A07B6">
        <w:rPr>
          <w:rFonts w:ascii="Calibri" w:hAnsi="Calibri" w:cs="Calibri"/>
          <w:i/>
        </w:rPr>
        <w:t>Proceedings of the National Academy of Sciences</w:t>
      </w:r>
      <w:r w:rsidRPr="008A07B6">
        <w:rPr>
          <w:rFonts w:ascii="Calibri" w:hAnsi="Calibri" w:cs="Calibri"/>
        </w:rPr>
        <w:t xml:space="preserve">, </w:t>
      </w:r>
      <w:r w:rsidRPr="008A07B6">
        <w:rPr>
          <w:rFonts w:ascii="Calibri" w:hAnsi="Calibri" w:cs="Calibri"/>
          <w:i/>
        </w:rPr>
        <w:t>121</w:t>
      </w:r>
      <w:r w:rsidRPr="008A07B6">
        <w:rPr>
          <w:rFonts w:ascii="Calibri" w:hAnsi="Calibri" w:cs="Calibri"/>
        </w:rPr>
        <w:t>(17), e2320239121. https://doi.org/10.1073/pnas.2320239121</w:t>
      </w:r>
    </w:p>
    <w:p w14:paraId="0000008B"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Henderson, A. M. E., &amp; Scott, J. C. (2015). She called that thing a </w:t>
      </w:r>
      <w:proofErr w:type="spellStart"/>
      <w:r w:rsidRPr="008A07B6">
        <w:rPr>
          <w:rFonts w:ascii="Calibri" w:hAnsi="Calibri" w:cs="Calibri"/>
        </w:rPr>
        <w:t>mido</w:t>
      </w:r>
      <w:proofErr w:type="spellEnd"/>
      <w:r w:rsidRPr="008A07B6">
        <w:rPr>
          <w:rFonts w:ascii="Calibri" w:hAnsi="Calibri" w:cs="Calibri"/>
        </w:rPr>
        <w:t xml:space="preserve">, but should you call it a </w:t>
      </w:r>
      <w:proofErr w:type="spellStart"/>
      <w:r w:rsidRPr="008A07B6">
        <w:rPr>
          <w:rFonts w:ascii="Calibri" w:hAnsi="Calibri" w:cs="Calibri"/>
        </w:rPr>
        <w:t>mido</w:t>
      </w:r>
      <w:proofErr w:type="spellEnd"/>
      <w:r w:rsidRPr="008A07B6">
        <w:rPr>
          <w:rFonts w:ascii="Calibri" w:hAnsi="Calibri" w:cs="Calibri"/>
        </w:rPr>
        <w:t xml:space="preserve"> too? Linguistic experience influences infants’ expectations of conventionality. </w:t>
      </w:r>
      <w:r w:rsidRPr="008A07B6">
        <w:rPr>
          <w:rFonts w:ascii="Calibri" w:hAnsi="Calibri" w:cs="Calibri"/>
          <w:i/>
        </w:rPr>
        <w:t>Frontiers in Psychology</w:t>
      </w:r>
      <w:r w:rsidRPr="008A07B6">
        <w:rPr>
          <w:rFonts w:ascii="Calibri" w:hAnsi="Calibri" w:cs="Calibri"/>
        </w:rPr>
        <w:t xml:space="preserve">, </w:t>
      </w:r>
      <w:r w:rsidRPr="008A07B6">
        <w:rPr>
          <w:rFonts w:ascii="Calibri" w:hAnsi="Calibri" w:cs="Calibri"/>
          <w:i/>
        </w:rPr>
        <w:t>6</w:t>
      </w:r>
      <w:r w:rsidRPr="008A07B6">
        <w:rPr>
          <w:rFonts w:ascii="Calibri" w:hAnsi="Calibri" w:cs="Calibri"/>
        </w:rPr>
        <w:t>, 332. https://doi.org/10.3389/fpsyg.2015.00332</w:t>
      </w:r>
    </w:p>
    <w:p w14:paraId="0000008C"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Henderson, A. M. E., &amp; Woodward, A. L. (2012). Nine-month-old infants generalize object labels, but not object preferences across individuals. </w:t>
      </w:r>
      <w:r w:rsidRPr="008A07B6">
        <w:rPr>
          <w:rFonts w:ascii="Calibri" w:hAnsi="Calibri" w:cs="Calibri"/>
          <w:i/>
        </w:rPr>
        <w:t>Developmental Science</w:t>
      </w:r>
      <w:r w:rsidRPr="008A07B6">
        <w:rPr>
          <w:rFonts w:ascii="Calibri" w:hAnsi="Calibri" w:cs="Calibri"/>
        </w:rPr>
        <w:t xml:space="preserve">, </w:t>
      </w:r>
      <w:r w:rsidRPr="008A07B6">
        <w:rPr>
          <w:rFonts w:ascii="Calibri" w:hAnsi="Calibri" w:cs="Calibri"/>
          <w:i/>
        </w:rPr>
        <w:t>15</w:t>
      </w:r>
      <w:r w:rsidRPr="008A07B6">
        <w:rPr>
          <w:rFonts w:ascii="Calibri" w:hAnsi="Calibri" w:cs="Calibri"/>
        </w:rPr>
        <w:t>(5), 641–652. https://doi.org/10.1111/j.1467-7687.2012.01157.x</w:t>
      </w:r>
    </w:p>
    <w:p w14:paraId="0000008D"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Henrich, J., &amp; Gil-White, F. J. (2001). The evolution of prestige: Freely conferred deference as a mechanism for enhancing the benefits of cultural transmission. </w:t>
      </w:r>
      <w:r w:rsidRPr="008A07B6">
        <w:rPr>
          <w:rFonts w:ascii="Calibri" w:hAnsi="Calibri" w:cs="Calibri"/>
          <w:i/>
        </w:rPr>
        <w:t>Evolution and Human Behavior</w:t>
      </w:r>
      <w:r w:rsidRPr="008A07B6">
        <w:rPr>
          <w:rFonts w:ascii="Calibri" w:hAnsi="Calibri" w:cs="Calibri"/>
        </w:rPr>
        <w:t xml:space="preserve">, </w:t>
      </w:r>
      <w:r w:rsidRPr="008A07B6">
        <w:rPr>
          <w:rFonts w:ascii="Calibri" w:hAnsi="Calibri" w:cs="Calibri"/>
          <w:i/>
        </w:rPr>
        <w:t>22</w:t>
      </w:r>
      <w:r w:rsidRPr="008A07B6">
        <w:rPr>
          <w:rFonts w:ascii="Calibri" w:hAnsi="Calibri" w:cs="Calibri"/>
        </w:rPr>
        <w:t>, 165–196. https://doi.org/10.1016/S1090-5138(00)00071-4</w:t>
      </w:r>
    </w:p>
    <w:p w14:paraId="0000008E"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Henrich, J., &amp; Henrich, N. (2010). The evolution of cultural adaptations: Fijian food taboos protect against dangerous marine toxins. </w:t>
      </w:r>
      <w:r w:rsidRPr="008A07B6">
        <w:rPr>
          <w:rFonts w:ascii="Calibri" w:hAnsi="Calibri" w:cs="Calibri"/>
          <w:i/>
        </w:rPr>
        <w:t>Proceedings. Biological Sciences</w:t>
      </w:r>
      <w:r w:rsidRPr="008A07B6">
        <w:rPr>
          <w:rFonts w:ascii="Calibri" w:hAnsi="Calibri" w:cs="Calibri"/>
        </w:rPr>
        <w:t xml:space="preserve">, </w:t>
      </w:r>
      <w:r w:rsidRPr="008A07B6">
        <w:rPr>
          <w:rFonts w:ascii="Calibri" w:hAnsi="Calibri" w:cs="Calibri"/>
          <w:i/>
        </w:rPr>
        <w:t>277</w:t>
      </w:r>
      <w:r w:rsidRPr="008A07B6">
        <w:rPr>
          <w:rFonts w:ascii="Calibri" w:hAnsi="Calibri" w:cs="Calibri"/>
        </w:rPr>
        <w:t>(1701), 3715–3724. https://doi.org/10.1098/rspb.2010.1191</w:t>
      </w:r>
    </w:p>
    <w:p w14:paraId="0000008F"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Henrich, J., &amp; </w:t>
      </w:r>
      <w:proofErr w:type="spellStart"/>
      <w:r w:rsidRPr="008A07B6">
        <w:rPr>
          <w:rFonts w:ascii="Calibri" w:hAnsi="Calibri" w:cs="Calibri"/>
        </w:rPr>
        <w:t>Muthukrishna</w:t>
      </w:r>
      <w:proofErr w:type="spellEnd"/>
      <w:r w:rsidRPr="008A07B6">
        <w:rPr>
          <w:rFonts w:ascii="Calibri" w:hAnsi="Calibri" w:cs="Calibri"/>
        </w:rPr>
        <w:t xml:space="preserve">, M. (2021). The Origins and Psychology of Human Cooperation. </w:t>
      </w:r>
      <w:r w:rsidRPr="008A07B6">
        <w:rPr>
          <w:rFonts w:ascii="Calibri" w:hAnsi="Calibri" w:cs="Calibri"/>
          <w:i/>
        </w:rPr>
        <w:t>Annual Review of Psychology</w:t>
      </w:r>
      <w:r w:rsidRPr="008A07B6">
        <w:rPr>
          <w:rFonts w:ascii="Calibri" w:hAnsi="Calibri" w:cs="Calibri"/>
        </w:rPr>
        <w:t xml:space="preserve">, </w:t>
      </w:r>
      <w:r w:rsidRPr="008A07B6">
        <w:rPr>
          <w:rFonts w:ascii="Calibri" w:hAnsi="Calibri" w:cs="Calibri"/>
          <w:i/>
        </w:rPr>
        <w:t>72</w:t>
      </w:r>
      <w:r w:rsidRPr="008A07B6">
        <w:rPr>
          <w:rFonts w:ascii="Calibri" w:hAnsi="Calibri" w:cs="Calibri"/>
        </w:rPr>
        <w:t>. https://doi.org/10.1146/annurev-psych-081920-042106</w:t>
      </w:r>
    </w:p>
    <w:p w14:paraId="00000090"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Heyes, C. (2024). Rethinking Norm Psychology. </w:t>
      </w:r>
      <w:r w:rsidRPr="008A07B6">
        <w:rPr>
          <w:rFonts w:ascii="Calibri" w:hAnsi="Calibri" w:cs="Calibri"/>
          <w:i/>
        </w:rPr>
        <w:t>Perspectives on Psychological Science</w:t>
      </w:r>
      <w:r w:rsidRPr="008A07B6">
        <w:rPr>
          <w:rFonts w:ascii="Calibri" w:hAnsi="Calibri" w:cs="Calibri"/>
        </w:rPr>
        <w:t xml:space="preserve">, </w:t>
      </w:r>
      <w:r w:rsidRPr="008A07B6">
        <w:rPr>
          <w:rFonts w:ascii="Calibri" w:hAnsi="Calibri" w:cs="Calibri"/>
          <w:i/>
        </w:rPr>
        <w:t>19</w:t>
      </w:r>
      <w:r w:rsidRPr="008A07B6">
        <w:rPr>
          <w:rFonts w:ascii="Calibri" w:hAnsi="Calibri" w:cs="Calibri"/>
        </w:rPr>
        <w:t>(1), 12–38. https://doi.org/10.1177/17456916221112075</w:t>
      </w:r>
    </w:p>
    <w:p w14:paraId="00000091"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Hohwy, J. (2012). Attention and Conscious Perception in the Hypothesis Testing Brain. </w:t>
      </w:r>
      <w:r w:rsidRPr="008A07B6">
        <w:rPr>
          <w:rFonts w:ascii="Calibri" w:hAnsi="Calibri" w:cs="Calibri"/>
          <w:i/>
        </w:rPr>
        <w:t>Frontiers in Psychology</w:t>
      </w:r>
      <w:r w:rsidRPr="008A07B6">
        <w:rPr>
          <w:rFonts w:ascii="Calibri" w:hAnsi="Calibri" w:cs="Calibri"/>
        </w:rPr>
        <w:t xml:space="preserve">, </w:t>
      </w:r>
      <w:r w:rsidRPr="008A07B6">
        <w:rPr>
          <w:rFonts w:ascii="Calibri" w:hAnsi="Calibri" w:cs="Calibri"/>
          <w:i/>
        </w:rPr>
        <w:t>3</w:t>
      </w:r>
      <w:r w:rsidRPr="008A07B6">
        <w:rPr>
          <w:rFonts w:ascii="Calibri" w:hAnsi="Calibri" w:cs="Calibri"/>
        </w:rPr>
        <w:t>. https://www.frontiersin.org/article/10.3389/fpsyg.2012.00096</w:t>
      </w:r>
    </w:p>
    <w:p w14:paraId="00000092" w14:textId="0FAB93E3" w:rsidR="0059079A" w:rsidRDefault="00000000">
      <w:pPr>
        <w:spacing w:before="240" w:after="240" w:line="276" w:lineRule="auto"/>
        <w:rPr>
          <w:rFonts w:ascii="Calibri" w:hAnsi="Calibri" w:cs="Calibri"/>
        </w:rPr>
      </w:pPr>
      <w:r w:rsidRPr="008A07B6">
        <w:rPr>
          <w:rFonts w:ascii="Calibri" w:hAnsi="Calibri" w:cs="Calibri"/>
        </w:rPr>
        <w:t xml:space="preserve">Hosoya, T., Baccus, S. A., &amp; Meister, M. (2005). Dynamic predictive coding by the retina. </w:t>
      </w:r>
      <w:r w:rsidRPr="008A07B6">
        <w:rPr>
          <w:rFonts w:ascii="Calibri" w:hAnsi="Calibri" w:cs="Calibri"/>
          <w:i/>
        </w:rPr>
        <w:t>American Journal of Ophthalmology</w:t>
      </w:r>
      <w:r w:rsidRPr="008A07B6">
        <w:rPr>
          <w:rFonts w:ascii="Calibri" w:hAnsi="Calibri" w:cs="Calibri"/>
        </w:rPr>
        <w:t xml:space="preserve">, </w:t>
      </w:r>
      <w:r w:rsidRPr="008A07B6">
        <w:rPr>
          <w:rFonts w:ascii="Calibri" w:hAnsi="Calibri" w:cs="Calibri"/>
          <w:i/>
        </w:rPr>
        <w:t>140</w:t>
      </w:r>
      <w:r w:rsidRPr="008A07B6">
        <w:rPr>
          <w:rFonts w:ascii="Calibri" w:hAnsi="Calibri" w:cs="Calibri"/>
        </w:rPr>
        <w:t xml:space="preserve">(5), 969–969. </w:t>
      </w:r>
      <w:hyperlink r:id="rId9" w:history="1">
        <w:r w:rsidR="003871C4" w:rsidRPr="008706A9">
          <w:rPr>
            <w:rStyle w:val="Hyperlien"/>
            <w:rFonts w:ascii="Calibri" w:hAnsi="Calibri" w:cs="Calibri"/>
          </w:rPr>
          <w:t>https://doi.org/10.1016/j.ajo.2005.08.052</w:t>
        </w:r>
      </w:hyperlink>
    </w:p>
    <w:p w14:paraId="003E3A90" w14:textId="00A3D54D" w:rsidR="003871C4" w:rsidRPr="00100707" w:rsidRDefault="003871C4">
      <w:pPr>
        <w:spacing w:before="240" w:after="240" w:line="276" w:lineRule="auto"/>
        <w:rPr>
          <w:rFonts w:ascii="Calibri" w:hAnsi="Calibri" w:cs="Calibri"/>
        </w:rPr>
      </w:pPr>
      <w:r w:rsidRPr="003871C4">
        <w:rPr>
          <w:rFonts w:ascii="Calibri" w:hAnsi="Calibri" w:cs="Calibri"/>
        </w:rPr>
        <w:t xml:space="preserve">Hrdy, S. (1999). </w:t>
      </w:r>
      <w:r w:rsidRPr="003871C4">
        <w:rPr>
          <w:rFonts w:ascii="Calibri" w:hAnsi="Calibri" w:cs="Calibri"/>
          <w:i/>
          <w:iCs/>
        </w:rPr>
        <w:t>Mother Nature: A History of Mothers, Infants, and Natural Selection</w:t>
      </w:r>
      <w:r w:rsidRPr="003871C4">
        <w:rPr>
          <w:rFonts w:ascii="Calibri" w:hAnsi="Calibri" w:cs="Calibri"/>
        </w:rPr>
        <w:t xml:space="preserve">. </w:t>
      </w:r>
      <w:r w:rsidRPr="00100707">
        <w:rPr>
          <w:rFonts w:ascii="Calibri" w:hAnsi="Calibri" w:cs="Calibri"/>
        </w:rPr>
        <w:t>Pantheon Books.</w:t>
      </w:r>
    </w:p>
    <w:p w14:paraId="00000093" w14:textId="77777777" w:rsidR="0059079A" w:rsidRPr="008A07B6" w:rsidRDefault="00000000">
      <w:pPr>
        <w:spacing w:before="240" w:after="240" w:line="276" w:lineRule="auto"/>
        <w:rPr>
          <w:rFonts w:ascii="Calibri" w:hAnsi="Calibri" w:cs="Calibri"/>
        </w:rPr>
      </w:pPr>
      <w:r w:rsidRPr="008A07B6">
        <w:rPr>
          <w:rFonts w:ascii="Calibri" w:hAnsi="Calibri" w:cs="Calibri"/>
        </w:rPr>
        <w:lastRenderedPageBreak/>
        <w:t xml:space="preserve">Kaufmann, R., Gupta, P., &amp; Taylor, J. (2021). An Active Inference Model of Collective Intelligence. </w:t>
      </w:r>
      <w:r w:rsidRPr="008A07B6">
        <w:rPr>
          <w:rFonts w:ascii="Calibri" w:hAnsi="Calibri" w:cs="Calibri"/>
          <w:i/>
        </w:rPr>
        <w:t>Entropy</w:t>
      </w:r>
      <w:r w:rsidRPr="008A07B6">
        <w:rPr>
          <w:rFonts w:ascii="Calibri" w:hAnsi="Calibri" w:cs="Calibri"/>
        </w:rPr>
        <w:t xml:space="preserve">, </w:t>
      </w:r>
      <w:r w:rsidRPr="008A07B6">
        <w:rPr>
          <w:rFonts w:ascii="Calibri" w:hAnsi="Calibri" w:cs="Calibri"/>
          <w:i/>
        </w:rPr>
        <w:t>23</w:t>
      </w:r>
      <w:r w:rsidRPr="008A07B6">
        <w:rPr>
          <w:rFonts w:ascii="Calibri" w:hAnsi="Calibri" w:cs="Calibri"/>
        </w:rPr>
        <w:t>, 830. https://doi.org/10.3390/e23070830</w:t>
      </w:r>
    </w:p>
    <w:p w14:paraId="00000094"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Kelly, D. (2020). Internalized Norms and Intrinsic Motivations: Are Normative Motivations Psychologically Primitive? </w:t>
      </w:r>
      <w:r w:rsidRPr="008A07B6">
        <w:rPr>
          <w:rFonts w:ascii="Calibri" w:hAnsi="Calibri" w:cs="Calibri"/>
          <w:i/>
        </w:rPr>
        <w:t>Emotion Researcher</w:t>
      </w:r>
      <w:r w:rsidRPr="008A07B6">
        <w:rPr>
          <w:rFonts w:ascii="Calibri" w:hAnsi="Calibri" w:cs="Calibri"/>
        </w:rPr>
        <w:t xml:space="preserve">, </w:t>
      </w:r>
      <w:r w:rsidRPr="008A07B6">
        <w:rPr>
          <w:rFonts w:ascii="Calibri" w:hAnsi="Calibri" w:cs="Calibri"/>
          <w:i/>
        </w:rPr>
        <w:t>1</w:t>
      </w:r>
      <w:r w:rsidRPr="008A07B6">
        <w:rPr>
          <w:rFonts w:ascii="Calibri" w:hAnsi="Calibri" w:cs="Calibri"/>
        </w:rPr>
        <w:t>(June), 36–45.</w:t>
      </w:r>
    </w:p>
    <w:p w14:paraId="00000095"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Kelly, D., &amp; Davis, T. (2018). Social Norms and Human Normative Psychology. </w:t>
      </w:r>
      <w:r w:rsidRPr="008A07B6">
        <w:rPr>
          <w:rFonts w:ascii="Calibri" w:hAnsi="Calibri" w:cs="Calibri"/>
          <w:i/>
        </w:rPr>
        <w:t>Social Philosophy and Policy</w:t>
      </w:r>
      <w:r w:rsidRPr="008A07B6">
        <w:rPr>
          <w:rFonts w:ascii="Calibri" w:hAnsi="Calibri" w:cs="Calibri"/>
        </w:rPr>
        <w:t xml:space="preserve">, </w:t>
      </w:r>
      <w:r w:rsidRPr="008A07B6">
        <w:rPr>
          <w:rFonts w:ascii="Calibri" w:hAnsi="Calibri" w:cs="Calibri"/>
          <w:i/>
        </w:rPr>
        <w:t>35</w:t>
      </w:r>
      <w:r w:rsidRPr="008A07B6">
        <w:rPr>
          <w:rFonts w:ascii="Calibri" w:hAnsi="Calibri" w:cs="Calibri"/>
        </w:rPr>
        <w:t>(1), 54–76. https://doi.org/10.1017/s0265052518000122</w:t>
      </w:r>
    </w:p>
    <w:p w14:paraId="00000096" w14:textId="77777777" w:rsidR="0059079A" w:rsidRPr="008A07B6" w:rsidRDefault="00000000">
      <w:pPr>
        <w:spacing w:before="240" w:after="240" w:line="276" w:lineRule="auto"/>
        <w:rPr>
          <w:rFonts w:ascii="Calibri" w:hAnsi="Calibri" w:cs="Calibri"/>
        </w:rPr>
      </w:pPr>
      <w:proofErr w:type="spellStart"/>
      <w:r w:rsidRPr="008A07B6">
        <w:rPr>
          <w:rFonts w:ascii="Calibri" w:hAnsi="Calibri" w:cs="Calibri"/>
        </w:rPr>
        <w:t>Krahé</w:t>
      </w:r>
      <w:proofErr w:type="spellEnd"/>
      <w:r w:rsidRPr="008A07B6">
        <w:rPr>
          <w:rFonts w:ascii="Calibri" w:hAnsi="Calibri" w:cs="Calibri"/>
        </w:rPr>
        <w:t xml:space="preserve">, B., Möller, I., Huesmann, L. R., </w:t>
      </w:r>
      <w:proofErr w:type="spellStart"/>
      <w:r w:rsidRPr="008A07B6">
        <w:rPr>
          <w:rFonts w:ascii="Calibri" w:hAnsi="Calibri" w:cs="Calibri"/>
        </w:rPr>
        <w:t>Kirwil</w:t>
      </w:r>
      <w:proofErr w:type="spellEnd"/>
      <w:r w:rsidRPr="008A07B6">
        <w:rPr>
          <w:rFonts w:ascii="Calibri" w:hAnsi="Calibri" w:cs="Calibri"/>
        </w:rPr>
        <w:t xml:space="preserve">, L., Felber, J., &amp; Berger, A. (2011). Desensitization to Media Violence: Links With Habitual Media Violence Exposure, Aggressive Cognitions, and Aggressive Behavior. </w:t>
      </w:r>
      <w:r w:rsidRPr="008A07B6">
        <w:rPr>
          <w:rFonts w:ascii="Calibri" w:hAnsi="Calibri" w:cs="Calibri"/>
          <w:i/>
        </w:rPr>
        <w:t>Journal of Personality and Social Psychology</w:t>
      </w:r>
      <w:r w:rsidRPr="008A07B6">
        <w:rPr>
          <w:rFonts w:ascii="Calibri" w:hAnsi="Calibri" w:cs="Calibri"/>
        </w:rPr>
        <w:t xml:space="preserve">, </w:t>
      </w:r>
      <w:r w:rsidRPr="008A07B6">
        <w:rPr>
          <w:rFonts w:ascii="Calibri" w:hAnsi="Calibri" w:cs="Calibri"/>
          <w:i/>
        </w:rPr>
        <w:t>100</w:t>
      </w:r>
      <w:r w:rsidRPr="008A07B6">
        <w:rPr>
          <w:rFonts w:ascii="Calibri" w:hAnsi="Calibri" w:cs="Calibri"/>
        </w:rPr>
        <w:t>(4), 630–646. https://doi.org/10.1037/a0021711</w:t>
      </w:r>
    </w:p>
    <w:p w14:paraId="00000097"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Laland, K., Matthews, B., &amp; Feldman, M. W. (2016). An introduction to niche construction theory. </w:t>
      </w:r>
      <w:r w:rsidRPr="008A07B6">
        <w:rPr>
          <w:rFonts w:ascii="Calibri" w:hAnsi="Calibri" w:cs="Calibri"/>
          <w:i/>
        </w:rPr>
        <w:t>Evolutionary Ecology</w:t>
      </w:r>
      <w:r w:rsidRPr="008A07B6">
        <w:rPr>
          <w:rFonts w:ascii="Calibri" w:hAnsi="Calibri" w:cs="Calibri"/>
        </w:rPr>
        <w:t xml:space="preserve">, </w:t>
      </w:r>
      <w:r w:rsidRPr="008A07B6">
        <w:rPr>
          <w:rFonts w:ascii="Calibri" w:hAnsi="Calibri" w:cs="Calibri"/>
          <w:i/>
        </w:rPr>
        <w:t>30</w:t>
      </w:r>
      <w:r w:rsidRPr="008A07B6">
        <w:rPr>
          <w:rFonts w:ascii="Calibri" w:hAnsi="Calibri" w:cs="Calibri"/>
        </w:rPr>
        <w:t>(2), 191–202. https://doi.org/10.1007/s10682-016-9821-z</w:t>
      </w:r>
    </w:p>
    <w:p w14:paraId="00000098"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Laland, K. N., </w:t>
      </w:r>
      <w:proofErr w:type="spellStart"/>
      <w:r w:rsidRPr="008A07B6">
        <w:rPr>
          <w:rFonts w:ascii="Calibri" w:hAnsi="Calibri" w:cs="Calibri"/>
        </w:rPr>
        <w:t>Odling</w:t>
      </w:r>
      <w:proofErr w:type="spellEnd"/>
      <w:r w:rsidRPr="008A07B6">
        <w:rPr>
          <w:rFonts w:ascii="Calibri" w:hAnsi="Calibri" w:cs="Calibri"/>
        </w:rPr>
        <w:t xml:space="preserve">-Smee, J., &amp; Feldman, M. W. (2000). Niche construction, biological evolution, and cultural change. </w:t>
      </w:r>
      <w:r w:rsidRPr="008A07B6">
        <w:rPr>
          <w:rFonts w:ascii="Calibri" w:hAnsi="Calibri" w:cs="Calibri"/>
          <w:i/>
        </w:rPr>
        <w:t>Behavioral and Brain Sciences</w:t>
      </w:r>
      <w:r w:rsidRPr="008A07B6">
        <w:rPr>
          <w:rFonts w:ascii="Calibri" w:hAnsi="Calibri" w:cs="Calibri"/>
        </w:rPr>
        <w:t xml:space="preserve">, </w:t>
      </w:r>
      <w:r w:rsidRPr="008A07B6">
        <w:rPr>
          <w:rFonts w:ascii="Calibri" w:hAnsi="Calibri" w:cs="Calibri"/>
          <w:i/>
        </w:rPr>
        <w:t>23</w:t>
      </w:r>
      <w:r w:rsidRPr="008A07B6">
        <w:rPr>
          <w:rFonts w:ascii="Calibri" w:hAnsi="Calibri" w:cs="Calibri"/>
        </w:rPr>
        <w:t>(1), 131–146; discussion 146-175. https://doi.org/10.1017/s0140525x00002417</w:t>
      </w:r>
    </w:p>
    <w:p w14:paraId="00000099" w14:textId="77777777" w:rsidR="0059079A" w:rsidRPr="008A07B6" w:rsidRDefault="00000000">
      <w:pPr>
        <w:spacing w:before="240" w:after="240" w:line="276" w:lineRule="auto"/>
        <w:rPr>
          <w:rFonts w:ascii="Calibri" w:hAnsi="Calibri" w:cs="Calibri"/>
          <w:lang w:val="fr-CA"/>
        </w:rPr>
      </w:pPr>
      <w:r w:rsidRPr="008A07B6">
        <w:rPr>
          <w:rFonts w:ascii="Calibri" w:hAnsi="Calibri" w:cs="Calibri"/>
        </w:rPr>
        <w:t xml:space="preserve">Legros, S., &amp; </w:t>
      </w:r>
      <w:proofErr w:type="spellStart"/>
      <w:r w:rsidRPr="008A07B6">
        <w:rPr>
          <w:rFonts w:ascii="Calibri" w:hAnsi="Calibri" w:cs="Calibri"/>
        </w:rPr>
        <w:t>Cislaghi</w:t>
      </w:r>
      <w:proofErr w:type="spellEnd"/>
      <w:r w:rsidRPr="008A07B6">
        <w:rPr>
          <w:rFonts w:ascii="Calibri" w:hAnsi="Calibri" w:cs="Calibri"/>
        </w:rPr>
        <w:t xml:space="preserve">, B. (2020). Mapping the Social-Norms Literature: An Overview of Reviews. </w:t>
      </w:r>
      <w:r w:rsidRPr="008A07B6">
        <w:rPr>
          <w:rFonts w:ascii="Calibri" w:hAnsi="Calibri" w:cs="Calibri"/>
          <w:i/>
          <w:lang w:val="fr-CA"/>
        </w:rPr>
        <w:t xml:space="preserve">Perspectives on </w:t>
      </w:r>
      <w:proofErr w:type="spellStart"/>
      <w:r w:rsidRPr="008A07B6">
        <w:rPr>
          <w:rFonts w:ascii="Calibri" w:hAnsi="Calibri" w:cs="Calibri"/>
          <w:i/>
          <w:lang w:val="fr-CA"/>
        </w:rPr>
        <w:t>Psychological</w:t>
      </w:r>
      <w:proofErr w:type="spellEnd"/>
      <w:r w:rsidRPr="008A07B6">
        <w:rPr>
          <w:rFonts w:ascii="Calibri" w:hAnsi="Calibri" w:cs="Calibri"/>
          <w:i/>
          <w:lang w:val="fr-CA"/>
        </w:rPr>
        <w:t xml:space="preserve"> Science</w:t>
      </w:r>
      <w:r w:rsidRPr="008A07B6">
        <w:rPr>
          <w:rFonts w:ascii="Calibri" w:hAnsi="Calibri" w:cs="Calibri"/>
          <w:lang w:val="fr-CA"/>
        </w:rPr>
        <w:t xml:space="preserve">, </w:t>
      </w:r>
      <w:r w:rsidRPr="008A07B6">
        <w:rPr>
          <w:rFonts w:ascii="Calibri" w:hAnsi="Calibri" w:cs="Calibri"/>
          <w:i/>
          <w:lang w:val="fr-CA"/>
        </w:rPr>
        <w:t>15</w:t>
      </w:r>
      <w:r w:rsidRPr="008A07B6">
        <w:rPr>
          <w:rFonts w:ascii="Calibri" w:hAnsi="Calibri" w:cs="Calibri"/>
          <w:lang w:val="fr-CA"/>
        </w:rPr>
        <w:t>(1), 62–80. https://doi.org/10.1177/1745691619866455</w:t>
      </w:r>
    </w:p>
    <w:p w14:paraId="0000009A" w14:textId="77777777" w:rsidR="0059079A" w:rsidRPr="008A07B6" w:rsidRDefault="00000000">
      <w:pPr>
        <w:spacing w:before="240" w:after="240" w:line="276" w:lineRule="auto"/>
        <w:rPr>
          <w:rFonts w:ascii="Calibri" w:hAnsi="Calibri" w:cs="Calibri"/>
        </w:rPr>
      </w:pPr>
      <w:proofErr w:type="spellStart"/>
      <w:r w:rsidRPr="008A07B6">
        <w:rPr>
          <w:rFonts w:ascii="Calibri" w:hAnsi="Calibri" w:cs="Calibri"/>
          <w:lang w:val="fr-CA"/>
        </w:rPr>
        <w:t>Lewontin</w:t>
      </w:r>
      <w:proofErr w:type="spellEnd"/>
      <w:r w:rsidRPr="008A07B6">
        <w:rPr>
          <w:rFonts w:ascii="Calibri" w:hAnsi="Calibri" w:cs="Calibri"/>
          <w:lang w:val="fr-CA"/>
        </w:rPr>
        <w:t xml:space="preserve">, R. C. (1983). </w:t>
      </w:r>
      <w:r w:rsidRPr="008A07B6">
        <w:rPr>
          <w:rFonts w:ascii="Calibri" w:hAnsi="Calibri" w:cs="Calibri"/>
        </w:rPr>
        <w:t xml:space="preserve">Gene, organism and environment. In D. S. Bendall (Ed.), </w:t>
      </w:r>
      <w:r w:rsidRPr="008A07B6">
        <w:rPr>
          <w:rFonts w:ascii="Calibri" w:hAnsi="Calibri" w:cs="Calibri"/>
          <w:i/>
        </w:rPr>
        <w:t>Evolution from molecules to men</w:t>
      </w:r>
      <w:r w:rsidRPr="008A07B6">
        <w:rPr>
          <w:rFonts w:ascii="Calibri" w:hAnsi="Calibri" w:cs="Calibri"/>
        </w:rPr>
        <w:t xml:space="preserve"> (pp. 273–286). Cambridge University Press.</w:t>
      </w:r>
    </w:p>
    <w:p w14:paraId="0000009B" w14:textId="2A490190" w:rsidR="0059079A" w:rsidRDefault="00000000">
      <w:pPr>
        <w:spacing w:before="240" w:after="240" w:line="276" w:lineRule="auto"/>
        <w:rPr>
          <w:rFonts w:ascii="Calibri" w:hAnsi="Calibri" w:cs="Calibri"/>
        </w:rPr>
      </w:pPr>
      <w:r w:rsidRPr="008A07B6">
        <w:rPr>
          <w:rFonts w:ascii="Calibri" w:hAnsi="Calibri" w:cs="Calibri"/>
        </w:rPr>
        <w:t xml:space="preserve">Mann, S. F., Pain, R., &amp; Kirchhoff, M. D. (2022). Free energy: A user’s guide. </w:t>
      </w:r>
      <w:r w:rsidRPr="008A07B6">
        <w:rPr>
          <w:rFonts w:ascii="Calibri" w:hAnsi="Calibri" w:cs="Calibri"/>
          <w:i/>
        </w:rPr>
        <w:t>Biology &amp; Philosophy</w:t>
      </w:r>
      <w:r w:rsidRPr="008A07B6">
        <w:rPr>
          <w:rFonts w:ascii="Calibri" w:hAnsi="Calibri" w:cs="Calibri"/>
        </w:rPr>
        <w:t xml:space="preserve">, </w:t>
      </w:r>
      <w:r w:rsidRPr="008A07B6">
        <w:rPr>
          <w:rFonts w:ascii="Calibri" w:hAnsi="Calibri" w:cs="Calibri"/>
          <w:i/>
        </w:rPr>
        <w:t>37</w:t>
      </w:r>
      <w:r w:rsidRPr="008A07B6">
        <w:rPr>
          <w:rFonts w:ascii="Calibri" w:hAnsi="Calibri" w:cs="Calibri"/>
        </w:rPr>
        <w:t xml:space="preserve">(4), 33. </w:t>
      </w:r>
      <w:hyperlink r:id="rId10" w:history="1">
        <w:r w:rsidR="005255CA" w:rsidRPr="00416EE2">
          <w:rPr>
            <w:rStyle w:val="Hyperlien"/>
            <w:rFonts w:ascii="Calibri" w:hAnsi="Calibri" w:cs="Calibri"/>
          </w:rPr>
          <w:t>https://doi.org/10.1007/s10539-022-09864-z</w:t>
        </w:r>
      </w:hyperlink>
    </w:p>
    <w:p w14:paraId="72693080" w14:textId="0268279A" w:rsidR="005255CA" w:rsidRPr="00C05388" w:rsidRDefault="005255CA">
      <w:pPr>
        <w:spacing w:before="240" w:after="240" w:line="276" w:lineRule="auto"/>
        <w:rPr>
          <w:rFonts w:ascii="Calibri" w:hAnsi="Calibri" w:cs="Calibri"/>
        </w:rPr>
      </w:pPr>
      <w:r w:rsidRPr="005255CA">
        <w:rPr>
          <w:rFonts w:ascii="Calibri" w:hAnsi="Calibri" w:cs="Calibri"/>
        </w:rPr>
        <w:t xml:space="preserve">Mikhail, J. (2007). Universal moral grammar: Theory, evidence and the future. </w:t>
      </w:r>
      <w:r w:rsidRPr="00C05388">
        <w:rPr>
          <w:rFonts w:ascii="Calibri" w:hAnsi="Calibri" w:cs="Calibri"/>
          <w:i/>
          <w:iCs/>
        </w:rPr>
        <w:t>Trends in Cognitive Sciences</w:t>
      </w:r>
      <w:r w:rsidRPr="00C05388">
        <w:rPr>
          <w:rFonts w:ascii="Calibri" w:hAnsi="Calibri" w:cs="Calibri"/>
        </w:rPr>
        <w:t xml:space="preserve">, </w:t>
      </w:r>
      <w:r w:rsidRPr="00C05388">
        <w:rPr>
          <w:rFonts w:ascii="Calibri" w:hAnsi="Calibri" w:cs="Calibri"/>
          <w:i/>
          <w:iCs/>
        </w:rPr>
        <w:t>11</w:t>
      </w:r>
      <w:r w:rsidRPr="00C05388">
        <w:rPr>
          <w:rFonts w:ascii="Calibri" w:hAnsi="Calibri" w:cs="Calibri"/>
        </w:rPr>
        <w:t xml:space="preserve">(4), 143–152. </w:t>
      </w:r>
      <w:hyperlink r:id="rId11" w:history="1">
        <w:r w:rsidRPr="00C05388">
          <w:rPr>
            <w:rStyle w:val="Hyperlien"/>
            <w:rFonts w:ascii="Calibri" w:hAnsi="Calibri" w:cs="Calibri"/>
          </w:rPr>
          <w:t>https://doi.org/10.1016/j.tics.2006.12.007</w:t>
        </w:r>
      </w:hyperlink>
    </w:p>
    <w:p w14:paraId="0000009C"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Montoya, R. M., Horton, R. S., Vevea, J. L., </w:t>
      </w:r>
      <w:proofErr w:type="spellStart"/>
      <w:r w:rsidRPr="008A07B6">
        <w:rPr>
          <w:rFonts w:ascii="Calibri" w:hAnsi="Calibri" w:cs="Calibri"/>
        </w:rPr>
        <w:t>Citkowicz</w:t>
      </w:r>
      <w:proofErr w:type="spellEnd"/>
      <w:r w:rsidRPr="008A07B6">
        <w:rPr>
          <w:rFonts w:ascii="Calibri" w:hAnsi="Calibri" w:cs="Calibri"/>
        </w:rPr>
        <w:t xml:space="preserve">, M., &amp; Lauber, E. A. (2017). A re-examination of the mere exposure effect: The influence of repeated exposure on recognition, familiarity, and liking. </w:t>
      </w:r>
      <w:r w:rsidRPr="008A07B6">
        <w:rPr>
          <w:rFonts w:ascii="Calibri" w:hAnsi="Calibri" w:cs="Calibri"/>
          <w:i/>
        </w:rPr>
        <w:t>Psychological Bulletin</w:t>
      </w:r>
      <w:r w:rsidRPr="008A07B6">
        <w:rPr>
          <w:rFonts w:ascii="Calibri" w:hAnsi="Calibri" w:cs="Calibri"/>
        </w:rPr>
        <w:t xml:space="preserve">, </w:t>
      </w:r>
      <w:r w:rsidRPr="008A07B6">
        <w:rPr>
          <w:rFonts w:ascii="Calibri" w:hAnsi="Calibri" w:cs="Calibri"/>
          <w:i/>
        </w:rPr>
        <w:t>143</w:t>
      </w:r>
      <w:r w:rsidRPr="008A07B6">
        <w:rPr>
          <w:rFonts w:ascii="Calibri" w:hAnsi="Calibri" w:cs="Calibri"/>
        </w:rPr>
        <w:t>(5), 459–498. https://doi.org/10.1037/bul0000085</w:t>
      </w:r>
    </w:p>
    <w:p w14:paraId="0000009D" w14:textId="77777777" w:rsidR="0059079A" w:rsidRPr="008A07B6" w:rsidRDefault="00000000">
      <w:pPr>
        <w:spacing w:before="240" w:after="240" w:line="276" w:lineRule="auto"/>
        <w:rPr>
          <w:rFonts w:ascii="Calibri" w:hAnsi="Calibri" w:cs="Calibri"/>
        </w:rPr>
      </w:pPr>
      <w:r w:rsidRPr="008A07B6">
        <w:rPr>
          <w:rFonts w:ascii="Calibri" w:hAnsi="Calibri" w:cs="Calibri"/>
        </w:rPr>
        <w:lastRenderedPageBreak/>
        <w:t xml:space="preserve">Mrug, S., Madan, A., &amp; Windle, M. (2016). Emotional Desensitization to Violence Contributes to Adolescents’ Violent Behavior. </w:t>
      </w:r>
      <w:r w:rsidRPr="008A07B6">
        <w:rPr>
          <w:rFonts w:ascii="Calibri" w:hAnsi="Calibri" w:cs="Calibri"/>
          <w:i/>
        </w:rPr>
        <w:t>Journal of Abnormal Child Psychology</w:t>
      </w:r>
      <w:r w:rsidRPr="008A07B6">
        <w:rPr>
          <w:rFonts w:ascii="Calibri" w:hAnsi="Calibri" w:cs="Calibri"/>
        </w:rPr>
        <w:t xml:space="preserve">, </w:t>
      </w:r>
      <w:r w:rsidRPr="008A07B6">
        <w:rPr>
          <w:rFonts w:ascii="Calibri" w:hAnsi="Calibri" w:cs="Calibri"/>
          <w:i/>
        </w:rPr>
        <w:t>44</w:t>
      </w:r>
      <w:r w:rsidRPr="008A07B6">
        <w:rPr>
          <w:rFonts w:ascii="Calibri" w:hAnsi="Calibri" w:cs="Calibri"/>
        </w:rPr>
        <w:t>(1), 75–86. https://doi.org/10.1007/s10802-015-9986-x</w:t>
      </w:r>
    </w:p>
    <w:p w14:paraId="0000009E" w14:textId="77777777" w:rsidR="0059079A" w:rsidRPr="008A07B6" w:rsidRDefault="00000000">
      <w:pPr>
        <w:spacing w:before="240" w:after="240" w:line="276" w:lineRule="auto"/>
        <w:rPr>
          <w:rFonts w:ascii="Calibri" w:hAnsi="Calibri" w:cs="Calibri"/>
        </w:rPr>
      </w:pPr>
      <w:proofErr w:type="spellStart"/>
      <w:r w:rsidRPr="008A07B6">
        <w:rPr>
          <w:rFonts w:ascii="Calibri" w:hAnsi="Calibri" w:cs="Calibri"/>
        </w:rPr>
        <w:t>Odling</w:t>
      </w:r>
      <w:proofErr w:type="spellEnd"/>
      <w:r w:rsidRPr="008A07B6">
        <w:rPr>
          <w:rFonts w:ascii="Calibri" w:hAnsi="Calibri" w:cs="Calibri"/>
        </w:rPr>
        <w:t xml:space="preserve">-Smee, F. J., Laland, K. N., &amp; Feldman, M. W. (2003). </w:t>
      </w:r>
      <w:r w:rsidRPr="008A07B6">
        <w:rPr>
          <w:rFonts w:ascii="Calibri" w:hAnsi="Calibri" w:cs="Calibri"/>
          <w:i/>
        </w:rPr>
        <w:t>Niche construction: The neglected process in evolution</w:t>
      </w:r>
      <w:r w:rsidRPr="008A07B6">
        <w:rPr>
          <w:rFonts w:ascii="Calibri" w:hAnsi="Calibri" w:cs="Calibri"/>
        </w:rPr>
        <w:t xml:space="preserve"> (1–1 online resource (xii, 472 pages) : illustrations). Princeton University Press. https://doi.org/10.1515/9781400847266</w:t>
      </w:r>
    </w:p>
    <w:p w14:paraId="0000009F"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Over, H. (2016). The origins of belonging: Social motivation in infants and young children. </w:t>
      </w:r>
      <w:r w:rsidRPr="008A07B6">
        <w:rPr>
          <w:rFonts w:ascii="Calibri" w:hAnsi="Calibri" w:cs="Calibri"/>
          <w:i/>
        </w:rPr>
        <w:t>Philosophical Transactions of the Royal Society of London. Series B, Biological Sciences</w:t>
      </w:r>
      <w:r w:rsidRPr="008A07B6">
        <w:rPr>
          <w:rFonts w:ascii="Calibri" w:hAnsi="Calibri" w:cs="Calibri"/>
        </w:rPr>
        <w:t xml:space="preserve">, </w:t>
      </w:r>
      <w:r w:rsidRPr="008A07B6">
        <w:rPr>
          <w:rFonts w:ascii="Calibri" w:hAnsi="Calibri" w:cs="Calibri"/>
          <w:i/>
        </w:rPr>
        <w:t>371</w:t>
      </w:r>
      <w:r w:rsidRPr="008A07B6">
        <w:rPr>
          <w:rFonts w:ascii="Calibri" w:hAnsi="Calibri" w:cs="Calibri"/>
        </w:rPr>
        <w:t>(1686), 20150072. https://doi.org/10.1098/rstb.2015.0072</w:t>
      </w:r>
    </w:p>
    <w:p w14:paraId="000000A0"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Parr, T., Pezzulo, G., &amp; Friston, K. (2022). </w:t>
      </w:r>
      <w:r w:rsidRPr="008A07B6">
        <w:rPr>
          <w:rFonts w:ascii="Calibri" w:hAnsi="Calibri" w:cs="Calibri"/>
          <w:i/>
        </w:rPr>
        <w:t>Active inference: The free energy principle in mind, brain and behavior</w:t>
      </w:r>
      <w:r w:rsidRPr="008A07B6">
        <w:rPr>
          <w:rFonts w:ascii="Calibri" w:hAnsi="Calibri" w:cs="Calibri"/>
        </w:rPr>
        <w:t>. MIT Press.</w:t>
      </w:r>
    </w:p>
    <w:p w14:paraId="000000A1"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Paulus, M., &amp; </w:t>
      </w:r>
      <w:proofErr w:type="spellStart"/>
      <w:r w:rsidRPr="008A07B6">
        <w:rPr>
          <w:rFonts w:ascii="Calibri" w:hAnsi="Calibri" w:cs="Calibri"/>
        </w:rPr>
        <w:t>Wörle</w:t>
      </w:r>
      <w:proofErr w:type="spellEnd"/>
      <w:r w:rsidRPr="008A07B6">
        <w:rPr>
          <w:rFonts w:ascii="Calibri" w:hAnsi="Calibri" w:cs="Calibri"/>
        </w:rPr>
        <w:t xml:space="preserve">, M. (2019). Young children protest against the incorrect use of novel words: Toward a normative pragmatic account on language acquisition. </w:t>
      </w:r>
      <w:r w:rsidRPr="008A07B6">
        <w:rPr>
          <w:rFonts w:ascii="Calibri" w:hAnsi="Calibri" w:cs="Calibri"/>
          <w:i/>
        </w:rPr>
        <w:t>Journal of Experimental Child Psychology</w:t>
      </w:r>
      <w:r w:rsidRPr="008A07B6">
        <w:rPr>
          <w:rFonts w:ascii="Calibri" w:hAnsi="Calibri" w:cs="Calibri"/>
        </w:rPr>
        <w:t xml:space="preserve">, </w:t>
      </w:r>
      <w:r w:rsidRPr="008A07B6">
        <w:rPr>
          <w:rFonts w:ascii="Calibri" w:hAnsi="Calibri" w:cs="Calibri"/>
          <w:i/>
        </w:rPr>
        <w:t>180</w:t>
      </w:r>
      <w:r w:rsidRPr="008A07B6">
        <w:rPr>
          <w:rFonts w:ascii="Calibri" w:hAnsi="Calibri" w:cs="Calibri"/>
        </w:rPr>
        <w:t>, 113–122. https://doi.org/10.1016/j.jecp.2018.09.012</w:t>
      </w:r>
    </w:p>
    <w:p w14:paraId="000000A2"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Peregrin, J. (2023). </w:t>
      </w:r>
      <w:r w:rsidRPr="008A07B6">
        <w:rPr>
          <w:rFonts w:ascii="Calibri" w:hAnsi="Calibri" w:cs="Calibri"/>
          <w:i/>
        </w:rPr>
        <w:t xml:space="preserve">Normative Species: How Naturalized </w:t>
      </w:r>
      <w:proofErr w:type="spellStart"/>
      <w:r w:rsidRPr="008A07B6">
        <w:rPr>
          <w:rFonts w:ascii="Calibri" w:hAnsi="Calibri" w:cs="Calibri"/>
          <w:i/>
        </w:rPr>
        <w:t>Inferentialism</w:t>
      </w:r>
      <w:proofErr w:type="spellEnd"/>
      <w:r w:rsidRPr="008A07B6">
        <w:rPr>
          <w:rFonts w:ascii="Calibri" w:hAnsi="Calibri" w:cs="Calibri"/>
          <w:i/>
        </w:rPr>
        <w:t xml:space="preserve"> Explains Us</w:t>
      </w:r>
      <w:r w:rsidRPr="008A07B6">
        <w:rPr>
          <w:rFonts w:ascii="Calibri" w:hAnsi="Calibri" w:cs="Calibri"/>
        </w:rPr>
        <w:t>. Routledge.</w:t>
      </w:r>
    </w:p>
    <w:p w14:paraId="000000A3"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Pezzulo, G., Rigoli, F., &amp; Friston, K. J. (2018). Hierarchical Active Inference: A Theory of Motivated Control. </w:t>
      </w:r>
      <w:r w:rsidRPr="008A07B6">
        <w:rPr>
          <w:rFonts w:ascii="Calibri" w:hAnsi="Calibri" w:cs="Calibri"/>
          <w:i/>
        </w:rPr>
        <w:t>Trends in Cognitive Sciences</w:t>
      </w:r>
      <w:r w:rsidRPr="008A07B6">
        <w:rPr>
          <w:rFonts w:ascii="Calibri" w:hAnsi="Calibri" w:cs="Calibri"/>
        </w:rPr>
        <w:t xml:space="preserve">, </w:t>
      </w:r>
      <w:r w:rsidRPr="008A07B6">
        <w:rPr>
          <w:rFonts w:ascii="Calibri" w:hAnsi="Calibri" w:cs="Calibri"/>
          <w:i/>
        </w:rPr>
        <w:t>22</w:t>
      </w:r>
      <w:r w:rsidRPr="008A07B6">
        <w:rPr>
          <w:rFonts w:ascii="Calibri" w:hAnsi="Calibri" w:cs="Calibri"/>
        </w:rPr>
        <w:t>(4), 294–306. https://doi.org/10.1016/j.tics.2018.01.009</w:t>
      </w:r>
    </w:p>
    <w:p w14:paraId="000000A4"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Rakoczy, H., Brosche, N., </w:t>
      </w:r>
      <w:proofErr w:type="spellStart"/>
      <w:r w:rsidRPr="008A07B6">
        <w:rPr>
          <w:rFonts w:ascii="Calibri" w:hAnsi="Calibri" w:cs="Calibri"/>
        </w:rPr>
        <w:t>Warneken</w:t>
      </w:r>
      <w:proofErr w:type="spellEnd"/>
      <w:r w:rsidRPr="008A07B6">
        <w:rPr>
          <w:rFonts w:ascii="Calibri" w:hAnsi="Calibri" w:cs="Calibri"/>
        </w:rPr>
        <w:t xml:space="preserve">, F., &amp; Tomasello, M. (2009). Young children’s understanding of the context-relativity of normative rules in conventional games. </w:t>
      </w:r>
      <w:r w:rsidRPr="008A07B6">
        <w:rPr>
          <w:rFonts w:ascii="Calibri" w:hAnsi="Calibri" w:cs="Calibri"/>
          <w:i/>
        </w:rPr>
        <w:t>The British Journal of Developmental Psychology</w:t>
      </w:r>
      <w:r w:rsidRPr="008A07B6">
        <w:rPr>
          <w:rFonts w:ascii="Calibri" w:hAnsi="Calibri" w:cs="Calibri"/>
        </w:rPr>
        <w:t xml:space="preserve">, </w:t>
      </w:r>
      <w:r w:rsidRPr="008A07B6">
        <w:rPr>
          <w:rFonts w:ascii="Calibri" w:hAnsi="Calibri" w:cs="Calibri"/>
          <w:i/>
        </w:rPr>
        <w:t>27</w:t>
      </w:r>
      <w:r w:rsidRPr="008A07B6">
        <w:rPr>
          <w:rFonts w:ascii="Calibri" w:hAnsi="Calibri" w:cs="Calibri"/>
        </w:rPr>
        <w:t>(Pt 2), 445–456. https://doi.org/10.1348/026151008x337752</w:t>
      </w:r>
    </w:p>
    <w:p w14:paraId="000000A5"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Rakoczy, H., &amp; Schmidt, M. F. H. (2013). The Early Ontogeny of Social Norms. </w:t>
      </w:r>
      <w:r w:rsidRPr="008A07B6">
        <w:rPr>
          <w:rFonts w:ascii="Calibri" w:hAnsi="Calibri" w:cs="Calibri"/>
          <w:i/>
        </w:rPr>
        <w:t>Child Development Perspectives</w:t>
      </w:r>
      <w:r w:rsidRPr="008A07B6">
        <w:rPr>
          <w:rFonts w:ascii="Calibri" w:hAnsi="Calibri" w:cs="Calibri"/>
        </w:rPr>
        <w:t xml:space="preserve">, </w:t>
      </w:r>
      <w:r w:rsidRPr="008A07B6">
        <w:rPr>
          <w:rFonts w:ascii="Calibri" w:hAnsi="Calibri" w:cs="Calibri"/>
          <w:i/>
        </w:rPr>
        <w:t>7</w:t>
      </w:r>
      <w:r w:rsidRPr="008A07B6">
        <w:rPr>
          <w:rFonts w:ascii="Calibri" w:hAnsi="Calibri" w:cs="Calibri"/>
        </w:rPr>
        <w:t>(1), 17–21. https://doi.org/10.1111/cdep.12010</w:t>
      </w:r>
    </w:p>
    <w:p w14:paraId="000000A6"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Ramstead, M. J. D., Badcock, P. B., &amp; Friston, K. J. (2018). Answering Schrödinger’s question: A free-energy formulation. </w:t>
      </w:r>
      <w:r w:rsidRPr="008A07B6">
        <w:rPr>
          <w:rFonts w:ascii="Calibri" w:hAnsi="Calibri" w:cs="Calibri"/>
          <w:i/>
        </w:rPr>
        <w:t>Physics of Life Reviews</w:t>
      </w:r>
      <w:r w:rsidRPr="008A07B6">
        <w:rPr>
          <w:rFonts w:ascii="Calibri" w:hAnsi="Calibri" w:cs="Calibri"/>
        </w:rPr>
        <w:t xml:space="preserve">, </w:t>
      </w:r>
      <w:r w:rsidRPr="008A07B6">
        <w:rPr>
          <w:rFonts w:ascii="Calibri" w:hAnsi="Calibri" w:cs="Calibri"/>
          <w:i/>
        </w:rPr>
        <w:t>24</w:t>
      </w:r>
      <w:r w:rsidRPr="008A07B6">
        <w:rPr>
          <w:rFonts w:ascii="Calibri" w:hAnsi="Calibri" w:cs="Calibri"/>
        </w:rPr>
        <w:t>, 1–16. https://doi.org/10.1016/j.plrev.2017.09.001</w:t>
      </w:r>
    </w:p>
    <w:p w14:paraId="000000A7" w14:textId="77777777" w:rsidR="0059079A" w:rsidRPr="008A07B6" w:rsidRDefault="00000000">
      <w:pPr>
        <w:spacing w:before="240" w:after="240" w:line="276" w:lineRule="auto"/>
        <w:rPr>
          <w:rFonts w:ascii="Calibri" w:hAnsi="Calibri" w:cs="Calibri"/>
          <w:lang w:val="fr-CA"/>
        </w:rPr>
      </w:pPr>
      <w:r w:rsidRPr="008A07B6">
        <w:rPr>
          <w:rFonts w:ascii="Calibri" w:hAnsi="Calibri" w:cs="Calibri"/>
        </w:rPr>
        <w:lastRenderedPageBreak/>
        <w:t xml:space="preserve">Ramstead, M., </w:t>
      </w:r>
      <w:proofErr w:type="spellStart"/>
      <w:r w:rsidRPr="008A07B6">
        <w:rPr>
          <w:rFonts w:ascii="Calibri" w:hAnsi="Calibri" w:cs="Calibri"/>
        </w:rPr>
        <w:t>Veissière</w:t>
      </w:r>
      <w:proofErr w:type="spellEnd"/>
      <w:r w:rsidRPr="008A07B6">
        <w:rPr>
          <w:rFonts w:ascii="Calibri" w:hAnsi="Calibri" w:cs="Calibri"/>
        </w:rPr>
        <w:t xml:space="preserve"> SP, &amp; </w:t>
      </w:r>
      <w:proofErr w:type="spellStart"/>
      <w:r w:rsidRPr="008A07B6">
        <w:rPr>
          <w:rFonts w:ascii="Calibri" w:hAnsi="Calibri" w:cs="Calibri"/>
        </w:rPr>
        <w:t>Kirmayer</w:t>
      </w:r>
      <w:proofErr w:type="spellEnd"/>
      <w:r w:rsidRPr="008A07B6">
        <w:rPr>
          <w:rFonts w:ascii="Calibri" w:hAnsi="Calibri" w:cs="Calibri"/>
        </w:rPr>
        <w:t xml:space="preserve"> LJ. (2016). Cultural Affordances: Scaffolding Local Worlds Through Shared Intentionality and Regimes of Attention. </w:t>
      </w:r>
      <w:proofErr w:type="spellStart"/>
      <w:r w:rsidRPr="008A07B6">
        <w:rPr>
          <w:rFonts w:ascii="Calibri" w:hAnsi="Calibri" w:cs="Calibri"/>
          <w:i/>
          <w:lang w:val="fr-CA"/>
        </w:rPr>
        <w:t>Frontiers</w:t>
      </w:r>
      <w:proofErr w:type="spellEnd"/>
      <w:r w:rsidRPr="008A07B6">
        <w:rPr>
          <w:rFonts w:ascii="Calibri" w:hAnsi="Calibri" w:cs="Calibri"/>
          <w:i/>
          <w:lang w:val="fr-CA"/>
        </w:rPr>
        <w:t xml:space="preserve"> in Psychology</w:t>
      </w:r>
      <w:r w:rsidRPr="008A07B6">
        <w:rPr>
          <w:rFonts w:ascii="Calibri" w:hAnsi="Calibri" w:cs="Calibri"/>
          <w:lang w:val="fr-CA"/>
        </w:rPr>
        <w:t xml:space="preserve">, </w:t>
      </w:r>
      <w:r w:rsidRPr="008A07B6">
        <w:rPr>
          <w:rFonts w:ascii="Calibri" w:hAnsi="Calibri" w:cs="Calibri"/>
          <w:i/>
          <w:lang w:val="fr-CA"/>
        </w:rPr>
        <w:t>7</w:t>
      </w:r>
      <w:r w:rsidRPr="008A07B6">
        <w:rPr>
          <w:rFonts w:ascii="Calibri" w:hAnsi="Calibri" w:cs="Calibri"/>
          <w:lang w:val="fr-CA"/>
        </w:rPr>
        <w:t>, 1090. https://doi.org/10.3389/fpsyg.2016.01090</w:t>
      </w:r>
    </w:p>
    <w:p w14:paraId="000000A8" w14:textId="77777777" w:rsidR="0059079A" w:rsidRPr="008A07B6" w:rsidRDefault="00000000">
      <w:pPr>
        <w:spacing w:before="240" w:after="240" w:line="276" w:lineRule="auto"/>
        <w:rPr>
          <w:rFonts w:ascii="Calibri" w:hAnsi="Calibri" w:cs="Calibri"/>
        </w:rPr>
      </w:pPr>
      <w:r w:rsidRPr="008A07B6">
        <w:rPr>
          <w:rFonts w:ascii="Calibri" w:hAnsi="Calibri" w:cs="Calibri"/>
          <w:lang w:val="fr-CA"/>
        </w:rPr>
        <w:t xml:space="preserve">Renzi, D. T., </w:t>
      </w:r>
      <w:proofErr w:type="spellStart"/>
      <w:r w:rsidRPr="008A07B6">
        <w:rPr>
          <w:rFonts w:ascii="Calibri" w:hAnsi="Calibri" w:cs="Calibri"/>
          <w:lang w:val="fr-CA"/>
        </w:rPr>
        <w:t>Bulgarelli</w:t>
      </w:r>
      <w:proofErr w:type="spellEnd"/>
      <w:r w:rsidRPr="008A07B6">
        <w:rPr>
          <w:rFonts w:ascii="Calibri" w:hAnsi="Calibri" w:cs="Calibri"/>
          <w:lang w:val="fr-CA"/>
        </w:rPr>
        <w:t xml:space="preserve">, F., Navarro-Torres, C., &amp; Morales, J. (2017). </w:t>
      </w:r>
      <w:r w:rsidRPr="008A07B6">
        <w:rPr>
          <w:rFonts w:ascii="Calibri" w:hAnsi="Calibri" w:cs="Calibri"/>
        </w:rPr>
        <w:t xml:space="preserve">Two minds are better than one: Cooperative communication as a new framework for understanding infant language learning. </w:t>
      </w:r>
      <w:r w:rsidRPr="008A07B6">
        <w:rPr>
          <w:rFonts w:ascii="Calibri" w:hAnsi="Calibri" w:cs="Calibri"/>
          <w:i/>
        </w:rPr>
        <w:t>Translational Issues in Psychological Science</w:t>
      </w:r>
      <w:r w:rsidRPr="008A07B6">
        <w:rPr>
          <w:rFonts w:ascii="Calibri" w:hAnsi="Calibri" w:cs="Calibri"/>
        </w:rPr>
        <w:t xml:space="preserve">, </w:t>
      </w:r>
      <w:r w:rsidRPr="008A07B6">
        <w:rPr>
          <w:rFonts w:ascii="Calibri" w:hAnsi="Calibri" w:cs="Calibri"/>
          <w:i/>
        </w:rPr>
        <w:t>3</w:t>
      </w:r>
      <w:r w:rsidRPr="008A07B6">
        <w:rPr>
          <w:rFonts w:ascii="Calibri" w:hAnsi="Calibri" w:cs="Calibri"/>
        </w:rPr>
        <w:t>(1), 19–33. https://doi.org/10.1037/tps0000088</w:t>
      </w:r>
    </w:p>
    <w:p w14:paraId="000000A9"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Richerson, P. J., &amp; Boyd, R. (2005). </w:t>
      </w:r>
      <w:r w:rsidRPr="008A07B6">
        <w:rPr>
          <w:rFonts w:ascii="Calibri" w:hAnsi="Calibri" w:cs="Calibri"/>
          <w:i/>
        </w:rPr>
        <w:t>Not by genes alone: How culture transformed human evolution</w:t>
      </w:r>
      <w:r w:rsidRPr="008A07B6">
        <w:rPr>
          <w:rFonts w:ascii="Calibri" w:hAnsi="Calibri" w:cs="Calibri"/>
        </w:rPr>
        <w:t xml:space="preserve"> (pp. ix, 332). University of Chicago Press.</w:t>
      </w:r>
    </w:p>
    <w:p w14:paraId="000000AA"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Rietveld, E. (2008). Situated Normativity: The Normative Aspect of Embodied Cognition in Unreflective Action. </w:t>
      </w:r>
      <w:r w:rsidRPr="008A07B6">
        <w:rPr>
          <w:rFonts w:ascii="Calibri" w:hAnsi="Calibri" w:cs="Calibri"/>
          <w:i/>
        </w:rPr>
        <w:t>Mind</w:t>
      </w:r>
      <w:r w:rsidRPr="008A07B6">
        <w:rPr>
          <w:rFonts w:ascii="Calibri" w:hAnsi="Calibri" w:cs="Calibri"/>
        </w:rPr>
        <w:t xml:space="preserve">, </w:t>
      </w:r>
      <w:r w:rsidRPr="008A07B6">
        <w:rPr>
          <w:rFonts w:ascii="Calibri" w:hAnsi="Calibri" w:cs="Calibri"/>
          <w:i/>
        </w:rPr>
        <w:t>117</w:t>
      </w:r>
      <w:r w:rsidRPr="008A07B6">
        <w:rPr>
          <w:rFonts w:ascii="Calibri" w:hAnsi="Calibri" w:cs="Calibri"/>
        </w:rPr>
        <w:t>(468), 973–1001. https://doi.org/10.1093/mind/fzn050</w:t>
      </w:r>
    </w:p>
    <w:p w14:paraId="000000AB"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Roberts, S. O., Gelman, S. A., &amp; Ho, A. K. (2017). So it is, so it shall be: Group regularities license children’s prescriptive judgments. </w:t>
      </w:r>
      <w:r w:rsidRPr="008A07B6">
        <w:rPr>
          <w:rFonts w:ascii="Calibri" w:hAnsi="Calibri" w:cs="Calibri"/>
          <w:i/>
        </w:rPr>
        <w:t>Cognitive Science</w:t>
      </w:r>
      <w:r w:rsidRPr="008A07B6">
        <w:rPr>
          <w:rFonts w:ascii="Calibri" w:hAnsi="Calibri" w:cs="Calibri"/>
        </w:rPr>
        <w:t xml:space="preserve">, </w:t>
      </w:r>
      <w:r w:rsidRPr="008A07B6">
        <w:rPr>
          <w:rFonts w:ascii="Calibri" w:hAnsi="Calibri" w:cs="Calibri"/>
          <w:i/>
        </w:rPr>
        <w:t>41</w:t>
      </w:r>
      <w:r w:rsidRPr="008A07B6">
        <w:rPr>
          <w:rFonts w:ascii="Calibri" w:hAnsi="Calibri" w:cs="Calibri"/>
        </w:rPr>
        <w:t>(Suppl 3), 576. https://doi.org/10.1111/cogs.12443</w:t>
      </w:r>
    </w:p>
    <w:p w14:paraId="000000AC" w14:textId="11CF8C6D" w:rsidR="0059079A" w:rsidRDefault="00000000">
      <w:pPr>
        <w:spacing w:before="240" w:after="240" w:line="276" w:lineRule="auto"/>
        <w:rPr>
          <w:rFonts w:ascii="Calibri" w:hAnsi="Calibri" w:cs="Calibri"/>
        </w:rPr>
      </w:pPr>
      <w:r w:rsidRPr="008A07B6">
        <w:rPr>
          <w:rFonts w:ascii="Calibri" w:hAnsi="Calibri" w:cs="Calibri"/>
        </w:rPr>
        <w:t xml:space="preserve">Roberts, S. O., Guo, C., Ho, A. K., &amp; Gelman, S. A. (2018). Children’s descriptive-to-prescriptive tendency replicates (and varies) cross-culturally: Evidence from China. </w:t>
      </w:r>
      <w:r w:rsidRPr="008A07B6">
        <w:rPr>
          <w:rFonts w:ascii="Calibri" w:hAnsi="Calibri" w:cs="Calibri"/>
          <w:i/>
        </w:rPr>
        <w:t>Journal of Experimental Child Psychology</w:t>
      </w:r>
      <w:r w:rsidRPr="008A07B6">
        <w:rPr>
          <w:rFonts w:ascii="Calibri" w:hAnsi="Calibri" w:cs="Calibri"/>
        </w:rPr>
        <w:t xml:space="preserve">, </w:t>
      </w:r>
      <w:r w:rsidRPr="008A07B6">
        <w:rPr>
          <w:rFonts w:ascii="Calibri" w:hAnsi="Calibri" w:cs="Calibri"/>
          <w:i/>
        </w:rPr>
        <w:t>165</w:t>
      </w:r>
      <w:r w:rsidRPr="008A07B6">
        <w:rPr>
          <w:rFonts w:ascii="Calibri" w:hAnsi="Calibri" w:cs="Calibri"/>
        </w:rPr>
        <w:t xml:space="preserve">, 148–160. </w:t>
      </w:r>
      <w:hyperlink r:id="rId12" w:history="1">
        <w:r w:rsidR="00267893" w:rsidRPr="005A3025">
          <w:rPr>
            <w:rStyle w:val="Hyperlien"/>
            <w:rFonts w:ascii="Calibri" w:hAnsi="Calibri" w:cs="Calibri"/>
          </w:rPr>
          <w:t>https://doi.org/10.1016/j.jecp.2017.03.018</w:t>
        </w:r>
      </w:hyperlink>
    </w:p>
    <w:p w14:paraId="0BDB58B0" w14:textId="33E8A8AA" w:rsidR="00267893" w:rsidRPr="008A07B6" w:rsidRDefault="00267893">
      <w:pPr>
        <w:spacing w:before="240" w:after="240" w:line="276" w:lineRule="auto"/>
        <w:rPr>
          <w:rFonts w:ascii="Calibri" w:hAnsi="Calibri" w:cs="Calibri"/>
        </w:rPr>
      </w:pPr>
      <w:r w:rsidRPr="00267893">
        <w:rPr>
          <w:rFonts w:ascii="Calibri" w:hAnsi="Calibri" w:cs="Calibri"/>
        </w:rPr>
        <w:t xml:space="preserve">Ross, D., Stirling, W. C., &amp; </w:t>
      </w:r>
      <w:proofErr w:type="spellStart"/>
      <w:r w:rsidRPr="00267893">
        <w:rPr>
          <w:rFonts w:ascii="Calibri" w:hAnsi="Calibri" w:cs="Calibri"/>
        </w:rPr>
        <w:t>Tummolini</w:t>
      </w:r>
      <w:proofErr w:type="spellEnd"/>
      <w:r w:rsidRPr="00267893">
        <w:rPr>
          <w:rFonts w:ascii="Calibri" w:hAnsi="Calibri" w:cs="Calibri"/>
        </w:rPr>
        <w:t>, L. (2023). Strategic theory of norms for empirical applications in political science and political economy. </w:t>
      </w:r>
      <w:r w:rsidRPr="00267893">
        <w:rPr>
          <w:rFonts w:ascii="Calibri" w:hAnsi="Calibri" w:cs="Calibri"/>
          <w:i/>
          <w:iCs/>
        </w:rPr>
        <w:t>The oxford handbook of philosophy of political science</w:t>
      </w:r>
      <w:r w:rsidRPr="00267893">
        <w:rPr>
          <w:rFonts w:ascii="Calibri" w:hAnsi="Calibri" w:cs="Calibri"/>
        </w:rPr>
        <w:t>, 86-121.</w:t>
      </w:r>
    </w:p>
    <w:p w14:paraId="000000AD" w14:textId="77777777" w:rsidR="0059079A" w:rsidRPr="008A07B6" w:rsidRDefault="00000000">
      <w:pPr>
        <w:spacing w:before="240" w:after="240" w:line="276" w:lineRule="auto"/>
        <w:rPr>
          <w:rFonts w:ascii="Calibri" w:hAnsi="Calibri" w:cs="Calibri"/>
        </w:rPr>
      </w:pPr>
      <w:r w:rsidRPr="00267893">
        <w:rPr>
          <w:rFonts w:ascii="Calibri" w:hAnsi="Calibri" w:cs="Calibri"/>
        </w:rPr>
        <w:t xml:space="preserve">Sánchez-Villagra, M. R., &amp; van Schaik, C. P. (2019). </w:t>
      </w:r>
      <w:r w:rsidRPr="008A07B6">
        <w:rPr>
          <w:rFonts w:ascii="Calibri" w:hAnsi="Calibri" w:cs="Calibri"/>
        </w:rPr>
        <w:t xml:space="preserve">Evaluating the self-domestication hypothesis of human evolution. </w:t>
      </w:r>
      <w:r w:rsidRPr="008A07B6">
        <w:rPr>
          <w:rFonts w:ascii="Calibri" w:hAnsi="Calibri" w:cs="Calibri"/>
          <w:i/>
        </w:rPr>
        <w:t>Evolutionary Anthropology: Issues, News, and Reviews</w:t>
      </w:r>
      <w:r w:rsidRPr="008A07B6">
        <w:rPr>
          <w:rFonts w:ascii="Calibri" w:hAnsi="Calibri" w:cs="Calibri"/>
        </w:rPr>
        <w:t xml:space="preserve">, </w:t>
      </w:r>
      <w:r w:rsidRPr="008A07B6">
        <w:rPr>
          <w:rFonts w:ascii="Calibri" w:hAnsi="Calibri" w:cs="Calibri"/>
          <w:i/>
        </w:rPr>
        <w:t>28</w:t>
      </w:r>
      <w:r w:rsidRPr="008A07B6">
        <w:rPr>
          <w:rFonts w:ascii="Calibri" w:hAnsi="Calibri" w:cs="Calibri"/>
        </w:rPr>
        <w:t>(3), 133–143. https://doi.org/10.1002/evan.21777</w:t>
      </w:r>
    </w:p>
    <w:p w14:paraId="000000AE" w14:textId="77777777" w:rsidR="0059079A" w:rsidRPr="008A07B6" w:rsidRDefault="00000000">
      <w:pPr>
        <w:spacing w:before="240" w:after="240" w:line="276" w:lineRule="auto"/>
        <w:rPr>
          <w:rFonts w:ascii="Calibri" w:hAnsi="Calibri" w:cs="Calibri"/>
          <w:lang w:val="fr-CA"/>
        </w:rPr>
      </w:pPr>
      <w:r w:rsidRPr="008A07B6">
        <w:rPr>
          <w:rFonts w:ascii="Calibri" w:hAnsi="Calibri" w:cs="Calibri"/>
        </w:rPr>
        <w:t xml:space="preserve">Schmidt, M. F. H., Butler, L. P., Heinz, J., &amp; Tomasello, M. (2016). Young Children See a Single Action and Infer a Social Norm. </w:t>
      </w:r>
      <w:proofErr w:type="spellStart"/>
      <w:r w:rsidRPr="008A07B6">
        <w:rPr>
          <w:rFonts w:ascii="Calibri" w:hAnsi="Calibri" w:cs="Calibri"/>
          <w:i/>
          <w:lang w:val="fr-CA"/>
        </w:rPr>
        <w:t>Psychological</w:t>
      </w:r>
      <w:proofErr w:type="spellEnd"/>
      <w:r w:rsidRPr="008A07B6">
        <w:rPr>
          <w:rFonts w:ascii="Calibri" w:hAnsi="Calibri" w:cs="Calibri"/>
          <w:i/>
          <w:lang w:val="fr-CA"/>
        </w:rPr>
        <w:t xml:space="preserve"> Science</w:t>
      </w:r>
      <w:r w:rsidRPr="008A07B6">
        <w:rPr>
          <w:rFonts w:ascii="Calibri" w:hAnsi="Calibri" w:cs="Calibri"/>
          <w:lang w:val="fr-CA"/>
        </w:rPr>
        <w:t xml:space="preserve">, </w:t>
      </w:r>
      <w:r w:rsidRPr="008A07B6">
        <w:rPr>
          <w:rFonts w:ascii="Calibri" w:hAnsi="Calibri" w:cs="Calibri"/>
          <w:i/>
          <w:lang w:val="fr-CA"/>
        </w:rPr>
        <w:t>27</w:t>
      </w:r>
      <w:r w:rsidRPr="008A07B6">
        <w:rPr>
          <w:rFonts w:ascii="Calibri" w:hAnsi="Calibri" w:cs="Calibri"/>
          <w:lang w:val="fr-CA"/>
        </w:rPr>
        <w:t>(10), 1360–1370. https://doi.org/10.1177/0956797616661182</w:t>
      </w:r>
    </w:p>
    <w:p w14:paraId="000000AF" w14:textId="77777777" w:rsidR="0059079A" w:rsidRPr="008A07B6" w:rsidRDefault="00000000">
      <w:pPr>
        <w:spacing w:before="240" w:after="240" w:line="276" w:lineRule="auto"/>
        <w:rPr>
          <w:rFonts w:ascii="Calibri" w:hAnsi="Calibri" w:cs="Calibri"/>
        </w:rPr>
      </w:pPr>
      <w:r w:rsidRPr="008A07B6">
        <w:rPr>
          <w:rFonts w:ascii="Calibri" w:hAnsi="Calibri" w:cs="Calibri"/>
          <w:lang w:val="fr-CA"/>
        </w:rPr>
        <w:t xml:space="preserve">Schmidt, M. F. H., &amp; Rakoczy, H. (2018). </w:t>
      </w:r>
      <w:proofErr w:type="spellStart"/>
      <w:r w:rsidRPr="008A07B6">
        <w:rPr>
          <w:rFonts w:ascii="Calibri" w:hAnsi="Calibri" w:cs="Calibri"/>
        </w:rPr>
        <w:t>Developping</w:t>
      </w:r>
      <w:proofErr w:type="spellEnd"/>
      <w:r w:rsidRPr="008A07B6">
        <w:rPr>
          <w:rFonts w:ascii="Calibri" w:hAnsi="Calibri" w:cs="Calibri"/>
        </w:rPr>
        <w:t xml:space="preserve"> an understanding of normativity. In A. </w:t>
      </w:r>
      <w:proofErr w:type="spellStart"/>
      <w:r w:rsidRPr="008A07B6">
        <w:rPr>
          <w:rFonts w:ascii="Calibri" w:hAnsi="Calibri" w:cs="Calibri"/>
        </w:rPr>
        <w:t>Newen</w:t>
      </w:r>
      <w:proofErr w:type="spellEnd"/>
      <w:r w:rsidRPr="008A07B6">
        <w:rPr>
          <w:rFonts w:ascii="Calibri" w:hAnsi="Calibri" w:cs="Calibri"/>
        </w:rPr>
        <w:t xml:space="preserve">, L. De Bruin, &amp; S. Gallagher (Eds.), </w:t>
      </w:r>
      <w:r w:rsidRPr="008A07B6">
        <w:rPr>
          <w:rFonts w:ascii="Calibri" w:hAnsi="Calibri" w:cs="Calibri"/>
          <w:i/>
        </w:rPr>
        <w:t>Oxford Handbook of 4E Cognition</w:t>
      </w:r>
      <w:r w:rsidRPr="008A07B6">
        <w:rPr>
          <w:rFonts w:ascii="Calibri" w:hAnsi="Calibri" w:cs="Calibri"/>
        </w:rPr>
        <w:t xml:space="preserve"> (pp. 685–706). Oxford University Press.</w:t>
      </w:r>
    </w:p>
    <w:p w14:paraId="000000B0" w14:textId="77777777" w:rsidR="0059079A" w:rsidRPr="008A07B6" w:rsidRDefault="00000000">
      <w:pPr>
        <w:spacing w:before="240" w:after="240" w:line="276" w:lineRule="auto"/>
        <w:rPr>
          <w:rFonts w:ascii="Calibri" w:hAnsi="Calibri" w:cs="Calibri"/>
        </w:rPr>
      </w:pPr>
      <w:r w:rsidRPr="008A07B6">
        <w:rPr>
          <w:rFonts w:ascii="Calibri" w:hAnsi="Calibri" w:cs="Calibri"/>
        </w:rPr>
        <w:lastRenderedPageBreak/>
        <w:t xml:space="preserve">Schmidt, M. F. H., &amp; Rakoczy, H. (2019). On the Uniqueness of Human Normative Attitudes. In N. Roughley &amp; K. </w:t>
      </w:r>
      <w:proofErr w:type="spellStart"/>
      <w:r w:rsidRPr="008A07B6">
        <w:rPr>
          <w:rFonts w:ascii="Calibri" w:hAnsi="Calibri" w:cs="Calibri"/>
        </w:rPr>
        <w:t>Bayertz</w:t>
      </w:r>
      <w:proofErr w:type="spellEnd"/>
      <w:r w:rsidRPr="008A07B6">
        <w:rPr>
          <w:rFonts w:ascii="Calibri" w:hAnsi="Calibri" w:cs="Calibri"/>
        </w:rPr>
        <w:t xml:space="preserve"> (Eds.), </w:t>
      </w:r>
      <w:r w:rsidRPr="008A07B6">
        <w:rPr>
          <w:rFonts w:ascii="Calibri" w:hAnsi="Calibri" w:cs="Calibri"/>
          <w:i/>
        </w:rPr>
        <w:t>The Normative Animal?: On the Anthropological Significance of Social, Moral, and Linguistic Norms</w:t>
      </w:r>
      <w:r w:rsidRPr="008A07B6">
        <w:rPr>
          <w:rFonts w:ascii="Calibri" w:hAnsi="Calibri" w:cs="Calibri"/>
        </w:rPr>
        <w:t xml:space="preserve"> (p. 0). Oxford University Press. https://doi.org/10.1093/oso/9780190846466.003.0006</w:t>
      </w:r>
    </w:p>
    <w:p w14:paraId="000000B1"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Schmidt, M. F. H., &amp; Rakoczy, H. (2023). Children’s Acquisition and Application of Norms. </w:t>
      </w:r>
      <w:r w:rsidRPr="008A07B6">
        <w:rPr>
          <w:rFonts w:ascii="Calibri" w:hAnsi="Calibri" w:cs="Calibri"/>
          <w:i/>
        </w:rPr>
        <w:t>Annual Review of Developmental Psychology</w:t>
      </w:r>
      <w:r w:rsidRPr="008A07B6">
        <w:rPr>
          <w:rFonts w:ascii="Calibri" w:hAnsi="Calibri" w:cs="Calibri"/>
        </w:rPr>
        <w:t xml:space="preserve">, </w:t>
      </w:r>
      <w:r w:rsidRPr="008A07B6">
        <w:rPr>
          <w:rFonts w:ascii="Calibri" w:hAnsi="Calibri" w:cs="Calibri"/>
          <w:i/>
        </w:rPr>
        <w:t>5</w:t>
      </w:r>
      <w:r w:rsidRPr="008A07B6">
        <w:rPr>
          <w:rFonts w:ascii="Calibri" w:hAnsi="Calibri" w:cs="Calibri"/>
        </w:rPr>
        <w:t>(Volume 5, 2023), 193–215. https://doi.org/10.1146/annurev-devpsych-120621-034731</w:t>
      </w:r>
    </w:p>
    <w:p w14:paraId="000000B2"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Schmidt, M. F. H., Rakoczy, H., &amp; Tomasello, M. (2011). Young children attribute normativity to novel actions without pedagogy or normative language. </w:t>
      </w:r>
      <w:r w:rsidRPr="008A07B6">
        <w:rPr>
          <w:rFonts w:ascii="Calibri" w:hAnsi="Calibri" w:cs="Calibri"/>
          <w:i/>
        </w:rPr>
        <w:t>Developmental Science</w:t>
      </w:r>
      <w:r w:rsidRPr="008A07B6">
        <w:rPr>
          <w:rFonts w:ascii="Calibri" w:hAnsi="Calibri" w:cs="Calibri"/>
        </w:rPr>
        <w:t xml:space="preserve">, </w:t>
      </w:r>
      <w:r w:rsidRPr="008A07B6">
        <w:rPr>
          <w:rFonts w:ascii="Calibri" w:hAnsi="Calibri" w:cs="Calibri"/>
          <w:i/>
        </w:rPr>
        <w:t>14</w:t>
      </w:r>
      <w:r w:rsidRPr="008A07B6">
        <w:rPr>
          <w:rFonts w:ascii="Calibri" w:hAnsi="Calibri" w:cs="Calibri"/>
        </w:rPr>
        <w:t>(3), 530–539. https://doi.org/10.1111/j.1467-7687.2010.01000.x</w:t>
      </w:r>
    </w:p>
    <w:p w14:paraId="000000B3"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Schrödinger, E. (1944). </w:t>
      </w:r>
      <w:r w:rsidRPr="008A07B6">
        <w:rPr>
          <w:rFonts w:ascii="Calibri" w:hAnsi="Calibri" w:cs="Calibri"/>
          <w:i/>
        </w:rPr>
        <w:t>What is life?</w:t>
      </w:r>
      <w:r w:rsidRPr="008A07B6">
        <w:rPr>
          <w:rFonts w:ascii="Calibri" w:hAnsi="Calibri" w:cs="Calibri"/>
        </w:rPr>
        <w:t xml:space="preserve"> Cambridge University Press.</w:t>
      </w:r>
    </w:p>
    <w:p w14:paraId="000000B4"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Shipp, S., Adams, R. A., &amp; Friston, K. J. (2013). Reflections on agranular architecture: Predictive coding in the motor cortex. </w:t>
      </w:r>
      <w:r w:rsidRPr="008A07B6">
        <w:rPr>
          <w:rFonts w:ascii="Calibri" w:hAnsi="Calibri" w:cs="Calibri"/>
          <w:i/>
        </w:rPr>
        <w:t>Trends in Neurosciences</w:t>
      </w:r>
      <w:r w:rsidRPr="008A07B6">
        <w:rPr>
          <w:rFonts w:ascii="Calibri" w:hAnsi="Calibri" w:cs="Calibri"/>
        </w:rPr>
        <w:t xml:space="preserve">, </w:t>
      </w:r>
      <w:r w:rsidRPr="008A07B6">
        <w:rPr>
          <w:rFonts w:ascii="Calibri" w:hAnsi="Calibri" w:cs="Calibri"/>
          <w:i/>
        </w:rPr>
        <w:t>36</w:t>
      </w:r>
      <w:r w:rsidRPr="008A07B6">
        <w:rPr>
          <w:rFonts w:ascii="Calibri" w:hAnsi="Calibri" w:cs="Calibri"/>
        </w:rPr>
        <w:t>(12), 706–716. https://doi.org/10.1016/j.tins.2013.09.004</w:t>
      </w:r>
    </w:p>
    <w:p w14:paraId="000000B5"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Sperber, D., &amp; </w:t>
      </w:r>
      <w:proofErr w:type="spellStart"/>
      <w:r w:rsidRPr="008A07B6">
        <w:rPr>
          <w:rFonts w:ascii="Calibri" w:hAnsi="Calibri" w:cs="Calibri"/>
        </w:rPr>
        <w:t>Baumard</w:t>
      </w:r>
      <w:proofErr w:type="spellEnd"/>
      <w:r w:rsidRPr="008A07B6">
        <w:rPr>
          <w:rFonts w:ascii="Calibri" w:hAnsi="Calibri" w:cs="Calibri"/>
        </w:rPr>
        <w:t xml:space="preserve">, N. (2012). Moral Reputation: An Evolutionary and Cognitive Perspective. </w:t>
      </w:r>
      <w:r w:rsidRPr="008A07B6">
        <w:rPr>
          <w:rFonts w:ascii="Calibri" w:hAnsi="Calibri" w:cs="Calibri"/>
          <w:i/>
        </w:rPr>
        <w:t>Mind &amp; Language</w:t>
      </w:r>
      <w:r w:rsidRPr="008A07B6">
        <w:rPr>
          <w:rFonts w:ascii="Calibri" w:hAnsi="Calibri" w:cs="Calibri"/>
        </w:rPr>
        <w:t xml:space="preserve">, </w:t>
      </w:r>
      <w:r w:rsidRPr="008A07B6">
        <w:rPr>
          <w:rFonts w:ascii="Calibri" w:hAnsi="Calibri" w:cs="Calibri"/>
          <w:i/>
        </w:rPr>
        <w:t>27</w:t>
      </w:r>
      <w:r w:rsidRPr="008A07B6">
        <w:rPr>
          <w:rFonts w:ascii="Calibri" w:hAnsi="Calibri" w:cs="Calibri"/>
        </w:rPr>
        <w:t>(5), 495–518. https://doi.org/10.1111/mila.12000</w:t>
      </w:r>
    </w:p>
    <w:p w14:paraId="000000B6"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Sripada, C., &amp; Stich, S. (2006). A Framework for the Psychology of Norms. In P. Carruthers, S. Laurence, &amp; S. P. Stich (Eds.), </w:t>
      </w:r>
      <w:r w:rsidRPr="008A07B6">
        <w:rPr>
          <w:rFonts w:ascii="Calibri" w:hAnsi="Calibri" w:cs="Calibri"/>
          <w:i/>
        </w:rPr>
        <w:t>The Innate Mind, Volume 2: Culture and Cognition</w:t>
      </w:r>
      <w:r w:rsidRPr="008A07B6">
        <w:rPr>
          <w:rFonts w:ascii="Calibri" w:hAnsi="Calibri" w:cs="Calibri"/>
        </w:rPr>
        <w:t xml:space="preserve"> (pp. 280–301). Oxford University Press.</w:t>
      </w:r>
    </w:p>
    <w:p w14:paraId="000000B7" w14:textId="77777777" w:rsidR="0059079A" w:rsidRPr="008A07B6" w:rsidRDefault="00000000">
      <w:pPr>
        <w:spacing w:before="240" w:after="240" w:line="276" w:lineRule="auto"/>
        <w:rPr>
          <w:rFonts w:ascii="Calibri" w:hAnsi="Calibri" w:cs="Calibri"/>
        </w:rPr>
      </w:pPr>
      <w:proofErr w:type="spellStart"/>
      <w:r w:rsidRPr="008A07B6">
        <w:rPr>
          <w:rFonts w:ascii="Calibri" w:hAnsi="Calibri" w:cs="Calibri"/>
        </w:rPr>
        <w:t>Sterelny</w:t>
      </w:r>
      <w:proofErr w:type="spellEnd"/>
      <w:r w:rsidRPr="008A07B6">
        <w:rPr>
          <w:rFonts w:ascii="Calibri" w:hAnsi="Calibri" w:cs="Calibri"/>
        </w:rPr>
        <w:t xml:space="preserve">, K. (2007). Social intelligence, human intelligence and niche construction. </w:t>
      </w:r>
      <w:r w:rsidRPr="008A07B6">
        <w:rPr>
          <w:rFonts w:ascii="Calibri" w:hAnsi="Calibri" w:cs="Calibri"/>
          <w:i/>
        </w:rPr>
        <w:t>Philosophical Transactions of the Royal Society of London. Series B, Biological Sciences</w:t>
      </w:r>
      <w:r w:rsidRPr="008A07B6">
        <w:rPr>
          <w:rFonts w:ascii="Calibri" w:hAnsi="Calibri" w:cs="Calibri"/>
        </w:rPr>
        <w:t xml:space="preserve">, </w:t>
      </w:r>
      <w:r w:rsidRPr="008A07B6">
        <w:rPr>
          <w:rFonts w:ascii="Calibri" w:hAnsi="Calibri" w:cs="Calibri"/>
          <w:i/>
        </w:rPr>
        <w:t>362</w:t>
      </w:r>
      <w:r w:rsidRPr="008A07B6">
        <w:rPr>
          <w:rFonts w:ascii="Calibri" w:hAnsi="Calibri" w:cs="Calibri"/>
        </w:rPr>
        <w:t>(1480), 719–730. https://doi.org/10.1098/rstb.2006.2006</w:t>
      </w:r>
    </w:p>
    <w:p w14:paraId="000000B8" w14:textId="77777777" w:rsidR="0059079A" w:rsidRPr="008A07B6" w:rsidRDefault="00000000">
      <w:pPr>
        <w:spacing w:before="240" w:after="240" w:line="276" w:lineRule="auto"/>
        <w:rPr>
          <w:rFonts w:ascii="Calibri" w:hAnsi="Calibri" w:cs="Calibri"/>
        </w:rPr>
      </w:pPr>
      <w:proofErr w:type="spellStart"/>
      <w:r w:rsidRPr="008A07B6">
        <w:rPr>
          <w:rFonts w:ascii="Calibri" w:hAnsi="Calibri" w:cs="Calibri"/>
        </w:rPr>
        <w:t>Sterelny</w:t>
      </w:r>
      <w:proofErr w:type="spellEnd"/>
      <w:r w:rsidRPr="008A07B6">
        <w:rPr>
          <w:rFonts w:ascii="Calibri" w:hAnsi="Calibri" w:cs="Calibri"/>
        </w:rPr>
        <w:t xml:space="preserve">, K. (2012). </w:t>
      </w:r>
      <w:r w:rsidRPr="008A07B6">
        <w:rPr>
          <w:rFonts w:ascii="Calibri" w:hAnsi="Calibri" w:cs="Calibri"/>
          <w:i/>
        </w:rPr>
        <w:t>The Evolved Apprentice: How Evolution Made Humans Unique</w:t>
      </w:r>
      <w:r w:rsidRPr="008A07B6">
        <w:rPr>
          <w:rFonts w:ascii="Calibri" w:hAnsi="Calibri" w:cs="Calibri"/>
        </w:rPr>
        <w:t>. MIT Press.</w:t>
      </w:r>
    </w:p>
    <w:p w14:paraId="000000B9" w14:textId="77777777" w:rsidR="0059079A" w:rsidRPr="008A07B6" w:rsidRDefault="00000000">
      <w:pPr>
        <w:spacing w:before="240" w:after="240" w:line="276" w:lineRule="auto"/>
        <w:rPr>
          <w:rFonts w:ascii="Calibri" w:hAnsi="Calibri" w:cs="Calibri"/>
        </w:rPr>
      </w:pPr>
      <w:proofErr w:type="spellStart"/>
      <w:r w:rsidRPr="008A07B6">
        <w:rPr>
          <w:rFonts w:ascii="Calibri" w:hAnsi="Calibri" w:cs="Calibri"/>
        </w:rPr>
        <w:t>Sterelny</w:t>
      </w:r>
      <w:proofErr w:type="spellEnd"/>
      <w:r w:rsidRPr="008A07B6">
        <w:rPr>
          <w:rFonts w:ascii="Calibri" w:hAnsi="Calibri" w:cs="Calibri"/>
        </w:rPr>
        <w:t xml:space="preserve">, K. (2021). </w:t>
      </w:r>
      <w:r w:rsidRPr="008A07B6">
        <w:rPr>
          <w:rFonts w:ascii="Calibri" w:hAnsi="Calibri" w:cs="Calibri"/>
          <w:i/>
        </w:rPr>
        <w:t>The Pleistocene Social Contract: Culture and Cooperation in Human Evolution</w:t>
      </w:r>
      <w:r w:rsidRPr="008A07B6">
        <w:rPr>
          <w:rFonts w:ascii="Calibri" w:hAnsi="Calibri" w:cs="Calibri"/>
        </w:rPr>
        <w:t>. Oxford University Press.</w:t>
      </w:r>
    </w:p>
    <w:p w14:paraId="000000BA"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Theriault, J. E., Young, L., &amp; Barrett, L. F. (2021). The sense of should: A biologically-based framework for modeling social pressure. </w:t>
      </w:r>
      <w:r w:rsidRPr="008A07B6">
        <w:rPr>
          <w:rFonts w:ascii="Calibri" w:hAnsi="Calibri" w:cs="Calibri"/>
          <w:i/>
        </w:rPr>
        <w:t>Physics of Life Reviews</w:t>
      </w:r>
      <w:r w:rsidRPr="008A07B6">
        <w:rPr>
          <w:rFonts w:ascii="Calibri" w:hAnsi="Calibri" w:cs="Calibri"/>
        </w:rPr>
        <w:t xml:space="preserve">, </w:t>
      </w:r>
      <w:r w:rsidRPr="008A07B6">
        <w:rPr>
          <w:rFonts w:ascii="Calibri" w:hAnsi="Calibri" w:cs="Calibri"/>
          <w:i/>
        </w:rPr>
        <w:t>36</w:t>
      </w:r>
      <w:r w:rsidRPr="008A07B6">
        <w:rPr>
          <w:rFonts w:ascii="Calibri" w:hAnsi="Calibri" w:cs="Calibri"/>
        </w:rPr>
        <w:t>, 100–136. https://doi.org/10.1016/j.plrev.2020.01.004</w:t>
      </w:r>
    </w:p>
    <w:p w14:paraId="000000BB" w14:textId="77777777" w:rsidR="0059079A" w:rsidRPr="008A07B6" w:rsidRDefault="00000000">
      <w:pPr>
        <w:spacing w:before="240" w:after="240" w:line="276" w:lineRule="auto"/>
        <w:rPr>
          <w:rFonts w:ascii="Calibri" w:hAnsi="Calibri" w:cs="Calibri"/>
        </w:rPr>
      </w:pPr>
      <w:r w:rsidRPr="008A07B6">
        <w:rPr>
          <w:rFonts w:ascii="Calibri" w:hAnsi="Calibri" w:cs="Calibri"/>
        </w:rPr>
        <w:lastRenderedPageBreak/>
        <w:t xml:space="preserve">Tison, R. (2022). The Fanciest Sort of Intentionality: Active Inference, </w:t>
      </w:r>
      <w:proofErr w:type="spellStart"/>
      <w:r w:rsidRPr="008A07B6">
        <w:rPr>
          <w:rFonts w:ascii="Calibri" w:hAnsi="Calibri" w:cs="Calibri"/>
        </w:rPr>
        <w:t>Mindshaping</w:t>
      </w:r>
      <w:proofErr w:type="spellEnd"/>
      <w:r w:rsidRPr="008A07B6">
        <w:rPr>
          <w:rFonts w:ascii="Calibri" w:hAnsi="Calibri" w:cs="Calibri"/>
        </w:rPr>
        <w:t xml:space="preserve"> and Linguistic Content. </w:t>
      </w:r>
      <w:r w:rsidRPr="008A07B6">
        <w:rPr>
          <w:rFonts w:ascii="Calibri" w:hAnsi="Calibri" w:cs="Calibri"/>
          <w:i/>
        </w:rPr>
        <w:t>Philosophical Psychology</w:t>
      </w:r>
      <w:r w:rsidRPr="008A07B6">
        <w:rPr>
          <w:rFonts w:ascii="Calibri" w:hAnsi="Calibri" w:cs="Calibri"/>
        </w:rPr>
        <w:t>, 1–41. https://doi.org/10.1080/09515089.2022.2062315</w:t>
      </w:r>
    </w:p>
    <w:p w14:paraId="000000BC" w14:textId="77777777" w:rsidR="0059079A" w:rsidRPr="008A07B6" w:rsidRDefault="00000000">
      <w:pPr>
        <w:spacing w:before="240" w:after="240" w:line="276" w:lineRule="auto"/>
        <w:rPr>
          <w:rFonts w:ascii="Calibri" w:hAnsi="Calibri" w:cs="Calibri"/>
          <w:lang w:val="fr-CA"/>
        </w:rPr>
      </w:pPr>
      <w:r w:rsidRPr="008A07B6">
        <w:rPr>
          <w:rFonts w:ascii="Calibri" w:hAnsi="Calibri" w:cs="Calibri"/>
        </w:rPr>
        <w:t xml:space="preserve">Tison, R., &amp; Poirier, P. (2021). Communication as Socially Extended Active Inference: An Ecological Approach to Communicative Behavior. </w:t>
      </w:r>
      <w:proofErr w:type="spellStart"/>
      <w:r w:rsidRPr="008A07B6">
        <w:rPr>
          <w:rFonts w:ascii="Calibri" w:hAnsi="Calibri" w:cs="Calibri"/>
          <w:i/>
          <w:lang w:val="fr-CA"/>
        </w:rPr>
        <w:t>Ecological</w:t>
      </w:r>
      <w:proofErr w:type="spellEnd"/>
      <w:r w:rsidRPr="008A07B6">
        <w:rPr>
          <w:rFonts w:ascii="Calibri" w:hAnsi="Calibri" w:cs="Calibri"/>
          <w:i/>
          <w:lang w:val="fr-CA"/>
        </w:rPr>
        <w:t xml:space="preserve"> Psychology</w:t>
      </w:r>
      <w:r w:rsidRPr="008A07B6">
        <w:rPr>
          <w:rFonts w:ascii="Calibri" w:hAnsi="Calibri" w:cs="Calibri"/>
          <w:lang w:val="fr-CA"/>
        </w:rPr>
        <w:t xml:space="preserve">, </w:t>
      </w:r>
      <w:r w:rsidRPr="008A07B6">
        <w:rPr>
          <w:rFonts w:ascii="Calibri" w:hAnsi="Calibri" w:cs="Calibri"/>
          <w:i/>
          <w:lang w:val="fr-CA"/>
        </w:rPr>
        <w:t>33</w:t>
      </w:r>
      <w:r w:rsidRPr="008A07B6">
        <w:rPr>
          <w:rFonts w:ascii="Calibri" w:hAnsi="Calibri" w:cs="Calibri"/>
          <w:lang w:val="fr-CA"/>
        </w:rPr>
        <w:t>(3–4), 197–235. https://doi.org/10.1080/10407413.2021.1965480</w:t>
      </w:r>
    </w:p>
    <w:p w14:paraId="000000BD" w14:textId="77777777" w:rsidR="0059079A" w:rsidRPr="008A07B6" w:rsidRDefault="00000000">
      <w:pPr>
        <w:spacing w:before="240" w:after="240" w:line="276" w:lineRule="auto"/>
        <w:rPr>
          <w:rFonts w:ascii="Calibri" w:hAnsi="Calibri" w:cs="Calibri"/>
        </w:rPr>
      </w:pPr>
      <w:proofErr w:type="spellStart"/>
      <w:r w:rsidRPr="008A07B6">
        <w:rPr>
          <w:rFonts w:ascii="Calibri" w:hAnsi="Calibri" w:cs="Calibri"/>
          <w:lang w:val="fr-CA"/>
        </w:rPr>
        <w:t>Tsukahara</w:t>
      </w:r>
      <w:proofErr w:type="spellEnd"/>
      <w:r w:rsidRPr="008A07B6">
        <w:rPr>
          <w:rFonts w:ascii="Calibri" w:hAnsi="Calibri" w:cs="Calibri"/>
          <w:lang w:val="fr-CA"/>
        </w:rPr>
        <w:t xml:space="preserve">, J., &amp; </w:t>
      </w:r>
      <w:proofErr w:type="spellStart"/>
      <w:r w:rsidRPr="008A07B6">
        <w:rPr>
          <w:rFonts w:ascii="Calibri" w:hAnsi="Calibri" w:cs="Calibri"/>
          <w:lang w:val="fr-CA"/>
        </w:rPr>
        <w:t>Sergeant-Perthuis</w:t>
      </w:r>
      <w:proofErr w:type="spellEnd"/>
      <w:r w:rsidRPr="008A07B6">
        <w:rPr>
          <w:rFonts w:ascii="Calibri" w:hAnsi="Calibri" w:cs="Calibri"/>
          <w:lang w:val="fr-CA"/>
        </w:rPr>
        <w:t xml:space="preserve">, G. (2024). </w:t>
      </w:r>
      <w:r w:rsidRPr="008A07B6">
        <w:rPr>
          <w:rFonts w:ascii="Calibri" w:hAnsi="Calibri" w:cs="Calibri"/>
          <w:i/>
        </w:rPr>
        <w:t>A short presentation of Active Inference</w:t>
      </w:r>
      <w:r w:rsidRPr="008A07B6">
        <w:rPr>
          <w:rFonts w:ascii="Calibri" w:hAnsi="Calibri" w:cs="Calibri"/>
        </w:rPr>
        <w:t>. https://doi.org/10.13140/RG.2.2.36031.73120</w:t>
      </w:r>
    </w:p>
    <w:p w14:paraId="000000BE" w14:textId="77777777" w:rsidR="0059079A" w:rsidRPr="008A07B6" w:rsidRDefault="00000000">
      <w:pPr>
        <w:spacing w:before="240" w:after="240" w:line="276" w:lineRule="auto"/>
        <w:rPr>
          <w:rFonts w:ascii="Calibri" w:hAnsi="Calibri" w:cs="Calibri"/>
        </w:rPr>
      </w:pPr>
      <w:r w:rsidRPr="008A07B6">
        <w:rPr>
          <w:rFonts w:ascii="Calibri" w:hAnsi="Calibri" w:cs="Calibri"/>
          <w:lang w:val="fr-CA"/>
        </w:rPr>
        <w:t xml:space="preserve">Van de </w:t>
      </w:r>
      <w:proofErr w:type="spellStart"/>
      <w:r w:rsidRPr="008A07B6">
        <w:rPr>
          <w:rFonts w:ascii="Calibri" w:hAnsi="Calibri" w:cs="Calibri"/>
          <w:lang w:val="fr-CA"/>
        </w:rPr>
        <w:t>Cruys</w:t>
      </w:r>
      <w:proofErr w:type="spellEnd"/>
      <w:r w:rsidRPr="008A07B6">
        <w:rPr>
          <w:rFonts w:ascii="Calibri" w:hAnsi="Calibri" w:cs="Calibri"/>
          <w:lang w:val="fr-CA"/>
        </w:rPr>
        <w:t xml:space="preserve">, S., </w:t>
      </w:r>
      <w:proofErr w:type="spellStart"/>
      <w:r w:rsidRPr="008A07B6">
        <w:rPr>
          <w:rFonts w:ascii="Calibri" w:hAnsi="Calibri" w:cs="Calibri"/>
          <w:lang w:val="fr-CA"/>
        </w:rPr>
        <w:t>Friston</w:t>
      </w:r>
      <w:proofErr w:type="spellEnd"/>
      <w:r w:rsidRPr="008A07B6">
        <w:rPr>
          <w:rFonts w:ascii="Calibri" w:hAnsi="Calibri" w:cs="Calibri"/>
          <w:lang w:val="fr-CA"/>
        </w:rPr>
        <w:t xml:space="preserve">, K. J., &amp; Clark, A. (2020). </w:t>
      </w:r>
      <w:r w:rsidRPr="008A07B6">
        <w:rPr>
          <w:rFonts w:ascii="Calibri" w:hAnsi="Calibri" w:cs="Calibri"/>
        </w:rPr>
        <w:t xml:space="preserve">Controlled optimism: Reply to Sun and Firestone on the dark room problem. </w:t>
      </w:r>
      <w:r w:rsidRPr="008A07B6">
        <w:rPr>
          <w:rFonts w:ascii="Calibri" w:hAnsi="Calibri" w:cs="Calibri"/>
          <w:i/>
        </w:rPr>
        <w:t>Trends in Cognitive Sciences</w:t>
      </w:r>
      <w:r w:rsidRPr="008A07B6">
        <w:rPr>
          <w:rFonts w:ascii="Calibri" w:hAnsi="Calibri" w:cs="Calibri"/>
        </w:rPr>
        <w:t xml:space="preserve">, </w:t>
      </w:r>
      <w:r w:rsidRPr="008A07B6">
        <w:rPr>
          <w:rFonts w:ascii="Calibri" w:hAnsi="Calibri" w:cs="Calibri"/>
          <w:i/>
        </w:rPr>
        <w:t>24</w:t>
      </w:r>
      <w:r w:rsidRPr="008A07B6">
        <w:rPr>
          <w:rFonts w:ascii="Calibri" w:hAnsi="Calibri" w:cs="Calibri"/>
        </w:rPr>
        <w:t>(9), 680–681.</w:t>
      </w:r>
    </w:p>
    <w:p w14:paraId="000000BF"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Vasil, J., Badcock, P. B., Constant, A., Friston, K., &amp; Ramstead, M. J. D. (2020). A World Unto Itself: Human Communication as Active Inference. </w:t>
      </w:r>
      <w:r w:rsidRPr="008A07B6">
        <w:rPr>
          <w:rFonts w:ascii="Calibri" w:hAnsi="Calibri" w:cs="Calibri"/>
          <w:i/>
        </w:rPr>
        <w:t>Frontiers in Psychology</w:t>
      </w:r>
      <w:r w:rsidRPr="008A07B6">
        <w:rPr>
          <w:rFonts w:ascii="Calibri" w:hAnsi="Calibri" w:cs="Calibri"/>
        </w:rPr>
        <w:t xml:space="preserve">, </w:t>
      </w:r>
      <w:r w:rsidRPr="008A07B6">
        <w:rPr>
          <w:rFonts w:ascii="Calibri" w:hAnsi="Calibri" w:cs="Calibri"/>
          <w:i/>
        </w:rPr>
        <w:t>11</w:t>
      </w:r>
      <w:r w:rsidRPr="008A07B6">
        <w:rPr>
          <w:rFonts w:ascii="Calibri" w:hAnsi="Calibri" w:cs="Calibri"/>
        </w:rPr>
        <w:t>. https://doi.org/10.3389/fpsyg.2020.00417</w:t>
      </w:r>
    </w:p>
    <w:p w14:paraId="000000C0" w14:textId="77777777" w:rsidR="0059079A" w:rsidRPr="008A07B6" w:rsidRDefault="00000000">
      <w:pPr>
        <w:spacing w:before="240" w:after="240" w:line="276" w:lineRule="auto"/>
        <w:rPr>
          <w:rFonts w:ascii="Calibri" w:hAnsi="Calibri" w:cs="Calibri"/>
        </w:rPr>
      </w:pPr>
      <w:proofErr w:type="spellStart"/>
      <w:r w:rsidRPr="008A07B6">
        <w:rPr>
          <w:rFonts w:ascii="Calibri" w:hAnsi="Calibri" w:cs="Calibri"/>
        </w:rPr>
        <w:t>Veissière</w:t>
      </w:r>
      <w:proofErr w:type="spellEnd"/>
      <w:r w:rsidRPr="008A07B6">
        <w:rPr>
          <w:rFonts w:ascii="Calibri" w:hAnsi="Calibri" w:cs="Calibri"/>
        </w:rPr>
        <w:t xml:space="preserve">, S. P. L., Constant, A., Ramstead, M. J. D., Friston, K. J., &amp; </w:t>
      </w:r>
      <w:proofErr w:type="spellStart"/>
      <w:r w:rsidRPr="008A07B6">
        <w:rPr>
          <w:rFonts w:ascii="Calibri" w:hAnsi="Calibri" w:cs="Calibri"/>
        </w:rPr>
        <w:t>Kirmayer</w:t>
      </w:r>
      <w:proofErr w:type="spellEnd"/>
      <w:r w:rsidRPr="008A07B6">
        <w:rPr>
          <w:rFonts w:ascii="Calibri" w:hAnsi="Calibri" w:cs="Calibri"/>
        </w:rPr>
        <w:t xml:space="preserve">, L. J. (2020). Thinking through other minds: A variational approach to cognition and culture. </w:t>
      </w:r>
      <w:r w:rsidRPr="008A07B6">
        <w:rPr>
          <w:rFonts w:ascii="Calibri" w:hAnsi="Calibri" w:cs="Calibri"/>
          <w:i/>
        </w:rPr>
        <w:t>Behavioral and Brain Sciences</w:t>
      </w:r>
      <w:r w:rsidRPr="008A07B6">
        <w:rPr>
          <w:rFonts w:ascii="Calibri" w:hAnsi="Calibri" w:cs="Calibri"/>
        </w:rPr>
        <w:t xml:space="preserve">, </w:t>
      </w:r>
      <w:r w:rsidRPr="008A07B6">
        <w:rPr>
          <w:rFonts w:ascii="Calibri" w:hAnsi="Calibri" w:cs="Calibri"/>
          <w:i/>
        </w:rPr>
        <w:t>43</w:t>
      </w:r>
      <w:r w:rsidRPr="008A07B6">
        <w:rPr>
          <w:rFonts w:ascii="Calibri" w:hAnsi="Calibri" w:cs="Calibri"/>
        </w:rPr>
        <w:t>. https://doi.org/10.1017/S0140525X19001213</w:t>
      </w:r>
    </w:p>
    <w:p w14:paraId="000000C1"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Westra, E., &amp; Andrews, K. (2022). A Pluralistic Framework for the Psychology of Norms. </w:t>
      </w:r>
      <w:r w:rsidRPr="008A07B6">
        <w:rPr>
          <w:rFonts w:ascii="Calibri" w:hAnsi="Calibri" w:cs="Calibri"/>
          <w:i/>
        </w:rPr>
        <w:t>Biology and Philosophy</w:t>
      </w:r>
      <w:r w:rsidRPr="008A07B6">
        <w:rPr>
          <w:rFonts w:ascii="Calibri" w:hAnsi="Calibri" w:cs="Calibri"/>
        </w:rPr>
        <w:t xml:space="preserve">, </w:t>
      </w:r>
      <w:r w:rsidRPr="008A07B6">
        <w:rPr>
          <w:rFonts w:ascii="Calibri" w:hAnsi="Calibri" w:cs="Calibri"/>
          <w:i/>
        </w:rPr>
        <w:t>37</w:t>
      </w:r>
      <w:r w:rsidRPr="008A07B6">
        <w:rPr>
          <w:rFonts w:ascii="Calibri" w:hAnsi="Calibri" w:cs="Calibri"/>
        </w:rPr>
        <w:t>(5), 1–30. https://doi.org/10.1007/s10539-022-09871-0</w:t>
      </w:r>
    </w:p>
    <w:p w14:paraId="000000C2"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Westra, E., Fitzpatrick, S., Brosnan, S. F., Gruber, T., </w:t>
      </w:r>
      <w:proofErr w:type="spellStart"/>
      <w:r w:rsidRPr="008A07B6">
        <w:rPr>
          <w:rFonts w:ascii="Calibri" w:hAnsi="Calibri" w:cs="Calibri"/>
        </w:rPr>
        <w:t>Hobaiter</w:t>
      </w:r>
      <w:proofErr w:type="spellEnd"/>
      <w:r w:rsidRPr="008A07B6">
        <w:rPr>
          <w:rFonts w:ascii="Calibri" w:hAnsi="Calibri" w:cs="Calibri"/>
        </w:rPr>
        <w:t xml:space="preserve">, C., Hopper, L. M., Kelly, D., </w:t>
      </w:r>
      <w:proofErr w:type="spellStart"/>
      <w:r w:rsidRPr="008A07B6">
        <w:rPr>
          <w:rFonts w:ascii="Calibri" w:hAnsi="Calibri" w:cs="Calibri"/>
        </w:rPr>
        <w:t>Krupenye</w:t>
      </w:r>
      <w:proofErr w:type="spellEnd"/>
      <w:r w:rsidRPr="008A07B6">
        <w:rPr>
          <w:rFonts w:ascii="Calibri" w:hAnsi="Calibri" w:cs="Calibri"/>
        </w:rPr>
        <w:t xml:space="preserve">, C., Luncz, L. V., Theriault, J., &amp; Andrews, K. (2024). In search of animal normativity: A framework for studying social norms in non-human animals. </w:t>
      </w:r>
      <w:r w:rsidRPr="008A07B6">
        <w:rPr>
          <w:rFonts w:ascii="Calibri" w:hAnsi="Calibri" w:cs="Calibri"/>
          <w:i/>
        </w:rPr>
        <w:t>Biological Reviews</w:t>
      </w:r>
      <w:r w:rsidRPr="008A07B6">
        <w:rPr>
          <w:rFonts w:ascii="Calibri" w:hAnsi="Calibri" w:cs="Calibri"/>
        </w:rPr>
        <w:t xml:space="preserve">, </w:t>
      </w:r>
      <w:r w:rsidRPr="008A07B6">
        <w:rPr>
          <w:rFonts w:ascii="Calibri" w:hAnsi="Calibri" w:cs="Calibri"/>
          <w:i/>
        </w:rPr>
        <w:t>99</w:t>
      </w:r>
      <w:r w:rsidRPr="008A07B6">
        <w:rPr>
          <w:rFonts w:ascii="Calibri" w:hAnsi="Calibri" w:cs="Calibri"/>
        </w:rPr>
        <w:t>(3), 1058–1074. https://doi.org/10.1111/brv.13056</w:t>
      </w:r>
    </w:p>
    <w:p w14:paraId="000000C3"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Wiese, W. (2017). What are the contents of representations in predictive processing? </w:t>
      </w:r>
      <w:r w:rsidRPr="008A07B6">
        <w:rPr>
          <w:rFonts w:ascii="Calibri" w:hAnsi="Calibri" w:cs="Calibri"/>
          <w:i/>
        </w:rPr>
        <w:t>Phenomenology and the Cognitive Sciences</w:t>
      </w:r>
      <w:r w:rsidRPr="008A07B6">
        <w:rPr>
          <w:rFonts w:ascii="Calibri" w:hAnsi="Calibri" w:cs="Calibri"/>
        </w:rPr>
        <w:t xml:space="preserve">, </w:t>
      </w:r>
      <w:r w:rsidRPr="008A07B6">
        <w:rPr>
          <w:rFonts w:ascii="Calibri" w:hAnsi="Calibri" w:cs="Calibri"/>
          <w:i/>
        </w:rPr>
        <w:t>16</w:t>
      </w:r>
      <w:r w:rsidRPr="008A07B6">
        <w:rPr>
          <w:rFonts w:ascii="Calibri" w:hAnsi="Calibri" w:cs="Calibri"/>
        </w:rPr>
        <w:t>(4), 715–736. https://doi.org/10.1007/s11097-016-9472-0</w:t>
      </w:r>
    </w:p>
    <w:p w14:paraId="000000C4"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Wu, J., Balliet, D., &amp; Van Lange, P. A. M. (2016). Gossip Versus Punishment: The Efficiency of Reputation to Promote and Maintain Cooperation. </w:t>
      </w:r>
      <w:r w:rsidRPr="008A07B6">
        <w:rPr>
          <w:rFonts w:ascii="Calibri" w:hAnsi="Calibri" w:cs="Calibri"/>
          <w:i/>
        </w:rPr>
        <w:t>Scientific Reports</w:t>
      </w:r>
      <w:r w:rsidRPr="008A07B6">
        <w:rPr>
          <w:rFonts w:ascii="Calibri" w:hAnsi="Calibri" w:cs="Calibri"/>
        </w:rPr>
        <w:t xml:space="preserve">, </w:t>
      </w:r>
      <w:r w:rsidRPr="008A07B6">
        <w:rPr>
          <w:rFonts w:ascii="Calibri" w:hAnsi="Calibri" w:cs="Calibri"/>
          <w:i/>
        </w:rPr>
        <w:t>6</w:t>
      </w:r>
      <w:r w:rsidRPr="008A07B6">
        <w:rPr>
          <w:rFonts w:ascii="Calibri" w:hAnsi="Calibri" w:cs="Calibri"/>
        </w:rPr>
        <w:t>(1), 23919. https://doi.org/10.1038/srep23919</w:t>
      </w:r>
    </w:p>
    <w:p w14:paraId="000000C5"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Wyman, E., Rakoczy, H., &amp; Tomasello, M. (2009). Normativity and context in young children’s pretend play. </w:t>
      </w:r>
      <w:r w:rsidRPr="008A07B6">
        <w:rPr>
          <w:rFonts w:ascii="Calibri" w:hAnsi="Calibri" w:cs="Calibri"/>
          <w:i/>
        </w:rPr>
        <w:t>Cognitive Development</w:t>
      </w:r>
      <w:r w:rsidRPr="008A07B6">
        <w:rPr>
          <w:rFonts w:ascii="Calibri" w:hAnsi="Calibri" w:cs="Calibri"/>
        </w:rPr>
        <w:t xml:space="preserve">, </w:t>
      </w:r>
      <w:r w:rsidRPr="008A07B6">
        <w:rPr>
          <w:rFonts w:ascii="Calibri" w:hAnsi="Calibri" w:cs="Calibri"/>
          <w:i/>
        </w:rPr>
        <w:t>24</w:t>
      </w:r>
      <w:r w:rsidRPr="008A07B6">
        <w:rPr>
          <w:rFonts w:ascii="Calibri" w:hAnsi="Calibri" w:cs="Calibri"/>
        </w:rPr>
        <w:t>(2), 146–155. https://doi.org/10.1016/j.cogdev.2009.01.003</w:t>
      </w:r>
    </w:p>
    <w:p w14:paraId="000000C6" w14:textId="77777777" w:rsidR="0059079A" w:rsidRPr="008A07B6" w:rsidRDefault="00000000">
      <w:pPr>
        <w:spacing w:before="240" w:after="240" w:line="276" w:lineRule="auto"/>
        <w:rPr>
          <w:rFonts w:ascii="Calibri" w:hAnsi="Calibri" w:cs="Calibri"/>
        </w:rPr>
      </w:pPr>
      <w:r w:rsidRPr="008A07B6">
        <w:rPr>
          <w:rFonts w:ascii="Calibri" w:hAnsi="Calibri" w:cs="Calibri"/>
        </w:rPr>
        <w:lastRenderedPageBreak/>
        <w:t xml:space="preserve">Yon, D., Heyes, C., &amp; Press, C. (2020). Beliefs and desires in the predictive brain. </w:t>
      </w:r>
      <w:r w:rsidRPr="008A07B6">
        <w:rPr>
          <w:rFonts w:ascii="Calibri" w:hAnsi="Calibri" w:cs="Calibri"/>
          <w:i/>
        </w:rPr>
        <w:t>Nature Communications</w:t>
      </w:r>
      <w:r w:rsidRPr="008A07B6">
        <w:rPr>
          <w:rFonts w:ascii="Calibri" w:hAnsi="Calibri" w:cs="Calibri"/>
        </w:rPr>
        <w:t xml:space="preserve">, </w:t>
      </w:r>
      <w:r w:rsidRPr="008A07B6">
        <w:rPr>
          <w:rFonts w:ascii="Calibri" w:hAnsi="Calibri" w:cs="Calibri"/>
          <w:i/>
        </w:rPr>
        <w:t>11</w:t>
      </w:r>
      <w:r w:rsidRPr="008A07B6">
        <w:rPr>
          <w:rFonts w:ascii="Calibri" w:hAnsi="Calibri" w:cs="Calibri"/>
        </w:rPr>
        <w:t>(1), 4404. https://doi.org/10.1038/s41467-020-18332-9</w:t>
      </w:r>
    </w:p>
    <w:p w14:paraId="000000C7"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Zajonc, R. B. (1968). Attitudinal effects of mere exposure. </w:t>
      </w:r>
      <w:r w:rsidRPr="008A07B6">
        <w:rPr>
          <w:rFonts w:ascii="Calibri" w:hAnsi="Calibri" w:cs="Calibri"/>
          <w:i/>
        </w:rPr>
        <w:t>Journal of Personality and Social Psychology</w:t>
      </w:r>
      <w:r w:rsidRPr="008A07B6">
        <w:rPr>
          <w:rFonts w:ascii="Calibri" w:hAnsi="Calibri" w:cs="Calibri"/>
        </w:rPr>
        <w:t xml:space="preserve">, </w:t>
      </w:r>
      <w:r w:rsidRPr="008A07B6">
        <w:rPr>
          <w:rFonts w:ascii="Calibri" w:hAnsi="Calibri" w:cs="Calibri"/>
          <w:i/>
        </w:rPr>
        <w:t>9</w:t>
      </w:r>
      <w:r w:rsidRPr="008A07B6">
        <w:rPr>
          <w:rFonts w:ascii="Calibri" w:hAnsi="Calibri" w:cs="Calibri"/>
        </w:rPr>
        <w:t>(2, Pt.2), 1–27. https://doi.org/10.1037/h0025848</w:t>
      </w:r>
    </w:p>
    <w:p w14:paraId="000000C8" w14:textId="77777777" w:rsidR="0059079A" w:rsidRPr="008A07B6" w:rsidRDefault="00000000">
      <w:pPr>
        <w:spacing w:before="240" w:after="240" w:line="276" w:lineRule="auto"/>
        <w:rPr>
          <w:rFonts w:ascii="Calibri" w:hAnsi="Calibri" w:cs="Calibri"/>
        </w:rPr>
      </w:pPr>
      <w:proofErr w:type="spellStart"/>
      <w:r w:rsidRPr="008A07B6">
        <w:rPr>
          <w:rFonts w:ascii="Calibri" w:hAnsi="Calibri" w:cs="Calibri"/>
        </w:rPr>
        <w:t>Zawidzki</w:t>
      </w:r>
      <w:proofErr w:type="spellEnd"/>
      <w:r w:rsidRPr="008A07B6">
        <w:rPr>
          <w:rFonts w:ascii="Calibri" w:hAnsi="Calibri" w:cs="Calibri"/>
        </w:rPr>
        <w:t xml:space="preserve">, T. (2008). The Function of Folk Psychology: Mind Reading or Mind Shaping? </w:t>
      </w:r>
      <w:r w:rsidRPr="008A07B6">
        <w:rPr>
          <w:rFonts w:ascii="Calibri" w:hAnsi="Calibri" w:cs="Calibri"/>
          <w:i/>
        </w:rPr>
        <w:t>Philosophical Explorations</w:t>
      </w:r>
      <w:r w:rsidRPr="008A07B6">
        <w:rPr>
          <w:rFonts w:ascii="Calibri" w:hAnsi="Calibri" w:cs="Calibri"/>
        </w:rPr>
        <w:t xml:space="preserve">, </w:t>
      </w:r>
      <w:r w:rsidRPr="008A07B6">
        <w:rPr>
          <w:rFonts w:ascii="Calibri" w:hAnsi="Calibri" w:cs="Calibri"/>
          <w:i/>
        </w:rPr>
        <w:t>11</w:t>
      </w:r>
      <w:r w:rsidRPr="008A07B6">
        <w:rPr>
          <w:rFonts w:ascii="Calibri" w:hAnsi="Calibri" w:cs="Calibri"/>
        </w:rPr>
        <w:t>(3), 193–210. https://doi.org/10.1080/13869790802239235</w:t>
      </w:r>
    </w:p>
    <w:p w14:paraId="000000C9" w14:textId="77777777" w:rsidR="0059079A" w:rsidRPr="008A07B6" w:rsidRDefault="00000000">
      <w:pPr>
        <w:spacing w:before="240" w:after="240" w:line="276" w:lineRule="auto"/>
        <w:rPr>
          <w:rFonts w:ascii="Calibri" w:hAnsi="Calibri" w:cs="Calibri"/>
        </w:rPr>
      </w:pPr>
      <w:proofErr w:type="spellStart"/>
      <w:r w:rsidRPr="008A07B6">
        <w:rPr>
          <w:rFonts w:ascii="Calibri" w:hAnsi="Calibri" w:cs="Calibri"/>
        </w:rPr>
        <w:t>Zawidzki</w:t>
      </w:r>
      <w:proofErr w:type="spellEnd"/>
      <w:r w:rsidRPr="008A07B6">
        <w:rPr>
          <w:rFonts w:ascii="Calibri" w:hAnsi="Calibri" w:cs="Calibri"/>
        </w:rPr>
        <w:t xml:space="preserve">, T. (2013). </w:t>
      </w:r>
      <w:proofErr w:type="spellStart"/>
      <w:r w:rsidRPr="008A07B6">
        <w:rPr>
          <w:rFonts w:ascii="Calibri" w:hAnsi="Calibri" w:cs="Calibri"/>
          <w:i/>
        </w:rPr>
        <w:t>Mindshaping</w:t>
      </w:r>
      <w:proofErr w:type="spellEnd"/>
      <w:r w:rsidRPr="008A07B6">
        <w:rPr>
          <w:rFonts w:ascii="Calibri" w:hAnsi="Calibri" w:cs="Calibri"/>
          <w:i/>
        </w:rPr>
        <w:t>: A New Framework for Understanding Human Social Cognition</w:t>
      </w:r>
      <w:r w:rsidRPr="008A07B6">
        <w:rPr>
          <w:rFonts w:ascii="Calibri" w:hAnsi="Calibri" w:cs="Calibri"/>
        </w:rPr>
        <w:t>. Bradford.</w:t>
      </w:r>
    </w:p>
    <w:p w14:paraId="000000CA" w14:textId="77777777" w:rsidR="0059079A" w:rsidRPr="008A07B6" w:rsidRDefault="00000000">
      <w:pPr>
        <w:spacing w:before="240" w:after="240" w:line="276" w:lineRule="auto"/>
        <w:rPr>
          <w:rFonts w:ascii="Calibri" w:hAnsi="Calibri" w:cs="Calibri"/>
        </w:rPr>
      </w:pPr>
      <w:proofErr w:type="spellStart"/>
      <w:r w:rsidRPr="008A07B6">
        <w:rPr>
          <w:rFonts w:ascii="Calibri" w:hAnsi="Calibri" w:cs="Calibri"/>
        </w:rPr>
        <w:t>Zawidzki</w:t>
      </w:r>
      <w:proofErr w:type="spellEnd"/>
      <w:r w:rsidRPr="008A07B6">
        <w:rPr>
          <w:rFonts w:ascii="Calibri" w:hAnsi="Calibri" w:cs="Calibri"/>
        </w:rPr>
        <w:t xml:space="preserve">, T. (2018). </w:t>
      </w:r>
      <w:proofErr w:type="spellStart"/>
      <w:r w:rsidRPr="008A07B6">
        <w:rPr>
          <w:rFonts w:ascii="Calibri" w:hAnsi="Calibri" w:cs="Calibri"/>
        </w:rPr>
        <w:t>Mindshaping</w:t>
      </w:r>
      <w:proofErr w:type="spellEnd"/>
      <w:r w:rsidRPr="008A07B6">
        <w:rPr>
          <w:rFonts w:ascii="Calibri" w:hAnsi="Calibri" w:cs="Calibri"/>
        </w:rPr>
        <w:t xml:space="preserve">. In A. </w:t>
      </w:r>
      <w:proofErr w:type="spellStart"/>
      <w:r w:rsidRPr="008A07B6">
        <w:rPr>
          <w:rFonts w:ascii="Calibri" w:hAnsi="Calibri" w:cs="Calibri"/>
        </w:rPr>
        <w:t>Newen</w:t>
      </w:r>
      <w:proofErr w:type="spellEnd"/>
      <w:r w:rsidRPr="008A07B6">
        <w:rPr>
          <w:rFonts w:ascii="Calibri" w:hAnsi="Calibri" w:cs="Calibri"/>
        </w:rPr>
        <w:t xml:space="preserve">, S. Gallagher, &amp; L. De Bruin (Eds.), </w:t>
      </w:r>
      <w:r w:rsidRPr="008A07B6">
        <w:rPr>
          <w:rFonts w:ascii="Calibri" w:hAnsi="Calibri" w:cs="Calibri"/>
          <w:i/>
        </w:rPr>
        <w:t>The Oxford Handbook of 4E Cognition</w:t>
      </w:r>
      <w:r w:rsidRPr="008A07B6">
        <w:rPr>
          <w:rFonts w:ascii="Calibri" w:hAnsi="Calibri" w:cs="Calibri"/>
        </w:rPr>
        <w:t>. Oxford University Press.</w:t>
      </w:r>
    </w:p>
    <w:p w14:paraId="000000CB" w14:textId="77777777" w:rsidR="0059079A" w:rsidRPr="008A07B6" w:rsidRDefault="00000000">
      <w:pPr>
        <w:spacing w:before="240" w:after="240" w:line="276" w:lineRule="auto"/>
        <w:rPr>
          <w:rFonts w:ascii="Calibri" w:hAnsi="Calibri" w:cs="Calibri"/>
        </w:rPr>
      </w:pPr>
      <w:r w:rsidRPr="008A07B6">
        <w:rPr>
          <w:rFonts w:ascii="Calibri" w:hAnsi="Calibri" w:cs="Calibri"/>
        </w:rPr>
        <w:t xml:space="preserve"> </w:t>
      </w:r>
    </w:p>
    <w:p w14:paraId="000000CC" w14:textId="77777777" w:rsidR="0059079A" w:rsidRDefault="0059079A"/>
    <w:sectPr w:rsidR="0059079A">
      <w:footerReference w:type="default" r:id="rId13"/>
      <w:pgSz w:w="12240" w:h="15840"/>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728253" w14:textId="77777777" w:rsidR="002A61C3" w:rsidRDefault="002A61C3">
      <w:pPr>
        <w:spacing w:after="0" w:line="240" w:lineRule="auto"/>
      </w:pPr>
      <w:r>
        <w:separator/>
      </w:r>
    </w:p>
  </w:endnote>
  <w:endnote w:type="continuationSeparator" w:id="0">
    <w:p w14:paraId="50B891D5" w14:textId="77777777" w:rsidR="002A61C3" w:rsidRDefault="002A61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957EC8DA-9D50-46AB-B682-E1898E9E4061}"/>
    <w:embedBold r:id="rId2" w:fontKey="{7153C8F7-1915-49A4-BD16-5ADDE870EC16}"/>
    <w:embedItalic r:id="rId3" w:fontKey="{0B1CE1D0-A04E-4DCF-A77F-C8CAC94327BA}"/>
  </w:font>
  <w:font w:name="Aptos Display">
    <w:charset w:val="00"/>
    <w:family w:val="swiss"/>
    <w:pitch w:val="variable"/>
    <w:sig w:usb0="20000287" w:usb1="00000003" w:usb2="00000000" w:usb3="00000000" w:csb0="0000019F" w:csb1="00000000"/>
    <w:embedRegular r:id="rId4" w:fontKey="{EB097363-6A84-419A-8B5B-4279189261FE}"/>
    <w:embedBold r:id="rId5" w:fontKey="{13673501-0D55-42F0-A116-C252FE745B67}"/>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EFFBAF3D-4C47-4C1E-9447-9ECB3AA5CFDA}"/>
    <w:embedBold r:id="rId7" w:fontKey="{B9AE6F19-F6F3-4356-9295-DC8834BA13DA}"/>
    <w:embedItalic r:id="rId8" w:fontKey="{CEC2BA7B-EF15-4485-AE39-56CC026D600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5895061"/>
      <w:docPartObj>
        <w:docPartGallery w:val="Page Numbers (Bottom of Page)"/>
        <w:docPartUnique/>
      </w:docPartObj>
    </w:sdtPr>
    <w:sdtContent>
      <w:p w14:paraId="0FE4393B" w14:textId="23C77F30" w:rsidR="00257EFA" w:rsidRDefault="00257EFA">
        <w:pPr>
          <w:pStyle w:val="Pieddepage"/>
          <w:jc w:val="center"/>
        </w:pPr>
        <w:r>
          <w:fldChar w:fldCharType="begin"/>
        </w:r>
        <w:r>
          <w:instrText>PAGE   \* MERGEFORMAT</w:instrText>
        </w:r>
        <w:r>
          <w:fldChar w:fldCharType="separate"/>
        </w:r>
        <w:r>
          <w:rPr>
            <w:lang w:val="fr-CA"/>
          </w:rPr>
          <w:t>2</w:t>
        </w:r>
        <w:r>
          <w:fldChar w:fldCharType="end"/>
        </w:r>
      </w:p>
    </w:sdtContent>
  </w:sdt>
  <w:p w14:paraId="64A09653" w14:textId="77777777" w:rsidR="00257EFA" w:rsidRDefault="00257EF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9ACDEA" w14:textId="77777777" w:rsidR="002A61C3" w:rsidRDefault="002A61C3">
      <w:pPr>
        <w:spacing w:after="0" w:line="240" w:lineRule="auto"/>
      </w:pPr>
      <w:r>
        <w:separator/>
      </w:r>
    </w:p>
  </w:footnote>
  <w:footnote w:type="continuationSeparator" w:id="0">
    <w:p w14:paraId="6AF3307A" w14:textId="77777777" w:rsidR="002A61C3" w:rsidRDefault="002A61C3">
      <w:pPr>
        <w:spacing w:after="0" w:line="240" w:lineRule="auto"/>
      </w:pPr>
      <w:r>
        <w:continuationSeparator/>
      </w:r>
    </w:p>
  </w:footnote>
  <w:footnote w:id="1">
    <w:p w14:paraId="372C360A" w14:textId="7FAD661F" w:rsidR="00702086" w:rsidRPr="00AD2004" w:rsidRDefault="00702086">
      <w:pPr>
        <w:pStyle w:val="Notedebasdepage"/>
      </w:pPr>
      <w:r w:rsidRPr="00AD2004">
        <w:rPr>
          <w:rStyle w:val="Appelnotedebasdep"/>
        </w:rPr>
        <w:footnoteRef/>
      </w:r>
      <w:r w:rsidRPr="00AD2004">
        <w:t xml:space="preserve"> According to some researchers in normative cognition (</w:t>
      </w:r>
      <w:proofErr w:type="spellStart"/>
      <w:r w:rsidRPr="00AD2004">
        <w:t>eg.</w:t>
      </w:r>
      <w:proofErr w:type="spellEnd"/>
      <w:r w:rsidRPr="00AD2004">
        <w:t xml:space="preserve"> Birch, 2021), normative attitudes are first and foremost self-directed, and so not essentially linked with social sanctioning. </w:t>
      </w:r>
      <w:r w:rsidR="00AE3E3C" w:rsidRPr="00AD2004">
        <w:t>Instead, we</w:t>
      </w:r>
      <w:r w:rsidRPr="00AD2004">
        <w:t xml:space="preserve"> adopt here the more common view that normative attitudes are essentially linked with social practices of behavioral regulation</w:t>
      </w:r>
      <w:r w:rsidR="00100707" w:rsidRPr="00AD2004">
        <w:t>, including but not limited to self-regulation</w:t>
      </w:r>
      <w:r w:rsidRPr="00AD2004">
        <w:t xml:space="preserve">. </w:t>
      </w:r>
    </w:p>
  </w:footnote>
  <w:footnote w:id="2">
    <w:p w14:paraId="000000CD" w14:textId="77777777" w:rsidR="0059079A" w:rsidRPr="00765847" w:rsidRDefault="00000000">
      <w:pPr>
        <w:pBdr>
          <w:top w:val="nil"/>
          <w:left w:val="nil"/>
          <w:bottom w:val="nil"/>
          <w:right w:val="nil"/>
          <w:between w:val="nil"/>
        </w:pBdr>
        <w:spacing w:after="0" w:line="240" w:lineRule="auto"/>
        <w:rPr>
          <w:rFonts w:ascii="Calibri" w:hAnsi="Calibri" w:cs="Calibri"/>
          <w:color w:val="000000"/>
          <w:sz w:val="20"/>
          <w:szCs w:val="20"/>
          <w:lang w:val="fr-CA"/>
        </w:rPr>
      </w:pPr>
      <w:r w:rsidRPr="00765847">
        <w:rPr>
          <w:rFonts w:ascii="Calibri" w:hAnsi="Calibri" w:cs="Calibri"/>
          <w:vertAlign w:val="superscript"/>
        </w:rPr>
        <w:footnoteRef/>
      </w:r>
      <w:r w:rsidRPr="00765847">
        <w:rPr>
          <w:rFonts w:ascii="Calibri" w:hAnsi="Calibri" w:cs="Calibri"/>
          <w:color w:val="000000"/>
          <w:sz w:val="20"/>
          <w:szCs w:val="20"/>
        </w:rPr>
        <w:t xml:space="preserve"> For a more formal and complete introduction, consult Buckley et al. </w:t>
      </w:r>
      <w:r w:rsidRPr="00765847">
        <w:rPr>
          <w:rFonts w:ascii="Calibri" w:hAnsi="Calibri" w:cs="Calibri"/>
          <w:color w:val="000000"/>
          <w:sz w:val="20"/>
          <w:szCs w:val="20"/>
          <w:lang w:val="fr-CA"/>
        </w:rPr>
        <w:t>(2017), Mann et al. (2022)</w:t>
      </w:r>
      <w:r w:rsidRPr="00765847">
        <w:rPr>
          <w:rFonts w:ascii="Calibri" w:hAnsi="Calibri" w:cs="Calibri"/>
          <w:sz w:val="20"/>
          <w:szCs w:val="20"/>
          <w:lang w:val="fr-CA"/>
        </w:rPr>
        <w:t xml:space="preserve">, </w:t>
      </w:r>
      <w:r w:rsidRPr="00765847">
        <w:rPr>
          <w:rFonts w:ascii="Calibri" w:hAnsi="Calibri" w:cs="Calibri"/>
          <w:color w:val="000000"/>
          <w:sz w:val="20"/>
          <w:szCs w:val="20"/>
          <w:lang w:val="fr-CA"/>
        </w:rPr>
        <w:t xml:space="preserve">Parr et al. (2022), </w:t>
      </w:r>
      <w:proofErr w:type="spellStart"/>
      <w:r w:rsidRPr="00765847">
        <w:rPr>
          <w:rFonts w:ascii="Calibri" w:hAnsi="Calibri" w:cs="Calibri"/>
          <w:color w:val="000000"/>
          <w:sz w:val="20"/>
          <w:szCs w:val="20"/>
          <w:lang w:val="fr-CA"/>
        </w:rPr>
        <w:t>Tsukahara</w:t>
      </w:r>
      <w:proofErr w:type="spellEnd"/>
      <w:r w:rsidRPr="00765847">
        <w:rPr>
          <w:rFonts w:ascii="Calibri" w:hAnsi="Calibri" w:cs="Calibri"/>
          <w:color w:val="000000"/>
          <w:sz w:val="20"/>
          <w:szCs w:val="20"/>
          <w:lang w:val="fr-CA"/>
        </w:rPr>
        <w:t xml:space="preserve"> and </w:t>
      </w:r>
      <w:proofErr w:type="spellStart"/>
      <w:r w:rsidRPr="00765847">
        <w:rPr>
          <w:rFonts w:ascii="Calibri" w:hAnsi="Calibri" w:cs="Calibri"/>
          <w:color w:val="000000"/>
          <w:sz w:val="20"/>
          <w:szCs w:val="20"/>
          <w:lang w:val="fr-CA"/>
        </w:rPr>
        <w:t>Sergeant-Perthuis</w:t>
      </w:r>
      <w:proofErr w:type="spellEnd"/>
      <w:r w:rsidRPr="00765847">
        <w:rPr>
          <w:rFonts w:ascii="Calibri" w:hAnsi="Calibri" w:cs="Calibri"/>
          <w:color w:val="000000"/>
          <w:sz w:val="20"/>
          <w:szCs w:val="20"/>
          <w:lang w:val="fr-CA"/>
        </w:rPr>
        <w:t xml:space="preserve"> (2024). </w:t>
      </w:r>
    </w:p>
  </w:footnote>
  <w:footnote w:id="3">
    <w:p w14:paraId="000000CE" w14:textId="77777777" w:rsidR="0059079A" w:rsidRPr="00765847" w:rsidRDefault="00000000">
      <w:pPr>
        <w:pBdr>
          <w:top w:val="nil"/>
          <w:left w:val="nil"/>
          <w:bottom w:val="nil"/>
          <w:right w:val="nil"/>
          <w:between w:val="nil"/>
        </w:pBdr>
        <w:spacing w:after="0" w:line="240" w:lineRule="auto"/>
        <w:rPr>
          <w:rFonts w:ascii="Calibri" w:hAnsi="Calibri" w:cs="Calibri"/>
          <w:color w:val="000000"/>
          <w:sz w:val="20"/>
          <w:szCs w:val="20"/>
        </w:rPr>
      </w:pPr>
      <w:r w:rsidRPr="00765847">
        <w:rPr>
          <w:rFonts w:ascii="Calibri" w:hAnsi="Calibri" w:cs="Calibri"/>
          <w:vertAlign w:val="superscript"/>
        </w:rPr>
        <w:footnoteRef/>
      </w:r>
      <w:r w:rsidRPr="00765847">
        <w:rPr>
          <w:rFonts w:ascii="Calibri" w:hAnsi="Calibri" w:cs="Calibri"/>
          <w:color w:val="000000"/>
          <w:sz w:val="20"/>
          <w:szCs w:val="20"/>
        </w:rPr>
        <w:t xml:space="preserve"> This long-term average is called free energy, thereby giving the name “free energy principle” to this core claim of the active inference framework.</w:t>
      </w:r>
    </w:p>
  </w:footnote>
  <w:footnote w:id="4">
    <w:p w14:paraId="000000CF" w14:textId="77777777" w:rsidR="0059079A" w:rsidRPr="00765847" w:rsidRDefault="00000000">
      <w:pPr>
        <w:spacing w:after="0" w:line="240" w:lineRule="auto"/>
        <w:rPr>
          <w:rFonts w:ascii="Calibri" w:hAnsi="Calibri" w:cs="Calibri"/>
          <w:sz w:val="20"/>
          <w:szCs w:val="20"/>
        </w:rPr>
      </w:pPr>
      <w:r w:rsidRPr="00765847">
        <w:rPr>
          <w:rFonts w:ascii="Calibri" w:hAnsi="Calibri" w:cs="Calibri"/>
          <w:vertAlign w:val="superscript"/>
        </w:rPr>
        <w:footnoteRef/>
      </w:r>
      <w:r w:rsidRPr="00765847">
        <w:rPr>
          <w:rFonts w:ascii="Calibri" w:hAnsi="Calibri" w:cs="Calibri"/>
          <w:sz w:val="20"/>
          <w:szCs w:val="20"/>
        </w:rPr>
        <w:t xml:space="preserve"> Such behavioral regularities do not necessitate that every member of the group perform exactly the same behavior in the relevant circumstances. Some behavioral regularities will consist in the assignment of distinct roles associated with distinct behaviors to different individuals (for example, gender norms in human societies). Moreover, the behavioral regularity doesn't need to be regular in the sense of being frequently observed. A norm could prescribe a behavior, but only in a highly specific and rarely occurring context. </w:t>
      </w:r>
    </w:p>
  </w:footnote>
  <w:footnote w:id="5">
    <w:p w14:paraId="000000D2" w14:textId="77777777" w:rsidR="0059079A" w:rsidRPr="00765847" w:rsidRDefault="00000000">
      <w:pPr>
        <w:spacing w:after="0" w:line="240" w:lineRule="auto"/>
        <w:rPr>
          <w:rFonts w:ascii="Calibri" w:hAnsi="Calibri" w:cs="Calibri"/>
          <w:sz w:val="16"/>
          <w:szCs w:val="16"/>
        </w:rPr>
      </w:pPr>
      <w:r w:rsidRPr="00765847">
        <w:rPr>
          <w:rFonts w:ascii="Calibri" w:hAnsi="Calibri" w:cs="Calibri"/>
          <w:vertAlign w:val="superscript"/>
        </w:rPr>
        <w:footnoteRef/>
      </w:r>
      <w:r w:rsidRPr="00765847">
        <w:rPr>
          <w:rFonts w:ascii="Calibri" w:hAnsi="Calibri" w:cs="Calibri"/>
          <w:sz w:val="20"/>
          <w:szCs w:val="20"/>
        </w:rPr>
        <w:t xml:space="preserve"> </w:t>
      </w:r>
      <w:r w:rsidRPr="00765847">
        <w:rPr>
          <w:rFonts w:ascii="Calibri" w:eastAsia="Arial" w:hAnsi="Calibri" w:cs="Calibri"/>
          <w:sz w:val="20"/>
          <w:szCs w:val="20"/>
        </w:rPr>
        <w:t xml:space="preserve">Westra and Andrews’ definition of normative regularities makes reference to a group in which the behavioral regularity is maintained. We think that this element hides a difficulty often neglected in the literature, which is to provide adequate criteria for identifying the reference group for a particular norm or set of norms. We could first try to identify the relevant group by appealing to an external criterion, independent of normative considerations. For instance, Bicchieri identifies the group on the basis of the notion of “reference network”, which is “the range of people whom we care about when making particular decisions” (Bicchieri, 2016, p. 14). But, it is far from clear that such external criteria will systematically yield the right results. Faced with this difficulty, some philosophers of normativity have pointed out that determining who is part of a normative community is itself a normative question : the set of individuals for which a norm applies just is the set of individuals for which the norm </w:t>
      </w:r>
      <w:r w:rsidRPr="00765847">
        <w:rPr>
          <w:rFonts w:ascii="Calibri" w:eastAsia="Arial" w:hAnsi="Calibri" w:cs="Calibri"/>
          <w:i/>
          <w:sz w:val="20"/>
          <w:szCs w:val="20"/>
        </w:rPr>
        <w:t>should</w:t>
      </w:r>
      <w:r w:rsidRPr="00765847">
        <w:rPr>
          <w:rFonts w:ascii="Calibri" w:eastAsia="Arial" w:hAnsi="Calibri" w:cs="Calibri"/>
          <w:sz w:val="20"/>
          <w:szCs w:val="20"/>
        </w:rPr>
        <w:t xml:space="preserve"> apply (Brandom, 1994, p. 39). This seems to have the problematic consequence that there is no naturalistically viable way of empirically identifying the relevant group without bringing to bear normative considerations. A promising solution, for which we won’t argue extensively here, is to adopt a solution similar to the one adopted for the naturalistic study of norms in social groups. In such studies, as we will see shortly, a norm is considered to be in place in a group when members of that group adopt the relevant normative </w:t>
      </w:r>
      <w:r w:rsidRPr="00765847">
        <w:rPr>
          <w:rFonts w:ascii="Calibri" w:eastAsia="Arial" w:hAnsi="Calibri" w:cs="Calibri"/>
          <w:i/>
          <w:sz w:val="20"/>
          <w:szCs w:val="20"/>
        </w:rPr>
        <w:t>attitudes</w:t>
      </w:r>
      <w:r w:rsidRPr="00765847">
        <w:rPr>
          <w:rFonts w:ascii="Calibri" w:eastAsia="Arial" w:hAnsi="Calibri" w:cs="Calibri"/>
          <w:sz w:val="20"/>
          <w:szCs w:val="20"/>
        </w:rPr>
        <w:t xml:space="preserve">, and in consequence apply the relevant </w:t>
      </w:r>
      <w:r w:rsidRPr="00765847">
        <w:rPr>
          <w:rFonts w:ascii="Calibri" w:eastAsia="Arial" w:hAnsi="Calibri" w:cs="Calibri"/>
          <w:i/>
          <w:sz w:val="20"/>
          <w:szCs w:val="20"/>
        </w:rPr>
        <w:t>social sanctions</w:t>
      </w:r>
      <w:r w:rsidRPr="00765847">
        <w:rPr>
          <w:rFonts w:ascii="Calibri" w:eastAsia="Arial" w:hAnsi="Calibri" w:cs="Calibri"/>
          <w:sz w:val="20"/>
          <w:szCs w:val="20"/>
        </w:rPr>
        <w:t xml:space="preserve">, relative to that norm. Similarly, we contend, the normative community that is relevant for a particular norm or set of norms comprises the set of individuals toward which the relevant normative attitudes are </w:t>
      </w:r>
      <w:r w:rsidRPr="00765847">
        <w:rPr>
          <w:rFonts w:ascii="Calibri" w:eastAsia="Arial" w:hAnsi="Calibri" w:cs="Calibri"/>
          <w:i/>
          <w:sz w:val="20"/>
          <w:szCs w:val="20"/>
        </w:rPr>
        <w:t>directed</w:t>
      </w:r>
      <w:r w:rsidRPr="00765847">
        <w:rPr>
          <w:rFonts w:ascii="Calibri" w:eastAsia="Arial" w:hAnsi="Calibri" w:cs="Calibri"/>
          <w:sz w:val="20"/>
          <w:szCs w:val="20"/>
        </w:rPr>
        <w:t xml:space="preserve"> : we can know to which individuals a norm applies by identifying which individuals are in fact the target of normative attitudes and social sanctions relative to that norm. This solution takes the normative nature of group membership at face value, but treats it in the same deflationary manner as social norms themselves. In any case, these complications are not essential for the arguments presented in the rest of the paper.</w:t>
      </w:r>
    </w:p>
  </w:footnote>
  <w:footnote w:id="6">
    <w:p w14:paraId="000000DC" w14:textId="77777777" w:rsidR="0059079A" w:rsidRPr="00765847" w:rsidRDefault="00000000">
      <w:pPr>
        <w:spacing w:after="0" w:line="240" w:lineRule="auto"/>
        <w:rPr>
          <w:rFonts w:ascii="Calibri" w:hAnsi="Calibri" w:cs="Calibri"/>
          <w:sz w:val="20"/>
          <w:szCs w:val="20"/>
        </w:rPr>
      </w:pPr>
      <w:r w:rsidRPr="00765847">
        <w:rPr>
          <w:rFonts w:ascii="Calibri" w:hAnsi="Calibri" w:cs="Calibri"/>
          <w:vertAlign w:val="superscript"/>
        </w:rPr>
        <w:footnoteRef/>
      </w:r>
      <w:r w:rsidRPr="00765847">
        <w:rPr>
          <w:rFonts w:ascii="Calibri" w:hAnsi="Calibri" w:cs="Calibri"/>
          <w:sz w:val="20"/>
          <w:szCs w:val="20"/>
        </w:rPr>
        <w:t xml:space="preserve"> Andrews et al. (2024) consider the possibility that such second-party punishment could constitute a mechanism of social maintenance contributing to the establishment of a normative regularity. However, as explained below, it would not by itself be indicative of a </w:t>
      </w:r>
      <w:r w:rsidRPr="00765847">
        <w:rPr>
          <w:rFonts w:ascii="Calibri" w:hAnsi="Calibri" w:cs="Calibri"/>
          <w:i/>
          <w:sz w:val="20"/>
          <w:szCs w:val="20"/>
        </w:rPr>
        <w:t xml:space="preserve">normative attitude </w:t>
      </w:r>
      <w:r w:rsidRPr="00765847">
        <w:rPr>
          <w:rFonts w:ascii="Calibri" w:hAnsi="Calibri" w:cs="Calibri"/>
          <w:sz w:val="20"/>
          <w:szCs w:val="20"/>
        </w:rPr>
        <w:t xml:space="preserve">in the sense described here, which is one among many possible mechanisms of social maintenance. </w:t>
      </w:r>
    </w:p>
  </w:footnote>
  <w:footnote w:id="7">
    <w:p w14:paraId="000000D0" w14:textId="0A2D016F" w:rsidR="0059079A" w:rsidRPr="00765847" w:rsidRDefault="00000000">
      <w:pPr>
        <w:spacing w:after="0" w:line="240" w:lineRule="auto"/>
        <w:rPr>
          <w:rFonts w:ascii="Calibri" w:hAnsi="Calibri" w:cs="Calibri"/>
          <w:sz w:val="20"/>
          <w:szCs w:val="20"/>
        </w:rPr>
      </w:pPr>
      <w:r w:rsidRPr="00765847">
        <w:rPr>
          <w:rFonts w:ascii="Calibri" w:hAnsi="Calibri" w:cs="Calibri"/>
          <w:vertAlign w:val="superscript"/>
        </w:rPr>
        <w:footnoteRef/>
      </w:r>
      <w:r w:rsidRPr="00765847">
        <w:rPr>
          <w:rFonts w:ascii="Calibri" w:hAnsi="Calibri" w:cs="Calibri"/>
          <w:sz w:val="20"/>
          <w:szCs w:val="20"/>
        </w:rPr>
        <w:t xml:space="preserve"> </w:t>
      </w:r>
      <w:r w:rsidRPr="00765847">
        <w:rPr>
          <w:rFonts w:ascii="Calibri" w:eastAsia="Arial" w:hAnsi="Calibri" w:cs="Calibri"/>
        </w:rPr>
        <w:t xml:space="preserve"> </w:t>
      </w:r>
      <w:r w:rsidRPr="00765847">
        <w:rPr>
          <w:rFonts w:ascii="Calibri" w:eastAsia="Arial" w:hAnsi="Calibri" w:cs="Calibri"/>
          <w:sz w:val="20"/>
          <w:szCs w:val="20"/>
        </w:rPr>
        <w:t xml:space="preserve">It must be noted that third-party enforcement is an indication of the presence of norm enforcement, but not every instance of norm enforcement is a third-party enforcement. Often, a social sanction enforcing a norm will be administered by an individual whose personal interests </w:t>
      </w:r>
      <w:r w:rsidR="00796C5E">
        <w:rPr>
          <w:rFonts w:ascii="Calibri" w:eastAsia="Arial" w:hAnsi="Calibri" w:cs="Calibri"/>
          <w:sz w:val="20"/>
          <w:szCs w:val="20"/>
        </w:rPr>
        <w:t>are</w:t>
      </w:r>
      <w:r w:rsidRPr="00765847">
        <w:rPr>
          <w:rFonts w:ascii="Calibri" w:eastAsia="Arial" w:hAnsi="Calibri" w:cs="Calibri"/>
          <w:i/>
          <w:sz w:val="20"/>
          <w:szCs w:val="20"/>
        </w:rPr>
        <w:t xml:space="preserve"> also</w:t>
      </w:r>
      <w:r w:rsidRPr="00765847">
        <w:rPr>
          <w:rFonts w:ascii="Calibri" w:eastAsia="Arial" w:hAnsi="Calibri" w:cs="Calibri"/>
          <w:sz w:val="20"/>
          <w:szCs w:val="20"/>
        </w:rPr>
        <w:t xml:space="preserve"> affected in the situation (</w:t>
      </w:r>
      <w:proofErr w:type="spellStart"/>
      <w:r w:rsidRPr="00765847">
        <w:rPr>
          <w:rFonts w:ascii="Calibri" w:eastAsia="Arial" w:hAnsi="Calibri" w:cs="Calibri"/>
          <w:sz w:val="20"/>
          <w:szCs w:val="20"/>
        </w:rPr>
        <w:t>eg.</w:t>
      </w:r>
      <w:proofErr w:type="spellEnd"/>
      <w:r w:rsidRPr="00765847">
        <w:rPr>
          <w:rFonts w:ascii="Calibri" w:eastAsia="Arial" w:hAnsi="Calibri" w:cs="Calibri"/>
          <w:sz w:val="20"/>
          <w:szCs w:val="20"/>
        </w:rPr>
        <w:t xml:space="preserve"> someone protesting because her opponent in a game has cheated). However, faced only with such a second-party sanction, we cannot know whether it should be counted as norm enforcement or not because we cannot exclude that the sanctioning individual is solely defending her interests in the situation (</w:t>
      </w:r>
      <w:proofErr w:type="spellStart"/>
      <w:r w:rsidRPr="00765847">
        <w:rPr>
          <w:rFonts w:ascii="Calibri" w:eastAsia="Arial" w:hAnsi="Calibri" w:cs="Calibri"/>
          <w:sz w:val="20"/>
          <w:szCs w:val="20"/>
        </w:rPr>
        <w:t>eg.</w:t>
      </w:r>
      <w:proofErr w:type="spellEnd"/>
      <w:r w:rsidRPr="00765847">
        <w:rPr>
          <w:rFonts w:ascii="Calibri" w:eastAsia="Arial" w:hAnsi="Calibri" w:cs="Calibri"/>
          <w:sz w:val="20"/>
          <w:szCs w:val="20"/>
        </w:rPr>
        <w:t xml:space="preserve"> we don’t know if the protest comes from a selfish desire to win the game, or rather constitutes a defense of the rules of the game). In short, third party enforcement is a good indicator of social normativity, but lack of third-party enforcement does not license us to </w:t>
      </w:r>
      <w:r w:rsidR="00796C5E">
        <w:rPr>
          <w:rFonts w:ascii="Calibri" w:eastAsia="Arial" w:hAnsi="Calibri" w:cs="Calibri"/>
          <w:sz w:val="20"/>
          <w:szCs w:val="20"/>
        </w:rPr>
        <w:t xml:space="preserve">infer </w:t>
      </w:r>
      <w:r w:rsidR="00796C5E" w:rsidRPr="00765847">
        <w:rPr>
          <w:rFonts w:ascii="Calibri" w:eastAsia="Arial" w:hAnsi="Calibri" w:cs="Calibri"/>
          <w:sz w:val="20"/>
          <w:szCs w:val="20"/>
        </w:rPr>
        <w:t xml:space="preserve"> </w:t>
      </w:r>
      <w:r w:rsidRPr="00765847">
        <w:rPr>
          <w:rFonts w:ascii="Calibri" w:eastAsia="Arial" w:hAnsi="Calibri" w:cs="Calibri"/>
          <w:sz w:val="20"/>
          <w:szCs w:val="20"/>
        </w:rPr>
        <w:t xml:space="preserve">the absence of social normativity (see Westra et al., 2024 for discussion). </w:t>
      </w:r>
      <w:r w:rsidRPr="00765847">
        <w:rPr>
          <w:rFonts w:ascii="Calibri" w:eastAsia="Arial" w:hAnsi="Calibri" w:cs="Calibri"/>
        </w:rPr>
        <w:t xml:space="preserve"> </w:t>
      </w:r>
    </w:p>
  </w:footnote>
  <w:footnote w:id="8">
    <w:p w14:paraId="000000D1" w14:textId="77777777" w:rsidR="0059079A" w:rsidRPr="00765847" w:rsidRDefault="00000000">
      <w:pPr>
        <w:spacing w:after="0" w:line="240" w:lineRule="auto"/>
        <w:rPr>
          <w:rFonts w:ascii="Calibri" w:hAnsi="Calibri" w:cs="Calibri"/>
          <w:sz w:val="20"/>
          <w:szCs w:val="20"/>
        </w:rPr>
      </w:pPr>
      <w:r w:rsidRPr="00765847">
        <w:rPr>
          <w:rFonts w:ascii="Calibri" w:hAnsi="Calibri" w:cs="Calibri"/>
          <w:vertAlign w:val="superscript"/>
        </w:rPr>
        <w:footnoteRef/>
      </w:r>
      <w:r w:rsidRPr="00765847">
        <w:rPr>
          <w:rFonts w:ascii="Calibri" w:hAnsi="Calibri" w:cs="Calibri"/>
          <w:sz w:val="20"/>
          <w:szCs w:val="20"/>
        </w:rPr>
        <w:t xml:space="preserve"> There is no preset percentage of the group that must have the relevant normative attitudes in order for the relevant normative regularity to be socially maintained. This is in part because not every member of any group has the same influence and authority over the social norms that it instantiates, as we will see in section 3.1. In extreme cases, it is even conceivable that one disproportionately influential member could individually come to impose a norm on the rest of the group. </w:t>
      </w:r>
    </w:p>
  </w:footnote>
  <w:footnote w:id="9">
    <w:p w14:paraId="000000D3" w14:textId="77777777" w:rsidR="0059079A" w:rsidRPr="00765847" w:rsidRDefault="00000000">
      <w:pPr>
        <w:spacing w:after="0" w:line="240" w:lineRule="auto"/>
        <w:rPr>
          <w:rFonts w:ascii="Calibri" w:hAnsi="Calibri" w:cs="Calibri"/>
          <w:sz w:val="20"/>
          <w:szCs w:val="20"/>
        </w:rPr>
      </w:pPr>
      <w:r w:rsidRPr="00765847">
        <w:rPr>
          <w:rFonts w:ascii="Calibri" w:hAnsi="Calibri" w:cs="Calibri"/>
          <w:vertAlign w:val="superscript"/>
        </w:rPr>
        <w:footnoteRef/>
      </w:r>
      <w:r w:rsidRPr="00765847">
        <w:rPr>
          <w:rFonts w:ascii="Calibri" w:hAnsi="Calibri" w:cs="Calibri"/>
          <w:sz w:val="20"/>
          <w:szCs w:val="20"/>
        </w:rPr>
        <w:t xml:space="preserve">  As explained in section 1, simple learning and simple social construction are two poles of a continuum. For most social predictions, prediction error will lead to some social sanction and some learning, such that the recurrence of prediction error for that prediction would progressively diminish the strength of the social sanction as the generative model comes to learn this new social regularity. If, for some reason, members of the group in our example start to more frequently follow a different path to the food source, the members’ models will eventually integrate this new behavioral regularity, and social sanctioning of this initially counter normative behavior would diminish and eventually stop.    </w:t>
      </w:r>
    </w:p>
  </w:footnote>
  <w:footnote w:id="10">
    <w:p w14:paraId="000000D4" w14:textId="77777777" w:rsidR="0059079A" w:rsidRPr="00765847" w:rsidRDefault="00000000">
      <w:pPr>
        <w:spacing w:after="0" w:line="240" w:lineRule="auto"/>
        <w:rPr>
          <w:rFonts w:ascii="Calibri" w:hAnsi="Calibri" w:cs="Calibri"/>
          <w:sz w:val="20"/>
          <w:szCs w:val="20"/>
        </w:rPr>
      </w:pPr>
      <w:r w:rsidRPr="00765847">
        <w:rPr>
          <w:rFonts w:ascii="Calibri" w:hAnsi="Calibri" w:cs="Calibri"/>
          <w:vertAlign w:val="superscript"/>
        </w:rPr>
        <w:footnoteRef/>
      </w:r>
      <w:r w:rsidRPr="00765847">
        <w:rPr>
          <w:rFonts w:ascii="Calibri" w:hAnsi="Calibri" w:cs="Calibri"/>
          <w:sz w:val="16"/>
          <w:szCs w:val="16"/>
        </w:rPr>
        <w:t xml:space="preserve"> </w:t>
      </w:r>
      <w:r w:rsidRPr="00765847">
        <w:rPr>
          <w:rFonts w:ascii="Calibri" w:eastAsia="Arial" w:hAnsi="Calibri" w:cs="Calibri"/>
          <w:sz w:val="20"/>
          <w:szCs w:val="20"/>
        </w:rPr>
        <w:t xml:space="preserve">In fact, one could perform situational inference without even being aware of or intending to conform to others’ expectations. One could simply have come to learn that social interactions go more smoothly when they behave in a given context as people usually behave in that context. </w:t>
      </w:r>
    </w:p>
  </w:footnote>
  <w:footnote w:id="11">
    <w:p w14:paraId="000000D8" w14:textId="2810E586" w:rsidR="0059079A" w:rsidRPr="00AD2004" w:rsidRDefault="00000000">
      <w:pPr>
        <w:spacing w:after="0" w:line="240" w:lineRule="auto"/>
        <w:rPr>
          <w:rFonts w:ascii="Calibri" w:hAnsi="Calibri" w:cs="Calibri"/>
          <w:sz w:val="20"/>
          <w:szCs w:val="20"/>
        </w:rPr>
      </w:pPr>
      <w:r w:rsidRPr="00AD2004">
        <w:rPr>
          <w:rFonts w:ascii="Calibri" w:hAnsi="Calibri" w:cs="Calibri"/>
          <w:vertAlign w:val="superscript"/>
        </w:rPr>
        <w:footnoteRef/>
      </w:r>
      <w:r w:rsidRPr="00AD2004">
        <w:rPr>
          <w:rFonts w:ascii="Calibri" w:hAnsi="Calibri" w:cs="Calibri"/>
          <w:sz w:val="20"/>
          <w:szCs w:val="20"/>
        </w:rPr>
        <w:t xml:space="preserve"> </w:t>
      </w:r>
      <w:r w:rsidR="00DF1F53" w:rsidRPr="00AD2004">
        <w:rPr>
          <w:rFonts w:ascii="Calibri" w:hAnsi="Calibri" w:cs="Calibri"/>
          <w:sz w:val="20"/>
          <w:szCs w:val="20"/>
        </w:rPr>
        <w:t>This rigidity must not be overstated. Some aspects of the developmental niche are even quite malleable, as caregivers are usually highly responsive to their infant’s behavior</w:t>
      </w:r>
      <w:r w:rsidR="003871C4" w:rsidRPr="00AD2004">
        <w:rPr>
          <w:rFonts w:ascii="Calibri" w:hAnsi="Calibri" w:cs="Calibri"/>
          <w:sz w:val="20"/>
          <w:szCs w:val="20"/>
        </w:rPr>
        <w:t xml:space="preserve"> (Hrdy, 1999)</w:t>
      </w:r>
      <w:r w:rsidR="00DF1F53" w:rsidRPr="00AD2004">
        <w:rPr>
          <w:rFonts w:ascii="Calibri" w:hAnsi="Calibri" w:cs="Calibri"/>
          <w:sz w:val="20"/>
          <w:szCs w:val="20"/>
        </w:rPr>
        <w:t>. Moreover, children are not</w:t>
      </w:r>
      <w:r w:rsidRPr="00AD2004">
        <w:rPr>
          <w:rFonts w:ascii="Calibri" w:hAnsi="Calibri" w:cs="Calibri"/>
          <w:sz w:val="20"/>
          <w:szCs w:val="20"/>
        </w:rPr>
        <w:t xml:space="preserve"> only passive and inert recipient</w:t>
      </w:r>
      <w:r w:rsidR="00DF1F53" w:rsidRPr="00AD2004">
        <w:rPr>
          <w:rFonts w:ascii="Calibri" w:hAnsi="Calibri" w:cs="Calibri"/>
          <w:sz w:val="20"/>
          <w:szCs w:val="20"/>
        </w:rPr>
        <w:t>s</w:t>
      </w:r>
      <w:r w:rsidRPr="00AD2004">
        <w:rPr>
          <w:rFonts w:ascii="Calibri" w:hAnsi="Calibri" w:cs="Calibri"/>
          <w:sz w:val="20"/>
          <w:szCs w:val="20"/>
        </w:rPr>
        <w:t xml:space="preserve"> of the norms of </w:t>
      </w:r>
      <w:r w:rsidR="00DF1F53" w:rsidRPr="00AD2004">
        <w:rPr>
          <w:rFonts w:ascii="Calibri" w:hAnsi="Calibri" w:cs="Calibri"/>
          <w:sz w:val="20"/>
          <w:szCs w:val="20"/>
        </w:rPr>
        <w:t>their</w:t>
      </w:r>
      <w:r w:rsidRPr="00AD2004">
        <w:rPr>
          <w:rFonts w:ascii="Calibri" w:hAnsi="Calibri" w:cs="Calibri"/>
          <w:sz w:val="20"/>
          <w:szCs w:val="20"/>
        </w:rPr>
        <w:t xml:space="preserve"> social environment. As any parent can attest,</w:t>
      </w:r>
      <w:r w:rsidR="00DF1F53" w:rsidRPr="00AD2004">
        <w:rPr>
          <w:rFonts w:ascii="Calibri" w:hAnsi="Calibri" w:cs="Calibri"/>
          <w:sz w:val="20"/>
          <w:szCs w:val="20"/>
        </w:rPr>
        <w:t xml:space="preserve"> a</w:t>
      </w:r>
      <w:r w:rsidRPr="00AD2004">
        <w:rPr>
          <w:rFonts w:ascii="Calibri" w:hAnsi="Calibri" w:cs="Calibri"/>
          <w:sz w:val="20"/>
          <w:szCs w:val="20"/>
        </w:rPr>
        <w:t xml:space="preserve"> child can provide non-negligible pushback when the norms of its social environment conflict with other predictions of its generative model (</w:t>
      </w:r>
      <w:proofErr w:type="spellStart"/>
      <w:r w:rsidRPr="00AD2004">
        <w:rPr>
          <w:rFonts w:ascii="Calibri" w:hAnsi="Calibri" w:cs="Calibri"/>
          <w:sz w:val="20"/>
          <w:szCs w:val="20"/>
        </w:rPr>
        <w:t>eg.</w:t>
      </w:r>
      <w:proofErr w:type="spellEnd"/>
      <w:r w:rsidRPr="00AD2004">
        <w:rPr>
          <w:rFonts w:ascii="Calibri" w:hAnsi="Calibri" w:cs="Calibri"/>
          <w:sz w:val="20"/>
          <w:szCs w:val="20"/>
        </w:rPr>
        <w:t xml:space="preserve"> a child makes a tantrum to receive a second desert), sometimes leading to compromise in its local environment (</w:t>
      </w:r>
      <w:proofErr w:type="spellStart"/>
      <w:r w:rsidRPr="00AD2004">
        <w:rPr>
          <w:rFonts w:ascii="Calibri" w:hAnsi="Calibri" w:cs="Calibri"/>
          <w:sz w:val="20"/>
          <w:szCs w:val="20"/>
        </w:rPr>
        <w:t>eg.</w:t>
      </w:r>
      <w:proofErr w:type="spellEnd"/>
      <w:r w:rsidRPr="00AD2004">
        <w:rPr>
          <w:rFonts w:ascii="Calibri" w:hAnsi="Calibri" w:cs="Calibri"/>
          <w:sz w:val="20"/>
          <w:szCs w:val="20"/>
        </w:rPr>
        <w:t xml:space="preserve"> the parent gives up and lets the child have a second desert, abandoning the social rule that one can only have one desert). We can also expect some active learning of normative practices through play and make-believe, as is the case for learning of physical regularities, social roles or object functions. Such active learning would probably include inventing games or creating local environments with idiosyncratic rules that they could impose on others (see Ruci</w:t>
      </w:r>
      <w:r w:rsidR="00F448D2" w:rsidRPr="00AD2004">
        <w:rPr>
          <w:rFonts w:ascii="Calibri" w:hAnsi="Calibri" w:cs="Calibri"/>
          <w:sz w:val="20"/>
          <w:szCs w:val="20"/>
        </w:rPr>
        <w:t>ń</w:t>
      </w:r>
      <w:r w:rsidRPr="00AD2004">
        <w:rPr>
          <w:rFonts w:ascii="Calibri" w:hAnsi="Calibri" w:cs="Calibri"/>
          <w:sz w:val="20"/>
          <w:szCs w:val="20"/>
        </w:rPr>
        <w:t xml:space="preserve">ska, </w:t>
      </w:r>
      <w:r w:rsidR="00D03B6C" w:rsidRPr="00AD2004">
        <w:rPr>
          <w:rFonts w:ascii="Calibri" w:hAnsi="Calibri" w:cs="Calibri"/>
          <w:sz w:val="20"/>
          <w:szCs w:val="20"/>
        </w:rPr>
        <w:t>2025</w:t>
      </w:r>
      <w:r w:rsidRPr="00AD2004">
        <w:rPr>
          <w:rFonts w:ascii="Calibri" w:hAnsi="Calibri" w:cs="Calibri"/>
          <w:sz w:val="20"/>
          <w:szCs w:val="20"/>
        </w:rPr>
        <w:t xml:space="preserve">).   </w:t>
      </w:r>
    </w:p>
  </w:footnote>
  <w:footnote w:id="12">
    <w:p w14:paraId="000000D5" w14:textId="7DB9D63B" w:rsidR="0059079A" w:rsidRPr="00765847" w:rsidRDefault="00000000">
      <w:pPr>
        <w:spacing w:after="0" w:line="240" w:lineRule="auto"/>
        <w:rPr>
          <w:rFonts w:ascii="Calibri" w:hAnsi="Calibri" w:cs="Calibri"/>
          <w:sz w:val="20"/>
          <w:szCs w:val="20"/>
        </w:rPr>
      </w:pPr>
      <w:r w:rsidRPr="00765847">
        <w:rPr>
          <w:rFonts w:ascii="Calibri" w:hAnsi="Calibri" w:cs="Calibri"/>
          <w:vertAlign w:val="superscript"/>
        </w:rPr>
        <w:footnoteRef/>
      </w:r>
      <w:r w:rsidRPr="00765847">
        <w:rPr>
          <w:rFonts w:ascii="Calibri" w:hAnsi="Calibri" w:cs="Calibri"/>
          <w:sz w:val="20"/>
          <w:szCs w:val="20"/>
        </w:rPr>
        <w:t xml:space="preserve"> Bicchieri’s (2007; 2016) theory has also been described </w:t>
      </w:r>
      <w:r w:rsidR="00547F9A">
        <w:rPr>
          <w:rFonts w:ascii="Calibri" w:hAnsi="Calibri" w:cs="Calibri"/>
          <w:sz w:val="20"/>
          <w:szCs w:val="20"/>
        </w:rPr>
        <w:t>in this</w:t>
      </w:r>
      <w:r w:rsidR="00547F9A" w:rsidRPr="00765847">
        <w:rPr>
          <w:rFonts w:ascii="Calibri" w:hAnsi="Calibri" w:cs="Calibri"/>
          <w:sz w:val="20"/>
          <w:szCs w:val="20"/>
        </w:rPr>
        <w:t xml:space="preserve"> </w:t>
      </w:r>
      <w:r w:rsidRPr="00765847">
        <w:rPr>
          <w:rFonts w:ascii="Calibri" w:hAnsi="Calibri" w:cs="Calibri"/>
          <w:sz w:val="20"/>
          <w:szCs w:val="20"/>
        </w:rPr>
        <w:t xml:space="preserve">way, but it is importantly different from the account proposed here. In particular, it is significantly more cognitively demanding, as it relies on beliefs about how others will behave (empirical expectations) as well as beliefs about other’s beliefs about how one should behave (normative expectations), which would probably involve something akin to the mental inference of the expectations of others described in Theriault et al. (2021). As noted above, Bicchieri’s analysis also includes the condition of conditional conformity, which seems overly restrictive (see Kelly and Davis, 2018).  </w:t>
      </w:r>
    </w:p>
  </w:footnote>
  <w:footnote w:id="13">
    <w:p w14:paraId="000000D6" w14:textId="77777777" w:rsidR="0059079A" w:rsidRPr="00765847" w:rsidRDefault="00000000">
      <w:pPr>
        <w:spacing w:after="0" w:line="240" w:lineRule="auto"/>
        <w:rPr>
          <w:rFonts w:ascii="Calibri" w:hAnsi="Calibri" w:cs="Calibri"/>
          <w:sz w:val="20"/>
          <w:szCs w:val="20"/>
        </w:rPr>
      </w:pPr>
      <w:r w:rsidRPr="00765847">
        <w:rPr>
          <w:rFonts w:ascii="Calibri" w:hAnsi="Calibri" w:cs="Calibri"/>
          <w:vertAlign w:val="superscript"/>
        </w:rPr>
        <w:footnoteRef/>
      </w:r>
      <w:r w:rsidRPr="00765847">
        <w:rPr>
          <w:rFonts w:ascii="Calibri" w:hAnsi="Calibri" w:cs="Calibri"/>
          <w:sz w:val="20"/>
          <w:szCs w:val="20"/>
        </w:rPr>
        <w:t xml:space="preserve"> In these studies, the “promiscuous normativity” effect disappears when the action of the adult is presented as accidental (Schmidt et al., 2016, p. 1366-1368). This might seem to pose a difficulty for our account, insofar as the social sensory input remains the same whether the action is intentional or not, and should therefore lead to the same social learning and social enforcement. However, an efficient generative model attempting to learn social regularities would quickly pick up on the fact that accidental movements during an activity are unlikely to be repeated during reiterations of this activity, whereas intentional movements are more likely to be reproduced, thereby driving social learning, and social enforcement, during perception of intentional movement (more on this contextual modulation of learning and norm enforcement in section 3.1) . </w:t>
      </w:r>
    </w:p>
  </w:footnote>
  <w:footnote w:id="14">
    <w:p w14:paraId="000000D7" w14:textId="77777777" w:rsidR="0059079A" w:rsidRPr="00765847" w:rsidRDefault="00000000">
      <w:pPr>
        <w:spacing w:after="0" w:line="240" w:lineRule="auto"/>
        <w:rPr>
          <w:rFonts w:ascii="Calibri" w:hAnsi="Calibri" w:cs="Calibri"/>
          <w:sz w:val="20"/>
          <w:szCs w:val="20"/>
        </w:rPr>
      </w:pPr>
      <w:r w:rsidRPr="00765847">
        <w:rPr>
          <w:rFonts w:ascii="Calibri" w:hAnsi="Calibri" w:cs="Calibri"/>
          <w:vertAlign w:val="superscript"/>
        </w:rPr>
        <w:footnoteRef/>
      </w:r>
      <w:r w:rsidRPr="00765847">
        <w:rPr>
          <w:rFonts w:ascii="Calibri" w:hAnsi="Calibri" w:cs="Calibri"/>
          <w:sz w:val="20"/>
          <w:szCs w:val="20"/>
        </w:rPr>
        <w:t xml:space="preserve"> This mechanism could also explain the group-relativity of social norms (Schmidt et al., 2012). A norm will be enforced on the individuals whose behavior will be predicted to follow that norm by the generative model. If a regular behavior emerges in a local subgroup (</w:t>
      </w:r>
      <w:proofErr w:type="spellStart"/>
      <w:r w:rsidRPr="00765847">
        <w:rPr>
          <w:rFonts w:ascii="Calibri" w:hAnsi="Calibri" w:cs="Calibri"/>
          <w:sz w:val="20"/>
          <w:szCs w:val="20"/>
        </w:rPr>
        <w:t>eg.</w:t>
      </w:r>
      <w:proofErr w:type="spellEnd"/>
      <w:r w:rsidRPr="00765847">
        <w:rPr>
          <w:rFonts w:ascii="Calibri" w:hAnsi="Calibri" w:cs="Calibri"/>
          <w:sz w:val="20"/>
          <w:szCs w:val="20"/>
        </w:rPr>
        <w:t xml:space="preserve"> a particular kind of handshake in a group of friends), the members of this group could come to enforce this behavior on members of their local group, but would not expect this behavior to be performed by other members of the larger group.</w:t>
      </w:r>
    </w:p>
  </w:footnote>
  <w:footnote w:id="15">
    <w:p w14:paraId="000000DB" w14:textId="77777777" w:rsidR="0059079A" w:rsidRPr="00765847" w:rsidRDefault="00000000">
      <w:pPr>
        <w:spacing w:after="0" w:line="240" w:lineRule="auto"/>
        <w:rPr>
          <w:rFonts w:ascii="Calibri" w:eastAsia="Arial" w:hAnsi="Calibri" w:cs="Calibri"/>
          <w:sz w:val="20"/>
          <w:szCs w:val="20"/>
        </w:rPr>
      </w:pPr>
      <w:r w:rsidRPr="00765847">
        <w:rPr>
          <w:rFonts w:ascii="Calibri" w:hAnsi="Calibri" w:cs="Calibri"/>
          <w:vertAlign w:val="superscript"/>
        </w:rPr>
        <w:footnoteRef/>
      </w:r>
      <w:r w:rsidRPr="00765847">
        <w:rPr>
          <w:rFonts w:ascii="Calibri" w:hAnsi="Calibri" w:cs="Calibri"/>
          <w:sz w:val="20"/>
          <w:szCs w:val="20"/>
        </w:rPr>
        <w:t xml:space="preserve"> An interesting consequence of the view adopted here is that the prediction error generated by a high number of public shootings might eventually unsettle this prediction of public safety, leading to an increasing acceptance and normative insensitivity toward public shootings. </w:t>
      </w:r>
      <w:r w:rsidRPr="00765847">
        <w:rPr>
          <w:rFonts w:ascii="Calibri" w:eastAsia="Arial" w:hAnsi="Calibri" w:cs="Calibri"/>
          <w:sz w:val="20"/>
          <w:szCs w:val="20"/>
        </w:rPr>
        <w:t xml:space="preserve">In this sense, we do want to bite the bullet to some extent, and maintain that </w:t>
      </w:r>
      <w:r w:rsidRPr="00765847">
        <w:rPr>
          <w:rFonts w:ascii="Calibri" w:eastAsia="Arial" w:hAnsi="Calibri" w:cs="Calibri"/>
          <w:i/>
          <w:sz w:val="20"/>
          <w:szCs w:val="20"/>
        </w:rPr>
        <w:t>almost any</w:t>
      </w:r>
      <w:r w:rsidRPr="00765847">
        <w:rPr>
          <w:rFonts w:ascii="Calibri" w:eastAsia="Arial" w:hAnsi="Calibri" w:cs="Calibri"/>
          <w:sz w:val="20"/>
          <w:szCs w:val="20"/>
        </w:rPr>
        <w:t xml:space="preserve"> sufficiently robust behavioral regularity in a social group will come to affect the generative models of its members and in turn affect the normative status of this regularity in this group. This is notably consistent with research on violence desensitization showing that repeated exposure to violence decreases emotional disturbance while witnessing violent behavior (</w:t>
      </w:r>
      <w:proofErr w:type="spellStart"/>
      <w:r w:rsidRPr="00765847">
        <w:rPr>
          <w:rFonts w:ascii="Calibri" w:eastAsia="Arial" w:hAnsi="Calibri" w:cs="Calibri"/>
          <w:sz w:val="20"/>
          <w:szCs w:val="20"/>
        </w:rPr>
        <w:t>Krahé</w:t>
      </w:r>
      <w:proofErr w:type="spellEnd"/>
      <w:r w:rsidRPr="00765847">
        <w:rPr>
          <w:rFonts w:ascii="Calibri" w:eastAsia="Arial" w:hAnsi="Calibri" w:cs="Calibri"/>
          <w:sz w:val="20"/>
          <w:szCs w:val="20"/>
        </w:rPr>
        <w:t xml:space="preserve"> et al., 2011; Mrug et al., 2016). </w:t>
      </w:r>
    </w:p>
  </w:footnote>
  <w:footnote w:id="16">
    <w:p w14:paraId="000000D9" w14:textId="26F16F69" w:rsidR="0059079A" w:rsidRPr="00765847" w:rsidRDefault="00000000">
      <w:pPr>
        <w:spacing w:after="0" w:line="240" w:lineRule="auto"/>
        <w:rPr>
          <w:rFonts w:ascii="Calibri" w:hAnsi="Calibri" w:cs="Calibri"/>
          <w:sz w:val="20"/>
          <w:szCs w:val="20"/>
        </w:rPr>
      </w:pPr>
      <w:r w:rsidRPr="00765847">
        <w:rPr>
          <w:rFonts w:ascii="Calibri" w:hAnsi="Calibri" w:cs="Calibri"/>
          <w:vertAlign w:val="superscript"/>
        </w:rPr>
        <w:footnoteRef/>
      </w:r>
      <w:r w:rsidRPr="00765847">
        <w:rPr>
          <w:rFonts w:ascii="Calibri" w:hAnsi="Calibri" w:cs="Calibri"/>
          <w:sz w:val="20"/>
          <w:szCs w:val="20"/>
        </w:rPr>
        <w:t xml:space="preserve"> Nevertheless, the failure of fully functionalist accounts of social normativity (</w:t>
      </w:r>
      <w:proofErr w:type="spellStart"/>
      <w:r w:rsidRPr="00765847">
        <w:rPr>
          <w:rFonts w:ascii="Calibri" w:hAnsi="Calibri" w:cs="Calibri"/>
          <w:sz w:val="20"/>
          <w:szCs w:val="20"/>
        </w:rPr>
        <w:t>eg.</w:t>
      </w:r>
      <w:proofErr w:type="spellEnd"/>
      <w:r w:rsidRPr="00765847">
        <w:rPr>
          <w:rFonts w:ascii="Calibri" w:hAnsi="Calibri" w:cs="Calibri"/>
          <w:sz w:val="20"/>
          <w:szCs w:val="20"/>
        </w:rPr>
        <w:t xml:space="preserve"> Arrow, 1970) shows that the apparition and stability of social norms cannot be entirely explained by their positive social function (Elster, 1989a and b</w:t>
      </w:r>
      <w:r w:rsidR="00EF0358">
        <w:rPr>
          <w:rFonts w:ascii="Calibri" w:hAnsi="Calibri" w:cs="Calibri"/>
          <w:sz w:val="20"/>
          <w:szCs w:val="20"/>
        </w:rPr>
        <w:t>; Boyd and Richerson, 2001</w:t>
      </w:r>
      <w:r w:rsidRPr="00765847">
        <w:rPr>
          <w:rFonts w:ascii="Calibri" w:hAnsi="Calibri" w:cs="Calibri"/>
          <w:sz w:val="20"/>
          <w:szCs w:val="20"/>
        </w:rPr>
        <w:t xml:space="preserve">). Indeed, maladaptive social norms also abound. The account developed here can explain the evolution of such socially deleterious norms either through simple behavioral regularity, or the influence of prestigious individuals, or compatibility with the preexisting set of social predictions, all the while explaining the introduction and stability of socially useful norms by the exact same means. </w:t>
      </w:r>
    </w:p>
    <w:p w14:paraId="000000DA" w14:textId="77777777" w:rsidR="0059079A" w:rsidRPr="00765847" w:rsidRDefault="0059079A">
      <w:pPr>
        <w:spacing w:after="0" w:line="240" w:lineRule="auto"/>
        <w:rPr>
          <w:rFonts w:ascii="Calibri" w:hAnsi="Calibri" w:cs="Calibri"/>
          <w:sz w:val="20"/>
          <w:szCs w:val="20"/>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79A"/>
    <w:rsid w:val="000055CD"/>
    <w:rsid w:val="0006536B"/>
    <w:rsid w:val="00100707"/>
    <w:rsid w:val="001013D7"/>
    <w:rsid w:val="00103F2A"/>
    <w:rsid w:val="00232CE1"/>
    <w:rsid w:val="002525CD"/>
    <w:rsid w:val="00253D37"/>
    <w:rsid w:val="0025513A"/>
    <w:rsid w:val="00257EFA"/>
    <w:rsid w:val="002664A1"/>
    <w:rsid w:val="00267893"/>
    <w:rsid w:val="00293F38"/>
    <w:rsid w:val="002A61C3"/>
    <w:rsid w:val="002C5BA1"/>
    <w:rsid w:val="002D3EAE"/>
    <w:rsid w:val="002E1346"/>
    <w:rsid w:val="002E4FC0"/>
    <w:rsid w:val="003141F7"/>
    <w:rsid w:val="00343DD8"/>
    <w:rsid w:val="00362AC0"/>
    <w:rsid w:val="00365444"/>
    <w:rsid w:val="003871C4"/>
    <w:rsid w:val="00392DAB"/>
    <w:rsid w:val="003E02E2"/>
    <w:rsid w:val="004510F2"/>
    <w:rsid w:val="00471D49"/>
    <w:rsid w:val="004A777F"/>
    <w:rsid w:val="004C72B6"/>
    <w:rsid w:val="005255CA"/>
    <w:rsid w:val="00547F9A"/>
    <w:rsid w:val="005823BD"/>
    <w:rsid w:val="00584166"/>
    <w:rsid w:val="0059079A"/>
    <w:rsid w:val="005B372A"/>
    <w:rsid w:val="0065745F"/>
    <w:rsid w:val="00684B8C"/>
    <w:rsid w:val="00702086"/>
    <w:rsid w:val="0070514C"/>
    <w:rsid w:val="007146C3"/>
    <w:rsid w:val="00765847"/>
    <w:rsid w:val="00796C5E"/>
    <w:rsid w:val="007E05C1"/>
    <w:rsid w:val="008705F3"/>
    <w:rsid w:val="008A07B6"/>
    <w:rsid w:val="008A45DE"/>
    <w:rsid w:val="00927D23"/>
    <w:rsid w:val="00942A5C"/>
    <w:rsid w:val="00964823"/>
    <w:rsid w:val="00967E23"/>
    <w:rsid w:val="00A066BC"/>
    <w:rsid w:val="00A20D01"/>
    <w:rsid w:val="00A266D0"/>
    <w:rsid w:val="00AD2004"/>
    <w:rsid w:val="00AE3E3C"/>
    <w:rsid w:val="00B26DD2"/>
    <w:rsid w:val="00B52003"/>
    <w:rsid w:val="00C05388"/>
    <w:rsid w:val="00C12693"/>
    <w:rsid w:val="00C74212"/>
    <w:rsid w:val="00C95EA4"/>
    <w:rsid w:val="00CD0125"/>
    <w:rsid w:val="00CD6895"/>
    <w:rsid w:val="00CE712B"/>
    <w:rsid w:val="00CE7E77"/>
    <w:rsid w:val="00CF2F4A"/>
    <w:rsid w:val="00D03B6C"/>
    <w:rsid w:val="00D4091E"/>
    <w:rsid w:val="00D442BD"/>
    <w:rsid w:val="00D74A13"/>
    <w:rsid w:val="00D815FB"/>
    <w:rsid w:val="00D93C94"/>
    <w:rsid w:val="00DC18A6"/>
    <w:rsid w:val="00DF1F53"/>
    <w:rsid w:val="00E021CF"/>
    <w:rsid w:val="00E9040E"/>
    <w:rsid w:val="00E96DE3"/>
    <w:rsid w:val="00EC7AF2"/>
    <w:rsid w:val="00EF0358"/>
    <w:rsid w:val="00F27F29"/>
    <w:rsid w:val="00F3462E"/>
    <w:rsid w:val="00F448D2"/>
    <w:rsid w:val="00F81F93"/>
    <w:rsid w:val="00F84C43"/>
    <w:rsid w:val="00FA516E"/>
    <w:rsid w:val="00FD654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91C94"/>
  <w15:docId w15:val="{F99B5E73-41B4-44B8-9879-4118008CF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CA" w:eastAsia="fr-CA"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04299"/>
    <w:pPr>
      <w:keepNext/>
      <w:keepLines/>
      <w:spacing w:before="360" w:after="80"/>
      <w:outlineLvl w:val="0"/>
    </w:pPr>
    <w:rPr>
      <w:rFonts w:asciiTheme="majorHAnsi" w:eastAsiaTheme="majorEastAsia" w:hAnsiTheme="majorHAnsi" w:cstheme="majorBidi"/>
      <w:b/>
      <w:sz w:val="32"/>
      <w:szCs w:val="40"/>
    </w:rPr>
  </w:style>
  <w:style w:type="paragraph" w:styleId="Titre2">
    <w:name w:val="heading 2"/>
    <w:basedOn w:val="Normal"/>
    <w:next w:val="Normal"/>
    <w:link w:val="Titre2Car"/>
    <w:uiPriority w:val="9"/>
    <w:unhideWhenUsed/>
    <w:qFormat/>
    <w:rsid w:val="00B60489"/>
    <w:pPr>
      <w:keepNext/>
      <w:keepLines/>
      <w:spacing w:before="160" w:after="80"/>
      <w:outlineLvl w:val="1"/>
    </w:pPr>
    <w:rPr>
      <w:rFonts w:asciiTheme="majorHAnsi" w:eastAsiaTheme="majorEastAsia" w:hAnsiTheme="majorHAnsi" w:cstheme="majorBidi"/>
      <w:b/>
      <w:szCs w:val="32"/>
    </w:rPr>
  </w:style>
  <w:style w:type="paragraph" w:styleId="Titre3">
    <w:name w:val="heading 3"/>
    <w:basedOn w:val="Normal"/>
    <w:next w:val="Normal"/>
    <w:link w:val="Titre3Car"/>
    <w:uiPriority w:val="9"/>
    <w:semiHidden/>
    <w:unhideWhenUsed/>
    <w:qFormat/>
    <w:rsid w:val="004901C7"/>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4901C7"/>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4901C7"/>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4901C7"/>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4901C7"/>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4901C7"/>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4901C7"/>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link w:val="TitreCar"/>
    <w:uiPriority w:val="10"/>
    <w:qFormat/>
    <w:rsid w:val="004901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904299"/>
    <w:rPr>
      <w:rFonts w:asciiTheme="majorHAnsi" w:eastAsiaTheme="majorEastAsia" w:hAnsiTheme="majorHAnsi" w:cstheme="majorBidi"/>
      <w:b/>
      <w:sz w:val="32"/>
      <w:szCs w:val="40"/>
    </w:rPr>
  </w:style>
  <w:style w:type="character" w:customStyle="1" w:styleId="Titre2Car">
    <w:name w:val="Titre 2 Car"/>
    <w:basedOn w:val="Policepardfaut"/>
    <w:link w:val="Titre2"/>
    <w:uiPriority w:val="9"/>
    <w:rsid w:val="00B60489"/>
    <w:rPr>
      <w:rFonts w:asciiTheme="majorHAnsi" w:eastAsiaTheme="majorEastAsia" w:hAnsiTheme="majorHAnsi" w:cstheme="majorBidi"/>
      <w:b/>
      <w:szCs w:val="32"/>
    </w:rPr>
  </w:style>
  <w:style w:type="character" w:customStyle="1" w:styleId="Titre3Car">
    <w:name w:val="Titre 3 Car"/>
    <w:basedOn w:val="Policepardfaut"/>
    <w:link w:val="Titre3"/>
    <w:uiPriority w:val="9"/>
    <w:semiHidden/>
    <w:rsid w:val="004901C7"/>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4901C7"/>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4901C7"/>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4901C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901C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901C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901C7"/>
    <w:rPr>
      <w:rFonts w:eastAsiaTheme="majorEastAsia" w:cstheme="majorBidi"/>
      <w:color w:val="272727" w:themeColor="text1" w:themeTint="D8"/>
    </w:rPr>
  </w:style>
  <w:style w:type="character" w:customStyle="1" w:styleId="TitreCar">
    <w:name w:val="Titre Car"/>
    <w:basedOn w:val="Policepardfaut"/>
    <w:link w:val="Titre"/>
    <w:uiPriority w:val="10"/>
    <w:rsid w:val="004901C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Pr>
      <w:color w:val="595959"/>
      <w:sz w:val="28"/>
      <w:szCs w:val="28"/>
    </w:rPr>
  </w:style>
  <w:style w:type="character" w:customStyle="1" w:styleId="Sous-titreCar">
    <w:name w:val="Sous-titre Car"/>
    <w:basedOn w:val="Policepardfaut"/>
    <w:link w:val="Sous-titre"/>
    <w:uiPriority w:val="11"/>
    <w:rsid w:val="004901C7"/>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901C7"/>
    <w:pPr>
      <w:spacing w:before="160"/>
      <w:jc w:val="center"/>
    </w:pPr>
    <w:rPr>
      <w:i/>
      <w:iCs/>
      <w:color w:val="404040" w:themeColor="text1" w:themeTint="BF"/>
    </w:rPr>
  </w:style>
  <w:style w:type="character" w:customStyle="1" w:styleId="CitationCar">
    <w:name w:val="Citation Car"/>
    <w:basedOn w:val="Policepardfaut"/>
    <w:link w:val="Citation"/>
    <w:uiPriority w:val="29"/>
    <w:rsid w:val="004901C7"/>
    <w:rPr>
      <w:i/>
      <w:iCs/>
      <w:color w:val="404040" w:themeColor="text1" w:themeTint="BF"/>
    </w:rPr>
  </w:style>
  <w:style w:type="paragraph" w:styleId="Paragraphedeliste">
    <w:name w:val="List Paragraph"/>
    <w:basedOn w:val="Normal"/>
    <w:uiPriority w:val="34"/>
    <w:qFormat/>
    <w:rsid w:val="004901C7"/>
    <w:pPr>
      <w:ind w:left="720"/>
      <w:contextualSpacing/>
    </w:pPr>
  </w:style>
  <w:style w:type="character" w:styleId="Accentuationintense">
    <w:name w:val="Intense Emphasis"/>
    <w:basedOn w:val="Policepardfaut"/>
    <w:uiPriority w:val="21"/>
    <w:qFormat/>
    <w:rsid w:val="004901C7"/>
    <w:rPr>
      <w:i/>
      <w:iCs/>
      <w:color w:val="0F4761" w:themeColor="accent1" w:themeShade="BF"/>
    </w:rPr>
  </w:style>
  <w:style w:type="paragraph" w:styleId="Citationintense">
    <w:name w:val="Intense Quote"/>
    <w:basedOn w:val="Normal"/>
    <w:next w:val="Normal"/>
    <w:link w:val="CitationintenseCar"/>
    <w:uiPriority w:val="30"/>
    <w:qFormat/>
    <w:rsid w:val="004901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4901C7"/>
    <w:rPr>
      <w:i/>
      <w:iCs/>
      <w:color w:val="0F4761" w:themeColor="accent1" w:themeShade="BF"/>
    </w:rPr>
  </w:style>
  <w:style w:type="character" w:styleId="Rfrenceintense">
    <w:name w:val="Intense Reference"/>
    <w:basedOn w:val="Policepardfaut"/>
    <w:uiPriority w:val="32"/>
    <w:qFormat/>
    <w:rsid w:val="004901C7"/>
    <w:rPr>
      <w:b/>
      <w:bCs/>
      <w:smallCaps/>
      <w:color w:val="0F4761" w:themeColor="accent1" w:themeShade="BF"/>
      <w:spacing w:val="5"/>
    </w:rPr>
  </w:style>
  <w:style w:type="paragraph" w:styleId="Notedebasdepage">
    <w:name w:val="footnote text"/>
    <w:basedOn w:val="Normal"/>
    <w:link w:val="NotedebasdepageCar"/>
    <w:uiPriority w:val="99"/>
    <w:semiHidden/>
    <w:unhideWhenUsed/>
    <w:rsid w:val="00064AF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64AFA"/>
    <w:rPr>
      <w:sz w:val="20"/>
      <w:szCs w:val="20"/>
    </w:rPr>
  </w:style>
  <w:style w:type="character" w:styleId="Appelnotedebasdep">
    <w:name w:val="footnote reference"/>
    <w:basedOn w:val="Policepardfaut"/>
    <w:uiPriority w:val="99"/>
    <w:semiHidden/>
    <w:unhideWhenUsed/>
    <w:rsid w:val="00064AFA"/>
    <w:rPr>
      <w:vertAlign w:val="superscript"/>
    </w:rPr>
  </w:style>
  <w:style w:type="character" w:styleId="Hyperlien">
    <w:name w:val="Hyperlink"/>
    <w:basedOn w:val="Policepardfaut"/>
    <w:uiPriority w:val="99"/>
    <w:unhideWhenUsed/>
    <w:rsid w:val="00EF0358"/>
    <w:rPr>
      <w:color w:val="467886" w:themeColor="hyperlink"/>
      <w:u w:val="single"/>
    </w:rPr>
  </w:style>
  <w:style w:type="character" w:styleId="Mentionnonrsolue">
    <w:name w:val="Unresolved Mention"/>
    <w:basedOn w:val="Policepardfaut"/>
    <w:uiPriority w:val="99"/>
    <w:semiHidden/>
    <w:unhideWhenUsed/>
    <w:rsid w:val="00EF0358"/>
    <w:rPr>
      <w:color w:val="605E5C"/>
      <w:shd w:val="clear" w:color="auto" w:fill="E1DFDD"/>
    </w:rPr>
  </w:style>
  <w:style w:type="paragraph" w:styleId="En-tte">
    <w:name w:val="header"/>
    <w:basedOn w:val="Normal"/>
    <w:link w:val="En-tteCar"/>
    <w:uiPriority w:val="99"/>
    <w:unhideWhenUsed/>
    <w:rsid w:val="00257EFA"/>
    <w:pPr>
      <w:tabs>
        <w:tab w:val="center" w:pos="4320"/>
        <w:tab w:val="right" w:pos="8640"/>
      </w:tabs>
      <w:spacing w:after="0" w:line="240" w:lineRule="auto"/>
    </w:pPr>
  </w:style>
  <w:style w:type="character" w:customStyle="1" w:styleId="En-tteCar">
    <w:name w:val="En-tête Car"/>
    <w:basedOn w:val="Policepardfaut"/>
    <w:link w:val="En-tte"/>
    <w:uiPriority w:val="99"/>
    <w:rsid w:val="00257EFA"/>
  </w:style>
  <w:style w:type="paragraph" w:styleId="Pieddepage">
    <w:name w:val="footer"/>
    <w:basedOn w:val="Normal"/>
    <w:link w:val="PieddepageCar"/>
    <w:uiPriority w:val="99"/>
    <w:unhideWhenUsed/>
    <w:rsid w:val="00257EFA"/>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257EFA"/>
  </w:style>
  <w:style w:type="paragraph" w:styleId="Rvision">
    <w:name w:val="Revision"/>
    <w:hidden/>
    <w:uiPriority w:val="99"/>
    <w:semiHidden/>
    <w:rsid w:val="00AE3E3C"/>
    <w:pPr>
      <w:spacing w:after="0" w:line="240" w:lineRule="auto"/>
    </w:pPr>
  </w:style>
  <w:style w:type="character" w:styleId="Marquedecommentaire">
    <w:name w:val="annotation reference"/>
    <w:basedOn w:val="Policepardfaut"/>
    <w:uiPriority w:val="99"/>
    <w:semiHidden/>
    <w:unhideWhenUsed/>
    <w:rsid w:val="00D74A13"/>
    <w:rPr>
      <w:sz w:val="16"/>
      <w:szCs w:val="16"/>
    </w:rPr>
  </w:style>
  <w:style w:type="paragraph" w:styleId="Commentaire">
    <w:name w:val="annotation text"/>
    <w:basedOn w:val="Normal"/>
    <w:link w:val="CommentaireCar"/>
    <w:uiPriority w:val="99"/>
    <w:semiHidden/>
    <w:unhideWhenUsed/>
    <w:rsid w:val="00D74A13"/>
    <w:pPr>
      <w:spacing w:line="240" w:lineRule="auto"/>
    </w:pPr>
    <w:rPr>
      <w:sz w:val="20"/>
      <w:szCs w:val="20"/>
    </w:rPr>
  </w:style>
  <w:style w:type="character" w:customStyle="1" w:styleId="CommentaireCar">
    <w:name w:val="Commentaire Car"/>
    <w:basedOn w:val="Policepardfaut"/>
    <w:link w:val="Commentaire"/>
    <w:uiPriority w:val="99"/>
    <w:semiHidden/>
    <w:rsid w:val="00D74A13"/>
    <w:rPr>
      <w:sz w:val="20"/>
      <w:szCs w:val="20"/>
    </w:rPr>
  </w:style>
  <w:style w:type="paragraph" w:styleId="Objetducommentaire">
    <w:name w:val="annotation subject"/>
    <w:basedOn w:val="Commentaire"/>
    <w:next w:val="Commentaire"/>
    <w:link w:val="ObjetducommentaireCar"/>
    <w:uiPriority w:val="99"/>
    <w:semiHidden/>
    <w:unhideWhenUsed/>
    <w:rsid w:val="00D74A13"/>
    <w:rPr>
      <w:b/>
      <w:bCs/>
    </w:rPr>
  </w:style>
  <w:style w:type="character" w:customStyle="1" w:styleId="ObjetducommentaireCar">
    <w:name w:val="Objet du commentaire Car"/>
    <w:basedOn w:val="CommentaireCar"/>
    <w:link w:val="Objetducommentaire"/>
    <w:uiPriority w:val="99"/>
    <w:semiHidden/>
    <w:rsid w:val="00D74A1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8899024">
      <w:bodyDiv w:val="1"/>
      <w:marLeft w:val="0"/>
      <w:marRight w:val="0"/>
      <w:marTop w:val="0"/>
      <w:marBottom w:val="0"/>
      <w:divBdr>
        <w:top w:val="none" w:sz="0" w:space="0" w:color="auto"/>
        <w:left w:val="none" w:sz="0" w:space="0" w:color="auto"/>
        <w:bottom w:val="none" w:sz="0" w:space="0" w:color="auto"/>
        <w:right w:val="none" w:sz="0" w:space="0" w:color="auto"/>
      </w:divBdr>
      <w:divsChild>
        <w:div w:id="1222443799">
          <w:marLeft w:val="480"/>
          <w:marRight w:val="0"/>
          <w:marTop w:val="0"/>
          <w:marBottom w:val="0"/>
          <w:divBdr>
            <w:top w:val="none" w:sz="0" w:space="0" w:color="auto"/>
            <w:left w:val="none" w:sz="0" w:space="0" w:color="auto"/>
            <w:bottom w:val="none" w:sz="0" w:space="0" w:color="auto"/>
            <w:right w:val="none" w:sz="0" w:space="0" w:color="auto"/>
          </w:divBdr>
          <w:divsChild>
            <w:div w:id="112882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827858">
      <w:bodyDiv w:val="1"/>
      <w:marLeft w:val="0"/>
      <w:marRight w:val="0"/>
      <w:marTop w:val="0"/>
      <w:marBottom w:val="0"/>
      <w:divBdr>
        <w:top w:val="none" w:sz="0" w:space="0" w:color="auto"/>
        <w:left w:val="none" w:sz="0" w:space="0" w:color="auto"/>
        <w:bottom w:val="none" w:sz="0" w:space="0" w:color="auto"/>
        <w:right w:val="none" w:sz="0" w:space="0" w:color="auto"/>
      </w:divBdr>
      <w:divsChild>
        <w:div w:id="1046174905">
          <w:marLeft w:val="480"/>
          <w:marRight w:val="0"/>
          <w:marTop w:val="0"/>
          <w:marBottom w:val="0"/>
          <w:divBdr>
            <w:top w:val="none" w:sz="0" w:space="0" w:color="auto"/>
            <w:left w:val="none" w:sz="0" w:space="0" w:color="auto"/>
            <w:bottom w:val="none" w:sz="0" w:space="0" w:color="auto"/>
            <w:right w:val="none" w:sz="0" w:space="0" w:color="auto"/>
          </w:divBdr>
          <w:divsChild>
            <w:div w:id="69595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681053">
      <w:bodyDiv w:val="1"/>
      <w:marLeft w:val="0"/>
      <w:marRight w:val="0"/>
      <w:marTop w:val="0"/>
      <w:marBottom w:val="0"/>
      <w:divBdr>
        <w:top w:val="none" w:sz="0" w:space="0" w:color="auto"/>
        <w:left w:val="none" w:sz="0" w:space="0" w:color="auto"/>
        <w:bottom w:val="none" w:sz="0" w:space="0" w:color="auto"/>
        <w:right w:val="none" w:sz="0" w:space="0" w:color="auto"/>
      </w:divBdr>
      <w:divsChild>
        <w:div w:id="660541631">
          <w:marLeft w:val="480"/>
          <w:marRight w:val="0"/>
          <w:marTop w:val="0"/>
          <w:marBottom w:val="0"/>
          <w:divBdr>
            <w:top w:val="none" w:sz="0" w:space="0" w:color="auto"/>
            <w:left w:val="none" w:sz="0" w:space="0" w:color="auto"/>
            <w:bottom w:val="none" w:sz="0" w:space="0" w:color="auto"/>
            <w:right w:val="none" w:sz="0" w:space="0" w:color="auto"/>
          </w:divBdr>
          <w:divsChild>
            <w:div w:id="95919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74035">
      <w:bodyDiv w:val="1"/>
      <w:marLeft w:val="0"/>
      <w:marRight w:val="0"/>
      <w:marTop w:val="0"/>
      <w:marBottom w:val="0"/>
      <w:divBdr>
        <w:top w:val="none" w:sz="0" w:space="0" w:color="auto"/>
        <w:left w:val="none" w:sz="0" w:space="0" w:color="auto"/>
        <w:bottom w:val="none" w:sz="0" w:space="0" w:color="auto"/>
        <w:right w:val="none" w:sz="0" w:space="0" w:color="auto"/>
      </w:divBdr>
      <w:divsChild>
        <w:div w:id="1142111750">
          <w:marLeft w:val="480"/>
          <w:marRight w:val="0"/>
          <w:marTop w:val="0"/>
          <w:marBottom w:val="0"/>
          <w:divBdr>
            <w:top w:val="none" w:sz="0" w:space="0" w:color="auto"/>
            <w:left w:val="none" w:sz="0" w:space="0" w:color="auto"/>
            <w:bottom w:val="none" w:sz="0" w:space="0" w:color="auto"/>
            <w:right w:val="none" w:sz="0" w:space="0" w:color="auto"/>
          </w:divBdr>
          <w:divsChild>
            <w:div w:id="92072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794551">
      <w:bodyDiv w:val="1"/>
      <w:marLeft w:val="0"/>
      <w:marRight w:val="0"/>
      <w:marTop w:val="0"/>
      <w:marBottom w:val="0"/>
      <w:divBdr>
        <w:top w:val="none" w:sz="0" w:space="0" w:color="auto"/>
        <w:left w:val="none" w:sz="0" w:space="0" w:color="auto"/>
        <w:bottom w:val="none" w:sz="0" w:space="0" w:color="auto"/>
        <w:right w:val="none" w:sz="0" w:space="0" w:color="auto"/>
      </w:divBdr>
      <w:divsChild>
        <w:div w:id="1256087952">
          <w:marLeft w:val="480"/>
          <w:marRight w:val="0"/>
          <w:marTop w:val="0"/>
          <w:marBottom w:val="0"/>
          <w:divBdr>
            <w:top w:val="none" w:sz="0" w:space="0" w:color="auto"/>
            <w:left w:val="none" w:sz="0" w:space="0" w:color="auto"/>
            <w:bottom w:val="none" w:sz="0" w:space="0" w:color="auto"/>
            <w:right w:val="none" w:sz="0" w:space="0" w:color="auto"/>
          </w:divBdr>
          <w:divsChild>
            <w:div w:id="107616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1006/jtbi.2001.2515"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16/j.jecp.2017.03.018"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tics.2006.12.007"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oi.org/10.1007/s10539-022-09864-z" TargetMode="External"/><Relationship Id="rId4" Type="http://schemas.openxmlformats.org/officeDocument/2006/relationships/settings" Target="settings.xml"/><Relationship Id="rId9" Type="http://schemas.openxmlformats.org/officeDocument/2006/relationships/hyperlink" Target="https://doi.org/10.1016/j.ajo.2005.08.052"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67mgx8AJJjbaDlJ65uzzoCW1Ug==">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7A48B0-0692-417C-88EB-55E800B4D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38</Pages>
  <Words>14184</Words>
  <Characters>78018</Characters>
  <Application>Microsoft Office Word</Application>
  <DocSecurity>0</DocSecurity>
  <Lines>650</Lines>
  <Paragraphs>184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92018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Tison, Rémi</dc:creator>
  <cp:keywords/>
  <dc:description/>
  <cp:lastModifiedBy>Tison, Rémi</cp:lastModifiedBy>
  <cp:revision>23</cp:revision>
  <dcterms:created xsi:type="dcterms:W3CDTF">2024-09-04T12:50:00Z</dcterms:created>
  <dcterms:modified xsi:type="dcterms:W3CDTF">2025-10-09T13:59:00Z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id="yzPwHMNW"/&gt;&lt;style id="http://www.zotero.org/styles/apa" locale="en-US" hasBibliography="1" bibliographyStyleHasBeenSet="0"/&gt;&lt;prefs&gt;&lt;pref name="fieldType" value="Field"/&gt;&lt;pref name="automaticJourn</vt:lpwstr>
  </property>
  <property fmtid="{D5CDD505-2E9C-101B-9397-08002B2CF9AE}" pid="3" name="ZOTERO_PREF_2">
    <vt:lpwstr>alAbbreviations" value="true"/&gt;&lt;/prefs&gt;&lt;/data&gt;</vt:lpwstr>
  </property>
</Properties>
</file>