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header6.xml" ContentType="application/vnd.openxmlformats-officedocument.wordprocessingml.header+xml"/>
  <Override PartName="/word/footer4.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1.xml" ContentType="application/vnd.openxmlformats-officedocument.wordprocessingml.header+xml"/>
  <Override PartName="/word/header1.xml" ContentType="application/vnd.openxmlformats-officedocument.wordprocessingml.header+xml"/>
  <Override PartName="/word/header10.xml" ContentType="application/vnd.openxmlformats-officedocument.wordprocessingml.header+xml"/>
  <Override PartName="/word/charts/chart31.xml" ContentType="application/vnd.openxmlformats-officedocument.drawingml.chart+xml"/>
  <Override PartName="/word/theme/themeOverride7.xml" ContentType="application/vnd.openxmlformats-officedocument.themeOverride+xml"/>
  <Override PartName="/word/charts/style31.xml" ContentType="application/vnd.ms-office.chartstyle+xml"/>
  <Override PartName="/word/charts/colors30.xml" ContentType="application/vnd.ms-office.chartcolorstyle+xml"/>
  <Override PartName="/word/theme/themeOverride8.xml" ContentType="application/vnd.openxmlformats-officedocument.themeOverride+xml"/>
  <Override PartName="/word/charts/chart34.xml" ContentType="application/vnd.openxmlformats-officedocument.drawingml.chart+xml"/>
  <Override PartName="/word/theme/themeOverride10.xml" ContentType="application/vnd.openxmlformats-officedocument.themeOverride+xml"/>
  <Override PartName="/word/charts/colors33.xml" ContentType="application/vnd.ms-office.chartcolorstyle+xml"/>
  <Override PartName="/word/charts/style33.xml" ContentType="application/vnd.ms-office.chartstyle+xml"/>
  <Override PartName="/word/charts/chart33.xml" ContentType="application/vnd.openxmlformats-officedocument.drawingml.chart+xml"/>
  <Override PartName="/word/theme/themeOverride9.xml" ContentType="application/vnd.openxmlformats-officedocument.themeOverride+xml"/>
  <Override PartName="/word/charts/colors32.xml" ContentType="application/vnd.ms-office.chartcolorstyle+xml"/>
  <Override PartName="/word/charts/style32.xml" ContentType="application/vnd.ms-office.chartstyle+xml"/>
  <Override PartName="/word/charts/chart32.xml" ContentType="application/vnd.openxmlformats-officedocument.drawingml.chart+xml"/>
  <Override PartName="/word/charts/colors31.xml" ContentType="application/vnd.ms-office.chartcolorstyle+xml"/>
  <Override PartName="/word/charts/chart29.xml" ContentType="application/vnd.openxmlformats-officedocument.drawingml.chart+xml"/>
  <Override PartName="/word/charts/chart30.xml" ContentType="application/vnd.openxmlformats-officedocument.drawingml.chart+xml"/>
  <Override PartName="/word/charts/style26.xml" ContentType="application/vnd.ms-office.chartstyle+xml"/>
  <Override PartName="/word/charts/chart26.xml" ContentType="application/vnd.openxmlformats-officedocument.drawingml.chart+xml"/>
  <Override PartName="/word/charts/colors25.xml" ContentType="application/vnd.ms-office.chartcolorstyle+xml"/>
  <Override PartName="/word/charts/style25.xml" ContentType="application/vnd.ms-office.chartstyle+xml"/>
  <Override PartName="/word/charts/chart25.xml" ContentType="application/vnd.openxmlformats-officedocument.drawingml.chart+xml"/>
  <Override PartName="/word/charts/colors24.xml" ContentType="application/vnd.ms-office.chartcolorstyle+xml"/>
  <Override PartName="/word/charts/style24.xml" ContentType="application/vnd.ms-office.chartstyle+xml"/>
  <Override PartName="/word/charts/chart24.xml" ContentType="application/vnd.openxmlformats-officedocument.drawingml.chart+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theme/themeOverride6.xml" ContentType="application/vnd.openxmlformats-officedocument.themeOverride+xml"/>
  <Override PartName="/word/charts/colors29.xml" ContentType="application/vnd.ms-office.chartcolorstyle+xml"/>
  <Override PartName="/word/charts/style29.xml" ContentType="application/vnd.ms-office.chartstyle+xml"/>
  <Override PartName="/word/charts/style34.xml" ContentType="application/vnd.ms-office.chartstyle+xml"/>
  <Override PartName="/word/charts/colors28.xml" ContentType="application/vnd.ms-office.chartcolorstyle+xml"/>
  <Override PartName="/word/charts/style28.xml" ContentType="application/vnd.ms-office.chartstyle+xml"/>
  <Override PartName="/word/charts/chart28.xml" ContentType="application/vnd.openxmlformats-officedocument.drawingml.chart+xml"/>
  <Override PartName="/word/charts/colors27.xml" ContentType="application/vnd.ms-office.chartcolorstyle+xml"/>
  <Override PartName="/word/charts/style30.xml" ContentType="application/vnd.ms-office.chartstyle+xml"/>
  <Override PartName="/word/theme/themeOverride11.xml" ContentType="application/vnd.openxmlformats-officedocument.themeOverride+xml"/>
  <Override PartName="/word/charts/colors36.xml" ContentType="application/vnd.ms-office.chartcolorstyle+xml"/>
  <Override PartName="/word/charts/style36.xml" ContentType="application/vnd.ms-office.chartstyle+xml"/>
  <Override PartName="/word/charts/chart36.xml" ContentType="application/vnd.openxmlformats-officedocument.drawingml.chart+xml"/>
  <Override PartName="/word/theme/themeOverride12.xml" ContentType="application/vnd.openxmlformats-officedocument.themeOverride+xml"/>
  <Override PartName="/word/charts/colors35.xml" ContentType="application/vnd.ms-office.chartcolorstyle+xml"/>
  <Override PartName="/word/charts/style35.xml" ContentType="application/vnd.ms-office.chartstyle+xml"/>
  <Override PartName="/word/charts/chart35.xml" ContentType="application/vnd.openxmlformats-officedocument.drawingml.chart+xml"/>
  <Override PartName="/word/theme/themeOverride13.xml" ContentType="application/vnd.openxmlformats-officedocument.themeOverride+xml"/>
  <Override PartName="/word/charts/colors23.xml" ContentType="application/vnd.ms-office.chartcolorstyle+xml"/>
  <Override PartName="/word/theme/theme1.xml" ContentType="application/vnd.openxmlformats-officedocument.theme+xml"/>
  <Override PartName="/word/charts/colors34.xml" ContentType="application/vnd.ms-office.chartcolorstyle+xml"/>
  <Override PartName="/word/charts/style21.xml" ContentType="application/vnd.ms-office.chartstyle+xml"/>
  <Override PartName="/word/charts/chart23.xml" ContentType="application/vnd.openxmlformats-officedocument.drawingml.chart+xml"/>
  <Override PartName="/word/charts/chart7.xml" ContentType="application/vnd.openxmlformats-officedocument.drawingml.chart+xml"/>
  <Override PartName="/word/charts/colors6.xml" ContentType="application/vnd.ms-office.chartcolorstyle+xml"/>
  <Override PartName="/word/charts/style6.xml" ContentType="application/vnd.ms-office.chartstyle+xml"/>
  <Override PartName="/word/charts/chart6.xml" ContentType="application/vnd.openxmlformats-officedocument.drawingml.chart+xml"/>
  <Override PartName="/word/charts/colors5.xml" ContentType="application/vnd.ms-office.chartcolorstyle+xml"/>
  <Override PartName="/word/charts/style5.xml" ContentType="application/vnd.ms-office.chartstyle+xml"/>
  <Override PartName="/word/charts/chart5.xml" ContentType="application/vnd.openxmlformats-officedocument.drawingml.chart+xml"/>
  <Override PartName="/word/charts/colors4.xml" ContentType="application/vnd.ms-office.chartcolorstyle+xml"/>
  <Override PartName="/word/charts/style4.xml" ContentType="application/vnd.ms-office.chartstyle+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colors10.xml" ContentType="application/vnd.ms-office.chartcolorstyle+xml"/>
  <Override PartName="/word/charts/style10.xml" ContentType="application/vnd.ms-office.chartstyle+xml"/>
  <Override PartName="/word/charts/chart10.xml" ContentType="application/vnd.openxmlformats-officedocument.drawingml.chart+xml"/>
  <Override PartName="/word/charts/colors9.xml" ContentType="application/vnd.ms-office.chartcolorstyle+xml"/>
  <Override PartName="/word/charts/style9.xml" ContentType="application/vnd.ms-office.chartstyle+xml"/>
  <Override PartName="/word/charts/chart9.xml" ContentType="application/vnd.openxmlformats-officedocument.drawingml.chart+xml"/>
  <Override PartName="/word/charts/colors8.xml" ContentType="application/vnd.ms-office.chartcolorstyle+xml"/>
  <Override PartName="/word/charts/style8.xml" ContentType="application/vnd.ms-office.chartstyle+xml"/>
  <Override PartName="/word/charts/chart4.xml" ContentType="application/vnd.openxmlformats-officedocument.drawingml.chart+xml"/>
  <Override PartName="/word/theme/themeOverride1.xml" ContentType="application/vnd.openxmlformats-officedocument.themeOverride+xml"/>
  <Override PartName="/word/charts/chart1.xml" ContentType="application/vnd.openxmlformats-officedocument.drawingml.chart+xml"/>
  <Override PartName="/word/charts/colors3.xml" ContentType="application/vnd.ms-office.chartcolorstyle+xml"/>
  <Override PartName="/word/charts/style3.xml" ContentType="application/vnd.ms-office.chartstyle+xml"/>
  <Override PartName="/word/charts/chart3.xml" ContentType="application/vnd.openxmlformats-officedocument.drawingml.chart+xml"/>
  <Override PartName="/word/charts/colors2.xml" ContentType="application/vnd.ms-office.chartcolorstyle+xml"/>
  <Override PartName="/word/charts/style2.xml" ContentType="application/vnd.ms-office.chartstyle+xml"/>
  <Override PartName="/word/charts/chart2.xml" ContentType="application/vnd.openxmlformats-officedocument.drawingml.chart+xml"/>
  <Override PartName="/word/charts/colors1.xml" ContentType="application/vnd.ms-office.chartcolorstyle+xml"/>
  <Override PartName="/word/charts/style1.xml" ContentType="application/vnd.ms-office.chartstyle+xml"/>
  <Override PartName="/word/charts/style23.xml" ContentType="application/vnd.ms-office.chartstyle+xml"/>
  <Override PartName="/word/charts/chart11.xml" ContentType="application/vnd.openxmlformats-officedocument.drawingml.chart+xml"/>
  <Override PartName="/word/charts/colors11.xml" ContentType="application/vnd.ms-office.chartcolorstyle+xml"/>
  <Override PartName="/word/charts/style20.xml" ContentType="application/vnd.ms-office.chartstyle+xml"/>
  <Override PartName="/word/charts/chart20.xml" ContentType="application/vnd.openxmlformats-officedocument.drawingml.chart+xml"/>
  <Override PartName="/word/theme/themeOverride3.xml" ContentType="application/vnd.openxmlformats-officedocument.themeOverride+xml"/>
  <Override PartName="/word/charts/colors19.xml" ContentType="application/vnd.ms-office.chartcolorstyle+xml"/>
  <Override PartName="/word/charts/style19.xml" ContentType="application/vnd.ms-office.chartstyle+xml"/>
  <Override PartName="/word/charts/chart19.xml" ContentType="application/vnd.openxmlformats-officedocument.drawingml.chart+xml"/>
  <Override PartName="/word/charts/colors18.xml" ContentType="application/vnd.ms-office.chartcolorstyle+xml"/>
  <Override PartName="/word/charts/colors20.xml" ContentType="application/vnd.ms-office.chartcolorstyle+xml"/>
  <Override PartName="/word/theme/themeOverride4.xml" ContentType="application/vnd.openxmlformats-officedocument.themeOverride+xml"/>
  <Override PartName="/word/charts/colors22.xml" ContentType="application/vnd.ms-office.chartcolorstyle+xml"/>
  <Override PartName="/word/charts/style22.xml" ContentType="application/vnd.ms-office.chartstyle+xml"/>
  <Override PartName="/word/charts/chart22.xml" ContentType="application/vnd.openxmlformats-officedocument.drawingml.chart+xml"/>
  <Override PartName="/word/theme/themeOverride5.xml" ContentType="application/vnd.openxmlformats-officedocument.themeOverride+xml"/>
  <Override PartName="/word/charts/colors21.xml" ContentType="application/vnd.ms-office.chartcolorstyle+xml"/>
  <Override PartName="/word/charts/chart21.xml" ContentType="application/vnd.openxmlformats-officedocument.drawingml.chart+xml"/>
  <Override PartName="/word/charts/style11.xml" ContentType="application/vnd.ms-office.chartstyle+xml"/>
  <Override PartName="/word/charts/style18.xml" ContentType="application/vnd.ms-office.chartstyle+xml"/>
  <Override PartName="/word/charts/style14.xml" ContentType="application/vnd.ms-office.chartstyle+xml"/>
  <Override PartName="/word/charts/chart14.xml" ContentType="application/vnd.openxmlformats-officedocument.drawingml.chart+xml"/>
  <Override PartName="/word/charts/colors13.xml" ContentType="application/vnd.ms-office.chartcolorstyle+xml"/>
  <Override PartName="/word/charts/style13.xml" ContentType="application/vnd.ms-office.chartstyle+xml"/>
  <Override PartName="/word/charts/chart13.xml" ContentType="application/vnd.openxmlformats-officedocument.drawingml.chart+xml"/>
  <Override PartName="/word/charts/colors12.xml" ContentType="application/vnd.ms-office.chartcolorstyle+xml"/>
  <Override PartName="/word/charts/style12.xml" ContentType="application/vnd.ms-office.chartstyle+xml"/>
  <Override PartName="/word/charts/chart12.xml" ContentType="application/vnd.openxmlformats-officedocument.drawingml.chart+xml"/>
  <Override PartName="/word/charts/chart18.xml" ContentType="application/vnd.openxmlformats-officedocument.drawingml.chart+xml"/>
  <Override PartName="/word/charts/colors14.xml" ContentType="application/vnd.ms-office.chartcolorstyle+xml"/>
  <Override PartName="/word/charts/style15.xml" ContentType="application/vnd.ms-office.chartstyle+xml"/>
  <Override PartName="/word/theme/themeOverride2.xml" ContentType="application/vnd.openxmlformats-officedocument.themeOverride+xml"/>
  <Override PartName="/word/charts/colors17.xml" ContentType="application/vnd.ms-office.chartcolorstyle+xml"/>
  <Override PartName="/word/charts/style17.xml" ContentType="application/vnd.ms-office.chartstyle+xml"/>
  <Override PartName="/word/charts/chart17.xml" ContentType="application/vnd.openxmlformats-officedocument.drawingml.chart+xml"/>
  <Override PartName="/word/charts/colors16.xml" ContentType="application/vnd.ms-office.chartcolorstyle+xml"/>
  <Override PartName="/word/charts/style16.xml" ContentType="application/vnd.ms-office.chartstyle+xml"/>
  <Override PartName="/word/charts/colors15.xml" ContentType="application/vnd.ms-office.chartcolorstyle+xml"/>
  <Override PartName="/word/charts/chart16.xml" ContentType="application/vnd.openxmlformats-officedocument.drawingml.chart+xml"/>
  <Override PartName="/word/charts/chart15.xml" ContentType="application/vnd.openxmlformats-officedocument.drawingml.chart+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a16="http://schemas.microsoft.com/office/drawing/2014/main" xmlns:c="http://schemas.openxmlformats.org/drawingml/2006/char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287"/>
      </w:tblGrid>
      <w:tr w:rsidRPr="00BB2EAF" w:rsidR="000B1578" w:rsidTr="00604E3A" w14:paraId="4D0193A7" w14:textId="77777777">
        <w:trPr>
          <w:jc w:val="center"/>
        </w:trPr>
        <w:tc>
          <w:tcPr>
            <w:tcW w:w="5000" w:type="pct"/>
            <w:vAlign w:val="center"/>
          </w:tcPr>
          <w:p w:rsidRPr="00BB2EAF" w:rsidR="000B1578" w:rsidP="00604E3A" w:rsidRDefault="000B1578" w14:paraId="7795E866" w14:textId="77777777">
            <w:pPr>
              <w:jc w:val="center"/>
              <w:rPr>
                <w:rFonts w:ascii="Times New Roman" w:hAnsi="Times New Roman" w:cs="Times New Roman"/>
                <w:b/>
                <w:bCs/>
                <w:sz w:val="72"/>
                <w:szCs w:val="72"/>
              </w:rPr>
            </w:pPr>
            <w:r>
              <w:rPr>
                <w:rFonts w:ascii="Times New Roman" w:hAnsi="Times New Roman"/>
                <w:b/>
                <w:sz w:val="72"/>
              </w:rPr>
              <w:t>ARVIOINTIKERTOMUS</w:t>
            </w:r>
          </w:p>
        </w:tc>
      </w:tr>
      <w:tr w:rsidRPr="00BB2EAF" w:rsidR="000B1578" w:rsidTr="00604E3A" w14:paraId="675B7010" w14:textId="77777777">
        <w:trPr>
          <w:trHeight w:val="567"/>
          <w:jc w:val="center"/>
        </w:trPr>
        <w:tc>
          <w:tcPr>
            <w:tcW w:w="5000" w:type="pct"/>
            <w:vAlign w:val="center"/>
          </w:tcPr>
          <w:p w:rsidRPr="00BB2EAF" w:rsidR="000B1578" w:rsidP="00604E3A" w:rsidRDefault="000B1578" w14:paraId="508A5E96" w14:textId="77777777">
            <w:pPr>
              <w:jc w:val="center"/>
              <w:rPr>
                <w:rFonts w:ascii="Times New Roman" w:hAnsi="Times New Roman" w:cs="Times New Roman"/>
                <w:sz w:val="24"/>
                <w:szCs w:val="24"/>
              </w:rPr>
            </w:pPr>
            <w:r>
              <w:rPr>
                <w:rFonts w:ascii="Times New Roman" w:hAnsi="Times New Roman"/>
                <w:sz w:val="24"/>
              </w:rPr>
              <w:t>Euroopan talous- ja sosiaalikomitea</w:t>
            </w:r>
          </w:p>
        </w:tc>
      </w:tr>
      <w:tr w:rsidRPr="00BB2EAF" w:rsidR="000B1578" w:rsidTr="00604E3A" w14:paraId="70B4AF97" w14:textId="77777777">
        <w:trPr>
          <w:jc w:val="center"/>
        </w:trPr>
        <w:tc>
          <w:tcPr>
            <w:tcW w:w="5000" w:type="pct"/>
            <w:vAlign w:val="center"/>
          </w:tcPr>
          <w:p w:rsidRPr="00BB2EAF" w:rsidR="000B1578" w:rsidP="00604E3A" w:rsidRDefault="000B1578" w14:paraId="39E71245" w14:textId="77777777">
            <w:pPr>
              <w:jc w:val="center"/>
              <w:rPr>
                <w:rFonts w:ascii="Times New Roman" w:hAnsi="Times New Roman" w:cs="Times New Roman"/>
                <w:b/>
                <w:bCs/>
                <w:sz w:val="44"/>
                <w:szCs w:val="44"/>
              </w:rPr>
            </w:pPr>
            <w:r>
              <w:rPr>
                <w:rFonts w:ascii="Times New Roman" w:hAnsi="Times New Roman"/>
                <w:b/>
                <w:sz w:val="44"/>
              </w:rPr>
              <w:t>Horisontti 2020 -puiteohjelman jälkiarviointi</w:t>
            </w:r>
          </w:p>
        </w:tc>
      </w:tr>
      <w:tr w:rsidRPr="00BB2EAF" w:rsidR="000B1578" w:rsidTr="00604E3A" w14:paraId="31481F9E" w14:textId="77777777">
        <w:trPr>
          <w:jc w:val="center"/>
        </w:trPr>
        <w:tc>
          <w:tcPr>
            <w:tcW w:w="5000" w:type="pct"/>
            <w:vAlign w:val="center"/>
          </w:tcPr>
          <w:p w:rsidRPr="00BB2EAF" w:rsidR="000B1578" w:rsidP="00604E3A" w:rsidRDefault="000B1578" w14:paraId="5EC11B7B" w14:textId="77777777">
            <w:pPr>
              <w:jc w:val="center"/>
              <w:rPr>
                <w:rFonts w:ascii="Times New Roman" w:hAnsi="Times New Roman" w:cs="Times New Roman"/>
                <w:b/>
                <w:bCs/>
                <w:sz w:val="24"/>
                <w:szCs w:val="24"/>
              </w:rPr>
            </w:pPr>
            <w:r>
              <w:rPr>
                <w:rFonts w:ascii="Times New Roman" w:hAnsi="Times New Roman"/>
                <w:sz w:val="24"/>
              </w:rPr>
              <w:t>_____________</w:t>
            </w:r>
          </w:p>
        </w:tc>
      </w:tr>
      <w:tr w:rsidRPr="00BB2EAF" w:rsidR="000B1578" w:rsidTr="00604E3A" w14:paraId="717B9F46" w14:textId="77777777">
        <w:trPr>
          <w:jc w:val="center"/>
        </w:trPr>
        <w:tc>
          <w:tcPr>
            <w:tcW w:w="5000" w:type="pct"/>
            <w:vAlign w:val="center"/>
          </w:tcPr>
          <w:p w:rsidRPr="00BB2EAF" w:rsidR="000B1578" w:rsidP="00A64BAB" w:rsidRDefault="000B1578" w14:paraId="36F1B363" w14:textId="172491A9">
            <w:pPr>
              <w:jc w:val="center"/>
              <w:rPr>
                <w:rFonts w:ascii="Times New Roman" w:hAnsi="Times New Roman" w:cs="Times New Roman"/>
                <w:sz w:val="24"/>
                <w:szCs w:val="24"/>
              </w:rPr>
            </w:pPr>
            <w:r>
              <w:rPr>
                <w:rFonts w:ascii="Times New Roman" w:hAnsi="Times New Roman"/>
                <w:sz w:val="24"/>
              </w:rPr>
              <w:t>Horisontti 2020 -puiteohjelman jälkiarviointi</w:t>
            </w:r>
          </w:p>
        </w:tc>
      </w:tr>
      <w:tr w:rsidRPr="00BB2EAF" w:rsidR="000B1578" w:rsidTr="00604E3A" w14:paraId="6D4148F2" w14:textId="77777777">
        <w:trPr>
          <w:jc w:val="center"/>
        </w:trPr>
        <w:tc>
          <w:tcPr>
            <w:tcW w:w="5000" w:type="pct"/>
            <w:vAlign w:val="center"/>
          </w:tcPr>
          <w:p w:rsidRPr="00BB2EAF" w:rsidR="000B1578" w:rsidP="00604E3A" w:rsidRDefault="000B1578" w14:paraId="2E9A371E" w14:textId="77777777">
            <w:pPr>
              <w:jc w:val="center"/>
              <w:rPr>
                <w:rFonts w:ascii="Times New Roman" w:hAnsi="Times New Roman" w:cs="Times New Roman"/>
                <w:sz w:val="24"/>
                <w:szCs w:val="24"/>
                <w:lang w:val="en-GB"/>
              </w:rPr>
            </w:pPr>
          </w:p>
        </w:tc>
      </w:tr>
      <w:tr w:rsidRPr="00BB2EAF" w:rsidR="000B1578" w:rsidTr="00604E3A" w14:paraId="7C594529" w14:textId="77777777">
        <w:trPr>
          <w:jc w:val="center"/>
        </w:trPr>
        <w:tc>
          <w:tcPr>
            <w:tcW w:w="5000" w:type="pct"/>
            <w:vAlign w:val="center"/>
          </w:tcPr>
          <w:p w:rsidRPr="00BB2EAF" w:rsidR="000B1578" w:rsidP="00604E3A" w:rsidRDefault="000B1578" w14:paraId="7C985DF4" w14:textId="77777777">
            <w:pPr>
              <w:jc w:val="center"/>
              <w:rPr>
                <w:rFonts w:ascii="Times New Roman" w:hAnsi="Times New Roman" w:cs="Times New Roman"/>
                <w:b/>
                <w:bCs/>
                <w:sz w:val="24"/>
                <w:szCs w:val="24"/>
              </w:rPr>
            </w:pPr>
            <w:r>
              <w:rPr>
                <w:rFonts w:ascii="Times New Roman" w:hAnsi="Times New Roman"/>
                <w:b/>
                <w:sz w:val="24"/>
              </w:rPr>
              <w:t>INT/974</w:t>
            </w:r>
          </w:p>
        </w:tc>
      </w:tr>
      <w:tr w:rsidRPr="00BB2EAF" w:rsidR="000B1578" w:rsidTr="00604E3A" w14:paraId="4B914597" w14:textId="77777777">
        <w:trPr>
          <w:jc w:val="center"/>
        </w:trPr>
        <w:tc>
          <w:tcPr>
            <w:tcW w:w="5000" w:type="pct"/>
            <w:vAlign w:val="center"/>
          </w:tcPr>
          <w:p w:rsidRPr="00BB2EAF" w:rsidR="000B1578" w:rsidP="00604E3A" w:rsidRDefault="000B1578" w14:paraId="07BF28EA" w14:textId="77777777">
            <w:pPr>
              <w:jc w:val="center"/>
              <w:rPr>
                <w:rFonts w:ascii="Times New Roman" w:hAnsi="Times New Roman" w:cs="Times New Roman"/>
                <w:sz w:val="24"/>
                <w:szCs w:val="24"/>
                <w:lang w:val="en-GB"/>
              </w:rPr>
            </w:pPr>
          </w:p>
        </w:tc>
      </w:tr>
      <w:tr w:rsidRPr="00BB2EAF" w:rsidR="000B1578" w:rsidTr="00604E3A" w14:paraId="4B97184B" w14:textId="77777777">
        <w:trPr>
          <w:jc w:val="center"/>
        </w:trPr>
        <w:tc>
          <w:tcPr>
            <w:tcW w:w="5000" w:type="pct"/>
            <w:vAlign w:val="center"/>
          </w:tcPr>
          <w:p w:rsidRPr="00BB2EAF" w:rsidR="000B1578" w:rsidP="00604E3A" w:rsidRDefault="000B1578" w14:paraId="1F278E9E" w14:textId="7D3A92CE">
            <w:pPr>
              <w:jc w:val="center"/>
              <w:rPr>
                <w:rFonts w:ascii="Times New Roman" w:hAnsi="Times New Roman" w:cs="Times New Roman"/>
                <w:sz w:val="24"/>
                <w:szCs w:val="24"/>
              </w:rPr>
            </w:pPr>
            <w:r>
              <w:rPr>
                <w:rFonts w:ascii="Times New Roman" w:hAnsi="Times New Roman"/>
                <w:sz w:val="24"/>
              </w:rPr>
              <w:t xml:space="preserve">Esittelijä: </w:t>
            </w:r>
            <w:r>
              <w:rPr>
                <w:rFonts w:ascii="Times New Roman" w:hAnsi="Times New Roman"/>
                <w:b/>
                <w:sz w:val="24"/>
              </w:rPr>
              <w:t>Gonçalo Lobo Xavier</w:t>
            </w:r>
          </w:p>
        </w:tc>
      </w:tr>
      <w:tr w:rsidRPr="00BB2EAF" w:rsidR="000B1578" w:rsidTr="00604E3A" w14:paraId="536C3DFC" w14:textId="77777777">
        <w:trPr>
          <w:jc w:val="center"/>
        </w:trPr>
        <w:tc>
          <w:tcPr>
            <w:tcW w:w="5000" w:type="pct"/>
            <w:vAlign w:val="center"/>
          </w:tcPr>
          <w:p w:rsidRPr="00BB2EAF" w:rsidR="000B1578" w:rsidP="00604E3A" w:rsidRDefault="000B1578" w14:paraId="7E8BC75D" w14:textId="77777777">
            <w:pPr>
              <w:jc w:val="center"/>
              <w:rPr>
                <w:sz w:val="24"/>
                <w:szCs w:val="24"/>
                <w:lang w:val="en-GB"/>
              </w:rPr>
            </w:pPr>
          </w:p>
        </w:tc>
      </w:tr>
    </w:tbl>
    <w:p w:rsidRPr="00BB2EAF" w:rsidR="000B1578" w:rsidP="000B1578" w:rsidRDefault="000B1578" w14:paraId="7A92C87B" w14:textId="77777777">
      <w:r>
        <w:rPr>
          <w:noProof/>
          <w:sz w:val="20"/>
          <w:lang w:eastAsia="fi-FI"/>
        </w:rPr>
        <mc:AlternateContent>
          <mc:Choice Requires="wps">
            <w:drawing>
              <wp:anchor distT="0" distB="0" distL="114300" distR="114300" simplePos="0" relativeHeight="251659776" behindDoc="1" locked="0" layoutInCell="0" allowOverlap="1" wp14:editId="2BE8C887" wp14:anchorId="773AF57E">
                <wp:simplePos x="0" y="0"/>
                <wp:positionH relativeFrom="rightMargin">
                  <wp:posOffset>-201930</wp:posOffset>
                </wp:positionH>
                <wp:positionV relativeFrom="page">
                  <wp:posOffset>9486900</wp:posOffset>
                </wp:positionV>
                <wp:extent cx="741600" cy="432000"/>
                <wp:effectExtent l="0" t="0" r="0" b="635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43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1578" w:rsidP="000B1578" w:rsidRDefault="000B1578" w14:paraId="75131191" w14:textId="77777777">
                            <w:pPr>
                              <w:jc w:val="center"/>
                            </w:pPr>
                            <w:r>
                              <w:rPr>
                                <w:rFonts w:ascii="Arial" w:hAnsi="Arial"/>
                                <w:b/>
                                <w:sz w:val="48"/>
                              </w:rPr>
                              <w:t>FI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16="http://schemas.microsoft.com/office/drawing/2014/main" xmlns:c="http://schemas.openxmlformats.org/drawingml/2006/char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773AF57E">
                <v:stroke joinstyle="miter"/>
                <v:path gradientshapeok="t" o:connecttype="rect"/>
              </v:shapetype>
              <v:shape id="Text Box 17" style="position:absolute;left:0;text-align:left;margin-left:-15.9pt;margin-top:747pt;width:58.4pt;height:34pt;z-index:-2516567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">
                <v:textbox>
                  <w:txbxContent>
                    <w:p w:rsidR="000B1578" w:rsidP="000B1578" w:rsidRDefault="000B1578" w14:paraId="75131191" w14:textId="77777777">
                      <w:pPr>
                        <w:jc w:val="center"/>
                      </w:pPr>
                      <w:r>
                        <w:rPr>
                          <w:b/>
                          <w:sz w:val="48"/>
                          <w:rFonts w:ascii="Arial" w:hAnsi="Arial"/>
                        </w:rPr>
                        <w:t xml:space="preserve">FI</w:t>
                      </w:r>
                    </w:p>
                  </w:txbxContent>
                </v:textbox>
                <w10:wrap anchorx="margin" anchory="page"/>
              </v:shape>
            </w:pict>
          </mc:Fallback>
        </mc:AlternateContent>
      </w:r>
    </w:p>
    <w:p w:rsidRPr="00BB2EAF" w:rsidR="000B1578" w:rsidP="000B1578" w:rsidRDefault="000B1578" w14:paraId="6C221203" w14:textId="77777777"/>
    <w:p w:rsidRPr="00BB2EAF" w:rsidR="000B1578" w:rsidP="000B1578" w:rsidRDefault="000B1578" w14:paraId="7219FCB1" w14:textId="77777777">
      <w:pPr>
        <w:sectPr w:rsidRPr="00BB2EAF" w:rsidR="000B1578" w:rsidSect="00AC5114">
          <w:headerReference w:type="even" r:id="rId11"/>
          <w:headerReference w:type="default" r:id="rId12"/>
          <w:footerReference w:type="even" r:id="rId13"/>
          <w:footerReference w:type="default" r:id="rId14"/>
          <w:headerReference w:type="first" r:id="rId15"/>
          <w:footerReference w:type="first" r:id="rId16"/>
          <w:pgSz w:w="11907" w:h="16839" w:code="9"/>
          <w:pgMar w:top="5670" w:right="1418" w:bottom="1418" w:left="1418" w:header="709" w:footer="709" w:gutter="0"/>
          <w:cols w:space="720"/>
          <w:docGrid w:linePitch="360"/>
        </w:sectP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Pr="00BB2EAF" w:rsidR="000B1578" w:rsidTr="00604E3A" w14:paraId="7B498E33" w14:textId="77777777">
        <w:tc>
          <w:tcPr>
            <w:tcW w:w="3085" w:type="dxa"/>
          </w:tcPr>
          <w:p w:rsidRPr="00BB2EAF" w:rsidR="000B1578" w:rsidP="00604E3A" w:rsidRDefault="000B1578" w14:paraId="69FFF906" w14:textId="77777777">
            <w:pPr>
              <w:jc w:val="left"/>
            </w:pPr>
            <w:r>
              <w:lastRenderedPageBreak/>
              <w:t>Lausuntopyyntö</w:t>
            </w:r>
          </w:p>
        </w:tc>
        <w:tc>
          <w:tcPr>
            <w:tcW w:w="6204" w:type="dxa"/>
            <w:vAlign w:val="bottom"/>
          </w:tcPr>
          <w:p w:rsidRPr="00BB2EAF" w:rsidR="000B1578" w:rsidP="00604E3A" w:rsidRDefault="000B1578" w14:paraId="1C015C95" w14:textId="77777777">
            <w:pPr>
              <w:jc w:val="left"/>
            </w:pPr>
            <w:r>
              <w:t>Euroopan komissio, 01/10/2021</w:t>
            </w:r>
          </w:p>
        </w:tc>
      </w:tr>
      <w:tr w:rsidRPr="00BB2EAF" w:rsidR="000B1578" w:rsidTr="00604E3A" w14:paraId="4084AD7B" w14:textId="77777777">
        <w:tc>
          <w:tcPr>
            <w:tcW w:w="3085" w:type="dxa"/>
          </w:tcPr>
          <w:p w:rsidRPr="00BB2EAF" w:rsidR="000B1578" w:rsidP="00604E3A" w:rsidRDefault="000B1578" w14:paraId="4FE14512" w14:textId="77777777">
            <w:pPr>
              <w:jc w:val="left"/>
            </w:pPr>
            <w:r>
              <w:t>Oikeusperusta</w:t>
            </w:r>
          </w:p>
        </w:tc>
        <w:tc>
          <w:tcPr>
            <w:tcW w:w="6204" w:type="dxa"/>
            <w:vAlign w:val="bottom"/>
          </w:tcPr>
          <w:p w:rsidRPr="00BB2EAF" w:rsidR="000B1578" w:rsidP="00604E3A" w:rsidRDefault="000B1578" w14:paraId="102397D6" w14:textId="77777777">
            <w:pPr>
              <w:jc w:val="left"/>
            </w:pPr>
            <w:r>
              <w:t>Euroopan unionin toiminnasta tehdyn sopimuksen 304 artikla</w:t>
            </w:r>
          </w:p>
        </w:tc>
      </w:tr>
      <w:tr w:rsidRPr="00BB2EAF" w:rsidR="000B1578" w:rsidTr="00604E3A" w14:paraId="2BDB9096" w14:textId="77777777">
        <w:tc>
          <w:tcPr>
            <w:tcW w:w="3085" w:type="dxa"/>
          </w:tcPr>
          <w:p w:rsidRPr="00BB2EAF" w:rsidR="000B1578" w:rsidP="00604E3A" w:rsidRDefault="000B1578" w14:paraId="3D001F20" w14:textId="77777777">
            <w:pPr>
              <w:jc w:val="left"/>
            </w:pPr>
            <w:r>
              <w:t>Vastaava jaosto</w:t>
            </w:r>
          </w:p>
        </w:tc>
        <w:tc>
          <w:tcPr>
            <w:tcW w:w="6204" w:type="dxa"/>
            <w:vAlign w:val="bottom"/>
          </w:tcPr>
          <w:p w:rsidRPr="00BB2EAF" w:rsidR="000B1578" w:rsidP="00604E3A" w:rsidRDefault="000B1578" w14:paraId="48B6E77D" w14:textId="77777777">
            <w:pPr>
              <w:jc w:val="left"/>
            </w:pPr>
            <w:r>
              <w:t>”sisämarkkinat, tuotanto ja kulutus”</w:t>
            </w:r>
          </w:p>
        </w:tc>
      </w:tr>
      <w:tr w:rsidRPr="00BB2EAF" w:rsidR="000B1578" w:rsidTr="00604E3A" w14:paraId="3165090E" w14:textId="77777777">
        <w:tc>
          <w:tcPr>
            <w:tcW w:w="3085" w:type="dxa"/>
          </w:tcPr>
          <w:p w:rsidRPr="00BB2EAF" w:rsidR="000B1578" w:rsidP="00604E3A" w:rsidRDefault="000B1578" w14:paraId="21468CBB" w14:textId="77777777">
            <w:pPr>
              <w:jc w:val="left"/>
            </w:pPr>
            <w:r>
              <w:t>Hyväksyminen jaostossa</w:t>
            </w:r>
          </w:p>
        </w:tc>
        <w:tc>
          <w:tcPr>
            <w:tcW w:w="6204" w:type="dxa"/>
            <w:vAlign w:val="bottom"/>
          </w:tcPr>
          <w:p w:rsidRPr="00BB2EAF" w:rsidR="000B1578" w:rsidP="00604E3A" w:rsidRDefault="000B1578" w14:paraId="2A91AB4A" w14:textId="77777777">
            <w:pPr>
              <w:jc w:val="left"/>
            </w:pPr>
            <w:r>
              <w:t>10/03/2023</w:t>
            </w:r>
          </w:p>
        </w:tc>
      </w:tr>
      <w:tr w:rsidRPr="00BB2EAF" w:rsidR="000B1578" w:rsidTr="00604E3A" w14:paraId="3D62302B" w14:textId="77777777">
        <w:tc>
          <w:tcPr>
            <w:tcW w:w="3085" w:type="dxa"/>
          </w:tcPr>
          <w:p w:rsidRPr="00BB2EAF" w:rsidR="000B1578" w:rsidP="00604E3A" w:rsidRDefault="000B1578" w14:paraId="0C192964" w14:textId="77777777">
            <w:pPr>
              <w:jc w:val="left"/>
            </w:pPr>
            <w:r>
              <w:t>Hyväksyminen täysistunnossa</w:t>
            </w:r>
          </w:p>
        </w:tc>
        <w:tc>
          <w:tcPr>
            <w:tcW w:w="6204" w:type="dxa"/>
            <w:vAlign w:val="bottom"/>
          </w:tcPr>
          <w:p w:rsidRPr="00BB2EAF" w:rsidR="000B1578" w:rsidP="00604E3A" w:rsidRDefault="000B1578" w14:paraId="3C55A9DC" w14:textId="6CCB0B4C">
            <w:pPr>
              <w:jc w:val="left"/>
            </w:pPr>
            <w:r>
              <w:t>23/03/2023</w:t>
            </w:r>
          </w:p>
        </w:tc>
      </w:tr>
      <w:tr w:rsidRPr="00BB2EAF" w:rsidR="000B1578" w:rsidTr="00604E3A" w14:paraId="685E13A3" w14:textId="77777777">
        <w:tc>
          <w:tcPr>
            <w:tcW w:w="3085" w:type="dxa"/>
          </w:tcPr>
          <w:p w:rsidRPr="00BB2EAF" w:rsidR="000B1578" w:rsidP="00604E3A" w:rsidRDefault="000B1578" w14:paraId="7ADEB3E4" w14:textId="77777777">
            <w:pPr>
              <w:jc w:val="left"/>
            </w:pPr>
            <w:r>
              <w:t>Täysistunnon numero</w:t>
            </w:r>
          </w:p>
        </w:tc>
        <w:tc>
          <w:tcPr>
            <w:tcW w:w="6204" w:type="dxa"/>
            <w:vAlign w:val="bottom"/>
          </w:tcPr>
          <w:p w:rsidRPr="00BB2EAF" w:rsidR="000B1578" w:rsidP="00604E3A" w:rsidRDefault="000B1578" w14:paraId="4CA81C9A" w14:textId="447D53AD">
            <w:pPr>
              <w:jc w:val="left"/>
            </w:pPr>
            <w:r>
              <w:t>577</w:t>
            </w:r>
          </w:p>
        </w:tc>
      </w:tr>
      <w:tr w:rsidRPr="00BB2EAF" w:rsidR="000B1578" w:rsidTr="00604E3A" w14:paraId="026213FA" w14:textId="77777777">
        <w:tc>
          <w:tcPr>
            <w:tcW w:w="3085" w:type="dxa"/>
          </w:tcPr>
          <w:p w:rsidRPr="00BB2EAF" w:rsidR="000B1578" w:rsidP="00604E3A" w:rsidRDefault="000B1578" w14:paraId="7C24504B" w14:textId="77777777">
            <w:pPr>
              <w:jc w:val="left"/>
            </w:pPr>
            <w:r>
              <w:t>Äänestystulos</w:t>
            </w:r>
            <w:r>
              <w:br/>
              <w:t>(puolesta / vastaan / pidättyi äänestämästä)</w:t>
            </w:r>
          </w:p>
        </w:tc>
        <w:tc>
          <w:tcPr>
            <w:tcW w:w="6204" w:type="dxa"/>
            <w:vAlign w:val="bottom"/>
          </w:tcPr>
          <w:p w:rsidRPr="00BB2EAF" w:rsidR="000B1578" w:rsidP="00604E3A" w:rsidRDefault="0080588D" w14:paraId="182945A9" w14:textId="2751CA99">
            <w:pPr>
              <w:jc w:val="left"/>
            </w:pPr>
            <w:r>
              <w:t>162/2/3</w:t>
            </w:r>
          </w:p>
        </w:tc>
      </w:tr>
    </w:tbl>
    <w:p w:rsidRPr="00BB2EAF" w:rsidR="000B1578" w:rsidP="000B1578" w:rsidRDefault="000B1578" w14:paraId="07A51E6A" w14:textId="77777777"/>
    <w:p w:rsidRPr="00BB2EAF" w:rsidR="000B1578" w:rsidP="000B1578" w:rsidRDefault="000B1578" w14:paraId="648C6BA6" w14:textId="77777777">
      <w:pPr>
        <w:sectPr w:rsidRPr="00BB2EAF" w:rsidR="000B1578" w:rsidSect="00653E7D">
          <w:headerReference w:type="even" r:id="rId17"/>
          <w:headerReference w:type="default" r:id="rId18"/>
          <w:footerReference w:type="default" r:id="rId19"/>
          <w:headerReference w:type="first" r:id="rId20"/>
          <w:pgSz w:w="11907" w:h="16839" w:code="9"/>
          <w:pgMar w:top="5670" w:right="1418" w:bottom="1418" w:left="1418" w:header="709" w:footer="709" w:gutter="0"/>
          <w:cols w:space="720"/>
          <w:docGrid w:linePitch="360"/>
        </w:sectPr>
      </w:pPr>
    </w:p>
    <w:p w:rsidRPr="00BB2EAF" w:rsidR="00A86BA8" w:rsidP="00B867EE" w:rsidRDefault="3E1CF757" w14:paraId="0502A017" w14:textId="7A6E0AB9">
      <w:pPr>
        <w:pStyle w:val="Heading1"/>
        <w:keepNext/>
        <w:ind w:left="567" w:hanging="567"/>
        <w:rPr>
          <w:bCs/>
        </w:rPr>
      </w:pPr>
      <w:r>
        <w:rPr>
          <w:b/>
        </w:rPr>
        <w:lastRenderedPageBreak/>
        <w:t>Johdanto</w:t>
      </w:r>
    </w:p>
    <w:p w:rsidRPr="00BB2EAF" w:rsidR="00A86BA8" w:rsidP="00B867EE" w:rsidRDefault="00A86BA8" w14:paraId="1CEE6C3A" w14:textId="77777777"/>
    <w:p w:rsidRPr="00BB2EAF" w:rsidR="00C931C3" w:rsidP="00B867EE" w:rsidRDefault="00BA096D" w14:paraId="328A1E5C" w14:textId="41BDD413">
      <w:pPr>
        <w:pStyle w:val="Heading2"/>
        <w:ind w:left="567" w:hanging="567"/>
      </w:pPr>
      <w:r>
        <w:t>Horisontti 2020 oli EU:n tutkimuksen ja innovoinnin rahoitusohjelma kaudelle 2014–2020, ja sen budjetti oli lähes 80 miljardia euroa. Sen yleisinä tavoitteina oli auttaa EU:ta kehittymään tietoon ja innovointiin perustuvaksi taloudeksi ja yhteiskunnaksi, edistää älykästä, kestävää ja osallistavaa kasvua Eurooppa 2020 </w:t>
      </w:r>
      <w:r>
        <w:noBreakHyphen/>
        <w:t>strategian ja muiden EU:n toimintapolitiikkojen mukaisesti sekä täydentää ja tukea tutkimuksen, innovoinnin ja teknologian eurooppalaisia sisämarkkinoita (eurooppalainen tutkimusalue).</w:t>
      </w:r>
    </w:p>
    <w:p w:rsidRPr="00BB2EAF" w:rsidR="00C1187A" w:rsidP="00B867EE" w:rsidRDefault="00C1187A" w14:paraId="2F113678" w14:textId="77777777"/>
    <w:p w:rsidRPr="00BB2EAF" w:rsidR="00C931C3" w:rsidP="00B867EE" w:rsidRDefault="00C931C3" w14:paraId="6FEF881F" w14:textId="434F43E9">
      <w:pPr>
        <w:pStyle w:val="Heading2"/>
        <w:ind w:left="567" w:hanging="567"/>
      </w:pPr>
      <w:r>
        <w:t>Kertomus on laadittu ETSK:n arviointimenetelmän mukaisesti (hybridimuodossa toteutettujen) tiedonkeruumatkojen ja verkkokyselyjen pohjalta neljässä maassa: Kroatiassa, Latviassa, Alankomaissa ja Portugalissa. Suosituksissa on otettu huomioon työmarkkinaosapuolten ja kansalaisyhteiskunnan organisaatioiden näkemykset, ja sen lisäksi kertomusta varten on kuultu viranomaisia. Tarkempaa tietoa prosessin tuloksista on teknisessä liitteessä.</w:t>
      </w:r>
    </w:p>
    <w:p w:rsidRPr="00BB2EAF" w:rsidR="003860C1" w:rsidP="00B867EE" w:rsidRDefault="003860C1" w14:paraId="565CFF1F" w14:textId="77777777"/>
    <w:p w:rsidRPr="00BB2EAF" w:rsidR="00A86BA8" w:rsidP="00B867EE" w:rsidRDefault="00C931C3" w14:paraId="4B579F6C" w14:textId="6C622F5B">
      <w:pPr>
        <w:pStyle w:val="Heading2"/>
        <w:ind w:left="567" w:hanging="567"/>
      </w:pPr>
      <w:r>
        <w:t>Tässä kertomuksessa esitetyt arviot ja näkemykset edustavat vain eräiden neljässä jäsenvaltiossa toimivien edustavien kansalaisyhteiskunnan organisaatioiden näkemyksiä. Suositukset ovat yhteenveto näkemyksistä, jotka ovat yhteisiä valtaosalle kuulluista työmarkkinaosapuolista ja kansalaisyhteiskunnan organisaatioista.</w:t>
      </w:r>
    </w:p>
    <w:p w:rsidRPr="00BB2EAF" w:rsidR="00A86BA8" w:rsidP="00B867EE" w:rsidRDefault="00A86BA8" w14:paraId="556F48EB" w14:textId="77777777"/>
    <w:p w:rsidRPr="00BB2EAF" w:rsidR="00194B36" w:rsidP="00B867EE" w:rsidRDefault="3E1CF757" w14:paraId="6E522A30" w14:textId="14389FED">
      <w:pPr>
        <w:pStyle w:val="Heading1"/>
        <w:keepNext/>
        <w:ind w:left="567" w:hanging="567"/>
        <w:rPr>
          <w:bCs/>
        </w:rPr>
      </w:pPr>
      <w:r>
        <w:rPr>
          <w:b/>
        </w:rPr>
        <w:t>Vaikuttavuutta koskevat päätelmät</w:t>
      </w:r>
    </w:p>
    <w:p w:rsidRPr="00BB2EAF" w:rsidR="00194B36" w:rsidP="00B867EE" w:rsidRDefault="00194B36" w14:paraId="6E522A31" w14:textId="77777777">
      <w:pPr>
        <w:keepNext/>
        <w:overflowPunct/>
        <w:adjustRightInd/>
        <w:ind w:left="142" w:hanging="142"/>
        <w:jc w:val="left"/>
        <w:textAlignment w:val="auto"/>
      </w:pPr>
    </w:p>
    <w:p w:rsidRPr="00BB2EAF" w:rsidR="001C0F80" w:rsidP="00B867EE" w:rsidRDefault="001C0F80" w14:paraId="632EBEF2" w14:textId="6A4A7A1C">
      <w:pPr>
        <w:pStyle w:val="Heading2"/>
        <w:ind w:left="567" w:hanging="567"/>
      </w:pPr>
      <w:r>
        <w:t>Kaiken kaikkiaan ohjelmaa pidettiin edeltäjiään huomattavasti arvokkaampana, koska siinä oli kattavat ja selkeästi määritellyt osa-alueet, ja sen vaikutus yhteiskuntaan arvioitiin suuremmaksi. Horisontti 2020 -puiteohjelman myönteisistä vaikutuksista ja tehokkuudesta sen ”vertikaalisten tavoitteiden” eli eurooppalaisen tutkimusalueen ja innovaatiounionin toteuttamisessa tai edistymisessä niitä kohti oltiin yleisesti yhtä mieltä. Ohjelman tehokkuudesta ”horisontaalisten tavoitteiden” saavuttamisessa oli eriäviä näkemyksiä. Vaikka sen katsottiin saavuttaneen erittäin tehokkaasti vastuullista tutkimusta ja innovointia koskevat tavoitteet ja lisänneen tehokkaasti tietämyksen levittämistä ja hyödyntämistä, sitä ei pidetty kovin tehokkaana avoimuuden lisäämisessä uusille osallistujille, sukupuolten tasapuolisen edustuksen edistämisessä tai tutkijan ammatin houkuttelevuuden lisäämisessä unionissa.</w:t>
      </w:r>
    </w:p>
    <w:p w:rsidRPr="00BB2EAF" w:rsidR="001C0F80" w:rsidP="0077093F" w:rsidRDefault="001C0F80" w14:paraId="63129C1F" w14:textId="77777777">
      <w:pPr>
        <w:pStyle w:val="Heading2"/>
        <w:numPr>
          <w:ilvl w:val="0"/>
          <w:numId w:val="0"/>
        </w:numPr>
      </w:pPr>
    </w:p>
    <w:p w:rsidRPr="00BB2EAF" w:rsidR="001C0F80" w:rsidP="0077093F" w:rsidRDefault="001C0F80" w14:paraId="1C568AC1" w14:textId="5D2E48F0">
      <w:pPr>
        <w:pStyle w:val="Heading2"/>
        <w:ind w:left="567" w:hanging="567"/>
      </w:pPr>
      <w:r>
        <w:t xml:space="preserve">Yleisestä konsensuksesta huolimatta arvioinnin pohjalta nousee esiin huomionarvoinen päätelmä: vaikka sidosryhmät olivat lähes yksimielisiä siitä, että Horisontti 2020 -puiteohjelma oli ollut erittäin tehokas EU:n huippuosaamisen vahvistamisessa tieteen alalla, vastaajien arvio ohjelman tehokkuudesta yksityisen sektorin teknologisen johtoaseman ja innovointivalmiuksien tukemisessa oli jonkin verran laimeampi – valtaosa vastaajista piti sekä ”teollisuuden johtoasema” </w:t>
      </w:r>
      <w:r>
        <w:noBreakHyphen/>
        <w:t xml:space="preserve">klusteria että ”yhteiskunnalliset haasteet” </w:t>
      </w:r>
      <w:r>
        <w:noBreakHyphen/>
        <w:t>klusteria kohtalaisen tehokkaana.</w:t>
      </w:r>
    </w:p>
    <w:p w:rsidRPr="00BB2EAF" w:rsidR="001C0F80" w:rsidP="0077093F" w:rsidRDefault="001C0F80" w14:paraId="37796437" w14:textId="77777777"/>
    <w:p w:rsidRPr="00BB2EAF" w:rsidR="001C0F80" w:rsidP="0077093F" w:rsidRDefault="001C0F80" w14:paraId="3F15DD8A" w14:textId="71947309">
      <w:pPr>
        <w:pStyle w:val="Heading2"/>
        <w:ind w:left="567" w:hanging="567"/>
      </w:pPr>
      <w:r>
        <w:t xml:space="preserve">Lisäksi esiin tuli selvä jako sen perusteella, miten vahva mielipide sidosryhmillä oli Horisontti 2020 </w:t>
      </w:r>
      <w:r>
        <w:noBreakHyphen/>
        <w:t>puiteohjelman vaikuttavuudesta: sen lisäksi, että EU15-maiden sidosryhmät olivat suhtautumisessaan myönteisempiä kuin vastaavat EU13-maiden sidosryhmät, myös tiede- ja viranomaistahojen ja yksityisen sektorin edustajien näkemykset erosivat selvästi toisistaan (lähes puolet yritysten edustajista ei ollut lainkaan vakuuttunut ohjelman tehokkuudesta).</w:t>
      </w:r>
    </w:p>
    <w:p w:rsidRPr="00BB2EAF" w:rsidR="003860C1" w:rsidP="00B867EE" w:rsidRDefault="003860C1" w14:paraId="7FA9E82B" w14:textId="3B4CDF30"/>
    <w:p w:rsidRPr="00BB2EAF" w:rsidR="00185748" w:rsidP="00B867EE" w:rsidRDefault="00CB06FD" w14:paraId="442D100F" w14:textId="592D123E">
      <w:pPr>
        <w:pStyle w:val="Heading2"/>
        <w:ind w:left="567" w:hanging="567"/>
      </w:pPr>
      <w:r>
        <w:lastRenderedPageBreak/>
        <w:t>Pk-yritysten vähäisestä osallistumisesta ja pk-yritysten osallistumisen esteistä esitettiin useita huomautuksia. Sen lisäksi, että sidosryhmät korostivat suurempien hankkeiden liiallista painotusta, ne totesivat myös, etteivät suuret (yli 30 yksikön) yhteenliittymät ole luonteeltaan pk-yritysten kannalta suotuisia ja että joskus pk-yrityksiä käytetään vain näennäisinä kumppaneina varojen saamiseksi. Silloinkin, kun pk-yritykset pääsevät mukaan yhteenliittymiin, ne kokevat yhteistyön ja mielekkään panoksen antamisen hyvin vaikeaksi.</w:t>
      </w:r>
    </w:p>
    <w:p w:rsidRPr="00BB2EAF" w:rsidR="003860C1" w:rsidP="00B867EE" w:rsidRDefault="003860C1" w14:paraId="00B967EA" w14:textId="77777777"/>
    <w:p w:rsidRPr="00BB2EAF" w:rsidR="00185748" w:rsidP="00B867EE" w:rsidRDefault="00CB06FD" w14:paraId="4FAD0483" w14:textId="62EE0F44">
      <w:pPr>
        <w:pStyle w:val="Heading2"/>
        <w:ind w:left="567" w:hanging="567"/>
      </w:pPr>
      <w:r>
        <w:t>Pk-yrityksille suunnattu väline mainittiin poikkeuksena, mutta välineelle osoitettu suhteellisen vähäinen rahoitus synnytti ankaraa kilpailua ja teki tosiasiallisesta varojen saamisesta pk-yrityksille erittäin vaikeaa (todennäköisyys varojen saamiselle oli melko pieni, noin 5 prosenttia). Tämä on tunnustettava yksiselitteisesti järjestelmän viaksi.</w:t>
      </w:r>
    </w:p>
    <w:p w:rsidRPr="00BB2EAF" w:rsidR="003860C1" w:rsidP="00B867EE" w:rsidRDefault="003860C1" w14:paraId="46234963" w14:textId="77777777"/>
    <w:p w:rsidRPr="00BB2EAF" w:rsidR="00F803FF" w:rsidP="00B867EE" w:rsidRDefault="00185748" w14:paraId="7355835B" w14:textId="7F1E1677">
      <w:pPr>
        <w:pStyle w:val="Heading2"/>
        <w:ind w:left="567" w:hanging="567"/>
      </w:pPr>
      <w:r>
        <w:t>Horisontti 2020 -puiteohjelmaan liittyi joitakin haittatekijöitä ja puutteita, erityisesti joustamattomuus ja byrokratia. Sidosryhmät valittivat, että osallistuminen on tutkijoille yhä vaikeampaa, koska hakuprosessit ovat liian pitkiä ja byrokraattisia ja vaativat paljon resursseja. Tämä vaikuttaa myös pk-yrityksiin, jotka tuntevat ohjelmaan liittyvät menettelyt vieläkin heikommin.</w:t>
      </w:r>
    </w:p>
    <w:p w:rsidRPr="00BB2EAF" w:rsidR="003860C1" w:rsidP="00B867EE" w:rsidRDefault="003860C1" w14:paraId="7F9D2935" w14:textId="51409986"/>
    <w:p w:rsidRPr="00BB2EAF" w:rsidR="001C0F80" w:rsidP="0077093F" w:rsidRDefault="005630BB" w14:paraId="1385C9C8" w14:textId="03851304">
      <w:pPr>
        <w:pStyle w:val="Heading2"/>
        <w:ind w:left="567" w:hanging="567"/>
      </w:pPr>
      <w:r>
        <w:t>Kun on kyse synergiasta muiden EU:n rahastojen ja kansallisten ohjelmien kanssa, kokemuksia pidetään myönteisinä. Sidosryhmät kuitenkin korostavat, että ohjelmaa on vielä kehitettävä paljon sen tehokkuuden, yhdenmukaisuuden ja saavutettavuuden optimoimiseksi. Valtaosa sidosryhmistä katsoi, etteivät niiden edustamat maat osoittaneet riittävästi rahoitusta täydentäviin ohjelmiin (kuten Eureka- ja Eurostars-ohjelmiin).</w:t>
      </w:r>
    </w:p>
    <w:p w:rsidRPr="00BB2EAF" w:rsidR="001C0F80" w:rsidP="0077093F" w:rsidRDefault="001C0F80" w14:paraId="77664BF7" w14:textId="77777777"/>
    <w:p w:rsidRPr="00BB2EAF" w:rsidR="00F803FF" w:rsidP="00B867EE" w:rsidRDefault="001C0F80" w14:paraId="50299DDC" w14:textId="5F0FDB38">
      <w:pPr>
        <w:pStyle w:val="Heading2"/>
        <w:ind w:left="567" w:hanging="567"/>
      </w:pPr>
      <w:r>
        <w:t xml:space="preserve">Horisontti 2020 -puiteohjelman kansallisen yhteyspisteen tukea pidettiin erittäin myönteisenä tietoisuuden lisäämisessä, tiedon levittämisessä, osallistujille annettavasta erityistuessa ja edistämistapahtumissa. Eriäviä mielipiteitä sen sijaan esitettiin osallistujille tarjottavasta tuesta Horisontti 2020 </w:t>
      </w:r>
      <w:r>
        <w:noBreakHyphen/>
        <w:t>ohjelman ja Euroopan aluekehitysrahastosta rahoittavien ohjelmien rahoitussynergioiden hyödyntämisessä ja koulutustapahtumien järjestämisessä (esim. ehdotusten laatiminen).</w:t>
      </w:r>
    </w:p>
    <w:p w:rsidRPr="00BB2EAF" w:rsidR="00194B36" w:rsidP="00B867EE" w:rsidRDefault="00194B36" w14:paraId="6E522A39" w14:textId="51061D2D">
      <w:pPr>
        <w:overflowPunct/>
        <w:adjustRightInd/>
        <w:textAlignment w:val="auto"/>
        <w:rPr>
          <w:highlight w:val="yellow"/>
        </w:rPr>
      </w:pPr>
    </w:p>
    <w:p w:rsidRPr="00BB2EAF" w:rsidR="00D46B44" w:rsidP="00B867EE" w:rsidRDefault="00D46B44" w14:paraId="2BE83518" w14:textId="1880434B">
      <w:pPr>
        <w:pStyle w:val="Heading1"/>
        <w:keepNext/>
        <w:keepLines/>
        <w:ind w:left="567" w:hanging="567"/>
        <w:rPr>
          <w:b/>
        </w:rPr>
      </w:pPr>
      <w:r>
        <w:rPr>
          <w:b/>
        </w:rPr>
        <w:t>Merkityksellisyyttä koskevat päätelmät</w:t>
      </w:r>
    </w:p>
    <w:p w:rsidRPr="00BB2EAF" w:rsidR="00D46B44" w:rsidP="00B867EE" w:rsidRDefault="00D46B44" w14:paraId="1564050D" w14:textId="772EBC30">
      <w:pPr>
        <w:keepNext/>
      </w:pPr>
    </w:p>
    <w:p w:rsidRPr="00BB2EAF" w:rsidR="00D46B44" w:rsidP="00B867EE" w:rsidRDefault="00C0342D" w14:paraId="56F68535" w14:textId="4633316C">
      <w:pPr>
        <w:pStyle w:val="Heading2"/>
        <w:ind w:left="567" w:hanging="567"/>
      </w:pPr>
      <w:r>
        <w:t>Osallistujien mukaan Horisontti 2020 -puiteohjelma on ollut erittäin merkityksellinen, sillä osallistuminen tällaisiin ohjelmiin on lisännyt jäsenvaltioiden varainkäyttöä tutkimus- ja kehittämistoimintaan, auttanut kasvattamaan poliittista ja tieteellistä pääomaa ja vaikuttanut myönteisesti osallistujien maineeseen, mikä auttaa organisaatioita saamaan rahoitusta muista kansallisista ja kansainvälisistä lähteistä. Ohjelma on myös mahdollistanut strategisten kumppanuuksien perustamisen uusien tai olemassa olevien verkostojen puitteissa.</w:t>
      </w:r>
    </w:p>
    <w:p w:rsidRPr="00BB2EAF" w:rsidR="00CA1D52" w:rsidP="00B867EE" w:rsidRDefault="00CA1D52" w14:paraId="74CCE622" w14:textId="77777777"/>
    <w:p w:rsidRPr="00BB2EAF" w:rsidR="00F803FF" w:rsidP="00B867EE" w:rsidRDefault="00734CFC" w14:paraId="4EC13FC3" w14:textId="6849165A">
      <w:pPr>
        <w:pStyle w:val="Heading2"/>
        <w:ind w:left="567" w:hanging="567"/>
      </w:pPr>
      <w:r>
        <w:t xml:space="preserve">Epäonnistuminen EU15-maiden ja EU13-maiden välisten erojen umpeen kuromisessa katsotaan Horisontti 2020 </w:t>
      </w:r>
      <w:r>
        <w:noBreakHyphen/>
        <w:t xml:space="preserve">puiteohjelman suurimmaksi puutteeksi. Tutkimuksen tehokkuus ei parantunut EU13-maissa ohjelman aikana, ja ero EU15-maihin on edelleen hyvin suuri. Suuremmat – ja kehittyneemmät – maat saavat niin paljon rahoitusta, että ne ”syövät” käytettävissä olevat varat pienemmiltä, tutkimuksen suhteen vähemmän kehittyneiltä mailta. Suurimmat erot ovat </w:t>
      </w:r>
      <w:r>
        <w:lastRenderedPageBreak/>
        <w:t>teollisuuden johtoaseman ja huippuosaamisen osa-alueilla. Asiaintilan korjaamiseksi tarvitaan lisätoimia poliittisella tasolla, ja EU voi osaltaan auttaa tilanteen tasapainottamisessa.</w:t>
      </w:r>
    </w:p>
    <w:p w:rsidRPr="00BB2EAF" w:rsidR="00D46B44" w:rsidP="00B867EE" w:rsidRDefault="00D46B44" w14:paraId="75DFC13B" w14:textId="77777777"/>
    <w:p w:rsidRPr="00BB2EAF" w:rsidR="00D46B44" w:rsidP="00B867EE" w:rsidRDefault="00D46B44" w14:paraId="17A34349" w14:textId="198C3F74">
      <w:pPr>
        <w:pStyle w:val="Heading1"/>
        <w:keepNext/>
        <w:keepLines/>
        <w:ind w:left="567" w:hanging="567"/>
      </w:pPr>
      <w:r>
        <w:rPr>
          <w:b/>
        </w:rPr>
        <w:t>Kansalaisyhteiskunnan osallistumista koskevat päätelmät</w:t>
      </w:r>
    </w:p>
    <w:p w:rsidRPr="00BB2EAF" w:rsidR="00D46B44" w:rsidP="00B867EE" w:rsidRDefault="00D46B44" w14:paraId="40E73BC0" w14:textId="0EE54EB8">
      <w:pPr>
        <w:keepNext/>
        <w:keepLines/>
      </w:pPr>
    </w:p>
    <w:p w:rsidRPr="00BB2EAF" w:rsidR="00185748" w:rsidP="00B867EE" w:rsidRDefault="00185748" w14:paraId="48E799A3" w14:textId="37EAD499">
      <w:pPr>
        <w:pStyle w:val="Heading2"/>
        <w:ind w:left="567" w:hanging="567"/>
      </w:pPr>
      <w:r>
        <w:t>Kansalaisyhteiskunnan roolin merkityksestä tutkimuksessa ja innovoinnissa ja eritoten kansalaisyhteiskunnan järjestöjen osallistumisen merkityksestä Horisontti 2020 </w:t>
      </w:r>
      <w:r>
        <w:noBreakHyphen/>
        <w:t>puiteohjelman suunnittelussa, täytäntöönpanossa ja seurannassa vallitsee yleinen yksimielisyys.</w:t>
      </w:r>
    </w:p>
    <w:p w:rsidRPr="00BB2EAF" w:rsidR="003860C1" w:rsidP="00B867EE" w:rsidRDefault="003860C1" w14:paraId="46EAD5B0" w14:textId="77777777"/>
    <w:p w:rsidRPr="00BB2EAF" w:rsidR="00185748" w:rsidP="00B867EE" w:rsidRDefault="00185748" w14:paraId="74587EB8" w14:textId="4B88226C">
      <w:pPr>
        <w:pStyle w:val="Heading2"/>
        <w:ind w:left="567" w:hanging="567"/>
      </w:pPr>
      <w:r>
        <w:t>Osallistujat korostivat, että kansalaisyhteiskunnan ottaminen mukaan varhaisessa vaiheessa auttaa ratkaisemaan yhteiskunnallisia haasteita ja hyödyttää kaikkia osapuolia.</w:t>
      </w:r>
    </w:p>
    <w:p w:rsidRPr="00BB2EAF" w:rsidR="003860C1" w:rsidP="00B867EE" w:rsidRDefault="003860C1" w14:paraId="409D66E5" w14:textId="77777777"/>
    <w:p w:rsidRPr="00BB2EAF" w:rsidR="00EF3015" w:rsidP="00B867EE" w:rsidRDefault="00185748" w14:paraId="10BBADBF" w14:textId="6ED3FD89">
      <w:pPr>
        <w:pStyle w:val="Heading2"/>
        <w:ind w:left="567" w:hanging="567"/>
      </w:pPr>
      <w:r>
        <w:t>Unionin 27 jäsenvaltion vertailussa kansalaisyhteiskunnan osallistumisessa näkyy kuitenkin selvä epätasapaino. EU15-maissa on pantu merkille, että kansalaisyhteiskunta osallistuu laajasti kaikkiin vaiheisiin (suunnitteluun, täytäntöönpanoon ja seurantaan), kun taas EU13-maiden työmarkkinaosapuolet huomauttivat, että kansalaisyhteiskunnan rooli on edelleen alikehittynyt.</w:t>
      </w:r>
    </w:p>
    <w:p w:rsidRPr="00BB2EAF" w:rsidR="003860C1" w:rsidP="00B867EE" w:rsidRDefault="003860C1" w14:paraId="65FD7E31" w14:textId="5825BD57"/>
    <w:p w:rsidRPr="00BB2EAF" w:rsidR="001C6B08" w:rsidP="00B867EE" w:rsidRDefault="00A655BF" w14:paraId="61D5BD58" w14:textId="1386E849">
      <w:pPr>
        <w:pStyle w:val="Heading2"/>
        <w:ind w:left="567" w:hanging="567"/>
        <w:rPr>
          <w:szCs w:val="24"/>
        </w:rPr>
      </w:pPr>
      <w:r>
        <w:t xml:space="preserve">Jäsenvaltioiden välisistä eroista huolimatta on selvää, että kansalaisyhteiskunnan järjestöt voivat tuoda lisäarvoa innovointiprosessin kaikkiin vaiheisiin. Ei riitä, että ne otetaan mukaan ainoastaan siksi, että siihen velvoitetaan tai koska sitä vaaditaan kriteerien täyttämiseksi, vaan osallistamisen on oltava todellinen käytäntö alusta alkaen, jotta se todella hyödyttäisi koko ekosysteemiä. </w:t>
      </w:r>
    </w:p>
    <w:p w:rsidRPr="00BB2EAF" w:rsidR="00D85E61" w:rsidP="00B867EE" w:rsidRDefault="00D85E61" w14:paraId="0326A702" w14:textId="77777777"/>
    <w:p w:rsidRPr="00BB2EAF" w:rsidR="00D46B44" w:rsidP="00B867EE" w:rsidRDefault="004F39DD" w14:paraId="66E45A33" w14:textId="51D947C5">
      <w:pPr>
        <w:pStyle w:val="Heading1"/>
        <w:keepNext/>
        <w:keepLines/>
        <w:ind w:left="567" w:hanging="567"/>
        <w:rPr>
          <w:b/>
        </w:rPr>
      </w:pPr>
      <w:r>
        <w:rPr>
          <w:b/>
        </w:rPr>
        <w:t>Suositukset</w:t>
      </w:r>
    </w:p>
    <w:p w:rsidRPr="00BB2EAF" w:rsidR="00D46B44" w:rsidP="00B867EE" w:rsidRDefault="00D46B44" w14:paraId="62B895AB" w14:textId="77777777">
      <w:pPr>
        <w:keepNext/>
        <w:keepLines/>
      </w:pPr>
    </w:p>
    <w:p w:rsidRPr="00BB2EAF" w:rsidR="00C0342D" w:rsidP="00B867EE" w:rsidRDefault="00CB06FD" w14:paraId="17374A00" w14:textId="7DB62A35">
      <w:pPr>
        <w:pStyle w:val="Heading2"/>
        <w:ind w:left="567" w:hanging="567"/>
      </w:pPr>
      <w:r>
        <w:t>Pk-yrityksille suunnattaviin aloitteisiin korvamerkittävien määrärahojen olisi oltava suuremmat. Tulevissa ohjelmissa olisi vahvistettava pk-yritysten osallistumista ja vähennettävä pk-yritysten osallistumisen esteitä. Jotta pk-yritysten osallistuminen lisääntyisi, olisi lisättävä innovaatioekosysteemeihin suunnattavaa rahoitusta. Tällaiset ekosysteemit, joissa pk-yritysten osallistumisaste on korkea, voivat auttaa merkittävästi tulevien yhteiskunnallisten haasteiden ratkaisemisessa.</w:t>
      </w:r>
    </w:p>
    <w:p w:rsidRPr="00BB2EAF" w:rsidR="003860C1" w:rsidP="00B867EE" w:rsidRDefault="003860C1" w14:paraId="0F5B0B9F" w14:textId="77777777"/>
    <w:p w:rsidRPr="00BB2EAF" w:rsidR="006A5E56" w:rsidP="00B867EE" w:rsidRDefault="00C41E21" w14:paraId="52B31BE6" w14:textId="507E2C7D">
      <w:pPr>
        <w:pStyle w:val="Heading2"/>
        <w:ind w:left="567" w:hanging="567"/>
      </w:pPr>
      <w:r>
        <w:t>Työmarkkinaosapuolet peräänkuuluttavat Horisontti 2020 -puiteohjelman vakavaa vaikutustenarviointia sekä investoimista sitä koskevaan viestintään, koska kansalaisyhteiskunnan osallistumista ja tutkimus- ja innovointirahoituksen tukemista pidetään ratkaisevan tärkeinä.</w:t>
      </w:r>
    </w:p>
    <w:p w:rsidRPr="00BB2EAF" w:rsidR="006A5E56" w:rsidP="00B867EE" w:rsidRDefault="006A5E56" w14:paraId="5A2D087D" w14:textId="77777777"/>
    <w:p w:rsidRPr="00BB2EAF" w:rsidR="00CB06FD" w:rsidP="00B867EE" w:rsidRDefault="00185748" w14:paraId="71E1AD8B" w14:textId="5EA47F60">
      <w:pPr>
        <w:pStyle w:val="Heading2"/>
        <w:ind w:left="567" w:hanging="567"/>
      </w:pPr>
      <w:r>
        <w:t>Työmarkkinaosapuolet vaativat tarkistusprosessien nopeuttamista ja arviointiprosessin yksinkertaistamista – erityisesti pk-yritysten kannalta – sekä niiden avoimuuden ja johdonmukaisuuden lisäämistä. Lisäksi on esitetty kommentteja siitä, että eettiset vaatimukset ovat melko tiukkoja (joskus liiankin tiukkoja), mikä puolestaan luo byrokraattisia esteitä, ja siksi niihin olisi puututtava Horisontti Eurooppa -puiteohjelmassa.</w:t>
      </w:r>
    </w:p>
    <w:p w:rsidRPr="00BB2EAF" w:rsidR="003860C1" w:rsidP="00B867EE" w:rsidRDefault="003860C1" w14:paraId="3B3F9BF6" w14:textId="77777777"/>
    <w:p w:rsidRPr="00BB2EAF" w:rsidR="00C0342D" w:rsidP="00B867EE" w:rsidRDefault="00C0342D" w14:paraId="38809BAA" w14:textId="52A49CA5">
      <w:pPr>
        <w:pStyle w:val="Heading2"/>
        <w:ind w:left="567" w:hanging="567"/>
      </w:pPr>
      <w:r>
        <w:t xml:space="preserve">Mahdollisuus mukauttaa yhteenliittymiä olisi erittäin hyödyllistä, koska hankkeiden täytäntöönpanon aikana syntyy usein uusia oivalluksia, joiden toteuttaminen edellyttää tiettyä joustoa. </w:t>
      </w:r>
    </w:p>
    <w:p w:rsidRPr="00BB2EAF" w:rsidR="003860C1" w:rsidP="00B867EE" w:rsidRDefault="003860C1" w14:paraId="3A6C61C0" w14:textId="77777777"/>
    <w:p w:rsidRPr="00BB2EAF" w:rsidR="000315A2" w:rsidP="00B867EE" w:rsidRDefault="00C41E21" w14:paraId="3744C7F6" w14:textId="601EFF82">
      <w:pPr>
        <w:pStyle w:val="Heading2"/>
        <w:ind w:left="567" w:hanging="567"/>
      </w:pPr>
      <w:r>
        <w:t xml:space="preserve">Ennustettavuus on suuri huolenaihe. Mahdollisten osallistujien on kyettävä tekemään suunnitelmia ja kohdentamaan voimavaransa niitä vastaavasti. Tämä edellyttää määrärahojen varaamista ja työohjelmien julkaisemista hyvissä ajoin. </w:t>
      </w:r>
    </w:p>
    <w:p w:rsidRPr="00BB2EAF" w:rsidR="00997712" w:rsidP="00B867EE" w:rsidRDefault="00997712" w14:paraId="07445773" w14:textId="77777777"/>
    <w:p w:rsidRPr="00BB2EAF" w:rsidR="00646AC2" w:rsidP="00B867EE" w:rsidRDefault="00432B98" w14:paraId="6E522A42" w14:textId="5591B720">
      <w:pPr>
        <w:pStyle w:val="Heading2"/>
        <w:ind w:left="567" w:hanging="567"/>
      </w:pPr>
      <w:r>
        <w:t>Horisontti 2020- ja Horisontti Eurooppa -puiteohjelmiin liittyviä investointeja pidetään ”älykkäinä”, koska niissä keskitytään vaikutuksiin, kun taas alueellisia ja kansallisia rahoitusohjelmia pidetään niiden erittäin byrokraattisen toimintamallin vuoksi ”rahanhukkana”. Synergioita ja yhteyksiä alueellisten ja kansallisten rahoitusohjelmien kanssa olisi parannettava, ja Euroopan komissio nähdään strategisena kumppanina, joka voi yhdenmukaistaa ja yhtenäistää sääntelyä ja menettelyjä. Jäsenvaltiot olisi velvoitettava noudattamaan Horisontti Eurooppa -puiteohjelman menettelyjä ja säännöksiä, jos tutkimus- ja innovointiyhteisö katsoo, että Euroopan aluekehitysrahastoon perustuvat kansalliset ohjelmat ovat pitkällisempiä ja byrokraattisempia kuin Horisontti 2020- ja Horisontti Eurooppa -ohjelmat.</w:t>
      </w:r>
    </w:p>
    <w:p w:rsidRPr="00BB2EAF" w:rsidR="00B66D0C" w:rsidP="00B867EE" w:rsidRDefault="00B66D0C" w14:paraId="4EB2CDE2" w14:textId="3C914579"/>
    <w:p w:rsidRPr="00BB2EAF" w:rsidR="00B66D0C" w:rsidP="0077093F" w:rsidRDefault="00B66D0C" w14:paraId="2C22FBCA" w14:textId="7F301650">
      <w:pPr>
        <w:pStyle w:val="Heading2"/>
        <w:ind w:left="567" w:hanging="567"/>
      </w:pPr>
      <w:r>
        <w:t>Yli kaksi kolmasosaa (64 prosenttia) vastaajista piti Horisontti 2020 </w:t>
      </w:r>
      <w:r>
        <w:noBreakHyphen/>
        <w:t>puiteohjelmaa koskevaa viestintää ja tiedotusta hyvänä tai erittäin hyvänä. Lähes puolet vastaajista (46 prosenttia) katsoi, että viestintää Horisontti 2020 </w:t>
      </w:r>
      <w:r>
        <w:noBreakHyphen/>
        <w:t>puiteohjelman edunsaajille voitaisiin parantaa. ETSK katsoo, että tällä saralla komissiolla ja jäsenvaltioilla on aina parantamisen varaa. ETSK kehottaa parantamaan innovaatio- ja tutkimus- ja kehittämisrahoitusta koskevaa viestintää erityisesti pk-yritysten keskuudessa. Kansalaisyhteiskunnan organisaatioilla voi olla tässä ratkaiseva rooli.</w:t>
      </w:r>
    </w:p>
    <w:p w:rsidRPr="00BB2EAF" w:rsidR="00C86C7B" w:rsidP="00B867EE" w:rsidRDefault="00C86C7B" w14:paraId="624560EA" w14:textId="1AA3DA23"/>
    <w:p w:rsidRPr="00BB2EAF" w:rsidR="00C86C7B" w:rsidP="00C86C7B" w:rsidRDefault="00C86C7B" w14:paraId="223467F3" w14:textId="07D60A41">
      <w:r>
        <w:t>Bryssel 23. maaliskuuta 2023</w:t>
      </w:r>
    </w:p>
    <w:p w:rsidRPr="00BB2EAF" w:rsidR="00C86C7B" w:rsidP="00C86C7B" w:rsidRDefault="00C86C7B" w14:paraId="4F84A334" w14:textId="77777777"/>
    <w:p w:rsidRPr="00BB2EAF" w:rsidR="00C86C7B" w:rsidP="00C86C7B" w:rsidRDefault="00C86C7B" w14:paraId="2E75D822" w14:textId="5812BD25"/>
    <w:p w:rsidRPr="00BB2EAF" w:rsidR="00816C92" w:rsidP="00C86C7B" w:rsidRDefault="00816C92" w14:paraId="61EF225C" w14:textId="77777777"/>
    <w:p w:rsidRPr="00BB2EAF" w:rsidR="00C86C7B" w:rsidP="00C86C7B" w:rsidRDefault="00C86C7B" w14:paraId="79F16CCF" w14:textId="77777777"/>
    <w:p w:rsidRPr="00BB2EAF" w:rsidR="00BB2EAF" w:rsidP="00C86C7B" w:rsidRDefault="00426D86" w14:paraId="57E1C2F9" w14:textId="6EF89A5D">
      <w:pPr>
        <w:keepNext/>
        <w:overflowPunct/>
        <w:adjustRightInd/>
        <w:textAlignment w:val="auto"/>
      </w:pPr>
      <w:r>
        <w:t>Christa Schweng</w:t>
      </w:r>
    </w:p>
    <w:p w:rsidR="00491A81" w:rsidP="00426D86" w:rsidRDefault="00426D86" w14:paraId="6F585CE7" w14:textId="04C893B1">
      <w:r>
        <w:t>Euroopan talous- ja sosiaalikomitean puheenjohtaja</w:t>
      </w:r>
    </w:p>
    <w:p w:rsidRPr="00BB2EAF" w:rsidR="00BB2EAF" w:rsidP="00426D86" w:rsidRDefault="00BB2EAF" w14:paraId="77BAAAB2" w14:textId="77777777"/>
    <w:p w:rsidRPr="00BB2EAF" w:rsidR="003860C1" w:rsidP="00B867EE" w:rsidRDefault="003860C1" w14:paraId="7A093AE1" w14:textId="77777777">
      <w:pPr>
        <w:jc w:val="center"/>
      </w:pPr>
      <w:r>
        <w:t>*</w:t>
      </w:r>
    </w:p>
    <w:p w:rsidRPr="00BB2EAF" w:rsidR="003860C1" w:rsidP="00B867EE" w:rsidRDefault="003860C1" w14:paraId="4F24D0C2" w14:textId="77777777">
      <w:pPr>
        <w:jc w:val="center"/>
      </w:pPr>
    </w:p>
    <w:p w:rsidRPr="00BB2EAF" w:rsidR="003860C1" w:rsidP="00B867EE" w:rsidRDefault="003860C1" w14:paraId="5269889A" w14:textId="77777777">
      <w:pPr>
        <w:jc w:val="center"/>
      </w:pPr>
      <w:r>
        <w:t>*</w:t>
      </w:r>
      <w:r>
        <w:tab/>
        <w:t>*</w:t>
      </w:r>
    </w:p>
    <w:p w:rsidRPr="00BB2EAF" w:rsidR="003860C1" w:rsidP="00B867EE" w:rsidRDefault="003860C1" w14:paraId="6CAE8618" w14:textId="46D64AF3"/>
    <w:p w:rsidRPr="00BB2EAF" w:rsidR="003860C1" w:rsidP="00B867EE" w:rsidRDefault="003860C1" w14:paraId="26063148" w14:textId="3EF717B5"/>
    <w:p w:rsidRPr="00BB2EAF" w:rsidR="003860C1" w:rsidP="00B867EE" w:rsidRDefault="003860C1" w14:paraId="28556215" w14:textId="5E271896">
      <w:r>
        <w:rPr>
          <w:b/>
        </w:rPr>
        <w:t>HUOM.</w:t>
      </w:r>
      <w:r>
        <w:t xml:space="preserve"> </w:t>
      </w:r>
      <w:r>
        <w:tab/>
        <w:t>Tekninen liite seuraavassa.</w:t>
      </w:r>
    </w:p>
    <w:p w:rsidRPr="00BB2EAF" w:rsidR="003860C1" w:rsidP="00B867EE" w:rsidRDefault="003860C1" w14:paraId="08F007E4" w14:textId="4DD7C24C"/>
    <w:p w:rsidRPr="00BB2EAF" w:rsidR="000E4CB2" w:rsidP="000E4CB2" w:rsidRDefault="003860C1" w14:paraId="41928458" w14:textId="77777777">
      <w:pPr>
        <w:overflowPunct/>
        <w:autoSpaceDE/>
        <w:autoSpaceDN/>
        <w:adjustRightInd/>
        <w:spacing w:line="240" w:lineRule="auto"/>
        <w:jc w:val="left"/>
        <w:textAlignment w:val="auto"/>
      </w:pPr>
      <w:r>
        <w:br w:type="page"/>
      </w:r>
    </w:p>
    <w:tbl>
      <w:tblPr>
        <w:tblStyle w:val="TableGrid"/>
        <w:tblpPr w:leftFromText="141" w:rightFromText="141" w:vertAnchor="text" w:horzAnchor="margin" w:tblpXSpec="center" w:tblpY="-77"/>
        <w:tblW w:w="0" w:type="auto"/>
        <w:jc w:val="center"/>
        <w:tblInd w:w="0" w:type="dxa"/>
        <w:tblLook w:val="04A0" w:firstRow="1" w:lastRow="0" w:firstColumn="1" w:lastColumn="0" w:noHBand="0" w:noVBand="1"/>
      </w:tblPr>
      <w:tblGrid>
        <w:gridCol w:w="9032"/>
      </w:tblGrid>
      <w:tr w:rsidRPr="00BB2EAF" w:rsidR="000E4CB2" w:rsidTr="001E61B3" w14:paraId="456E1A8D" w14:textId="77777777">
        <w:trPr>
          <w:trHeight w:val="1581"/>
          <w:jc w:val="center"/>
        </w:trPr>
        <w:tc>
          <w:tcPr>
            <w:tcW w:w="9032" w:type="dxa"/>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hideMark/>
          </w:tcPr>
          <w:p w:rsidRPr="00BB2EAF" w:rsidR="000E4CB2" w:rsidP="001E61B3" w:rsidRDefault="000E4CB2" w14:paraId="2CEC0D78" w14:textId="77777777">
            <w:pPr>
              <w:jc w:val="center"/>
              <w:rPr>
                <w:rFonts w:ascii="Times New Roman" w:hAnsi="Times New Roman" w:cs="Times New Roman"/>
                <w:b/>
                <w:bCs/>
                <w:color w:val="1F4E79"/>
                <w:sz w:val="36"/>
                <w:szCs w:val="36"/>
              </w:rPr>
            </w:pPr>
            <w:r>
              <w:rPr>
                <w:rFonts w:ascii="Times New Roman" w:hAnsi="Times New Roman"/>
                <w:b/>
                <w:color w:val="1F4E79"/>
                <w:sz w:val="36"/>
              </w:rPr>
              <w:lastRenderedPageBreak/>
              <w:t>EVALUATION OF HORIZON 2020</w:t>
            </w:r>
          </w:p>
          <w:p w:rsidRPr="00BB2EAF" w:rsidR="000E4CB2" w:rsidP="001E61B3" w:rsidRDefault="000E4CB2" w14:paraId="76CD84D7" w14:textId="1CE716AC">
            <w:pPr>
              <w:jc w:val="center"/>
              <w:rPr>
                <w:sz w:val="28"/>
                <w:szCs w:val="28"/>
              </w:rPr>
            </w:pPr>
            <w:r>
              <w:rPr>
                <w:rFonts w:ascii="Times New Roman" w:hAnsi="Times New Roman"/>
                <w:i/>
                <w:color w:val="1F4E79"/>
                <w:sz w:val="28"/>
              </w:rPr>
              <w:t>Technical appendix</w:t>
            </w:r>
          </w:p>
        </w:tc>
      </w:tr>
    </w:tbl>
    <w:p w:rsidRPr="00BB2EAF" w:rsidR="000E4CB2" w:rsidP="000E4CB2" w:rsidRDefault="000E4CB2" w14:paraId="2BFD632C" w14:textId="77777777">
      <w:pPr>
        <w:spacing w:after="160" w:line="259" w:lineRule="auto"/>
      </w:pPr>
    </w:p>
    <w:p w:rsidRPr="00BB2EAF" w:rsidR="000E4CB2" w:rsidP="000E4CB2" w:rsidRDefault="000E4CB2" w14:paraId="32D2618E" w14:textId="77777777">
      <w:pPr>
        <w:spacing w:after="160" w:line="259" w:lineRule="auto"/>
      </w:pPr>
    </w:p>
    <w:sdt>
      <w:sdtPr>
        <w:rPr>
          <w:rFonts w:ascii="Times New Roman" w:hAnsi="Times New Roman" w:eastAsia="Times New Roman" w:cs="Times New Roman"/>
          <w:color w:val="auto"/>
          <w:sz w:val="22"/>
          <w:szCs w:val="20"/>
        </w:rPr>
        <w:id w:val="162291254"/>
        <w:docPartObj>
          <w:docPartGallery w:val="Table of Contents"/>
          <w:docPartUnique/>
        </w:docPartObj>
      </w:sdtPr>
      <w:sdtEndPr>
        <w:rPr>
          <w:b/>
          <w:bCs/>
        </w:rPr>
      </w:sdtEndPr>
      <w:sdtContent>
        <w:p w:rsidRPr="00BB2EAF" w:rsidR="000E4CB2" w:rsidP="000E4CB2" w:rsidRDefault="000E4CB2" w14:paraId="4BF564DE" w14:textId="77777777">
          <w:pPr>
            <w:pStyle w:val="TOCHeading"/>
            <w:rPr>
              <w:rFonts w:ascii="Times New Roman" w:hAnsi="Times New Roman" w:cs="Times New Roman"/>
            </w:rPr>
          </w:pPr>
          <w:r>
            <w:rPr>
              <w:rFonts w:ascii="Times New Roman" w:hAnsi="Times New Roman"/>
            </w:rPr>
            <w:t>Table of Contents</w:t>
          </w:r>
        </w:p>
        <w:p w:rsidRPr="00BB2EAF" w:rsidR="000E4CB2" w:rsidP="000E4CB2" w:rsidRDefault="000E4CB2" w14:paraId="202B8226" w14:textId="1D188E5E">
          <w:pPr>
            <w:pStyle w:val="TOC1"/>
            <w:rPr>
              <w:rFonts w:eastAsiaTheme="minorEastAsia"/>
              <w:b w:val="0"/>
            </w:rPr>
          </w:pPr>
          <w:r w:rsidRPr="00BB2EAF">
            <w:fldChar w:fldCharType="begin"/>
          </w:r>
          <w:r w:rsidRPr="00BB2EAF">
            <w:instrText xml:space="preserve"> TOC \o "1-3" \h \z \u </w:instrText>
          </w:r>
          <w:r w:rsidRPr="00BB2EAF">
            <w:fldChar w:fldCharType="separate"/>
          </w:r>
          <w:hyperlink w:history="1" w:anchor="_Toc128464362">
            <w:r w:rsidRPr="00BB2EAF">
              <w:rPr>
                <w:rStyle w:val="Hyperlink"/>
              </w:rPr>
              <w:t>1.</w:t>
            </w:r>
            <w:r w:rsidRPr="00BB2EAF">
              <w:rPr>
                <w:rFonts w:eastAsiaTheme="minorEastAsia"/>
                <w:b w:val="0"/>
              </w:rPr>
              <w:tab/>
            </w:r>
            <w:r w:rsidRPr="00BB2EAF">
              <w:rPr>
                <w:rStyle w:val="Hyperlink"/>
              </w:rPr>
              <w:t>Introduction</w:t>
            </w:r>
            <w:r w:rsidRPr="00BB2EAF">
              <w:rPr>
                <w:webHidden/>
              </w:rPr>
              <w:tab/>
            </w:r>
            <w:r w:rsidRPr="00BB2EAF">
              <w:rPr>
                <w:webHidden/>
              </w:rPr>
              <w:fldChar w:fldCharType="begin"/>
            </w:r>
            <w:r w:rsidRPr="00BB2EAF">
              <w:rPr>
                <w:webHidden/>
              </w:rPr>
              <w:instrText xml:space="preserve"> PAGEREF _Toc128464362 \h </w:instrText>
            </w:r>
            <w:r w:rsidRPr="00BB2EAF">
              <w:rPr>
                <w:webHidden/>
              </w:rPr>
            </w:r>
            <w:r w:rsidRPr="00BB2EAF">
              <w:rPr>
                <w:webHidden/>
              </w:rPr>
              <w:fldChar w:fldCharType="separate"/>
            </w:r>
            <w:r w:rsidR="00237EE5">
              <w:rPr>
                <w:webHidden/>
              </w:rPr>
              <w:t>8</w:t>
            </w:r>
            <w:r w:rsidRPr="00BB2EAF">
              <w:rPr>
                <w:webHidden/>
              </w:rPr>
              <w:fldChar w:fldCharType="end"/>
            </w:r>
          </w:hyperlink>
        </w:p>
        <w:p w:rsidRPr="00BB2EAF" w:rsidR="000E4CB2" w:rsidP="000E4CB2" w:rsidRDefault="006B2DFA" w14:paraId="402CBC0E" w14:textId="3DA1DE9B">
          <w:pPr>
            <w:pStyle w:val="TOC2"/>
            <w:tabs>
              <w:tab w:val="left" w:pos="880"/>
              <w:tab w:val="right" w:leader="dot" w:pos="9063"/>
            </w:tabs>
            <w:rPr>
              <w:rFonts w:eastAsiaTheme="minorEastAsia"/>
            </w:rPr>
          </w:pPr>
          <w:hyperlink w:history="1" w:anchor="_Toc128464363">
            <w:r w:rsidRPr="00BB2EAF" w:rsidR="000E4CB2">
              <w:rPr>
                <w:rStyle w:val="Hyperlink"/>
              </w:rPr>
              <w:t>1.1</w:t>
            </w:r>
            <w:r w:rsidRPr="00BB2EAF" w:rsidR="000E4CB2">
              <w:rPr>
                <w:rFonts w:eastAsiaTheme="minorEastAsia"/>
              </w:rPr>
              <w:tab/>
            </w:r>
            <w:r w:rsidRPr="00BB2EAF" w:rsidR="000E4CB2">
              <w:rPr>
                <w:rStyle w:val="Hyperlink"/>
              </w:rPr>
              <w:t>Methodology and sampling</w:t>
            </w:r>
            <w:r w:rsidRPr="00BB2EAF" w:rsidR="000E4CB2">
              <w:rPr>
                <w:webHidden/>
              </w:rPr>
              <w:tab/>
            </w:r>
            <w:r w:rsidRPr="00BB2EAF" w:rsidR="000E4CB2">
              <w:rPr>
                <w:webHidden/>
              </w:rPr>
              <w:fldChar w:fldCharType="begin"/>
            </w:r>
            <w:r w:rsidRPr="00BB2EAF" w:rsidR="000E4CB2">
              <w:rPr>
                <w:webHidden/>
              </w:rPr>
              <w:instrText xml:space="preserve"> PAGEREF _Toc128464363 \h </w:instrText>
            </w:r>
            <w:r w:rsidRPr="00BB2EAF" w:rsidR="000E4CB2">
              <w:rPr>
                <w:webHidden/>
              </w:rPr>
            </w:r>
            <w:r w:rsidRPr="00BB2EAF" w:rsidR="000E4CB2">
              <w:rPr>
                <w:webHidden/>
              </w:rPr>
              <w:fldChar w:fldCharType="separate"/>
            </w:r>
            <w:r w:rsidR="00237EE5">
              <w:rPr>
                <w:webHidden/>
              </w:rPr>
              <w:t>8</w:t>
            </w:r>
            <w:r w:rsidRPr="00BB2EAF" w:rsidR="000E4CB2">
              <w:rPr>
                <w:webHidden/>
              </w:rPr>
              <w:fldChar w:fldCharType="end"/>
            </w:r>
          </w:hyperlink>
        </w:p>
        <w:p w:rsidRPr="00BB2EAF" w:rsidR="000E4CB2" w:rsidP="000E4CB2" w:rsidRDefault="006B2DFA" w14:paraId="0F372D2C" w14:textId="7AC8FF35">
          <w:pPr>
            <w:pStyle w:val="TOC2"/>
            <w:tabs>
              <w:tab w:val="left" w:pos="880"/>
              <w:tab w:val="right" w:leader="dot" w:pos="9063"/>
            </w:tabs>
            <w:rPr>
              <w:rFonts w:eastAsiaTheme="minorEastAsia"/>
            </w:rPr>
          </w:pPr>
          <w:hyperlink w:history="1" w:anchor="_Toc128464364">
            <w:r w:rsidRPr="00BB2EAF" w:rsidR="000E4CB2">
              <w:rPr>
                <w:rStyle w:val="Hyperlink"/>
              </w:rPr>
              <w:t>1.2</w:t>
            </w:r>
            <w:r w:rsidRPr="00BB2EAF" w:rsidR="000E4CB2">
              <w:rPr>
                <w:rFonts w:eastAsiaTheme="minorEastAsia"/>
              </w:rPr>
              <w:tab/>
            </w:r>
            <w:r w:rsidRPr="00BB2EAF" w:rsidR="000E4CB2">
              <w:rPr>
                <w:rStyle w:val="Hyperlink"/>
              </w:rPr>
              <w:t>Fact-finding meetings</w:t>
            </w:r>
            <w:r w:rsidRPr="00BB2EAF" w:rsidR="000E4CB2">
              <w:rPr>
                <w:webHidden/>
              </w:rPr>
              <w:tab/>
            </w:r>
            <w:r w:rsidRPr="00BB2EAF" w:rsidR="000E4CB2">
              <w:rPr>
                <w:webHidden/>
              </w:rPr>
              <w:fldChar w:fldCharType="begin"/>
            </w:r>
            <w:r w:rsidRPr="00BB2EAF" w:rsidR="000E4CB2">
              <w:rPr>
                <w:webHidden/>
              </w:rPr>
              <w:instrText xml:space="preserve"> PAGEREF _Toc128464364 \h </w:instrText>
            </w:r>
            <w:r w:rsidRPr="00BB2EAF" w:rsidR="000E4CB2">
              <w:rPr>
                <w:webHidden/>
              </w:rPr>
            </w:r>
            <w:r w:rsidRPr="00BB2EAF" w:rsidR="000E4CB2">
              <w:rPr>
                <w:webHidden/>
              </w:rPr>
              <w:fldChar w:fldCharType="separate"/>
            </w:r>
            <w:r w:rsidR="00237EE5">
              <w:rPr>
                <w:webHidden/>
              </w:rPr>
              <w:t>8</w:t>
            </w:r>
            <w:r w:rsidRPr="00BB2EAF" w:rsidR="000E4CB2">
              <w:rPr>
                <w:webHidden/>
              </w:rPr>
              <w:fldChar w:fldCharType="end"/>
            </w:r>
          </w:hyperlink>
        </w:p>
        <w:p w:rsidRPr="00BB2EAF" w:rsidR="000E4CB2" w:rsidP="000E4CB2" w:rsidRDefault="006B2DFA" w14:paraId="52CC9A6B" w14:textId="40598F31">
          <w:pPr>
            <w:pStyle w:val="TOC2"/>
            <w:tabs>
              <w:tab w:val="left" w:pos="880"/>
              <w:tab w:val="right" w:leader="dot" w:pos="9063"/>
            </w:tabs>
            <w:rPr>
              <w:rFonts w:eastAsiaTheme="minorEastAsia"/>
            </w:rPr>
          </w:pPr>
          <w:hyperlink w:history="1" w:anchor="_Toc128464365">
            <w:r w:rsidRPr="00BB2EAF" w:rsidR="000E4CB2">
              <w:rPr>
                <w:rStyle w:val="Hyperlink"/>
              </w:rPr>
              <w:t>1.3</w:t>
            </w:r>
            <w:r w:rsidRPr="00BB2EAF" w:rsidR="000E4CB2">
              <w:rPr>
                <w:rFonts w:eastAsiaTheme="minorEastAsia"/>
              </w:rPr>
              <w:tab/>
            </w:r>
            <w:r w:rsidRPr="00BB2EAF" w:rsidR="000E4CB2">
              <w:rPr>
                <w:rStyle w:val="Hyperlink"/>
              </w:rPr>
              <w:t>Questionnaire</w:t>
            </w:r>
            <w:r w:rsidRPr="00BB2EAF" w:rsidR="000E4CB2">
              <w:rPr>
                <w:webHidden/>
              </w:rPr>
              <w:tab/>
            </w:r>
            <w:r w:rsidRPr="00BB2EAF" w:rsidR="000E4CB2">
              <w:rPr>
                <w:webHidden/>
              </w:rPr>
              <w:fldChar w:fldCharType="begin"/>
            </w:r>
            <w:r w:rsidRPr="00BB2EAF" w:rsidR="000E4CB2">
              <w:rPr>
                <w:webHidden/>
              </w:rPr>
              <w:instrText xml:space="preserve"> PAGEREF _Toc128464365 \h </w:instrText>
            </w:r>
            <w:r w:rsidRPr="00BB2EAF" w:rsidR="000E4CB2">
              <w:rPr>
                <w:webHidden/>
              </w:rPr>
            </w:r>
            <w:r w:rsidRPr="00BB2EAF" w:rsidR="000E4CB2">
              <w:rPr>
                <w:webHidden/>
              </w:rPr>
              <w:fldChar w:fldCharType="separate"/>
            </w:r>
            <w:r w:rsidR="00237EE5">
              <w:rPr>
                <w:webHidden/>
              </w:rPr>
              <w:t>9</w:t>
            </w:r>
            <w:r w:rsidRPr="00BB2EAF" w:rsidR="000E4CB2">
              <w:rPr>
                <w:webHidden/>
              </w:rPr>
              <w:fldChar w:fldCharType="end"/>
            </w:r>
          </w:hyperlink>
        </w:p>
        <w:p w:rsidRPr="00BB2EAF" w:rsidR="000E4CB2" w:rsidP="000E4CB2" w:rsidRDefault="006B2DFA" w14:paraId="0E4CE5DF" w14:textId="55679FDA">
          <w:pPr>
            <w:pStyle w:val="TOC2"/>
            <w:tabs>
              <w:tab w:val="left" w:pos="880"/>
              <w:tab w:val="right" w:leader="dot" w:pos="9063"/>
            </w:tabs>
            <w:rPr>
              <w:rFonts w:eastAsiaTheme="minorEastAsia"/>
            </w:rPr>
          </w:pPr>
          <w:hyperlink w:history="1" w:anchor="_Toc128464366">
            <w:r w:rsidRPr="00BB2EAF" w:rsidR="000E4CB2">
              <w:rPr>
                <w:rStyle w:val="Hyperlink"/>
              </w:rPr>
              <w:t>1.4</w:t>
            </w:r>
            <w:r w:rsidRPr="00BB2EAF" w:rsidR="000E4CB2">
              <w:rPr>
                <w:rFonts w:eastAsiaTheme="minorEastAsia"/>
              </w:rPr>
              <w:tab/>
            </w:r>
            <w:r w:rsidRPr="00BB2EAF" w:rsidR="000E4CB2">
              <w:rPr>
                <w:rStyle w:val="Hyperlink"/>
              </w:rPr>
              <w:t>Respondent breakdown</w:t>
            </w:r>
            <w:r w:rsidRPr="00BB2EAF" w:rsidR="000E4CB2">
              <w:rPr>
                <w:webHidden/>
              </w:rPr>
              <w:tab/>
            </w:r>
            <w:r w:rsidRPr="00BB2EAF" w:rsidR="000E4CB2">
              <w:rPr>
                <w:webHidden/>
              </w:rPr>
              <w:fldChar w:fldCharType="begin"/>
            </w:r>
            <w:r w:rsidRPr="00BB2EAF" w:rsidR="000E4CB2">
              <w:rPr>
                <w:webHidden/>
              </w:rPr>
              <w:instrText xml:space="preserve"> PAGEREF _Toc128464366 \h </w:instrText>
            </w:r>
            <w:r w:rsidRPr="00BB2EAF" w:rsidR="000E4CB2">
              <w:rPr>
                <w:webHidden/>
              </w:rPr>
            </w:r>
            <w:r w:rsidRPr="00BB2EAF" w:rsidR="000E4CB2">
              <w:rPr>
                <w:webHidden/>
              </w:rPr>
              <w:fldChar w:fldCharType="separate"/>
            </w:r>
            <w:r w:rsidR="00237EE5">
              <w:rPr>
                <w:webHidden/>
              </w:rPr>
              <w:t>9</w:t>
            </w:r>
            <w:r w:rsidRPr="00BB2EAF" w:rsidR="000E4CB2">
              <w:rPr>
                <w:webHidden/>
              </w:rPr>
              <w:fldChar w:fldCharType="end"/>
            </w:r>
          </w:hyperlink>
        </w:p>
        <w:p w:rsidRPr="00BB2EAF" w:rsidR="000E4CB2" w:rsidP="000E4CB2" w:rsidRDefault="006B2DFA" w14:paraId="371B5E2D" w14:textId="4ED1593B">
          <w:pPr>
            <w:pStyle w:val="TOC1"/>
            <w:rPr>
              <w:rFonts w:eastAsiaTheme="minorEastAsia"/>
              <w:b w:val="0"/>
            </w:rPr>
          </w:pPr>
          <w:hyperlink w:history="1" w:anchor="_Toc128464367">
            <w:r w:rsidRPr="00BB2EAF" w:rsidR="000E4CB2">
              <w:rPr>
                <w:rStyle w:val="Hyperlink"/>
              </w:rPr>
              <w:t>2.</w:t>
            </w:r>
            <w:r w:rsidRPr="00BB2EAF" w:rsidR="000E4CB2">
              <w:rPr>
                <w:rFonts w:eastAsiaTheme="minorEastAsia"/>
                <w:b w:val="0"/>
              </w:rPr>
              <w:tab/>
            </w:r>
            <w:r w:rsidRPr="00BB2EAF" w:rsidR="000E4CB2">
              <w:rPr>
                <w:rStyle w:val="Hyperlink"/>
              </w:rPr>
              <w:t>Focus of the evaluation report</w:t>
            </w:r>
            <w:r w:rsidRPr="00BB2EAF" w:rsidR="000E4CB2">
              <w:rPr>
                <w:webHidden/>
              </w:rPr>
              <w:tab/>
            </w:r>
            <w:r w:rsidRPr="00BB2EAF" w:rsidR="000E4CB2">
              <w:rPr>
                <w:webHidden/>
              </w:rPr>
              <w:fldChar w:fldCharType="begin"/>
            </w:r>
            <w:r w:rsidRPr="00BB2EAF" w:rsidR="000E4CB2">
              <w:rPr>
                <w:webHidden/>
              </w:rPr>
              <w:instrText xml:space="preserve"> PAGEREF _Toc128464367 \h </w:instrText>
            </w:r>
            <w:r w:rsidRPr="00BB2EAF" w:rsidR="000E4CB2">
              <w:rPr>
                <w:webHidden/>
              </w:rPr>
            </w:r>
            <w:r w:rsidRPr="00BB2EAF" w:rsidR="000E4CB2">
              <w:rPr>
                <w:webHidden/>
              </w:rPr>
              <w:fldChar w:fldCharType="separate"/>
            </w:r>
            <w:r w:rsidR="00237EE5">
              <w:rPr>
                <w:webHidden/>
              </w:rPr>
              <w:t>10</w:t>
            </w:r>
            <w:r w:rsidRPr="00BB2EAF" w:rsidR="000E4CB2">
              <w:rPr>
                <w:webHidden/>
              </w:rPr>
              <w:fldChar w:fldCharType="end"/>
            </w:r>
          </w:hyperlink>
        </w:p>
        <w:p w:rsidRPr="00BB2EAF" w:rsidR="000E4CB2" w:rsidP="000E4CB2" w:rsidRDefault="006B2DFA" w14:paraId="2FF8A6BC" w14:textId="02BCD852">
          <w:pPr>
            <w:pStyle w:val="TOC2"/>
            <w:tabs>
              <w:tab w:val="left" w:pos="880"/>
              <w:tab w:val="right" w:leader="dot" w:pos="9063"/>
            </w:tabs>
            <w:rPr>
              <w:rFonts w:eastAsiaTheme="minorEastAsia"/>
            </w:rPr>
          </w:pPr>
          <w:hyperlink w:history="1" w:anchor="_Toc128464368">
            <w:r w:rsidRPr="00BB2EAF" w:rsidR="000E4CB2">
              <w:rPr>
                <w:rStyle w:val="Hyperlink"/>
              </w:rPr>
              <w:t>2.1</w:t>
            </w:r>
            <w:r w:rsidRPr="00BB2EAF" w:rsidR="000E4CB2">
              <w:rPr>
                <w:rFonts w:eastAsiaTheme="minorEastAsia"/>
              </w:rPr>
              <w:tab/>
            </w:r>
            <w:r w:rsidRPr="00BB2EAF" w:rsidR="000E4CB2">
              <w:rPr>
                <w:rStyle w:val="Hyperlink"/>
              </w:rPr>
              <w:t>The policy and the evaluation criteria</w:t>
            </w:r>
            <w:r w:rsidRPr="00BB2EAF" w:rsidR="000E4CB2">
              <w:rPr>
                <w:webHidden/>
              </w:rPr>
              <w:tab/>
            </w:r>
            <w:r w:rsidRPr="00BB2EAF" w:rsidR="000E4CB2">
              <w:rPr>
                <w:webHidden/>
              </w:rPr>
              <w:fldChar w:fldCharType="begin"/>
            </w:r>
            <w:r w:rsidRPr="00BB2EAF" w:rsidR="000E4CB2">
              <w:rPr>
                <w:webHidden/>
              </w:rPr>
              <w:instrText xml:space="preserve"> PAGEREF _Toc128464368 \h </w:instrText>
            </w:r>
            <w:r w:rsidRPr="00BB2EAF" w:rsidR="000E4CB2">
              <w:rPr>
                <w:webHidden/>
              </w:rPr>
            </w:r>
            <w:r w:rsidRPr="00BB2EAF" w:rsidR="000E4CB2">
              <w:rPr>
                <w:webHidden/>
              </w:rPr>
              <w:fldChar w:fldCharType="separate"/>
            </w:r>
            <w:r w:rsidR="00237EE5">
              <w:rPr>
                <w:webHidden/>
              </w:rPr>
              <w:t>10</w:t>
            </w:r>
            <w:r w:rsidRPr="00BB2EAF" w:rsidR="000E4CB2">
              <w:rPr>
                <w:webHidden/>
              </w:rPr>
              <w:fldChar w:fldCharType="end"/>
            </w:r>
          </w:hyperlink>
        </w:p>
        <w:p w:rsidRPr="00BB2EAF" w:rsidR="000E4CB2" w:rsidP="000E4CB2" w:rsidRDefault="006B2DFA" w14:paraId="71215196" w14:textId="628AA278">
          <w:pPr>
            <w:pStyle w:val="TOC2"/>
            <w:tabs>
              <w:tab w:val="left" w:pos="880"/>
              <w:tab w:val="right" w:leader="dot" w:pos="9063"/>
            </w:tabs>
            <w:rPr>
              <w:rFonts w:eastAsiaTheme="minorEastAsia"/>
            </w:rPr>
          </w:pPr>
          <w:hyperlink w:history="1" w:anchor="_Toc128464369">
            <w:r w:rsidRPr="00BB2EAF" w:rsidR="000E4CB2">
              <w:rPr>
                <w:rStyle w:val="Hyperlink"/>
              </w:rPr>
              <w:t>2.2</w:t>
            </w:r>
            <w:r w:rsidRPr="00BB2EAF" w:rsidR="000E4CB2">
              <w:rPr>
                <w:rFonts w:eastAsiaTheme="minorEastAsia"/>
              </w:rPr>
              <w:tab/>
            </w:r>
            <w:r w:rsidRPr="00BB2EAF" w:rsidR="000E4CB2">
              <w:rPr>
                <w:rStyle w:val="Hyperlink"/>
              </w:rPr>
              <w:t>Overview of H2020 implementation in the selected Member States</w:t>
            </w:r>
            <w:r w:rsidRPr="00BB2EAF" w:rsidR="000E4CB2">
              <w:rPr>
                <w:webHidden/>
              </w:rPr>
              <w:tab/>
            </w:r>
            <w:r w:rsidRPr="00BB2EAF" w:rsidR="000E4CB2">
              <w:rPr>
                <w:webHidden/>
              </w:rPr>
              <w:fldChar w:fldCharType="begin"/>
            </w:r>
            <w:r w:rsidRPr="00BB2EAF" w:rsidR="000E4CB2">
              <w:rPr>
                <w:webHidden/>
              </w:rPr>
              <w:instrText xml:space="preserve"> PAGEREF _Toc128464369 \h </w:instrText>
            </w:r>
            <w:r w:rsidRPr="00BB2EAF" w:rsidR="000E4CB2">
              <w:rPr>
                <w:webHidden/>
              </w:rPr>
            </w:r>
            <w:r w:rsidRPr="00BB2EAF" w:rsidR="000E4CB2">
              <w:rPr>
                <w:webHidden/>
              </w:rPr>
              <w:fldChar w:fldCharType="separate"/>
            </w:r>
            <w:r w:rsidR="00237EE5">
              <w:rPr>
                <w:webHidden/>
              </w:rPr>
              <w:t>11</w:t>
            </w:r>
            <w:r w:rsidRPr="00BB2EAF" w:rsidR="000E4CB2">
              <w:rPr>
                <w:webHidden/>
              </w:rPr>
              <w:fldChar w:fldCharType="end"/>
            </w:r>
          </w:hyperlink>
        </w:p>
        <w:p w:rsidRPr="00BB2EAF" w:rsidR="000E4CB2" w:rsidP="000E4CB2" w:rsidRDefault="006B2DFA" w14:paraId="2643D8C9" w14:textId="24304FA6">
          <w:pPr>
            <w:pStyle w:val="TOC1"/>
            <w:rPr>
              <w:rFonts w:eastAsiaTheme="minorEastAsia"/>
              <w:b w:val="0"/>
            </w:rPr>
          </w:pPr>
          <w:hyperlink w:history="1" w:anchor="_Toc128464370">
            <w:r w:rsidRPr="00BB2EAF" w:rsidR="000E4CB2">
              <w:rPr>
                <w:rStyle w:val="Hyperlink"/>
              </w:rPr>
              <w:t>3.</w:t>
            </w:r>
            <w:r w:rsidRPr="00BB2EAF" w:rsidR="000E4CB2">
              <w:rPr>
                <w:rFonts w:eastAsiaTheme="minorEastAsia"/>
                <w:b w:val="0"/>
              </w:rPr>
              <w:tab/>
            </w:r>
            <w:r w:rsidRPr="00BB2EAF" w:rsidR="000E4CB2">
              <w:rPr>
                <w:rStyle w:val="Hyperlink"/>
              </w:rPr>
              <w:t>Primary data: findings and analysis</w:t>
            </w:r>
            <w:r w:rsidRPr="00BB2EAF" w:rsidR="000E4CB2">
              <w:rPr>
                <w:webHidden/>
              </w:rPr>
              <w:tab/>
            </w:r>
            <w:r w:rsidRPr="00BB2EAF" w:rsidR="000E4CB2">
              <w:rPr>
                <w:webHidden/>
              </w:rPr>
              <w:fldChar w:fldCharType="begin"/>
            </w:r>
            <w:r w:rsidRPr="00BB2EAF" w:rsidR="000E4CB2">
              <w:rPr>
                <w:webHidden/>
              </w:rPr>
              <w:instrText xml:space="preserve"> PAGEREF _Toc128464370 \h </w:instrText>
            </w:r>
            <w:r w:rsidRPr="00BB2EAF" w:rsidR="000E4CB2">
              <w:rPr>
                <w:webHidden/>
              </w:rPr>
            </w:r>
            <w:r w:rsidRPr="00BB2EAF" w:rsidR="000E4CB2">
              <w:rPr>
                <w:webHidden/>
              </w:rPr>
              <w:fldChar w:fldCharType="separate"/>
            </w:r>
            <w:r w:rsidR="00237EE5">
              <w:rPr>
                <w:webHidden/>
              </w:rPr>
              <w:t>13</w:t>
            </w:r>
            <w:r w:rsidRPr="00BB2EAF" w:rsidR="000E4CB2">
              <w:rPr>
                <w:webHidden/>
              </w:rPr>
              <w:fldChar w:fldCharType="end"/>
            </w:r>
          </w:hyperlink>
        </w:p>
        <w:p w:rsidRPr="00BB2EAF" w:rsidR="000E4CB2" w:rsidP="000E4CB2" w:rsidRDefault="006B2DFA" w14:paraId="13E06313" w14:textId="10FB374C">
          <w:pPr>
            <w:pStyle w:val="TOC2"/>
            <w:tabs>
              <w:tab w:val="left" w:pos="880"/>
              <w:tab w:val="right" w:leader="dot" w:pos="9063"/>
            </w:tabs>
            <w:rPr>
              <w:rFonts w:eastAsiaTheme="minorEastAsia"/>
            </w:rPr>
          </w:pPr>
          <w:hyperlink w:history="1" w:anchor="_Toc128464371">
            <w:r w:rsidRPr="00BB2EAF" w:rsidR="000E4CB2">
              <w:rPr>
                <w:rStyle w:val="Hyperlink"/>
              </w:rPr>
              <w:t>3.1</w:t>
            </w:r>
            <w:r w:rsidRPr="00BB2EAF" w:rsidR="000E4CB2">
              <w:rPr>
                <w:rFonts w:eastAsiaTheme="minorEastAsia"/>
              </w:rPr>
              <w:tab/>
            </w:r>
            <w:r w:rsidRPr="00BB2EAF" w:rsidR="000E4CB2">
              <w:rPr>
                <w:rStyle w:val="Hyperlink"/>
              </w:rPr>
              <w:t>Effectiveness</w:t>
            </w:r>
            <w:r w:rsidRPr="00BB2EAF" w:rsidR="000E4CB2">
              <w:rPr>
                <w:webHidden/>
              </w:rPr>
              <w:tab/>
            </w:r>
            <w:r w:rsidRPr="00BB2EAF" w:rsidR="000E4CB2">
              <w:rPr>
                <w:webHidden/>
              </w:rPr>
              <w:fldChar w:fldCharType="begin"/>
            </w:r>
            <w:r w:rsidRPr="00BB2EAF" w:rsidR="000E4CB2">
              <w:rPr>
                <w:webHidden/>
              </w:rPr>
              <w:instrText xml:space="preserve"> PAGEREF _Toc128464371 \h </w:instrText>
            </w:r>
            <w:r w:rsidRPr="00BB2EAF" w:rsidR="000E4CB2">
              <w:rPr>
                <w:webHidden/>
              </w:rPr>
            </w:r>
            <w:r w:rsidRPr="00BB2EAF" w:rsidR="000E4CB2">
              <w:rPr>
                <w:webHidden/>
              </w:rPr>
              <w:fldChar w:fldCharType="separate"/>
            </w:r>
            <w:r w:rsidR="00237EE5">
              <w:rPr>
                <w:webHidden/>
              </w:rPr>
              <w:t>13</w:t>
            </w:r>
            <w:r w:rsidRPr="00BB2EAF" w:rsidR="000E4CB2">
              <w:rPr>
                <w:webHidden/>
              </w:rPr>
              <w:fldChar w:fldCharType="end"/>
            </w:r>
          </w:hyperlink>
        </w:p>
        <w:p w:rsidRPr="00BB2EAF" w:rsidR="000E4CB2" w:rsidP="000E4CB2" w:rsidRDefault="006B2DFA" w14:paraId="22459164" w14:textId="2E764813">
          <w:pPr>
            <w:pStyle w:val="TOC2"/>
            <w:tabs>
              <w:tab w:val="left" w:pos="880"/>
              <w:tab w:val="right" w:leader="dot" w:pos="9063"/>
            </w:tabs>
            <w:rPr>
              <w:rFonts w:eastAsiaTheme="minorEastAsia"/>
            </w:rPr>
          </w:pPr>
          <w:hyperlink w:history="1" w:anchor="_Toc128464372">
            <w:r w:rsidRPr="00BB2EAF" w:rsidR="000E4CB2">
              <w:rPr>
                <w:rStyle w:val="Hyperlink"/>
              </w:rPr>
              <w:t>3.2</w:t>
            </w:r>
            <w:r w:rsidRPr="00BB2EAF" w:rsidR="000E4CB2">
              <w:rPr>
                <w:rFonts w:eastAsiaTheme="minorEastAsia"/>
              </w:rPr>
              <w:tab/>
            </w:r>
            <w:r w:rsidRPr="00BB2EAF" w:rsidR="000E4CB2">
              <w:rPr>
                <w:rStyle w:val="Hyperlink"/>
              </w:rPr>
              <w:t>Relevance</w:t>
            </w:r>
            <w:r w:rsidRPr="00BB2EAF" w:rsidR="000E4CB2">
              <w:rPr>
                <w:webHidden/>
              </w:rPr>
              <w:tab/>
            </w:r>
            <w:r w:rsidRPr="00BB2EAF" w:rsidR="000E4CB2">
              <w:rPr>
                <w:webHidden/>
              </w:rPr>
              <w:fldChar w:fldCharType="begin"/>
            </w:r>
            <w:r w:rsidRPr="00BB2EAF" w:rsidR="000E4CB2">
              <w:rPr>
                <w:webHidden/>
              </w:rPr>
              <w:instrText xml:space="preserve"> PAGEREF _Toc128464372 \h </w:instrText>
            </w:r>
            <w:r w:rsidRPr="00BB2EAF" w:rsidR="000E4CB2">
              <w:rPr>
                <w:webHidden/>
              </w:rPr>
            </w:r>
            <w:r w:rsidRPr="00BB2EAF" w:rsidR="000E4CB2">
              <w:rPr>
                <w:webHidden/>
              </w:rPr>
              <w:fldChar w:fldCharType="separate"/>
            </w:r>
            <w:r w:rsidR="00237EE5">
              <w:rPr>
                <w:webHidden/>
              </w:rPr>
              <w:t>31</w:t>
            </w:r>
            <w:r w:rsidRPr="00BB2EAF" w:rsidR="000E4CB2">
              <w:rPr>
                <w:webHidden/>
              </w:rPr>
              <w:fldChar w:fldCharType="end"/>
            </w:r>
          </w:hyperlink>
        </w:p>
        <w:p w:rsidRPr="00BB2EAF" w:rsidR="000E4CB2" w:rsidP="000E4CB2" w:rsidRDefault="006B2DFA" w14:paraId="61E779B9" w14:textId="4153BBFC">
          <w:pPr>
            <w:pStyle w:val="TOC2"/>
            <w:tabs>
              <w:tab w:val="left" w:pos="880"/>
              <w:tab w:val="right" w:leader="dot" w:pos="9063"/>
            </w:tabs>
            <w:rPr>
              <w:rFonts w:eastAsiaTheme="minorEastAsia"/>
            </w:rPr>
          </w:pPr>
          <w:hyperlink w:history="1" w:anchor="_Toc128464373">
            <w:r w:rsidRPr="00BB2EAF" w:rsidR="000E4CB2">
              <w:rPr>
                <w:rStyle w:val="Hyperlink"/>
              </w:rPr>
              <w:t>3.3</w:t>
            </w:r>
            <w:r w:rsidRPr="00BB2EAF" w:rsidR="000E4CB2">
              <w:rPr>
                <w:rFonts w:eastAsiaTheme="minorEastAsia"/>
              </w:rPr>
              <w:tab/>
            </w:r>
            <w:r w:rsidRPr="00BB2EAF" w:rsidR="000E4CB2">
              <w:rPr>
                <w:rStyle w:val="Hyperlink"/>
              </w:rPr>
              <w:t>Inclusion of civil society and added value</w:t>
            </w:r>
            <w:r w:rsidRPr="00BB2EAF" w:rsidR="000E4CB2">
              <w:rPr>
                <w:webHidden/>
              </w:rPr>
              <w:tab/>
            </w:r>
            <w:r w:rsidRPr="00BB2EAF" w:rsidR="000E4CB2">
              <w:rPr>
                <w:webHidden/>
              </w:rPr>
              <w:fldChar w:fldCharType="begin"/>
            </w:r>
            <w:r w:rsidRPr="00BB2EAF" w:rsidR="000E4CB2">
              <w:rPr>
                <w:webHidden/>
              </w:rPr>
              <w:instrText xml:space="preserve"> PAGEREF _Toc128464373 \h </w:instrText>
            </w:r>
            <w:r w:rsidRPr="00BB2EAF" w:rsidR="000E4CB2">
              <w:rPr>
                <w:webHidden/>
              </w:rPr>
            </w:r>
            <w:r w:rsidRPr="00BB2EAF" w:rsidR="000E4CB2">
              <w:rPr>
                <w:webHidden/>
              </w:rPr>
              <w:fldChar w:fldCharType="separate"/>
            </w:r>
            <w:r w:rsidR="00237EE5">
              <w:rPr>
                <w:webHidden/>
              </w:rPr>
              <w:t>36</w:t>
            </w:r>
            <w:r w:rsidRPr="00BB2EAF" w:rsidR="000E4CB2">
              <w:rPr>
                <w:webHidden/>
              </w:rPr>
              <w:fldChar w:fldCharType="end"/>
            </w:r>
          </w:hyperlink>
        </w:p>
        <w:p w:rsidRPr="00BB2EAF" w:rsidR="000E4CB2" w:rsidP="000E4CB2" w:rsidRDefault="006B2DFA" w14:paraId="0835AA97" w14:textId="5CD71EDE">
          <w:pPr>
            <w:pStyle w:val="TOC2"/>
            <w:tabs>
              <w:tab w:val="left" w:pos="880"/>
              <w:tab w:val="right" w:leader="dot" w:pos="9063"/>
            </w:tabs>
            <w:rPr>
              <w:rFonts w:eastAsiaTheme="minorEastAsia"/>
            </w:rPr>
          </w:pPr>
          <w:hyperlink w:history="1" w:anchor="_Toc128464374">
            <w:r w:rsidRPr="00BB2EAF" w:rsidR="000E4CB2">
              <w:rPr>
                <w:rStyle w:val="Hyperlink"/>
              </w:rPr>
              <w:t>3.4</w:t>
            </w:r>
            <w:r w:rsidRPr="00BB2EAF" w:rsidR="000E4CB2">
              <w:rPr>
                <w:rFonts w:eastAsiaTheme="minorEastAsia"/>
              </w:rPr>
              <w:tab/>
            </w:r>
            <w:r w:rsidRPr="00BB2EAF" w:rsidR="000E4CB2">
              <w:rPr>
                <w:rStyle w:val="Hyperlink"/>
              </w:rPr>
              <w:t>Additional comments</w:t>
            </w:r>
            <w:r w:rsidRPr="00BB2EAF" w:rsidR="000E4CB2">
              <w:rPr>
                <w:webHidden/>
              </w:rPr>
              <w:tab/>
            </w:r>
            <w:r w:rsidRPr="00BB2EAF" w:rsidR="000E4CB2">
              <w:rPr>
                <w:webHidden/>
              </w:rPr>
              <w:fldChar w:fldCharType="begin"/>
            </w:r>
            <w:r w:rsidRPr="00BB2EAF" w:rsidR="000E4CB2">
              <w:rPr>
                <w:webHidden/>
              </w:rPr>
              <w:instrText xml:space="preserve"> PAGEREF _Toc128464374 \h </w:instrText>
            </w:r>
            <w:r w:rsidRPr="00BB2EAF" w:rsidR="000E4CB2">
              <w:rPr>
                <w:webHidden/>
              </w:rPr>
            </w:r>
            <w:r w:rsidRPr="00BB2EAF" w:rsidR="000E4CB2">
              <w:rPr>
                <w:webHidden/>
              </w:rPr>
              <w:fldChar w:fldCharType="separate"/>
            </w:r>
            <w:r w:rsidR="00237EE5">
              <w:rPr>
                <w:webHidden/>
              </w:rPr>
              <w:t>41</w:t>
            </w:r>
            <w:r w:rsidRPr="00BB2EAF" w:rsidR="000E4CB2">
              <w:rPr>
                <w:webHidden/>
              </w:rPr>
              <w:fldChar w:fldCharType="end"/>
            </w:r>
          </w:hyperlink>
        </w:p>
        <w:p w:rsidRPr="00BB2EAF" w:rsidR="000E4CB2" w:rsidP="000E4CB2" w:rsidRDefault="006B2DFA" w14:paraId="0DDE2A6A" w14:textId="2E7AF99B">
          <w:pPr>
            <w:pStyle w:val="TOC1"/>
            <w:rPr>
              <w:rFonts w:eastAsiaTheme="minorEastAsia"/>
              <w:b w:val="0"/>
            </w:rPr>
          </w:pPr>
          <w:hyperlink w:history="1" w:anchor="_Toc128464375">
            <w:r w:rsidRPr="00BB2EAF" w:rsidR="000E4CB2">
              <w:rPr>
                <w:rStyle w:val="Hyperlink"/>
              </w:rPr>
              <w:t>4.</w:t>
            </w:r>
            <w:r w:rsidRPr="00BB2EAF" w:rsidR="000E4CB2">
              <w:rPr>
                <w:rFonts w:eastAsiaTheme="minorEastAsia"/>
                <w:b w:val="0"/>
              </w:rPr>
              <w:tab/>
            </w:r>
            <w:r w:rsidRPr="00BB2EAF" w:rsidR="000E4CB2">
              <w:rPr>
                <w:rStyle w:val="Hyperlink"/>
              </w:rPr>
              <w:t>Secondary data: literature review of EESC work</w:t>
            </w:r>
            <w:r w:rsidRPr="00BB2EAF" w:rsidR="000E4CB2">
              <w:rPr>
                <w:webHidden/>
              </w:rPr>
              <w:tab/>
            </w:r>
            <w:r w:rsidRPr="00BB2EAF" w:rsidR="000E4CB2">
              <w:rPr>
                <w:webHidden/>
              </w:rPr>
              <w:fldChar w:fldCharType="begin"/>
            </w:r>
            <w:r w:rsidRPr="00BB2EAF" w:rsidR="000E4CB2">
              <w:rPr>
                <w:webHidden/>
              </w:rPr>
              <w:instrText xml:space="preserve"> PAGEREF _Toc128464375 \h </w:instrText>
            </w:r>
            <w:r w:rsidRPr="00BB2EAF" w:rsidR="000E4CB2">
              <w:rPr>
                <w:webHidden/>
              </w:rPr>
            </w:r>
            <w:r w:rsidRPr="00BB2EAF" w:rsidR="000E4CB2">
              <w:rPr>
                <w:webHidden/>
              </w:rPr>
              <w:fldChar w:fldCharType="separate"/>
            </w:r>
            <w:r w:rsidR="00237EE5">
              <w:rPr>
                <w:webHidden/>
              </w:rPr>
              <w:t>41</w:t>
            </w:r>
            <w:r w:rsidRPr="00BB2EAF" w:rsidR="000E4CB2">
              <w:rPr>
                <w:webHidden/>
              </w:rPr>
              <w:fldChar w:fldCharType="end"/>
            </w:r>
          </w:hyperlink>
        </w:p>
        <w:p w:rsidRPr="00BB2EAF" w:rsidR="000E4CB2" w:rsidP="000E4CB2" w:rsidRDefault="006B2DFA" w14:paraId="1F0DE9E5" w14:textId="5C9957C2">
          <w:pPr>
            <w:pStyle w:val="TOC1"/>
            <w:rPr>
              <w:rFonts w:eastAsiaTheme="minorEastAsia"/>
              <w:b w:val="0"/>
            </w:rPr>
          </w:pPr>
          <w:hyperlink w:history="1" w:anchor="_Toc128464376">
            <w:r w:rsidRPr="00BB2EAF" w:rsidR="000E4CB2">
              <w:rPr>
                <w:rStyle w:val="Hyperlink"/>
              </w:rPr>
              <w:t>5.</w:t>
            </w:r>
            <w:r w:rsidRPr="00BB2EAF" w:rsidR="000E4CB2">
              <w:rPr>
                <w:rFonts w:eastAsiaTheme="minorEastAsia"/>
                <w:b w:val="0"/>
              </w:rPr>
              <w:tab/>
            </w:r>
            <w:r w:rsidRPr="00BB2EAF" w:rsidR="000E4CB2">
              <w:rPr>
                <w:rStyle w:val="Hyperlink"/>
              </w:rPr>
              <w:t>List of organisations consulted</w:t>
            </w:r>
            <w:r w:rsidRPr="00BB2EAF" w:rsidR="000E4CB2">
              <w:rPr>
                <w:webHidden/>
              </w:rPr>
              <w:tab/>
            </w:r>
            <w:r w:rsidRPr="00BB2EAF" w:rsidR="000E4CB2">
              <w:rPr>
                <w:webHidden/>
              </w:rPr>
              <w:fldChar w:fldCharType="begin"/>
            </w:r>
            <w:r w:rsidRPr="00BB2EAF" w:rsidR="000E4CB2">
              <w:rPr>
                <w:webHidden/>
              </w:rPr>
              <w:instrText xml:space="preserve"> PAGEREF _Toc128464376 \h </w:instrText>
            </w:r>
            <w:r w:rsidRPr="00BB2EAF" w:rsidR="000E4CB2">
              <w:rPr>
                <w:webHidden/>
              </w:rPr>
            </w:r>
            <w:r w:rsidRPr="00BB2EAF" w:rsidR="000E4CB2">
              <w:rPr>
                <w:webHidden/>
              </w:rPr>
              <w:fldChar w:fldCharType="separate"/>
            </w:r>
            <w:r w:rsidR="00237EE5">
              <w:rPr>
                <w:webHidden/>
              </w:rPr>
              <w:t>45</w:t>
            </w:r>
            <w:r w:rsidRPr="00BB2EAF" w:rsidR="000E4CB2">
              <w:rPr>
                <w:webHidden/>
              </w:rPr>
              <w:fldChar w:fldCharType="end"/>
            </w:r>
          </w:hyperlink>
        </w:p>
        <w:p w:rsidRPr="00BB2EAF" w:rsidR="000E4CB2" w:rsidP="000E4CB2" w:rsidRDefault="000E4CB2" w14:paraId="73D2B14F" w14:textId="77777777">
          <w:r w:rsidRPr="00BB2EAF">
            <w:rPr>
              <w:b/>
            </w:rPr>
            <w:fldChar w:fldCharType="end"/>
          </w:r>
        </w:p>
      </w:sdtContent>
    </w:sdt>
    <w:p w:rsidRPr="00BB2EAF" w:rsidR="000E4CB2" w:rsidP="000E4CB2" w:rsidRDefault="000E4CB2" w14:paraId="74E90999" w14:textId="77777777">
      <w:pPr>
        <w:spacing w:after="160" w:line="259" w:lineRule="auto"/>
        <w:rPr>
          <w:b/>
        </w:rPr>
        <w:sectPr w:rsidRPr="00BB2EAF" w:rsidR="000E4CB2" w:rsidSect="0042578F">
          <w:headerReference w:type="even" r:id="rId21"/>
          <w:headerReference w:type="default" r:id="rId22"/>
          <w:footerReference w:type="even" r:id="rId23"/>
          <w:footerReference w:type="default" r:id="rId24"/>
          <w:headerReference w:type="first" r:id="rId25"/>
          <w:footerReference w:type="first" r:id="rId26"/>
          <w:pgSz w:w="11907" w:h="16839"/>
          <w:pgMar w:top="1417" w:right="1417" w:bottom="1417" w:left="1417" w:header="709" w:footer="709" w:gutter="0"/>
          <w:cols w:space="708"/>
          <w:docGrid w:linePitch="360"/>
        </w:sectPr>
      </w:pPr>
    </w:p>
    <w:p w:rsidRPr="00BB2EAF" w:rsidR="000E4CB2" w:rsidP="000E4CB2" w:rsidRDefault="000E4CB2" w14:paraId="2B2233FC" w14:textId="77777777">
      <w:pPr>
        <w:pStyle w:val="Heading1"/>
        <w:numPr>
          <w:ilvl w:val="0"/>
          <w:numId w:val="10"/>
        </w:numPr>
      </w:pPr>
      <w:bookmarkStart w:name="_Toc128464331" w:id="0"/>
      <w:bookmarkStart w:name="_Toc128464362" w:id="1"/>
      <w:r>
        <w:lastRenderedPageBreak/>
        <w:t>Introduction</w:t>
      </w:r>
      <w:bookmarkEnd w:id="0"/>
      <w:bookmarkEnd w:id="1"/>
    </w:p>
    <w:p w:rsidRPr="00BB2EAF" w:rsidR="000E4CB2" w:rsidP="000E4CB2" w:rsidRDefault="000E4CB2" w14:paraId="5A3118B2" w14:textId="77777777"/>
    <w:p w:rsidRPr="00BB2EAF" w:rsidR="000E4CB2" w:rsidP="000E4CB2" w:rsidRDefault="000E4CB2" w14:paraId="288D4FD0" w14:textId="77777777">
      <w:r>
        <w:t>The European Economic and Social Committee has drawn up an evaluation report assessing (</w:t>
      </w:r>
      <w:r>
        <w:rPr>
          <w:i/>
        </w:rPr>
        <w:t>ex post</w:t>
      </w:r>
      <w:r>
        <w:t>) the implementation of the EU's Framework Programme for Research and Innovation (2014-2020) – Horizon 2020 (hereafter referred to as H2020). The programme was set out in Regulation (EU) No 1291/2013 (Horizon 2020 Regulation), with Council Decision 2013/743/EU establishing the specific programme; Regulation (EU) No 1290/2013 laid down the rules for participation and dissemination. The report reflects the views of social partners and civil society organisations, including public authorities, in selected EU Member States (Croatia, Latvia, the Netherlands and Portugal) on the effectiveness, relevance and added value of civil society involvement in the implementation of this programme.</w:t>
      </w:r>
    </w:p>
    <w:p w:rsidRPr="00BB2EAF" w:rsidR="000E4CB2" w:rsidP="000E4CB2" w:rsidRDefault="000E4CB2" w14:paraId="503BAEA9" w14:textId="77777777"/>
    <w:p w:rsidRPr="00BB2EAF" w:rsidR="000E4CB2" w:rsidP="000E4CB2" w:rsidRDefault="000E4CB2" w14:paraId="1CA869E8" w14:textId="77777777">
      <w:r>
        <w:t>Based on findings collected during in-person and virtual meetings in the aforementioned EU Member States and expert online questionnaire replies, this technical appendix gathers, analyses and summarises the views of civil society organisations and of public authorities on the implementation of H2020 in these countries. In particular, stakeholders were asked to share their views on the relevance, effectiveness and added value for civil society of the implementation of the H2020 programme. In collecting these views, the EESC focused on the following key aspects: support for micro-, small and medium-sized enterprises (MSMEs); procedures and simplification; and synergies with other funds and tools.</w:t>
      </w:r>
    </w:p>
    <w:p w:rsidRPr="00BB2EAF" w:rsidR="000E4CB2" w:rsidP="000E4CB2" w:rsidRDefault="000E4CB2" w14:paraId="03F39AF6" w14:textId="77777777"/>
    <w:p w:rsidRPr="00BB2EAF" w:rsidR="000E4CB2" w:rsidP="000E4CB2" w:rsidRDefault="000E4CB2" w14:paraId="338C9341" w14:textId="77777777">
      <w:pPr>
        <w:rPr>
          <w:rStyle w:val="normaltextrun"/>
        </w:rPr>
      </w:pPr>
      <w:r>
        <w:t>The evaluation report and this appendix aim to inform policymakers of the views of civil society organisations and public authorities regarding the implementation of H2020 and assess their experience and role in the implementation of this programme, aiming to contribute to the European Commission's evaluation. These documents will be shared with the European Commission and other relevant stakeholders.</w:t>
      </w:r>
    </w:p>
    <w:p w:rsidRPr="00BB2EAF" w:rsidR="000E4CB2" w:rsidP="000E4CB2" w:rsidRDefault="000E4CB2" w14:paraId="32F9EDD2" w14:textId="77777777">
      <w:pPr>
        <w:rPr>
          <w:rStyle w:val="normaltextrun"/>
        </w:rPr>
      </w:pPr>
    </w:p>
    <w:p w:rsidRPr="00BB2EAF" w:rsidR="000E4CB2" w:rsidP="000E4CB2" w:rsidRDefault="000E4CB2" w14:paraId="39255686" w14:textId="77777777">
      <w:pPr>
        <w:pStyle w:val="Heading2"/>
        <w:ind w:left="567" w:hanging="567"/>
        <w:rPr>
          <w:b/>
          <w:bCs/>
        </w:rPr>
      </w:pPr>
      <w:bookmarkStart w:name="_Toc65094376" w:id="2"/>
      <w:bookmarkStart w:name="_Toc128464332" w:id="3"/>
      <w:bookmarkStart w:name="_Toc128464363" w:id="4"/>
      <w:r>
        <w:t>Methodology</w:t>
      </w:r>
      <w:bookmarkEnd w:id="2"/>
      <w:r>
        <w:t xml:space="preserve"> and sampling</w:t>
      </w:r>
      <w:bookmarkEnd w:id="3"/>
      <w:bookmarkEnd w:id="4"/>
    </w:p>
    <w:p w:rsidRPr="00BB2EAF" w:rsidR="000E4CB2" w:rsidP="000E4CB2" w:rsidRDefault="000E4CB2" w14:paraId="68752639" w14:textId="77777777"/>
    <w:p w:rsidRPr="00BB2EAF" w:rsidR="000E4CB2" w:rsidP="000E4CB2" w:rsidRDefault="000E4CB2" w14:paraId="714846D9" w14:textId="77777777">
      <w:r>
        <w:t>The members of the EESC study group collected the views of civil society organisations and public authorities through two channels: four in-person or virtual fact-finding visits in the selected countries and a targeted online questionnaire.</w:t>
      </w:r>
    </w:p>
    <w:p w:rsidRPr="00BB2EAF" w:rsidR="000E4CB2" w:rsidP="000E4CB2" w:rsidRDefault="000E4CB2" w14:paraId="7CD2F37B" w14:textId="77777777"/>
    <w:p w:rsidRPr="00BB2EAF" w:rsidR="000E4CB2" w:rsidP="000E4CB2" w:rsidRDefault="000E4CB2" w14:paraId="43D3B13E" w14:textId="77777777">
      <w:r>
        <w:t>Secondary data collected on the EESC's past work on the subject was also analysed.</w:t>
      </w:r>
    </w:p>
    <w:p w:rsidRPr="00BB2EAF" w:rsidR="000E4CB2" w:rsidP="000E4CB2" w:rsidRDefault="000E4CB2" w14:paraId="2B435F3B" w14:textId="77777777"/>
    <w:p w:rsidRPr="00BB2EAF" w:rsidR="000E4CB2" w:rsidP="000E4CB2" w:rsidRDefault="000E4CB2" w14:paraId="52A92DC1" w14:textId="77777777">
      <w:pPr>
        <w:pStyle w:val="Heading2"/>
        <w:ind w:left="567" w:hanging="567"/>
        <w:rPr>
          <w:bCs/>
        </w:rPr>
      </w:pPr>
      <w:bookmarkStart w:name="_Toc128464333" w:id="5"/>
      <w:bookmarkStart w:name="_Toc128464364" w:id="6"/>
      <w:r>
        <w:t>Fact-finding meetings</w:t>
      </w:r>
      <w:bookmarkEnd w:id="5"/>
      <w:bookmarkEnd w:id="6"/>
    </w:p>
    <w:p w:rsidRPr="00BB2EAF" w:rsidR="000E4CB2" w:rsidP="000E4CB2" w:rsidRDefault="000E4CB2" w14:paraId="3F4D1E5A" w14:textId="77777777"/>
    <w:p w:rsidRPr="00BB2EAF" w:rsidR="000E4CB2" w:rsidP="000E4CB2" w:rsidRDefault="000E4CB2" w14:paraId="0C92495A" w14:textId="77777777">
      <w:r>
        <w:t>The fact-finding meetings included semi-structured interviews with local civil society organisations and representatives of public authorities, generally following the thematic structure of the questionnaire. They took place either in person or via the Interactio online platform.</w:t>
      </w:r>
    </w:p>
    <w:p w:rsidRPr="00BB2EAF" w:rsidR="000E4CB2" w:rsidP="000E4CB2" w:rsidRDefault="000E4CB2" w14:paraId="6314AF53" w14:textId="77777777"/>
    <w:p w:rsidRPr="00BB2EAF" w:rsidR="000E4CB2" w:rsidP="000E4CB2" w:rsidRDefault="000E4CB2" w14:paraId="2B96F4BF" w14:textId="77777777">
      <w:r>
        <w:t>The sample of Member States was selected by the study group based on criteria adopted by the EESC Bureau on 13 December 2022. The European Commission was also informed about the sample.</w:t>
      </w:r>
    </w:p>
    <w:p w:rsidRPr="00BB2EAF" w:rsidR="000E4CB2" w:rsidP="000E4CB2" w:rsidRDefault="000E4CB2" w14:paraId="593804F3" w14:textId="77777777"/>
    <w:p w:rsidRPr="00BB2EAF" w:rsidR="000E4CB2" w:rsidP="000E4CB2" w:rsidRDefault="000E4CB2" w14:paraId="5522B5A5" w14:textId="77777777">
      <w:r>
        <w:t>The countries were selected based on:</w:t>
      </w:r>
    </w:p>
    <w:p w:rsidRPr="00BB2EAF" w:rsidR="000E4CB2" w:rsidP="000E4CB2" w:rsidRDefault="000E4CB2" w14:paraId="2F9F4CD7" w14:textId="77777777"/>
    <w:p w:rsidRPr="00BB2EAF" w:rsidR="000E4CB2" w:rsidP="000E4CB2" w:rsidRDefault="000E4CB2" w14:paraId="0D539C0A" w14:textId="77777777">
      <w:pPr>
        <w:pStyle w:val="ListParagraph"/>
        <w:numPr>
          <w:ilvl w:val="0"/>
          <w:numId w:val="2"/>
        </w:numPr>
        <w:overflowPunct/>
        <w:autoSpaceDE/>
        <w:autoSpaceDN/>
        <w:adjustRightInd/>
        <w:textAlignment w:val="auto"/>
      </w:pPr>
      <w:r>
        <w:rPr>
          <w:i/>
        </w:rPr>
        <w:lastRenderedPageBreak/>
        <w:t>political spread</w:t>
      </w:r>
      <w:r>
        <w:t xml:space="preserve"> e.g. high/low level of implementation, application success rates, most/least affected by the legislative proposal/programme, etc.;</w:t>
      </w:r>
    </w:p>
    <w:p w:rsidRPr="00BB2EAF" w:rsidR="000E4CB2" w:rsidP="000E4CB2" w:rsidRDefault="000E4CB2" w14:paraId="5B95ED7E" w14:textId="77777777">
      <w:pPr>
        <w:pStyle w:val="ListParagraph"/>
        <w:numPr>
          <w:ilvl w:val="0"/>
          <w:numId w:val="2"/>
        </w:numPr>
        <w:overflowPunct/>
        <w:autoSpaceDE/>
        <w:autoSpaceDN/>
        <w:adjustRightInd/>
        <w:textAlignment w:val="auto"/>
      </w:pPr>
      <w:r>
        <w:rPr>
          <w:i/>
        </w:rPr>
        <w:t>geographical spread</w:t>
      </w:r>
      <w:r>
        <w:t xml:space="preserve"> i.e. by setting up four groups of Member States and choosing one from each group.</w:t>
      </w:r>
    </w:p>
    <w:p w:rsidRPr="00BB2EAF" w:rsidR="000E4CB2" w:rsidP="000E4CB2" w:rsidRDefault="000E4CB2" w14:paraId="21C4EE04" w14:textId="77777777">
      <w:pPr>
        <w:pStyle w:val="ListParagraph"/>
        <w:ind w:left="0"/>
      </w:pPr>
    </w:p>
    <w:p w:rsidRPr="00BB2EAF" w:rsidR="000E4CB2" w:rsidP="000E4CB2" w:rsidRDefault="000E4CB2" w14:paraId="1AEBD0DE" w14:textId="77777777">
      <w:pPr>
        <w:rPr>
          <w:b/>
          <w:bCs/>
          <w:color w:val="000000" w:themeColor="text1"/>
        </w:rPr>
      </w:pPr>
      <w:r>
        <w:t>The following EU Member States were selected for this information report where in-person or virtual fact-finding meetings took place:</w:t>
      </w:r>
      <w:r>
        <w:rPr>
          <w:b/>
          <w:color w:val="000000" w:themeColor="text1"/>
        </w:rPr>
        <w:t xml:space="preserve"> Latvia (8 December 2022), the Netherlands (13 December 2022), Croatia (21 December 2022) </w:t>
      </w:r>
      <w:r>
        <w:rPr>
          <w:color w:val="000000" w:themeColor="text1"/>
        </w:rPr>
        <w:t>and</w:t>
      </w:r>
      <w:r>
        <w:rPr>
          <w:b/>
          <w:color w:val="000000" w:themeColor="text1"/>
        </w:rPr>
        <w:t xml:space="preserve"> Portugal (16 January 2023).</w:t>
      </w:r>
    </w:p>
    <w:p w:rsidRPr="00BB2EAF" w:rsidR="000E4CB2" w:rsidP="000E4CB2" w:rsidRDefault="000E4CB2" w14:paraId="63B89E14" w14:textId="77777777"/>
    <w:p w:rsidRPr="00BB2EAF" w:rsidR="000E4CB2" w:rsidP="000E4CB2" w:rsidRDefault="000E4CB2" w14:paraId="3C953F68" w14:textId="77777777">
      <w:pPr>
        <w:pStyle w:val="Heading2"/>
        <w:ind w:left="567" w:hanging="567"/>
        <w:rPr>
          <w:bCs/>
        </w:rPr>
      </w:pPr>
      <w:bookmarkStart w:name="_Toc128464334" w:id="7"/>
      <w:bookmarkStart w:name="_Toc128464365" w:id="8"/>
      <w:r>
        <w:t>Questionnaire</w:t>
      </w:r>
      <w:bookmarkEnd w:id="7"/>
      <w:bookmarkEnd w:id="8"/>
    </w:p>
    <w:p w:rsidRPr="00BB2EAF" w:rsidR="000E4CB2" w:rsidP="000E4CB2" w:rsidRDefault="000E4CB2" w14:paraId="44AE3FF7" w14:textId="77777777"/>
    <w:p w:rsidRPr="00BB2EAF" w:rsidR="000E4CB2" w:rsidP="000E4CB2" w:rsidRDefault="000E4CB2" w14:paraId="6BD8AFA2" w14:textId="77777777">
      <w:r>
        <w:t>The questionnaire was created on the EUSurvey online portal, using a combination of question formats (filter questions, closed and open-ended questions, a grid). The questionnaire consultation was open from 3 December 2022 to 22 January 2023.</w:t>
      </w:r>
    </w:p>
    <w:p w:rsidRPr="00BB2EAF" w:rsidR="000E4CB2" w:rsidP="000E4CB2" w:rsidRDefault="000E4CB2" w14:paraId="72D6CFF0" w14:textId="77777777"/>
    <w:p w:rsidRPr="00BB2EAF" w:rsidR="000E4CB2" w:rsidP="000E4CB2" w:rsidRDefault="000E4CB2" w14:paraId="35F40E38" w14:textId="77777777">
      <w:r>
        <w:t>The aim of the questionnaire was to complement the information obtained from the fact-finding meetings. Composed of 30 questions, the questionnaire was sent to organisations in the Member States selected for the fact-finding meetings (not only to those participating in the in-person or virtual meetings, but also to other relevant organisations).</w:t>
      </w:r>
    </w:p>
    <w:p w:rsidRPr="00BB2EAF" w:rsidR="000E4CB2" w:rsidP="000E4CB2" w:rsidRDefault="000E4CB2" w14:paraId="6ED240B3" w14:textId="77777777"/>
    <w:p w:rsidRPr="00BB2EAF" w:rsidR="000E4CB2" w:rsidP="000E4CB2" w:rsidRDefault="000E4CB2" w14:paraId="13090260" w14:textId="77777777">
      <w:pPr>
        <w:pStyle w:val="Heading2"/>
        <w:ind w:left="567" w:hanging="567"/>
        <w:rPr>
          <w:bCs/>
        </w:rPr>
      </w:pPr>
      <w:bookmarkStart w:name="_Toc128464335" w:id="9"/>
      <w:bookmarkStart w:name="_Toc128464366" w:id="10"/>
      <w:r>
        <w:t>Respondent breakdown</w:t>
      </w:r>
      <w:bookmarkEnd w:id="9"/>
      <w:bookmarkEnd w:id="10"/>
    </w:p>
    <w:p w:rsidRPr="00BB2EAF" w:rsidR="000E4CB2" w:rsidP="000E4CB2" w:rsidRDefault="000E4CB2" w14:paraId="5BACCD5A" w14:textId="77777777"/>
    <w:p w:rsidRPr="00BB2EAF" w:rsidR="000E4CB2" w:rsidP="000E4CB2" w:rsidRDefault="000E4CB2" w14:paraId="0F4EE38B" w14:textId="77777777">
      <w:r>
        <w:t>During the four virtual fact-finding visits, the EESC delegation consulted in total about 37 representatives of research institutions, the business sector, civil society organisations and public authorities. It is important to note, however, that the total number of people interviewed was slightly higher as on many occasions more than one representative of an organisation participated in the meeting.</w:t>
      </w:r>
    </w:p>
    <w:p w:rsidRPr="00BB2EAF" w:rsidR="000E4CB2" w:rsidP="000E4CB2" w:rsidRDefault="000E4CB2" w14:paraId="607C09E9" w14:textId="77777777"/>
    <w:p w:rsidRPr="00BB2EAF" w:rsidR="000E4CB2" w:rsidP="000E4CB2" w:rsidRDefault="000E4CB2" w14:paraId="11951540" w14:textId="68D734E5">
      <w:r>
        <w:t>In addition, 39 contributions were collected through the online questionnaire, including 22 representatives from research and academia (56%), 4 representatives from public authorities, 4 from the business sector and 4 representatives from other civil society organisations; 5 respondents considered themselves as "other".</w:t>
      </w:r>
    </w:p>
    <w:p w:rsidRPr="00BB2EAF" w:rsidR="000E4CB2" w:rsidP="000E4CB2" w:rsidRDefault="000E4CB2" w14:paraId="1F5CF76B" w14:textId="77777777"/>
    <w:p w:rsidRPr="00BB2EAF" w:rsidR="000E4CB2" w:rsidP="000E4CB2" w:rsidRDefault="000E4CB2" w14:paraId="4C8C7C11" w14:textId="77777777">
      <w:r>
        <w:rPr>
          <w:noProof/>
          <w:lang w:eastAsia="fi-FI"/>
        </w:rPr>
        <w:drawing>
          <wp:inline distT="0" distB="0" distL="0" distR="0" wp14:anchorId="75AE4E2A" wp14:editId="3AF99F5D">
            <wp:extent cx="6000750" cy="2470150"/>
            <wp:effectExtent l="0" t="0" r="0" b="6350"/>
            <wp:docPr id="37" name="Chart 37">
              <a:extLst xmlns:a="http://schemas.openxmlformats.org/drawingml/2006/main">
                <a:ext uri="{FF2B5EF4-FFF2-40B4-BE49-F238E27FC236}">
                  <a16:creationId xmlns:a16="http://schemas.microsoft.com/office/drawing/2014/main" id="{EE281001-C8D4-4584-AC1C-ACCE150284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Pr="00BB2EAF" w:rsidR="000E4CB2" w:rsidP="000E4CB2" w:rsidRDefault="000E4CB2" w14:paraId="44807ADB" w14:textId="77777777"/>
    <w:p w:rsidRPr="00BB2EAF" w:rsidR="000E4CB2" w:rsidP="000E4CB2" w:rsidRDefault="000E4CB2" w14:paraId="0FF605DE" w14:textId="77777777">
      <w:r>
        <w:t xml:space="preserve">Regarding the origin of the respondents, there was a relatively even distribution of answers across the four countries, with the most answers coming from Croatia (13) and the least from Latvia (6). </w:t>
      </w:r>
    </w:p>
    <w:p w:rsidRPr="00BB2EAF" w:rsidR="000E4CB2" w:rsidP="000E4CB2" w:rsidRDefault="000E4CB2" w14:paraId="6C4BD51C" w14:textId="77777777"/>
    <w:p w:rsidRPr="00BB2EAF" w:rsidR="000E4CB2" w:rsidP="000E4CB2" w:rsidRDefault="000E4CB2" w14:paraId="343B8D9B" w14:textId="77777777">
      <w:r>
        <w:rPr>
          <w:noProof/>
          <w:lang w:eastAsia="fi-FI"/>
        </w:rPr>
        <w:drawing>
          <wp:inline distT="0" distB="0" distL="0" distR="0" wp14:anchorId="1563813D" wp14:editId="2561BB75">
            <wp:extent cx="5715000" cy="2241550"/>
            <wp:effectExtent l="0" t="0" r="0" b="6350"/>
            <wp:docPr id="1" name="Chart 1">
              <a:extLst xmlns:a="http://schemas.openxmlformats.org/drawingml/2006/main">
                <a:ext uri="{FF2B5EF4-FFF2-40B4-BE49-F238E27FC236}">
                  <a16:creationId xmlns:a16="http://schemas.microsoft.com/office/drawing/2014/main" id="{EDA8120E-9C90-4498-88A5-F49817B649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Pr="00BB2EAF" w:rsidR="000E4CB2" w:rsidP="000E4CB2" w:rsidRDefault="000E4CB2" w14:paraId="6BB445A7" w14:textId="77777777"/>
    <w:p w:rsidRPr="00BB2EAF" w:rsidR="000E4CB2" w:rsidP="000E4CB2" w:rsidRDefault="000E4CB2" w14:paraId="7DE10968" w14:textId="77777777">
      <w:r>
        <w:t>The complete list of organisations consulted via the fact-finding meetings and via the questionnaire is available in chapter 5 of this report.</w:t>
      </w:r>
    </w:p>
    <w:p w:rsidRPr="00BB2EAF" w:rsidR="000E4CB2" w:rsidP="000E4CB2" w:rsidRDefault="000E4CB2" w14:paraId="3D32D0CB" w14:textId="4CD63016">
      <w:pPr>
        <w:spacing w:after="160" w:line="259" w:lineRule="auto"/>
        <w:jc w:val="left"/>
      </w:pPr>
    </w:p>
    <w:p w:rsidRPr="00BB2EAF" w:rsidR="000E4CB2" w:rsidP="00C94E47" w:rsidRDefault="000E4CB2" w14:paraId="6180D8E1" w14:textId="77777777">
      <w:pPr>
        <w:pStyle w:val="Heading1"/>
        <w:keepNext/>
        <w:ind w:left="567" w:hanging="567"/>
      </w:pPr>
      <w:bookmarkStart w:name="_Toc128464336" w:id="11"/>
      <w:bookmarkStart w:name="_Toc128464367" w:id="12"/>
      <w:r>
        <w:t>Focus of the evaluation report</w:t>
      </w:r>
      <w:bookmarkEnd w:id="11"/>
      <w:bookmarkEnd w:id="12"/>
    </w:p>
    <w:p w:rsidRPr="00BB2EAF" w:rsidR="000E4CB2" w:rsidP="00C94E47" w:rsidRDefault="000E4CB2" w14:paraId="270D277A" w14:textId="77777777">
      <w:pPr>
        <w:keepNext/>
        <w:rPr>
          <w:bCs/>
        </w:rPr>
      </w:pPr>
    </w:p>
    <w:p w:rsidRPr="00BB2EAF" w:rsidR="000E4CB2" w:rsidP="00C94E47" w:rsidRDefault="000E4CB2" w14:paraId="3EB030D6" w14:textId="77777777">
      <w:pPr>
        <w:pStyle w:val="Heading2"/>
        <w:keepNext/>
        <w:ind w:left="567" w:hanging="567"/>
        <w:rPr>
          <w:b/>
          <w:bCs/>
        </w:rPr>
      </w:pPr>
      <w:bookmarkStart w:name="_Toc128464337" w:id="13"/>
      <w:bookmarkStart w:name="_Toc128464368" w:id="14"/>
      <w:r>
        <w:t>The policy and the evaluation criteria</w:t>
      </w:r>
      <w:bookmarkEnd w:id="13"/>
      <w:bookmarkEnd w:id="14"/>
    </w:p>
    <w:p w:rsidRPr="00BB2EAF" w:rsidR="000E4CB2" w:rsidP="00C94E47" w:rsidRDefault="000E4CB2" w14:paraId="084E6075" w14:textId="77777777">
      <w:pPr>
        <w:keepNext/>
      </w:pPr>
    </w:p>
    <w:p w:rsidRPr="00BB2EAF" w:rsidR="000E4CB2" w:rsidP="000E4CB2" w:rsidRDefault="000E4CB2" w14:paraId="41D70C65" w14:textId="77777777">
      <w:pPr>
        <w:spacing w:after="240"/>
      </w:pPr>
      <w:r>
        <w:t>H2020 was the main EU tool for financing research and innovation from 2014 to 2020. It was the successor to the seven previous framework programmes, aiming to expand upon the previous programmes in terms of both funding and ambition. Its legal basis was Article 179 TFEU: "The Union shall have the objective of strengthening its scientific and technological bases by achieving a European research area ... and encouraging it to become more competitive".</w:t>
      </w:r>
    </w:p>
    <w:p w:rsidRPr="00BB2EAF" w:rsidR="000E4CB2" w:rsidP="000E4CB2" w:rsidRDefault="000E4CB2" w14:paraId="720358C1" w14:textId="77777777">
      <w:pPr>
        <w:spacing w:after="240"/>
      </w:pPr>
      <w:r>
        <w:t xml:space="preserve">The general objective of H2020 was to achieve the target of spending 3% of EU gross domestic product (GDP) on research and development, as set out in the Europe 2020 strategy. H2020 also intended to help build a society based on knowledge and innovation by providing funding for research, development and innovation. H2020 had three thematic priority areas: Excellent Science, Industrial Leadership and Societal Challenges. </w:t>
      </w:r>
    </w:p>
    <w:p w:rsidRPr="00BB2EAF" w:rsidR="000E4CB2" w:rsidP="000E4CB2" w:rsidRDefault="000E4CB2" w14:paraId="0570CAB2" w14:textId="77777777">
      <w:pPr>
        <w:spacing w:after="240"/>
      </w:pPr>
      <w:r>
        <w:t xml:space="preserve">Available funds were allocated under three consecutive work programmes, the first for 2014-2015, the second for 2016-2017 and the third for 2018-2020. It has been succeeded by the Horizon Europe programme for 2021-2027. </w:t>
      </w:r>
    </w:p>
    <w:p w:rsidRPr="00BB2EAF" w:rsidR="000E4CB2" w:rsidP="000E4CB2" w:rsidRDefault="000E4CB2" w14:paraId="531CB567" w14:textId="77777777">
      <w:pPr>
        <w:spacing w:after="240"/>
      </w:pPr>
      <w:r>
        <w:t xml:space="preserve">H2020 had a total budget of EUR 74 828.3 m (EUR 72 444.3 m for TFEU activities and EUR 2 383 m for the European Institute of Innovation and Technology (EIT)). An additional EUR 200 m was allocated for 2017-2020 following the mid-term review of the 2014-2020 Multiannual Financial Framework. </w:t>
      </w:r>
    </w:p>
    <w:p w:rsidRPr="00BB2EAF" w:rsidR="000E4CB2" w:rsidP="000E4CB2" w:rsidRDefault="000E4CB2" w14:paraId="0F6806BD" w14:textId="77777777">
      <w:pPr>
        <w:spacing w:after="240"/>
      </w:pPr>
      <w:r>
        <w:lastRenderedPageBreak/>
        <w:t xml:space="preserve">Funding was allocated to projects in the fields of natural sciences (EUR 35 bn), engineering and technology (EUR 26 bn), the social sciences (EUR 24.7 bn), the medical and health sciences (EUR 12.24 bn), agricultural sciences (EUR 4 bn) and the humanities (EUR 3.4 bn). </w:t>
      </w:r>
    </w:p>
    <w:p w:rsidRPr="00BB2EAF" w:rsidR="000E4CB2" w:rsidP="000E4CB2" w:rsidRDefault="000E4CB2" w14:paraId="24D73DBB" w14:textId="77777777">
      <w:pPr>
        <w:spacing w:after="240"/>
      </w:pPr>
      <w:r>
        <w:t xml:space="preserve">The average project received EUR 1.9 m in EU contributions. A total of 35 381 grants were allocated throughout the programme. </w:t>
      </w:r>
    </w:p>
    <w:p w:rsidRPr="00BB2EAF" w:rsidR="000E4CB2" w:rsidP="000E4CB2" w:rsidRDefault="000E4CB2" w14:paraId="7067E3D5" w14:textId="77777777">
      <w:pPr>
        <w:spacing w:after="240"/>
      </w:pPr>
      <w:r>
        <w:t>The evaluation report takes into consideration the full programme's implementation.</w:t>
      </w:r>
    </w:p>
    <w:p w:rsidRPr="00BB2EAF" w:rsidR="000E4CB2" w:rsidP="000E4CB2" w:rsidRDefault="000E4CB2" w14:paraId="5C9C455C" w14:textId="77777777">
      <w:pPr>
        <w:rPr>
          <w:bCs/>
        </w:rPr>
      </w:pPr>
      <w:r>
        <w:t>The EESC evaluation methodology follows the European Commission's Better Regulation guidelines, where the information reports are structured around the part of the evaluation criteria used by the European Commission, in particular:</w:t>
      </w:r>
    </w:p>
    <w:p w:rsidRPr="00BB2EAF" w:rsidR="000E4CB2" w:rsidP="000E4CB2" w:rsidRDefault="000E4CB2" w14:paraId="721DB24F" w14:textId="77777777">
      <w:pPr>
        <w:spacing w:line="240" w:lineRule="auto"/>
        <w:rPr>
          <w:bCs/>
          <w:sz w:val="20"/>
        </w:rPr>
      </w:pPr>
    </w:p>
    <w:p w:rsidRPr="00BB2EAF" w:rsidR="000E4CB2" w:rsidP="000E4CB2" w:rsidRDefault="000E4CB2" w14:paraId="784E835F" w14:textId="77777777">
      <w:pPr>
        <w:pStyle w:val="ListParagraph"/>
        <w:numPr>
          <w:ilvl w:val="0"/>
          <w:numId w:val="3"/>
        </w:numPr>
        <w:rPr>
          <w:bCs/>
        </w:rPr>
      </w:pPr>
      <w:r>
        <w:t>Effectiveness: considers how successful EU action has been in achieving or progressing towards its objectives.</w:t>
      </w:r>
    </w:p>
    <w:p w:rsidRPr="00BB2EAF" w:rsidR="000E4CB2" w:rsidP="000E4CB2" w:rsidRDefault="000E4CB2" w14:paraId="7712CB52" w14:textId="77777777">
      <w:pPr>
        <w:pStyle w:val="ListParagraph"/>
        <w:numPr>
          <w:ilvl w:val="0"/>
          <w:numId w:val="3"/>
        </w:numPr>
        <w:rPr>
          <w:bCs/>
        </w:rPr>
      </w:pPr>
      <w:r>
        <w:t xml:space="preserve">Relevance: looks at the relationship between the needs and problems in society and the objectives of the action and hence touches on aspects of design. Analysing relevance also involves considering how the objectives of EU action correspond to wider EU policy goals and priorities. </w:t>
      </w:r>
    </w:p>
    <w:p w:rsidRPr="00BB2EAF" w:rsidR="000E4CB2" w:rsidP="000E4CB2" w:rsidRDefault="000E4CB2" w14:paraId="270EF3B7" w14:textId="77777777">
      <w:pPr>
        <w:rPr>
          <w:bCs/>
        </w:rPr>
      </w:pPr>
    </w:p>
    <w:p w:rsidRPr="00BB2EAF" w:rsidR="000E4CB2" w:rsidP="000E4CB2" w:rsidRDefault="000E4CB2" w14:paraId="03A86EC1" w14:textId="77777777">
      <w:pPr>
        <w:rPr>
          <w:bCs/>
        </w:rPr>
      </w:pPr>
      <w:r>
        <w:t>To this, the EESC also adds an assessment of civil society involvement in the policy in question.</w:t>
      </w:r>
    </w:p>
    <w:p w:rsidRPr="00BB2EAF" w:rsidR="000E4CB2" w:rsidP="000E4CB2" w:rsidRDefault="000E4CB2" w14:paraId="6FAD8939" w14:textId="77777777">
      <w:pPr>
        <w:rPr>
          <w:u w:val="single"/>
        </w:rPr>
      </w:pPr>
    </w:p>
    <w:p w:rsidRPr="00BB2EAF" w:rsidR="000E4CB2" w:rsidP="000E4CB2" w:rsidRDefault="000E4CB2" w14:paraId="6F7648DD" w14:textId="77777777">
      <w:pPr>
        <w:rPr>
          <w:u w:val="single"/>
        </w:rPr>
      </w:pPr>
      <w:r>
        <w:rPr>
          <w:u w:val="single"/>
        </w:rPr>
        <w:t>Thus, and with a view to complementing the European Commission's evaluation, the EESC evaluation has focused in particular on the following issues:</w:t>
      </w:r>
    </w:p>
    <w:p w:rsidRPr="00BB2EAF" w:rsidR="000E4CB2" w:rsidP="000E4CB2" w:rsidRDefault="000E4CB2" w14:paraId="27D63B8D" w14:textId="77777777">
      <w:pPr>
        <w:ind w:left="708"/>
        <w:rPr>
          <w:u w:val="single"/>
        </w:rPr>
      </w:pPr>
    </w:p>
    <w:p w:rsidRPr="00BB2EAF" w:rsidR="000E4CB2" w:rsidP="000E4CB2" w:rsidRDefault="000E4CB2" w14:paraId="60B74E09" w14:textId="77777777">
      <w:pPr>
        <w:pStyle w:val="ListParagraph"/>
        <w:numPr>
          <w:ilvl w:val="0"/>
          <w:numId w:val="4"/>
        </w:numPr>
        <w:ind w:left="1068"/>
        <w:rPr>
          <w:bCs/>
        </w:rPr>
      </w:pPr>
      <w:r>
        <w:rPr>
          <w:b/>
        </w:rPr>
        <w:t>effectiveness</w:t>
      </w:r>
      <w:r>
        <w:t xml:space="preserve"> (how successful H2020 has been in achieving or progressing towards the aforementioned goals);</w:t>
      </w:r>
    </w:p>
    <w:p w:rsidRPr="00BB2EAF" w:rsidR="000E4CB2" w:rsidP="000E4CB2" w:rsidRDefault="000E4CB2" w14:paraId="7339A9D9" w14:textId="77777777">
      <w:pPr>
        <w:pStyle w:val="ListParagraph"/>
        <w:numPr>
          <w:ilvl w:val="0"/>
          <w:numId w:val="4"/>
        </w:numPr>
        <w:ind w:left="1068"/>
        <w:rPr>
          <w:bCs/>
        </w:rPr>
      </w:pPr>
      <w:r>
        <w:rPr>
          <w:b/>
        </w:rPr>
        <w:t>implementation at local/regional level</w:t>
      </w:r>
      <w:r>
        <w:t xml:space="preserve"> (including procedures, consistency, simplification and synergies with other funds); </w:t>
      </w:r>
    </w:p>
    <w:p w:rsidRPr="00BB2EAF" w:rsidR="000E4CB2" w:rsidP="000E4CB2" w:rsidRDefault="000E4CB2" w14:paraId="0635F055" w14:textId="77777777">
      <w:pPr>
        <w:pStyle w:val="ListParagraph"/>
        <w:numPr>
          <w:ilvl w:val="0"/>
          <w:numId w:val="4"/>
        </w:numPr>
        <w:ind w:left="1068"/>
        <w:rPr>
          <w:bCs/>
        </w:rPr>
      </w:pPr>
      <w:r>
        <w:rPr>
          <w:b/>
        </w:rPr>
        <w:t>civil society added value</w:t>
      </w:r>
      <w:r>
        <w:t xml:space="preserve"> (assessing the level of civil society involvement in designing, monitoring, implementing and evaluating the EU legislation in question through the informed engagement of citizens and civil society in research and innovation).</w:t>
      </w:r>
    </w:p>
    <w:p w:rsidRPr="00BB2EAF" w:rsidR="000E4CB2" w:rsidP="000E4CB2" w:rsidRDefault="000E4CB2" w14:paraId="5E51A227" w14:textId="77777777">
      <w:pPr>
        <w:rPr>
          <w:bCs/>
        </w:rPr>
      </w:pPr>
    </w:p>
    <w:p w:rsidRPr="00BB2EAF" w:rsidR="000E4CB2" w:rsidP="000E4CB2" w:rsidRDefault="000E4CB2" w14:paraId="7CC691A0" w14:textId="77777777">
      <w:pPr>
        <w:pStyle w:val="Heading2"/>
        <w:ind w:left="567" w:hanging="567"/>
        <w:rPr>
          <w:b/>
        </w:rPr>
      </w:pPr>
      <w:bookmarkStart w:name="_Toc128464338" w:id="15"/>
      <w:bookmarkStart w:name="_Toc128464369" w:id="16"/>
      <w:r>
        <w:t>Overview of H2020 implementation in the selected Member States</w:t>
      </w:r>
      <w:bookmarkEnd w:id="15"/>
      <w:bookmarkEnd w:id="16"/>
    </w:p>
    <w:p w:rsidRPr="00BB2EAF" w:rsidR="000E4CB2" w:rsidP="000E4CB2" w:rsidRDefault="000E4CB2" w14:paraId="68CD90B2" w14:textId="77777777">
      <w:pPr>
        <w:rPr>
          <w:u w:val="single"/>
        </w:rPr>
      </w:pPr>
    </w:p>
    <w:p w:rsidRPr="00BB2EAF" w:rsidR="000E4CB2" w:rsidP="000E4CB2" w:rsidRDefault="000E4CB2" w14:paraId="3134FA52" w14:textId="77777777">
      <w:r>
        <w:t xml:space="preserve">The following section presents a brief overview of the implementation of H2020 in each of the four selected Member States. </w:t>
      </w:r>
    </w:p>
    <w:p w:rsidRPr="00BB2EAF" w:rsidR="000E4CB2" w:rsidP="000E4CB2" w:rsidRDefault="000E4CB2" w14:paraId="5873E6B7" w14:textId="77777777"/>
    <w:p w:rsidRPr="00BB2EAF" w:rsidR="000E4CB2" w:rsidP="000E4CB2" w:rsidRDefault="000E4CB2" w14:paraId="7166ECE5" w14:textId="77777777">
      <w:pPr>
        <w:numPr>
          <w:ilvl w:val="0"/>
          <w:numId w:val="5"/>
        </w:numPr>
        <w:overflowPunct/>
        <w:autoSpaceDE/>
        <w:autoSpaceDN/>
        <w:adjustRightInd/>
        <w:textAlignment w:val="auto"/>
      </w:pPr>
      <w:r>
        <w:rPr>
          <w:b/>
        </w:rPr>
        <w:t xml:space="preserve">Croatia: </w:t>
      </w:r>
      <w:r>
        <w:t>In Croatia, participants received EUR 137.8 m from the H2020 funds, ranking 25th out of 28 EU Member States for funding received. Croatian proposals had a 15% success rate, compared to an EU average of 14%.</w:t>
      </w:r>
    </w:p>
    <w:p w:rsidRPr="00BB2EAF" w:rsidR="000E4CB2" w:rsidP="000E4CB2" w:rsidRDefault="000E4CB2" w14:paraId="149AF50C" w14:textId="77777777"/>
    <w:p w:rsidRPr="00BB2EAF" w:rsidR="000E4CB2" w:rsidP="000E4CB2" w:rsidRDefault="000E4CB2" w14:paraId="17B7778C" w14:textId="77777777">
      <w:r>
        <w:t>Over the course of the H2020 programme, 818 Croatian organisations participated across 1 519 projects</w:t>
      </w:r>
      <w:r w:rsidRPr="00BB2EAF">
        <w:rPr>
          <w:vertAlign w:val="superscript"/>
        </w:rPr>
        <w:footnoteReference w:id="1"/>
      </w:r>
      <w:r>
        <w:t xml:space="preserve">. Of these organisations, higher or secondary education establishments comprised 33%, </w:t>
      </w:r>
      <w:r>
        <w:lastRenderedPageBreak/>
        <w:t>private for-profit entities 28%, research organisations 25% and public bodies 9%. The organisations receiving the most funding from H2020 in Croatia were the University of Zagreb (EUR 53.35 m), the Institut Ruđer Bošković (EUR 30.75 m) and the Genos Laboratory (</w:t>
      </w:r>
      <w:r>
        <w:rPr>
          <w:i/>
        </w:rPr>
        <w:t>Genos d.o.o. za vještačenje i analize</w:t>
      </w:r>
      <w:r>
        <w:t xml:space="preserve">) (EUR 7.14 m). </w:t>
      </w:r>
    </w:p>
    <w:p w:rsidRPr="00BB2EAF" w:rsidR="00816C92" w:rsidP="000E4CB2" w:rsidRDefault="00816C92" w14:paraId="5DD148FE" w14:textId="77777777"/>
    <w:p w:rsidRPr="00BB2EAF" w:rsidR="000E4CB2" w:rsidP="000E4CB2" w:rsidRDefault="000E4CB2" w14:paraId="7471F373" w14:textId="6A6FCB25">
      <w:r>
        <w:t xml:space="preserve">Looking at the projects funded in Croatia by thematic priority, EUR 75.3 m went towards projects under Societal Challenges, EUR 29 m to Excellent Science projects and EUR 17 m to Industrial Leadership projects. Projects on Spreading Excellence and Widening Participation received EUR 10 m and Science with and for Society received EUR 3 m, with EUR 2.4 m going towards Euratom research and training. </w:t>
      </w:r>
    </w:p>
    <w:p w:rsidRPr="00BB2EAF" w:rsidR="000E4CB2" w:rsidP="000E4CB2" w:rsidRDefault="000E4CB2" w14:paraId="52956874" w14:textId="77777777"/>
    <w:p w:rsidRPr="00BB2EAF" w:rsidR="000E4CB2" w:rsidP="000E4CB2" w:rsidRDefault="000E4CB2" w14:paraId="48D516B6" w14:textId="77777777">
      <w:pPr>
        <w:numPr>
          <w:ilvl w:val="0"/>
          <w:numId w:val="5"/>
        </w:numPr>
        <w:overflowPunct/>
        <w:autoSpaceDE/>
        <w:autoSpaceDN/>
        <w:adjustRightInd/>
        <w:textAlignment w:val="auto"/>
      </w:pPr>
      <w:r>
        <w:rPr>
          <w:b/>
        </w:rPr>
        <w:t>Latvia:</w:t>
      </w:r>
      <w:r>
        <w:t xml:space="preserve"> In Latvia, participating organisations received EUR 116.9 m from the H2020 funds, ranking 26th out of 28 EU Member States for funding received</w:t>
      </w:r>
      <w:r w:rsidRPr="00BB2EAF">
        <w:rPr>
          <w:vertAlign w:val="superscript"/>
        </w:rPr>
        <w:footnoteReference w:id="2"/>
      </w:r>
      <w:r>
        <w:t>. Proposals in Latvia had a 14% success rate, equal to the EU-28 average.</w:t>
      </w:r>
    </w:p>
    <w:p w:rsidRPr="00BB2EAF" w:rsidR="000E4CB2" w:rsidP="000E4CB2" w:rsidRDefault="000E4CB2" w14:paraId="31D52586" w14:textId="77777777"/>
    <w:p w:rsidRPr="00BB2EAF" w:rsidR="000E4CB2" w:rsidP="000E4CB2" w:rsidRDefault="000E4CB2" w14:paraId="590D649D" w14:textId="77777777">
      <w:r>
        <w:t xml:space="preserve">In Latvia, 544 organisations participated in H2020-funded projects. Of these organisations, higher or secondary education establishments comprised 40%, private for-profit entities 28%, research organisations 14% and public bodies 11%. The organisations receiving the most funding from H2020 in Latvia were the Riga Technical University (EUR 14.7 m), the Institute of Solid State Physics (EUR 13.9 m) and the University of Latvia (EUR 10 m). </w:t>
      </w:r>
    </w:p>
    <w:p w:rsidRPr="00BB2EAF" w:rsidR="000E4CB2" w:rsidP="000E4CB2" w:rsidRDefault="000E4CB2" w14:paraId="71D9BA31" w14:textId="77777777"/>
    <w:p w:rsidRPr="00BB2EAF" w:rsidR="000E4CB2" w:rsidP="000E4CB2" w:rsidRDefault="000E4CB2" w14:paraId="48C8DDDD" w14:textId="77777777">
      <w:pPr>
        <w:rPr>
          <w:b/>
          <w:bCs/>
        </w:rPr>
      </w:pPr>
      <w:r>
        <w:t>Looking at the projects funded in Latvia by thematic priority, Societal Challenges accounted for EUR 51.6 m of the funding received, Industrial Leadership for EUR 20.8 m and Excellent Science for EUR 11.7 m. Projects working on Spreading Excellence and Widening Participation received EUR 28 m, Science with and for Society EUR 1.5 m and Euratom research and training programmes EUR 2.7 m.</w:t>
      </w:r>
    </w:p>
    <w:p w:rsidRPr="00BB2EAF" w:rsidR="000E4CB2" w:rsidP="000E4CB2" w:rsidRDefault="000E4CB2" w14:paraId="5CF44F0F" w14:textId="77777777"/>
    <w:p w:rsidRPr="00BB2EAF" w:rsidR="000E4CB2" w:rsidP="000E4CB2" w:rsidRDefault="000E4CB2" w14:paraId="2389E23F" w14:textId="77777777">
      <w:pPr>
        <w:numPr>
          <w:ilvl w:val="0"/>
          <w:numId w:val="5"/>
        </w:numPr>
        <w:overflowPunct/>
        <w:autoSpaceDE/>
        <w:autoSpaceDN/>
        <w:adjustRightInd/>
        <w:textAlignment w:val="auto"/>
        <w:rPr>
          <w:b/>
          <w:bCs/>
        </w:rPr>
      </w:pPr>
      <w:r>
        <w:rPr>
          <w:b/>
        </w:rPr>
        <w:t xml:space="preserve">Netherlands: </w:t>
      </w:r>
      <w:r>
        <w:t>Organisations in the Netherlands received EUR 5.38 bn in H2020 funding, the 6th highest of the EU Member States</w:t>
      </w:r>
      <w:r w:rsidRPr="00BB2EAF">
        <w:rPr>
          <w:vertAlign w:val="superscript"/>
        </w:rPr>
        <w:footnoteReference w:id="3"/>
      </w:r>
      <w:r>
        <w:t xml:space="preserve">. Proposals in the Netherlands had a success rate of 16%, two points higher than the EU average of 14%. </w:t>
      </w:r>
    </w:p>
    <w:p w:rsidRPr="00BB2EAF" w:rsidR="000E4CB2" w:rsidP="000E4CB2" w:rsidRDefault="000E4CB2" w14:paraId="7BB93EA9" w14:textId="77777777"/>
    <w:p w:rsidRPr="00BB2EAF" w:rsidR="000E4CB2" w:rsidP="000E4CB2" w:rsidRDefault="000E4CB2" w14:paraId="0CA5C6F1" w14:textId="77777777">
      <w:r>
        <w:t>In the Netherlands, 11 084 organisations participated in H2020-funded projects. Half of these organisations were higher or secondary education establishments (49.5%), a quarter were private for-profit entities (25%) and 19% were research organisations. Public bodies accounted for just 2%. The top three organisations receiving the most funding from H2020 in the Netherlands were all universities: the Delft University of Technology (EUR 319.6 m), Utrecht University (EUR 240 m) and Amsterdam University (EUR 206 m).</w:t>
      </w:r>
    </w:p>
    <w:p w:rsidRPr="00BB2EAF" w:rsidR="000E4CB2" w:rsidP="000E4CB2" w:rsidRDefault="000E4CB2" w14:paraId="4ECDD49B" w14:textId="77777777"/>
    <w:p w:rsidRPr="00BB2EAF" w:rsidR="000E4CB2" w:rsidP="000E4CB2" w:rsidRDefault="000E4CB2" w14:paraId="49621BF8" w14:textId="77777777">
      <w:r>
        <w:t xml:space="preserve">By thematic priority, the most funding was allocated to Societal Challenges (EUR 2.2 bn). This was followed by Excellent Science (EUR 2.2 bn), Industrial Leadership (EUR 890 m) and Science with and for Society (EUR 36 m). </w:t>
      </w:r>
    </w:p>
    <w:p w:rsidRPr="00BB2EAF" w:rsidR="000E4CB2" w:rsidP="000E4CB2" w:rsidRDefault="000E4CB2" w14:paraId="53D7D4E1" w14:textId="77777777"/>
    <w:p w:rsidRPr="00BB2EAF" w:rsidR="000E4CB2" w:rsidP="000E4CB2" w:rsidRDefault="000E4CB2" w14:paraId="1A0EA923" w14:textId="77777777">
      <w:pPr>
        <w:numPr>
          <w:ilvl w:val="0"/>
          <w:numId w:val="5"/>
        </w:numPr>
        <w:overflowPunct/>
        <w:autoSpaceDE/>
        <w:autoSpaceDN/>
        <w:adjustRightInd/>
        <w:textAlignment w:val="auto"/>
      </w:pPr>
      <w:r>
        <w:rPr>
          <w:b/>
        </w:rPr>
        <w:t xml:space="preserve">Portugal: </w:t>
      </w:r>
      <w:r>
        <w:t>In Portugal, participants received EUR 1.15 bn from the H2020 funds, ranking 14th out of 28 EU Member States for funding received. Proposals in Portugal had a 13% success rate, compared to the EU average of 14%.</w:t>
      </w:r>
    </w:p>
    <w:p w:rsidRPr="00BB2EAF" w:rsidR="000E4CB2" w:rsidP="000E4CB2" w:rsidRDefault="000E4CB2" w14:paraId="3F7B5EAF" w14:textId="77777777"/>
    <w:p w:rsidRPr="00BB2EAF" w:rsidR="000E4CB2" w:rsidP="000E4CB2" w:rsidRDefault="000E4CB2" w14:paraId="7AEC3789" w14:textId="77777777">
      <w:r>
        <w:t>Over the course of the H2020 programme, 3 951 organisations participated in EU-funded projects</w:t>
      </w:r>
      <w:r w:rsidRPr="00BB2EAF">
        <w:rPr>
          <w:sz w:val="24"/>
          <w:szCs w:val="24"/>
          <w:vertAlign w:val="superscript"/>
        </w:rPr>
        <w:footnoteReference w:id="4"/>
      </w:r>
      <w:r>
        <w:t xml:space="preserve">. Research organisations accounted for 38%, with higher or secondary education establishments and private for-profit entities both accounting for 27%. Public bodies accounted for 5%. The organisations receiving the most funding from H2020 in Portugal were Nova University Lisbon (EUR 42.6 m), Coimbra University (EUR 41.6 m) and Minho University (EUR 39.4 m). </w:t>
      </w:r>
    </w:p>
    <w:p w:rsidRPr="00BB2EAF" w:rsidR="000E4CB2" w:rsidP="000E4CB2" w:rsidRDefault="000E4CB2" w14:paraId="531B8C69" w14:textId="77777777"/>
    <w:p w:rsidRPr="00BB2EAF" w:rsidR="000E4CB2" w:rsidP="000E4CB2" w:rsidRDefault="000E4CB2" w14:paraId="62E68BE8" w14:textId="77777777">
      <w:pPr>
        <w:rPr>
          <w:b/>
          <w:bCs/>
        </w:rPr>
      </w:pPr>
      <w:r>
        <w:t>Looking at the projects funded in Portugal by thematic priority, EUR 454 m went towards projects under Societal Challenges, EUR 316 m to Excellent Science projects and EUR 244 m to Industrial Leadership projects. Projects on Spreading Excellence and Widening Participation received EUR 102.5 m and Science with and for Society projects received EUR 12.5 m, with EUR 11.8 m going towards Euratom research and training.</w:t>
      </w:r>
    </w:p>
    <w:p w:rsidRPr="00BB2EAF" w:rsidR="000E4CB2" w:rsidP="000E4CB2" w:rsidRDefault="000E4CB2" w14:paraId="41923579" w14:textId="0FC95A0F">
      <w:pPr>
        <w:spacing w:after="160" w:line="259" w:lineRule="auto"/>
        <w:jc w:val="left"/>
      </w:pPr>
    </w:p>
    <w:p w:rsidRPr="00BB2EAF" w:rsidR="000E4CB2" w:rsidP="000E4CB2" w:rsidRDefault="000E4CB2" w14:paraId="211A35E8" w14:textId="77777777">
      <w:pPr>
        <w:pStyle w:val="Heading1"/>
        <w:ind w:left="567" w:hanging="567"/>
      </w:pPr>
      <w:bookmarkStart w:name="_Toc125632262" w:id="17"/>
      <w:bookmarkStart w:name="_Toc128464339" w:id="18"/>
      <w:bookmarkStart w:name="_Toc128464370" w:id="19"/>
      <w:r>
        <w:t>Primary data: findings and analysis</w:t>
      </w:r>
      <w:bookmarkEnd w:id="17"/>
      <w:bookmarkEnd w:id="18"/>
      <w:bookmarkEnd w:id="19"/>
    </w:p>
    <w:p w:rsidRPr="00BB2EAF" w:rsidR="000E4CB2" w:rsidP="000E4CB2" w:rsidRDefault="000E4CB2" w14:paraId="0592BBAF" w14:textId="77777777"/>
    <w:p w:rsidRPr="00BB2EAF" w:rsidR="000E4CB2" w:rsidP="000E4CB2" w:rsidRDefault="000E4CB2" w14:paraId="6936D71A" w14:textId="77777777">
      <w:pPr>
        <w:pStyle w:val="Heading2"/>
        <w:ind w:left="567" w:hanging="567"/>
      </w:pPr>
      <w:bookmarkStart w:name="_Toc125632263" w:id="20"/>
      <w:bookmarkStart w:name="_Toc128464340" w:id="21"/>
      <w:bookmarkStart w:name="_Toc128464371" w:id="22"/>
      <w:r>
        <w:t>Effectiveness</w:t>
      </w:r>
      <w:bookmarkEnd w:id="20"/>
      <w:bookmarkEnd w:id="21"/>
      <w:bookmarkEnd w:id="22"/>
    </w:p>
    <w:p w:rsidRPr="00BB2EAF" w:rsidR="000E4CB2" w:rsidP="000E4CB2" w:rsidRDefault="000E4CB2" w14:paraId="77E6F8ED" w14:textId="77777777">
      <w:pPr>
        <w:spacing w:before="240"/>
      </w:pPr>
      <w:r>
        <w:rPr>
          <w:noProof/>
          <w:lang w:eastAsia="fi-FI"/>
        </w:rPr>
        <mc:AlternateContent>
          <mc:Choice Requires="wps">
            <w:drawing>
              <wp:anchor distT="0" distB="0" distL="114300" distR="114300" simplePos="0" relativeHeight="251666432" behindDoc="0" locked="0" layoutInCell="1" allowOverlap="1" wp14:editId="798C5BE7" wp14:anchorId="3161371F">
                <wp:simplePos x="0" y="0"/>
                <wp:positionH relativeFrom="column">
                  <wp:posOffset>-80811</wp:posOffset>
                </wp:positionH>
                <wp:positionV relativeFrom="paragraph">
                  <wp:posOffset>107398</wp:posOffset>
                </wp:positionV>
                <wp:extent cx="6019138" cy="532737"/>
                <wp:effectExtent l="0" t="0" r="20320" b="20320"/>
                <wp:wrapNone/>
                <wp:docPr id="2" name="Rectangle 2"/>
                <wp:cNvGraphicFramePr/>
                <a:graphic xmlns:a="http://schemas.openxmlformats.org/drawingml/2006/main">
                  <a:graphicData uri="http://schemas.microsoft.com/office/word/2010/wordprocessingShape">
                    <wps:wsp>
                      <wps:cNvSpPr/>
                      <wps:spPr>
                        <a:xfrm>
                          <a:off x="0" y="0"/>
                          <a:ext cx="6019138" cy="532737"/>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http://schemas.openxmlformats.org/drawingml/2006/chart" xmlns:a16="http://schemas.microsoft.com/office/drawing/2014/main" xmlns:a14="http://schemas.microsoft.com/office/drawing/2010/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 style="position:absolute;margin-left:-6.35pt;margin-top:8.45pt;width:473.95pt;height:41.95pt;z-index:2516664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00]" strokeweight="2pt" w14:anchorId="52DABD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"/>
            </w:pict>
          </mc:Fallback>
        </mc:AlternateContent>
      </w:r>
      <w:r>
        <w:t>According to the European Commission Better Regulation toolbox, the criterion of effectiveness "considers how successful EU action has been in achieving or progressing towards its objectives"</w:t>
      </w:r>
      <w:r w:rsidRPr="00BB2EAF">
        <w:rPr>
          <w:rStyle w:val="FootnoteReference"/>
          <w:color w:val="000000"/>
        </w:rPr>
        <w:footnoteReference w:id="5"/>
      </w:r>
      <w:r>
        <w:rPr>
          <w:color w:val="000000"/>
          <w:sz w:val="27"/>
        </w:rPr>
        <w:t>.</w:t>
      </w:r>
    </w:p>
    <w:p w:rsidRPr="00BB2EAF" w:rsidR="000E4CB2" w:rsidP="000E4CB2" w:rsidRDefault="000E4CB2" w14:paraId="72E89F4B" w14:textId="77777777"/>
    <w:p w:rsidRPr="00BB2EAF" w:rsidR="000E4CB2" w:rsidP="000E4CB2" w:rsidRDefault="000E4CB2" w14:paraId="6134028B" w14:textId="77777777">
      <w:pPr>
        <w:rPr>
          <w:i/>
          <w:iCs/>
        </w:rPr>
      </w:pPr>
    </w:p>
    <w:p w:rsidRPr="00BB2EAF" w:rsidR="000E4CB2" w:rsidP="000E4CB2" w:rsidRDefault="000E4CB2" w14:paraId="235289E8" w14:textId="77777777">
      <w:pPr>
        <w:rPr>
          <w:i/>
          <w:iCs/>
        </w:rPr>
      </w:pPr>
      <w:r>
        <w:rPr>
          <w:i/>
        </w:rPr>
        <w:t>General conclusions</w:t>
      </w:r>
    </w:p>
    <w:p w:rsidRPr="00BB2EAF" w:rsidR="000E4CB2" w:rsidP="000E4CB2" w:rsidRDefault="000E4CB2" w14:paraId="308142FA" w14:textId="77777777"/>
    <w:p w:rsidRPr="00BB2EAF" w:rsidR="000E4CB2" w:rsidP="000E4CB2" w:rsidRDefault="000E4CB2" w14:paraId="69F3456A" w14:textId="77777777">
      <w:r>
        <w:t xml:space="preserve">With regard to the </w:t>
      </w:r>
      <w:r>
        <w:rPr>
          <w:u w:val="single"/>
        </w:rPr>
        <w:t>effectiveness of H2020 actions in supporting the implementation of the European Research Area and the flagship initiative "Innovation Europe"</w:t>
      </w:r>
      <w:r>
        <w:t xml:space="preserve"> (</w:t>
      </w:r>
      <w:r>
        <w:rPr>
          <w:b/>
        </w:rPr>
        <w:t>question 1</w:t>
      </w:r>
      <w:r>
        <w:t xml:space="preserve">), the vast majority of respondents considered it to have been effective (46% deeming it "very effective" and 51% "moderately effective"), with not a single person choosing the options "not very effective" or "not effective at all". </w:t>
      </w:r>
    </w:p>
    <w:p w:rsidRPr="00BB2EAF" w:rsidR="000E4CB2" w:rsidP="000E4CB2" w:rsidRDefault="000E4CB2" w14:paraId="34BAD01F" w14:textId="77777777"/>
    <w:p w:rsidRPr="00BB2EAF" w:rsidR="000E4CB2" w:rsidP="000E4CB2" w:rsidRDefault="000E4CB2" w14:paraId="7DCEFC37" w14:textId="77777777">
      <w:r>
        <w:rPr>
          <w:noProof/>
          <w:lang w:eastAsia="fi-FI"/>
        </w:rPr>
        <w:lastRenderedPageBreak/>
        <w:drawing>
          <wp:inline distT="0" distB="0" distL="0" distR="0" wp14:anchorId="18AE9D3D" wp14:editId="7DD2EB6C">
            <wp:extent cx="5664200" cy="2641600"/>
            <wp:effectExtent l="0" t="0" r="0" b="6350"/>
            <wp:docPr id="4" name="Chart 4">
              <a:extLst xmlns:a="http://schemas.openxmlformats.org/drawingml/2006/main">
                <a:ext uri="{FF2B5EF4-FFF2-40B4-BE49-F238E27FC236}">
                  <a16:creationId xmlns:a16="http://schemas.microsoft.com/office/drawing/2014/main" id="{08FEF454-F4DC-4DE2-93EF-C380AAFE95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Pr="00BB2EAF" w:rsidR="000E4CB2" w:rsidP="000E4CB2" w:rsidRDefault="000E4CB2" w14:paraId="08AECAB6" w14:textId="77777777"/>
    <w:p w:rsidRPr="00BB2EAF" w:rsidR="000E4CB2" w:rsidP="000E4CB2" w:rsidRDefault="000E4CB2" w14:paraId="34A35DFE" w14:textId="77777777">
      <w:r>
        <w:t>In terms of countries, the most positive response came from Latvia and the Netherlands, with 67% of respondents in both countries viewing the listed H2020 actions to have been "very effective". The majority of the Portuguese and Croatian respondents, however, considered that they had been "moderately effective" (73% and 54% respectively).</w:t>
      </w:r>
    </w:p>
    <w:p w:rsidRPr="00BB2EAF" w:rsidR="000E4CB2" w:rsidP="000E4CB2" w:rsidRDefault="000E4CB2" w14:paraId="7A59A3C0" w14:textId="77777777"/>
    <w:p w:rsidRPr="00BB2EAF" w:rsidR="000E4CB2" w:rsidP="000E4CB2" w:rsidRDefault="000E4CB2" w14:paraId="5BEBEBB8" w14:textId="77777777">
      <w:r>
        <w:t xml:space="preserve">Looking at the different categories, representatives from the public authorities (75%, or 3 participants), civil society (50%, or 2 participants) and academia (50%, or 11 participants) held the most positive views, whereas 75% of representatives (or 3 participants) from business organisations considered the listed H2020 actions to have been "moderately effective". </w:t>
      </w:r>
    </w:p>
    <w:p w:rsidRPr="00BB2EAF" w:rsidR="000E4CB2" w:rsidP="000E4CB2" w:rsidRDefault="000E4CB2" w14:paraId="04BECC23" w14:textId="77777777"/>
    <w:p w:rsidRPr="00BB2EAF" w:rsidR="000E4CB2" w:rsidP="000E4CB2" w:rsidRDefault="000E4CB2" w14:paraId="26AA0979" w14:textId="77777777">
      <w:r>
        <w:rPr>
          <w:noProof/>
          <w:lang w:eastAsia="fi-FI"/>
        </w:rPr>
        <w:drawing>
          <wp:inline distT="0" distB="0" distL="0" distR="0" wp14:anchorId="1F9E8C44" wp14:editId="2077D443">
            <wp:extent cx="5740400" cy="2654300"/>
            <wp:effectExtent l="0" t="0" r="0" b="0"/>
            <wp:docPr id="38" name="Chart 38">
              <a:extLst xmlns:a="http://schemas.openxmlformats.org/drawingml/2006/main">
                <a:ext uri="{FF2B5EF4-FFF2-40B4-BE49-F238E27FC236}">
                  <a16:creationId xmlns:a16="http://schemas.microsoft.com/office/drawing/2014/main" id="{11258624-3AF7-4823-A42C-DA40C396EA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Pr="00BB2EAF" w:rsidR="000E4CB2" w:rsidP="000E4CB2" w:rsidRDefault="000E4CB2" w14:paraId="643A279E" w14:textId="77777777"/>
    <w:p w:rsidRPr="00BB2EAF" w:rsidR="000E4CB2" w:rsidP="000E4CB2" w:rsidRDefault="000E4CB2" w14:paraId="260ECF3D" w14:textId="77777777">
      <w:r>
        <w:t xml:space="preserve">During the semi-structured interviews, the </w:t>
      </w:r>
      <w:r>
        <w:rPr>
          <w:b/>
        </w:rPr>
        <w:t>Dutch</w:t>
      </w:r>
      <w:r>
        <w:t xml:space="preserve"> farmers' representatives mentioned that the creation of the European Innovation Partnership (EIP) for Agriculture and Horticulture had enabled entrepreneurs to be involved in projects. Together with the "multi-actor" approach, these tools had enabled entrepreneurs in the agricultural sector to play an active role in projects from the beginning, which in turn had increased the likelihood that they would actually make use of the findings.</w:t>
      </w:r>
    </w:p>
    <w:p w:rsidRPr="00BB2EAF" w:rsidR="000E4CB2" w:rsidP="000E4CB2" w:rsidRDefault="000E4CB2" w14:paraId="21310DC9" w14:textId="77777777"/>
    <w:p w:rsidRPr="00BB2EAF" w:rsidR="000E4CB2" w:rsidP="000E4CB2" w:rsidRDefault="000E4CB2" w14:paraId="71EA9B74" w14:textId="77777777">
      <w:r>
        <w:lastRenderedPageBreak/>
        <w:t xml:space="preserve">When asked </w:t>
      </w:r>
      <w:r>
        <w:rPr>
          <w:u w:val="single"/>
        </w:rPr>
        <w:t>whether the H2020 programme had helped the EU to become a knowledge and innovation-based economy and society</w:t>
      </w:r>
      <w:r>
        <w:t xml:space="preserve"> (</w:t>
      </w:r>
      <w:r>
        <w:rPr>
          <w:b/>
        </w:rPr>
        <w:t>question 2</w:t>
      </w:r>
      <w:r>
        <w:t>), no less than 87% of the total respondents were of the opinion that the EU had made solid advances in the right direction, compared to only 5% who thought that "no relevant progress during the 2014-2020 funding period" had been achieved.</w:t>
      </w:r>
    </w:p>
    <w:p w:rsidRPr="00BB2EAF" w:rsidR="000E4CB2" w:rsidP="000E4CB2" w:rsidRDefault="000E4CB2" w14:paraId="505A9D43" w14:textId="77777777"/>
    <w:p w:rsidRPr="00BB2EAF" w:rsidR="000E4CB2" w:rsidP="000E4CB2" w:rsidRDefault="000E4CB2" w14:paraId="3F4FF160" w14:textId="77777777">
      <w:r>
        <w:rPr>
          <w:noProof/>
          <w:lang w:eastAsia="fi-FI"/>
        </w:rPr>
        <w:drawing>
          <wp:inline distT="0" distB="0" distL="0" distR="0" wp14:anchorId="3016D3BA" wp14:editId="76C541B0">
            <wp:extent cx="5715000" cy="2527300"/>
            <wp:effectExtent l="0" t="0" r="0" b="6350"/>
            <wp:docPr id="14" name="Chart 14">
              <a:extLst xmlns:a="http://schemas.openxmlformats.org/drawingml/2006/main">
                <a:ext uri="{FF2B5EF4-FFF2-40B4-BE49-F238E27FC236}">
                  <a16:creationId xmlns:a16="http://schemas.microsoft.com/office/drawing/2014/main" id="{2D88E4D1-52D6-4BB4-BFBF-CB3C38F490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Pr="00BB2EAF" w:rsidR="000E4CB2" w:rsidP="000E4CB2" w:rsidRDefault="000E4CB2" w14:paraId="78EBC823" w14:textId="77777777"/>
    <w:p w:rsidRPr="00BB2EAF" w:rsidR="000E4CB2" w:rsidP="000E4CB2" w:rsidRDefault="000E4CB2" w14:paraId="0869E5DF" w14:textId="77777777">
      <w:r>
        <w:t>At country level, 100% of both the Dutch and Portuguese respondents held a positive view, while 77% and 67% of the Croatian and Latvian respondents respectively were of the same view. Furthermore, 1 Latvian and 1 Croatian respondent considered that no relevant progress had been achieved in this area.</w:t>
      </w:r>
    </w:p>
    <w:p w:rsidRPr="00BB2EAF" w:rsidR="000E4CB2" w:rsidP="000E4CB2" w:rsidRDefault="000E4CB2" w14:paraId="61A458ED" w14:textId="77777777">
      <w:r>
        <w:rPr>
          <w:noProof/>
          <w:lang w:eastAsia="fi-FI"/>
        </w:rPr>
        <w:drawing>
          <wp:inline distT="0" distB="0" distL="0" distR="0" wp14:anchorId="0875E2D8" wp14:editId="2D8C2D25">
            <wp:extent cx="5721350" cy="2889250"/>
            <wp:effectExtent l="0" t="0" r="0" b="6350"/>
            <wp:docPr id="15" name="Chart 15">
              <a:extLst xmlns:a="http://schemas.openxmlformats.org/drawingml/2006/main">
                <a:ext uri="{FF2B5EF4-FFF2-40B4-BE49-F238E27FC236}">
                  <a16:creationId xmlns:a16="http://schemas.microsoft.com/office/drawing/2014/main" id="{88332604-B295-41FB-ABEF-4D55C9C6DF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Pr="00BB2EAF" w:rsidR="000E4CB2" w:rsidP="000E4CB2" w:rsidRDefault="000E4CB2" w14:paraId="78F46FC9" w14:textId="77777777"/>
    <w:p w:rsidRPr="00BB2EAF" w:rsidR="000E4CB2" w:rsidP="000E4CB2" w:rsidRDefault="000E4CB2" w14:paraId="54715D3E" w14:textId="77777777">
      <w:r>
        <w:t xml:space="preserve">In terms of categories, no less than 95% of respondents from academia (or 21 participants) believed that the EU had advanced towards a knowledge and innovation-based economy and society, as did 100% of the public authority representatives (or 4 participants), 75% of the civil society representatives and half of the respondents (or 2 participants) from the business sector. </w:t>
      </w:r>
    </w:p>
    <w:p w:rsidRPr="00BB2EAF" w:rsidR="000E4CB2" w:rsidP="000E4CB2" w:rsidRDefault="000E4CB2" w14:paraId="1C12EAAB" w14:textId="77777777"/>
    <w:p w:rsidRPr="00BB2EAF" w:rsidR="000E4CB2" w:rsidP="000E4CB2" w:rsidRDefault="000E4CB2" w14:paraId="1CC15F1D" w14:textId="77777777">
      <w:r>
        <w:rPr>
          <w:noProof/>
          <w:lang w:eastAsia="fi-FI"/>
        </w:rPr>
        <w:lastRenderedPageBreak/>
        <w:drawing>
          <wp:inline distT="0" distB="0" distL="0" distR="0" wp14:anchorId="75ACB284" wp14:editId="7D495621">
            <wp:extent cx="5383033" cy="3212327"/>
            <wp:effectExtent l="0" t="0" r="8255" b="7620"/>
            <wp:docPr id="16" name="Chart 16">
              <a:extLst xmlns:a="http://schemas.openxmlformats.org/drawingml/2006/main">
                <a:ext uri="{FF2B5EF4-FFF2-40B4-BE49-F238E27FC236}">
                  <a16:creationId xmlns:a16="http://schemas.microsoft.com/office/drawing/2014/main" id="{6FB5D689-41EE-4106-8E49-E3DB2D2216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Pr="00BB2EAF" w:rsidR="000E4CB2" w:rsidP="000E4CB2" w:rsidRDefault="000E4CB2" w14:paraId="416AAFD4" w14:textId="77777777"/>
    <w:p w:rsidRPr="00BB2EAF" w:rsidR="000E4CB2" w:rsidP="000E4CB2" w:rsidRDefault="000E4CB2" w14:paraId="34E83F1E" w14:textId="77777777">
      <w:pPr>
        <w:rPr>
          <w:i/>
          <w:iCs/>
        </w:rPr>
      </w:pPr>
      <w:r>
        <w:rPr>
          <w:i/>
        </w:rPr>
        <w:t>Specific conclusions</w:t>
      </w:r>
    </w:p>
    <w:p w:rsidRPr="00BB2EAF" w:rsidR="000E4CB2" w:rsidP="000E4CB2" w:rsidRDefault="000E4CB2" w14:paraId="4CCA3957" w14:textId="77777777"/>
    <w:p w:rsidRPr="00BB2EAF" w:rsidR="000E4CB2" w:rsidP="000E4CB2" w:rsidRDefault="000E4CB2" w14:paraId="05069779" w14:textId="77777777">
      <w:r>
        <w:t xml:space="preserve">The majority of respondents believed that </w:t>
      </w:r>
      <w:r>
        <w:rPr>
          <w:u w:val="single"/>
        </w:rPr>
        <w:t>H2020 had indeed helped the EU in certain specific aspects</w:t>
      </w:r>
      <w:r>
        <w:t xml:space="preserve"> (</w:t>
      </w:r>
      <w:r>
        <w:rPr>
          <w:b/>
        </w:rPr>
        <w:t>question 3</w:t>
      </w:r>
      <w:r>
        <w:t>).</w:t>
      </w:r>
    </w:p>
    <w:p w:rsidRPr="00BB2EAF" w:rsidR="000E4CB2" w:rsidP="000E4CB2" w:rsidRDefault="000E4CB2" w14:paraId="68EDC0C4" w14:textId="77777777"/>
    <w:p w:rsidRPr="00BB2EAF" w:rsidR="000E4CB2" w:rsidP="000E4CB2" w:rsidRDefault="000E4CB2" w14:paraId="040907CF" w14:textId="77777777">
      <w:r>
        <w:rPr>
          <w:noProof/>
          <w:lang w:eastAsia="fi-FI"/>
        </w:rPr>
        <w:drawing>
          <wp:inline distT="0" distB="0" distL="0" distR="0" wp14:anchorId="017A2AA6" wp14:editId="46C2E31E">
            <wp:extent cx="5761355" cy="3559175"/>
            <wp:effectExtent l="0" t="0" r="0" b="3175"/>
            <wp:docPr id="3" name="Chart 3">
              <a:extLst xmlns:a="http://schemas.openxmlformats.org/drawingml/2006/main">
                <a:ext uri="{FF2B5EF4-FFF2-40B4-BE49-F238E27FC236}">
                  <a16:creationId xmlns:a16="http://schemas.microsoft.com/office/drawing/2014/main" id="{62959B3B-ACA4-4D1F-9736-8B3649E2F2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Pr="00BB2EAF" w:rsidR="000E4CB2" w:rsidP="000E4CB2" w:rsidRDefault="000E4CB2" w14:paraId="697D3330" w14:textId="77777777"/>
    <w:p w:rsidRPr="00BB2EAF" w:rsidR="000E4CB2" w:rsidP="000E4CB2" w:rsidRDefault="000E4CB2" w14:paraId="0321B1FA" w14:textId="77777777">
      <w:r>
        <w:t xml:space="preserve">With regard to </w:t>
      </w:r>
      <w:r>
        <w:rPr>
          <w:u w:val="single"/>
        </w:rPr>
        <w:t>strengthening the EU's excellence in science</w:t>
      </w:r>
      <w:r>
        <w:t xml:space="preserve">, 90% of the respondents were of the opinion that H2020 had indeed done so. The most positive views were held by the Dutch and the </w:t>
      </w:r>
      <w:r>
        <w:lastRenderedPageBreak/>
        <w:t>Portuguese (100%), followed by the Croatians (85%). Latvians were the most sceptic, with 67% answering "yes" and 33% being "unsure". No respondent in any country answered "no".</w:t>
      </w:r>
    </w:p>
    <w:p w:rsidRPr="00BB2EAF" w:rsidR="000E4CB2" w:rsidP="000E4CB2" w:rsidRDefault="000E4CB2" w14:paraId="3EB568C3" w14:textId="77777777"/>
    <w:p w:rsidRPr="00BB2EAF" w:rsidR="000E4CB2" w:rsidP="000E4CB2" w:rsidRDefault="000E4CB2" w14:paraId="5080C95F" w14:textId="77777777">
      <w:r>
        <w:t xml:space="preserve">The respondents were less positive with regard to </w:t>
      </w:r>
      <w:r>
        <w:rPr>
          <w:u w:val="single"/>
        </w:rPr>
        <w:t>supporting technological leadership and innovation capability in the private sector</w:t>
      </w:r>
      <w:r>
        <w:t xml:space="preserve">, with slightly over half (54%) considering that H2020 had indeed supported technological leadership and innovation capability in the private sector. However, 44% were unsure. </w:t>
      </w:r>
    </w:p>
    <w:p w:rsidRPr="00BB2EAF" w:rsidR="000E4CB2" w:rsidP="000E4CB2" w:rsidRDefault="000E4CB2" w14:paraId="77BA2BC2" w14:textId="77777777"/>
    <w:p w:rsidRPr="00BB2EAF" w:rsidR="000E4CB2" w:rsidP="000E4CB2" w:rsidRDefault="000E4CB2" w14:paraId="3C2DA10C" w14:textId="77777777">
      <w:r>
        <w:t>The views were rather diverging in the four countries: the Dutch and Portuguese were split between "yes" (67% and 64% respectively) and "unsure" (33% and 36% respectively), while the Latvians held very positive views (83% "yes") and the Croatians were the most negative, with 69% "unsure" and 8% answering "no".</w:t>
      </w:r>
    </w:p>
    <w:p w:rsidRPr="00BB2EAF" w:rsidR="000E4CB2" w:rsidP="000E4CB2" w:rsidRDefault="000E4CB2" w14:paraId="3D880EAB" w14:textId="77777777"/>
    <w:p w:rsidRPr="00BB2EAF" w:rsidR="000E4CB2" w:rsidP="000E4CB2" w:rsidRDefault="000E4CB2" w14:paraId="27A790A3" w14:textId="77777777">
      <w:r>
        <w:t xml:space="preserve">With regard to </w:t>
      </w:r>
      <w:r>
        <w:rPr>
          <w:u w:val="single"/>
        </w:rPr>
        <w:t>tackling the societal challenges identified in the Europe 2020 strategy by supporting activities covering the entire spectrum, from research to market</w:t>
      </w:r>
      <w:r>
        <w:t xml:space="preserve">, 69% of the respondents considered that H2020 had been supportive in this respect and 28% were not sure. </w:t>
      </w:r>
    </w:p>
    <w:p w:rsidRPr="00BB2EAF" w:rsidR="000E4CB2" w:rsidP="000E4CB2" w:rsidRDefault="000E4CB2" w14:paraId="626480E0" w14:textId="77777777"/>
    <w:p w:rsidRPr="00BB2EAF" w:rsidR="000E4CB2" w:rsidP="000E4CB2" w:rsidRDefault="000E4CB2" w14:paraId="44B0EC0A" w14:textId="77777777">
      <w:r>
        <w:t>The results were divided very similarly when broken down by country – the majority of respondents from all four countries were of the view that H2020 had helped the EU in the above-mentioned aspect (69% of the Croatians, 67% of both the Latvians and the Dutch, and 64% of the Portuguese respondents). Only 1 Dutch and 1 Croatian respondent answered "no".</w:t>
      </w:r>
    </w:p>
    <w:p w:rsidRPr="00BB2EAF" w:rsidR="000E4CB2" w:rsidP="000E4CB2" w:rsidRDefault="000E4CB2" w14:paraId="525C0D3B" w14:textId="77777777"/>
    <w:p w:rsidRPr="00BB2EAF" w:rsidR="000E4CB2" w:rsidP="000E4CB2" w:rsidRDefault="000E4CB2" w14:paraId="307462DB" w14:textId="77777777">
      <w:r>
        <w:t xml:space="preserve">When asked to assess the </w:t>
      </w:r>
      <w:r>
        <w:rPr>
          <w:u w:val="single"/>
        </w:rPr>
        <w:t xml:space="preserve">effectiveness of H2020 priorities in contributing to the programme's objectives and expected results </w:t>
      </w:r>
      <w:r>
        <w:t>(</w:t>
      </w:r>
      <w:r>
        <w:rPr>
          <w:b/>
        </w:rPr>
        <w:t>question 4</w:t>
      </w:r>
      <w:r>
        <w:t>), the Excellent Science thematic cluster received the most positive assessment from the respondents, with 69% viewing it as having been "very effective". The vast majority of the respondents viewed both the Industrial Leadership and the Societal Challenges clusters as having been "moderately effective" (59% and 54% respectively).</w:t>
      </w:r>
    </w:p>
    <w:p w:rsidRPr="00BB2EAF" w:rsidR="000E4CB2" w:rsidP="000E4CB2" w:rsidRDefault="000E4CB2" w14:paraId="7C013DE7" w14:textId="77777777"/>
    <w:p w:rsidRPr="00BB2EAF" w:rsidR="000E4CB2" w:rsidP="000E4CB2" w:rsidRDefault="000E4CB2" w14:paraId="56B0B8A8" w14:textId="77777777">
      <w:r>
        <w:rPr>
          <w:noProof/>
          <w:lang w:eastAsia="fi-FI"/>
        </w:rPr>
        <w:drawing>
          <wp:inline distT="0" distB="0" distL="0" distR="0" wp14:anchorId="3D8FD44F" wp14:editId="51D0BAE8">
            <wp:extent cx="5797550" cy="2603500"/>
            <wp:effectExtent l="0" t="0" r="0" b="6350"/>
            <wp:docPr id="17" name="Chart 17">
              <a:extLst xmlns:a="http://schemas.openxmlformats.org/drawingml/2006/main">
                <a:ext uri="{FF2B5EF4-FFF2-40B4-BE49-F238E27FC236}">
                  <a16:creationId xmlns:a16="http://schemas.microsoft.com/office/drawing/2014/main" id="{D7BEB612-08E5-45BD-93BB-79785146F2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Pr="00BB2EAF" w:rsidR="000E4CB2" w:rsidP="000E4CB2" w:rsidRDefault="000E4CB2" w14:paraId="54A8FB0B" w14:textId="77777777"/>
    <w:p w:rsidRPr="00BB2EAF" w:rsidR="000E4CB2" w:rsidP="000E4CB2" w:rsidRDefault="000E4CB2" w14:paraId="71B3B20E" w14:textId="77777777">
      <w:r>
        <w:t xml:space="preserve">This trend was mostly echoed across the countries, with the Croatian, Latvian and Portuguese respondents assessing the </w:t>
      </w:r>
      <w:r>
        <w:rPr>
          <w:u w:val="single"/>
        </w:rPr>
        <w:t>Excellent Science</w:t>
      </w:r>
      <w:r>
        <w:t xml:space="preserve"> cluster as having been the most efficient in achieving the </w:t>
      </w:r>
      <w:r>
        <w:lastRenderedPageBreak/>
        <w:t>H2020 objectives and expected results (62%, 50% and 63% respectively); 100% of the Dutch respondents considered this to have been the case.</w:t>
      </w:r>
    </w:p>
    <w:p w:rsidRPr="00BB2EAF" w:rsidR="000E4CB2" w:rsidP="000E4CB2" w:rsidRDefault="000E4CB2" w14:paraId="15C2B3DB" w14:textId="77777777"/>
    <w:p w:rsidRPr="00BB2EAF" w:rsidR="000E4CB2" w:rsidP="000E4CB2" w:rsidRDefault="000E4CB2" w14:paraId="697A9A45" w14:textId="77777777">
      <w:r>
        <w:t xml:space="preserve">The Croatian, Latvian and Portuguese respondents viewed the </w:t>
      </w:r>
      <w:r>
        <w:rPr>
          <w:u w:val="single"/>
        </w:rPr>
        <w:t>Industrial Leadership</w:t>
      </w:r>
      <w:r>
        <w:t xml:space="preserve"> cluster as having been "moderately effective" (46%, 50% and 82% respectively), whereas 3 of the Dutch respondents considered it to have been "very effective" (33%) and 5, or 56%, "moderately effective". A few respondents (4 in total) considered this cluster to have been "not very effective".</w:t>
      </w:r>
    </w:p>
    <w:p w:rsidRPr="00BB2EAF" w:rsidR="000E4CB2" w:rsidP="000E4CB2" w:rsidRDefault="000E4CB2" w14:paraId="1F7D2E5F" w14:textId="77777777"/>
    <w:p w:rsidRPr="00BB2EAF" w:rsidR="000E4CB2" w:rsidP="000E4CB2" w:rsidRDefault="000E4CB2" w14:paraId="2068BC2B" w14:textId="77777777">
      <w:r>
        <w:t xml:space="preserve">Finally, with regard to the </w:t>
      </w:r>
      <w:r>
        <w:rPr>
          <w:u w:val="single"/>
        </w:rPr>
        <w:t>Societal Challenges</w:t>
      </w:r>
      <w:r>
        <w:t xml:space="preserve"> cluster, the Croatian, Latvian and Portuguese respondents again shared similar views, with the majority considering this cluster to have been "moderately effective" in achieving the H2020 objectives and expected results (54%, 50% and 72% respectively). In contrast, 4, or 44%, of the Dutch respondents held the view that it had been "very effective" and 3, or 33%, "moderately effective". Furthermore, one Croatian participant viewed this cluster as having been "not effective at all" and another one as "not very effective".</w:t>
      </w:r>
    </w:p>
    <w:p w:rsidRPr="00BB2EAF" w:rsidR="000E4CB2" w:rsidP="000E4CB2" w:rsidRDefault="000E4CB2" w14:paraId="6D07864D" w14:textId="77777777"/>
    <w:p w:rsidRPr="00BB2EAF" w:rsidR="000E4CB2" w:rsidP="000E4CB2" w:rsidRDefault="000E4CB2" w14:paraId="54B81927" w14:textId="77777777">
      <w:r>
        <w:t xml:space="preserve">During the semi-structured interviews, the </w:t>
      </w:r>
      <w:r>
        <w:rPr>
          <w:b/>
        </w:rPr>
        <w:t>Latvian</w:t>
      </w:r>
      <w:r>
        <w:t xml:space="preserve"> public authorities noted that the Excellent Science pillar was still a challenge for the country. The results had not been very good there and, indeed, it seemed to be a challenge for many of the newer EU Member States. The reason for that was a lack of investment in research over a longer period of time. For the next programming period of 2021-2027, Latvia had identified this area as one of its priorities, earmarking a larger share of national financing for it. Moreover, national capacity should be improved in this pillar, which would be a long-term process.</w:t>
      </w:r>
    </w:p>
    <w:p w:rsidRPr="00BB2EAF" w:rsidR="000E4CB2" w:rsidP="000E4CB2" w:rsidRDefault="000E4CB2" w14:paraId="35A9DDA3" w14:textId="77777777"/>
    <w:p w:rsidRPr="00BB2EAF" w:rsidR="000E4CB2" w:rsidP="000E4CB2" w:rsidRDefault="000E4CB2" w14:paraId="50A88257" w14:textId="77777777">
      <w:r>
        <w:t>Furthermore, the respondents said that the outcome of the Industrial Leadership pillar could be deemed adequate (for example, in the ICT sector). Looking at the Societal Challenges pillar, they said that involvement in Latvia was at a very high level, especially as regards the food and energy sectors.</w:t>
      </w:r>
    </w:p>
    <w:p w:rsidRPr="00BB2EAF" w:rsidR="000E4CB2" w:rsidP="000E4CB2" w:rsidRDefault="000E4CB2" w14:paraId="6B9D326C" w14:textId="77777777"/>
    <w:p w:rsidRPr="00BB2EAF" w:rsidR="000E4CB2" w:rsidP="000E4CB2" w:rsidRDefault="000E4CB2" w14:paraId="08A44BE1" w14:textId="77777777">
      <w:r>
        <w:t>Finally, the Latvian public authorities noted that there was a significant increase in private sector involvement in all three priority areas under H2020 in Latvia compared to the previous framework programme, which had seen very few companies participate. They said that private companies might not seem to be the first choice when it comes to scientific project partners, but they were not in competition with scientific institutions.</w:t>
      </w:r>
    </w:p>
    <w:p w:rsidRPr="00BB2EAF" w:rsidR="000E4CB2" w:rsidP="000E4CB2" w:rsidRDefault="000E4CB2" w14:paraId="21FFA6EB" w14:textId="77777777"/>
    <w:p w:rsidRPr="00BB2EAF" w:rsidR="000E4CB2" w:rsidP="000E4CB2" w:rsidRDefault="000E4CB2" w14:paraId="67B35757" w14:textId="77777777">
      <w:r>
        <w:t xml:space="preserve">With regard to </w:t>
      </w:r>
      <w:r>
        <w:rPr>
          <w:u w:val="single"/>
        </w:rPr>
        <w:t>H2020's effectiveness in achieving its horizontal objectives</w:t>
      </w:r>
      <w:r>
        <w:t xml:space="preserve"> (</w:t>
      </w:r>
      <w:r>
        <w:rPr>
          <w:b/>
        </w:rPr>
        <w:t>question 5</w:t>
      </w:r>
      <w:r>
        <w:t>), the vast majority considered the following objectives to have been the most successful ("very effective"):</w:t>
      </w:r>
    </w:p>
    <w:p w:rsidRPr="00BB2EAF" w:rsidR="000E4CB2" w:rsidP="000E4CB2" w:rsidRDefault="000E4CB2" w14:paraId="662A99DE" w14:textId="77777777"/>
    <w:p w:rsidRPr="00BB2EAF" w:rsidR="000E4CB2" w:rsidP="000E4CB2" w:rsidRDefault="000E4CB2" w14:paraId="0B5DBDC2" w14:textId="77777777">
      <w:pPr>
        <w:pStyle w:val="ListParagraph"/>
        <w:numPr>
          <w:ilvl w:val="0"/>
          <w:numId w:val="5"/>
        </w:numPr>
        <w:overflowPunct/>
        <w:autoSpaceDE/>
        <w:autoSpaceDN/>
        <w:adjustRightInd/>
        <w:textAlignment w:val="auto"/>
      </w:pPr>
      <w:r>
        <w:t>respect fundamental ethical principles – responsible research and innovation (56%, or 22 respondents);</w:t>
      </w:r>
    </w:p>
    <w:p w:rsidRPr="00BB2EAF" w:rsidR="000E4CB2" w:rsidP="000E4CB2" w:rsidRDefault="000E4CB2" w14:paraId="2645625E" w14:textId="77777777">
      <w:pPr>
        <w:pStyle w:val="ListParagraph"/>
        <w:numPr>
          <w:ilvl w:val="0"/>
          <w:numId w:val="5"/>
        </w:numPr>
        <w:overflowPunct/>
        <w:autoSpaceDE/>
        <w:autoSpaceDN/>
        <w:adjustRightInd/>
        <w:textAlignment w:val="auto"/>
      </w:pPr>
      <w:r>
        <w:t>increase the circulation and exploitation of knowledge (46%, or 18 respondents);</w:t>
      </w:r>
    </w:p>
    <w:p w:rsidRPr="00BB2EAF" w:rsidR="000E4CB2" w:rsidP="000E4CB2" w:rsidRDefault="000E4CB2" w14:paraId="4EDB6E0A" w14:textId="77777777">
      <w:pPr>
        <w:pStyle w:val="ListParagraph"/>
        <w:numPr>
          <w:ilvl w:val="0"/>
          <w:numId w:val="5"/>
        </w:numPr>
        <w:overflowPunct/>
        <w:autoSpaceDE/>
        <w:autoSpaceDN/>
        <w:adjustRightInd/>
        <w:textAlignment w:val="auto"/>
      </w:pPr>
      <w:r>
        <w:t>contribute to the attractiveness of the research profession in the Union (46%, or 18 respondents).</w:t>
      </w:r>
    </w:p>
    <w:p w:rsidRPr="00BB2EAF" w:rsidR="000E4CB2" w:rsidP="000E4CB2" w:rsidRDefault="000E4CB2" w14:paraId="531950D2" w14:textId="77777777"/>
    <w:p w:rsidRPr="00BB2EAF" w:rsidR="000E4CB2" w:rsidP="000E4CB2" w:rsidRDefault="000E4CB2" w14:paraId="0D3E644E" w14:textId="77777777">
      <w:r>
        <w:t>The least successful ("not very effective") horizontal objectives were considered to be the following:</w:t>
      </w:r>
    </w:p>
    <w:p w:rsidRPr="00BB2EAF" w:rsidR="000E4CB2" w:rsidP="000E4CB2" w:rsidRDefault="000E4CB2" w14:paraId="2D9AB9E9" w14:textId="77777777"/>
    <w:p w:rsidRPr="00BB2EAF" w:rsidR="000E4CB2" w:rsidP="000E4CB2" w:rsidRDefault="000E4CB2" w14:paraId="23DAF49E" w14:textId="77777777">
      <w:pPr>
        <w:pStyle w:val="ListParagraph"/>
        <w:numPr>
          <w:ilvl w:val="0"/>
          <w:numId w:val="6"/>
        </w:numPr>
        <w:overflowPunct/>
        <w:autoSpaceDE/>
        <w:autoSpaceDN/>
        <w:adjustRightInd/>
        <w:textAlignment w:val="auto"/>
      </w:pPr>
      <w:r>
        <w:t>openness to new participants (26%, or 10 respondents);</w:t>
      </w:r>
    </w:p>
    <w:p w:rsidRPr="00BB2EAF" w:rsidR="000E4CB2" w:rsidP="000E4CB2" w:rsidRDefault="000E4CB2" w14:paraId="21E70421" w14:textId="77777777">
      <w:pPr>
        <w:pStyle w:val="ListParagraph"/>
        <w:numPr>
          <w:ilvl w:val="0"/>
          <w:numId w:val="6"/>
        </w:numPr>
        <w:overflowPunct/>
        <w:autoSpaceDE/>
        <w:autoSpaceDN/>
        <w:adjustRightInd/>
        <w:textAlignment w:val="auto"/>
      </w:pPr>
      <w:r>
        <w:t>promoting gender balance (13%, or 5 respondents);</w:t>
      </w:r>
    </w:p>
    <w:p w:rsidRPr="00BB2EAF" w:rsidR="000E4CB2" w:rsidP="000E4CB2" w:rsidRDefault="000E4CB2" w14:paraId="36961857" w14:textId="77777777">
      <w:pPr>
        <w:pStyle w:val="ListParagraph"/>
        <w:numPr>
          <w:ilvl w:val="0"/>
          <w:numId w:val="6"/>
        </w:numPr>
        <w:overflowPunct/>
        <w:autoSpaceDE/>
        <w:autoSpaceDN/>
        <w:adjustRightInd/>
        <w:textAlignment w:val="auto"/>
      </w:pPr>
      <w:r>
        <w:lastRenderedPageBreak/>
        <w:t>contribute to the attractiveness of the research profession in the Union (13%, or 5 respondents).</w:t>
      </w:r>
    </w:p>
    <w:p w:rsidRPr="00BB2EAF" w:rsidR="000E4CB2" w:rsidP="000E4CB2" w:rsidRDefault="000E4CB2" w14:paraId="37309DD8" w14:textId="77777777"/>
    <w:p w:rsidRPr="00BB2EAF" w:rsidR="000E4CB2" w:rsidP="000E4CB2" w:rsidRDefault="000E4CB2" w14:paraId="5F2431F2" w14:textId="77777777">
      <w:r>
        <w:rPr>
          <w:noProof/>
          <w:lang w:eastAsia="fi-FI"/>
        </w:rPr>
        <w:drawing>
          <wp:inline distT="0" distB="0" distL="0" distR="0" wp14:anchorId="4F9F38D0" wp14:editId="2A5357EF">
            <wp:extent cx="5724525" cy="4457700"/>
            <wp:effectExtent l="0" t="0" r="0" b="0"/>
            <wp:docPr id="18" name="Chart 18">
              <a:extLst xmlns:a="http://schemas.openxmlformats.org/drawingml/2006/main">
                <a:ext uri="{FF2B5EF4-FFF2-40B4-BE49-F238E27FC236}">
                  <a16:creationId xmlns:a16="http://schemas.microsoft.com/office/drawing/2014/main" id="{9DD99E04-E2AF-4FF1-B283-6ED5A79FB9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Pr="00BB2EAF" w:rsidR="000E4CB2" w:rsidP="000E4CB2" w:rsidRDefault="000E4CB2" w14:paraId="0A9CFFE3" w14:textId="77777777"/>
    <w:p w:rsidRPr="00BB2EAF" w:rsidR="000E4CB2" w:rsidP="000E4CB2" w:rsidRDefault="000E4CB2" w14:paraId="44115B51" w14:textId="77777777">
      <w:r>
        <w:t>Comparing the four countries, the Croatian respondents were of the view that H2020 had been most effective in achieving the objectives of "increase the circulation and exploitation of knowledge", with "very effective" and "moderately effective" each accounting for 46% of responses, and "responsible research and innovation" (46% for "very effective" and 38% "moderately effective"). "Openness to new participants" and "promoting gender balance" were seen as having been "not very effective" by 38% and 23% respectively.</w:t>
      </w:r>
    </w:p>
    <w:p w:rsidRPr="00BB2EAF" w:rsidR="000E4CB2" w:rsidP="000E4CB2" w:rsidRDefault="000E4CB2" w14:paraId="68E90093" w14:textId="77777777"/>
    <w:p w:rsidRPr="00BB2EAF" w:rsidR="000E4CB2" w:rsidP="000E4CB2" w:rsidRDefault="000E4CB2" w14:paraId="4DC7F28D" w14:textId="77777777">
      <w:r>
        <w:t>The Latvian respondents were also of the view that H2020 had been most effective in achieving the objectives of "responsible research and innovation" (67% for "very effective" and 17%, or 1 respondent, for "moderately effective") and "increase the circulation and exploitation of knowledge" (33% for " very effective" and 67% for "moderately effective"). The small number of Latvian respondents (6) does not allow for any further distinction in results in this question.</w:t>
      </w:r>
    </w:p>
    <w:p w:rsidRPr="00BB2EAF" w:rsidR="000E4CB2" w:rsidP="000E4CB2" w:rsidRDefault="000E4CB2" w14:paraId="0AB0DB53" w14:textId="77777777"/>
    <w:p w:rsidRPr="00BB2EAF" w:rsidR="000E4CB2" w:rsidP="000E4CB2" w:rsidRDefault="000E4CB2" w14:paraId="3DDAB94C" w14:textId="77777777">
      <w:r>
        <w:t xml:space="preserve">The Dutch respondents expressed slightly different views. In their opinion, H2020 had been most effective in achieving the objective of "increase the circulation and exploitation of knowledge" (56% for "very effective" and 44% for "moderately effective"), with the second most successful being "consideration for equal treatment and non-discrimination in R&amp;I content throughout all stages of the research cycle" (22% for "very effective" and 78% for "moderately effective"). Moreover, the </w:t>
      </w:r>
      <w:r>
        <w:lastRenderedPageBreak/>
        <w:t>objective of "contribute to the attractiveness of the research profession in the Union" received a high score, with 78% of the Dutch respondents considering H2020 as having been "very effective" in achieving it. The answer "not very effective" was given to only some of the objectives, by just one or two respondents.</w:t>
      </w:r>
    </w:p>
    <w:p w:rsidRPr="00BB2EAF" w:rsidR="000E4CB2" w:rsidP="000E4CB2" w:rsidRDefault="000E4CB2" w14:paraId="0B0370A7" w14:textId="77777777"/>
    <w:p w:rsidRPr="00BB2EAF" w:rsidR="000E4CB2" w:rsidP="000E4CB2" w:rsidRDefault="000E4CB2" w14:paraId="1E057A8E" w14:textId="77777777">
      <w:r>
        <w:t>Finally, the Portuguese respondents agreed to a large extent with the Croatian and Latvian respondents, most highly rating H2020's effectiveness in achieving the objectives of "increase the circulation and exploitation of knowledge" (45% for "very effective" and 55% for "moderately effective") and "responsible research and innovation" (63% for "very effective" and 36% for "moderately effective"). The objectives of "openness to new participants" and "contribute to the attractiveness of the research profession in the Union" received the most "not very effective" responses (18% each).</w:t>
      </w:r>
    </w:p>
    <w:p w:rsidRPr="00BB2EAF" w:rsidR="000E4CB2" w:rsidP="000E4CB2" w:rsidRDefault="000E4CB2" w14:paraId="533B62CA" w14:textId="77777777"/>
    <w:p w:rsidRPr="00BB2EAF" w:rsidR="000E4CB2" w:rsidP="000E4CB2" w:rsidRDefault="000E4CB2" w14:paraId="2849CAFB" w14:textId="77777777">
      <w:r>
        <w:t xml:space="preserve">With regard to the question of </w:t>
      </w:r>
      <w:r>
        <w:rPr>
          <w:u w:val="single"/>
        </w:rPr>
        <w:t>whether the supplementary programmes</w:t>
      </w:r>
      <w:r>
        <w:t xml:space="preserve"> supported by H2020 which involved the participation of certain Member States only (e.g. joint undertakings) </w:t>
      </w:r>
      <w:r>
        <w:rPr>
          <w:u w:val="single"/>
        </w:rPr>
        <w:t>had been identified and implemented in an open, transparent and efficient way</w:t>
      </w:r>
      <w:r>
        <w:t xml:space="preserve"> (</w:t>
      </w:r>
      <w:r>
        <w:rPr>
          <w:b/>
        </w:rPr>
        <w:t>question 6</w:t>
      </w:r>
      <w:r>
        <w:t xml:space="preserve">), the majority of the respondents (41%) agreed partially, while 21% agreed fully and 26% were unsure. </w:t>
      </w:r>
    </w:p>
    <w:p w:rsidRPr="00BB2EAF" w:rsidR="000E4CB2" w:rsidP="000E4CB2" w:rsidRDefault="000E4CB2" w14:paraId="31FCD2BB" w14:textId="77777777"/>
    <w:p w:rsidRPr="00BB2EAF" w:rsidR="000E4CB2" w:rsidP="000E4CB2" w:rsidRDefault="000E4CB2" w14:paraId="4B2D17B7" w14:textId="77777777">
      <w:r>
        <w:rPr>
          <w:noProof/>
          <w:lang w:eastAsia="fi-FI"/>
        </w:rPr>
        <w:drawing>
          <wp:inline distT="0" distB="0" distL="0" distR="0" wp14:anchorId="5A613388" wp14:editId="5E02BBBA">
            <wp:extent cx="5645150" cy="2324100"/>
            <wp:effectExtent l="0" t="0" r="0" b="0"/>
            <wp:docPr id="19" name="Chart 19">
              <a:extLst xmlns:a="http://schemas.openxmlformats.org/drawingml/2006/main">
                <a:ext uri="{FF2B5EF4-FFF2-40B4-BE49-F238E27FC236}">
                  <a16:creationId xmlns:a16="http://schemas.microsoft.com/office/drawing/2014/main" id="{1BA6955D-927F-4C05-A369-FFA1E9FD5B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Pr="00BB2EAF" w:rsidR="000E4CB2" w:rsidP="000E4CB2" w:rsidRDefault="000E4CB2" w14:paraId="1BF3A1C6" w14:textId="77777777"/>
    <w:p w:rsidRPr="00BB2EAF" w:rsidR="000E4CB2" w:rsidP="000E4CB2" w:rsidRDefault="000E4CB2" w14:paraId="6C91D7AF" w14:textId="77777777">
      <w:r>
        <w:t>This trend was also reflected across the four countries, with the majority of respondents in all four countries replying that they partially agreed with the above statement (23% of the Croatian, 50% of the Latvian, 56% of the Dutch and 45% of the Portuguese respondents). Both in Croatia (46%) and in Latvia (33%), the number of respondents who did not know how to assess this was higher than in the Netherlands and Portugal (1 person in each).</w:t>
      </w:r>
    </w:p>
    <w:p w:rsidRPr="00BB2EAF" w:rsidR="000E4CB2" w:rsidP="000E4CB2" w:rsidRDefault="000E4CB2" w14:paraId="320C3B9A" w14:textId="77777777"/>
    <w:p w:rsidRPr="00BB2EAF" w:rsidR="000E4CB2" w:rsidP="000E4CB2" w:rsidRDefault="000E4CB2" w14:paraId="1A57537F" w14:textId="77777777">
      <w:r>
        <w:t>With regard to categories, the trend was similar – with the exception of the business organisation representatives (half of whom (2 respondents) fully agreed with the above statement), respondents from all other categories agreed partially with the statement. Even none of the 4 respondents from the public authorities could fully agree that the supplementary programmes had been identified and implemented in an open, transparent and efficient way.</w:t>
      </w:r>
    </w:p>
    <w:p w:rsidRPr="00BB2EAF" w:rsidR="000E4CB2" w:rsidP="000E4CB2" w:rsidRDefault="000E4CB2" w14:paraId="232AECBB" w14:textId="77777777"/>
    <w:p w:rsidRPr="00BB2EAF" w:rsidR="000E4CB2" w:rsidP="000E4CB2" w:rsidRDefault="000E4CB2" w14:paraId="40C88140" w14:textId="77777777">
      <w:r>
        <w:t xml:space="preserve">Regarding the </w:t>
      </w:r>
      <w:r>
        <w:rPr>
          <w:u w:val="single"/>
        </w:rPr>
        <w:t>balance between small and large projects – particularly in the Industrial Leadership and Societal Challenges clusters</w:t>
      </w:r>
      <w:r>
        <w:t xml:space="preserve"> (</w:t>
      </w:r>
      <w:r>
        <w:rPr>
          <w:b/>
        </w:rPr>
        <w:t>question 7</w:t>
      </w:r>
      <w:r>
        <w:t xml:space="preserve">), the vast majority (54%) found that it had been "excessively </w:t>
      </w:r>
      <w:r>
        <w:lastRenderedPageBreak/>
        <w:t>biased towards bigger projects", while 28% found it to have been "appropriate" and 18% were "unsure".</w:t>
      </w:r>
    </w:p>
    <w:p w:rsidRPr="00BB2EAF" w:rsidR="000E4CB2" w:rsidP="000E4CB2" w:rsidRDefault="000E4CB2" w14:paraId="67133A61" w14:textId="77777777"/>
    <w:p w:rsidRPr="00BB2EAF" w:rsidR="000E4CB2" w:rsidP="000E4CB2" w:rsidRDefault="000E4CB2" w14:paraId="67B39C0A" w14:textId="77777777">
      <w:r>
        <w:rPr>
          <w:noProof/>
          <w:lang w:eastAsia="fi-FI"/>
        </w:rPr>
        <w:drawing>
          <wp:inline distT="0" distB="0" distL="0" distR="0" wp14:anchorId="29E8A7D0" wp14:editId="5D7A96D9">
            <wp:extent cx="5746750" cy="2146300"/>
            <wp:effectExtent l="0" t="0" r="6350" b="6350"/>
            <wp:docPr id="39" name="Chart 39">
              <a:extLst xmlns:a="http://schemas.openxmlformats.org/drawingml/2006/main">
                <a:ext uri="{FF2B5EF4-FFF2-40B4-BE49-F238E27FC236}">
                  <a16:creationId xmlns:a16="http://schemas.microsoft.com/office/drawing/2014/main" id="{837C2104-58E2-4856-B1CF-D97BA9FB44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Pr="00BB2EAF" w:rsidR="000E4CB2" w:rsidP="000E4CB2" w:rsidRDefault="000E4CB2" w14:paraId="70760EAF" w14:textId="77777777"/>
    <w:p w:rsidRPr="00BB2EAF" w:rsidR="000E4CB2" w:rsidP="000E4CB2" w:rsidRDefault="000E4CB2" w14:paraId="7C1E54B8" w14:textId="77777777">
      <w:r>
        <w:t>In terms of countries, all the countries surveyed except for the Netherlands mirrored the above views. Specifically, 62% of respondents in Croatia, 50% in Latvia and 55% in Portugal thought that the balance between small and large projects in H2020 had been "excessively biased towards bigger projects". The Dutch respondents were equally split between "appropriate" and "excessively biased towards bigger projects" (44% each). Those respondents who thought that the balance between small and large projects in H2020 had been "appropriate" represented 15% in Croatia, 33% in Latvia and 27% in Portugal.</w:t>
      </w:r>
    </w:p>
    <w:p w:rsidRPr="00BB2EAF" w:rsidR="000E4CB2" w:rsidP="000E4CB2" w:rsidRDefault="000E4CB2" w14:paraId="32A50E81" w14:textId="77777777"/>
    <w:p w:rsidRPr="00BB2EAF" w:rsidR="000E4CB2" w:rsidP="000E4CB2" w:rsidRDefault="000E4CB2" w14:paraId="012A47DA" w14:textId="77777777">
      <w:r>
        <w:t>Looking at the categories, most respondents agreed that the balance between small and large projects in H2020 had been "excessively biased towards bigger projects" (41% of the respondents from academia, 75%, or 3, of the respondents from the public authorities, 50%, or 2, of the respondents from business organisations, and 75%, or 3, of the respondents from civil society organisations).</w:t>
      </w:r>
    </w:p>
    <w:p w:rsidRPr="00BB2EAF" w:rsidR="000E4CB2" w:rsidP="000E4CB2" w:rsidRDefault="000E4CB2" w14:paraId="4E1339A1" w14:textId="77777777"/>
    <w:p w:rsidRPr="00BB2EAF" w:rsidR="000E4CB2" w:rsidP="000E4CB2" w:rsidRDefault="000E4CB2" w14:paraId="5296C19C" w14:textId="77777777">
      <w:r>
        <w:t xml:space="preserve">With regard to the </w:t>
      </w:r>
      <w:r>
        <w:rPr>
          <w:u w:val="single"/>
        </w:rPr>
        <w:t>effectiveness of H2020 support for micro-, small and medium-sized enterprises (MSMEs) in various aspects</w:t>
      </w:r>
      <w:r>
        <w:t xml:space="preserve"> (</w:t>
      </w:r>
      <w:r>
        <w:rPr>
          <w:b/>
        </w:rPr>
        <w:t>question 8</w:t>
      </w:r>
      <w:r>
        <w:t>), the vast majority of the respondents were of the opinion that the following aspects had been the most effective:</w:t>
      </w:r>
    </w:p>
    <w:p w:rsidRPr="00BB2EAF" w:rsidR="000E4CB2" w:rsidP="000E4CB2" w:rsidRDefault="000E4CB2" w14:paraId="7C8E6718" w14:textId="77777777"/>
    <w:p w:rsidRPr="00BB2EAF" w:rsidR="000E4CB2" w:rsidP="000E4CB2" w:rsidRDefault="000E4CB2" w14:paraId="7E15F35C" w14:textId="77777777">
      <w:pPr>
        <w:pStyle w:val="ListParagraph"/>
        <w:numPr>
          <w:ilvl w:val="0"/>
          <w:numId w:val="7"/>
        </w:numPr>
        <w:overflowPunct/>
        <w:autoSpaceDE/>
        <w:autoSpaceDN/>
        <w:adjustRightInd/>
        <w:textAlignment w:val="auto"/>
      </w:pPr>
      <w:r>
        <w:t>appropriate funding instruments (21% for "very effective" and 31% for "moderately effective");</w:t>
      </w:r>
    </w:p>
    <w:p w:rsidRPr="00BB2EAF" w:rsidR="000E4CB2" w:rsidP="000E4CB2" w:rsidRDefault="000E4CB2" w14:paraId="2B260324" w14:textId="77777777">
      <w:pPr>
        <w:pStyle w:val="ListParagraph"/>
        <w:numPr>
          <w:ilvl w:val="0"/>
          <w:numId w:val="7"/>
        </w:numPr>
        <w:overflowPunct/>
        <w:autoSpaceDE/>
        <w:autoSpaceDN/>
        <w:adjustRightInd/>
        <w:textAlignment w:val="auto"/>
      </w:pPr>
      <w:r>
        <w:t>appropriate evaluation framework (13% for "very effective and 28% for "moderately effective");</w:t>
      </w:r>
    </w:p>
    <w:p w:rsidRPr="00BB2EAF" w:rsidR="000E4CB2" w:rsidP="000E4CB2" w:rsidRDefault="000E4CB2" w14:paraId="6C533326" w14:textId="77777777">
      <w:pPr>
        <w:pStyle w:val="ListParagraph"/>
        <w:numPr>
          <w:ilvl w:val="0"/>
          <w:numId w:val="7"/>
        </w:numPr>
        <w:overflowPunct/>
        <w:autoSpaceDE/>
        <w:autoSpaceDN/>
        <w:adjustRightInd/>
        <w:textAlignment w:val="auto"/>
      </w:pPr>
      <w:r>
        <w:t>covering different innovation needs over the whole innovation cycle in a single funding instrument (13% for "very effective and 28% for "moderately effective").</w:t>
      </w:r>
    </w:p>
    <w:p w:rsidRPr="00BB2EAF" w:rsidR="000E4CB2" w:rsidP="000E4CB2" w:rsidRDefault="000E4CB2" w14:paraId="4EDE260D" w14:textId="77777777"/>
    <w:p w:rsidRPr="00BB2EAF" w:rsidR="000E4CB2" w:rsidP="000E4CB2" w:rsidRDefault="000E4CB2" w14:paraId="3B669445" w14:textId="77777777">
      <w:r>
        <w:t>The majority of the respondents found "ease of participation (admin effort)" to have been "not very effective" and 13% found it "not at all effective".</w:t>
      </w:r>
    </w:p>
    <w:p w:rsidRPr="00BB2EAF" w:rsidR="000E4CB2" w:rsidP="000E4CB2" w:rsidRDefault="000E4CB2" w14:paraId="6952E2D8" w14:textId="77777777"/>
    <w:p w:rsidRPr="00BB2EAF" w:rsidR="000E4CB2" w:rsidP="000E4CB2" w:rsidRDefault="000E4CB2" w14:paraId="2BD5791F" w14:textId="77777777">
      <w:r>
        <w:rPr>
          <w:noProof/>
          <w:lang w:eastAsia="fi-FI"/>
        </w:rPr>
        <w:lastRenderedPageBreak/>
        <w:drawing>
          <wp:inline distT="0" distB="0" distL="0" distR="0" wp14:anchorId="42F9FD31" wp14:editId="0B730C08">
            <wp:extent cx="5761355" cy="3275330"/>
            <wp:effectExtent l="0" t="0" r="0" b="1270"/>
            <wp:docPr id="21" name="Chart 21">
              <a:extLst xmlns:a="http://schemas.openxmlformats.org/drawingml/2006/main">
                <a:ext uri="{FF2B5EF4-FFF2-40B4-BE49-F238E27FC236}">
                  <a16:creationId xmlns:a16="http://schemas.microsoft.com/office/drawing/2014/main" id="{7957DC5F-218C-40F6-9F1A-E8725AD797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Pr="00BB2EAF" w:rsidR="000E4CB2" w:rsidP="000E4CB2" w:rsidRDefault="000E4CB2" w14:paraId="37946F62" w14:textId="77777777"/>
    <w:p w:rsidRPr="00BB2EAF" w:rsidR="000E4CB2" w:rsidP="000E4CB2" w:rsidRDefault="000E4CB2" w14:paraId="5481C344" w14:textId="77777777">
      <w:r>
        <w:t>In terms of countries, the Croatian respondents were mostly unsure of how to assess the effectiveness of H2020 support for MSMEs with regard to the above aspects, with the most positive assessment given to "appropriate evaluation framework" and "covering different innovation needs over the whole innovation cycle in a single funding instrument" (38% for "moderately effective" in both).</w:t>
      </w:r>
    </w:p>
    <w:p w:rsidRPr="00BB2EAF" w:rsidR="000E4CB2" w:rsidP="000E4CB2" w:rsidRDefault="000E4CB2" w14:paraId="112CD82E" w14:textId="77777777"/>
    <w:p w:rsidRPr="00BB2EAF" w:rsidR="000E4CB2" w:rsidP="000E4CB2" w:rsidRDefault="000E4CB2" w14:paraId="006E1356" w14:textId="77777777">
      <w:r>
        <w:t>The Latvian and Portuguese respondents shared more positive views: "ease of participation (admin effort)" was found to be "very effective" by 50% of the Latvian and 36% of the Portuguese respondents; however, at the same time almost half (45%) of the Portuguese respondents considered this aspect to be "not very effective". Furthermore, "covering different innovation needs over the whole innovation cycle in a single funding instrument" was viewed as "moderately effective" by 67% of the Latvian respondents and 55% of the Portuguese respondents. For the remaining two aspects the assessment was split between "very effective" and "moderately effective".</w:t>
      </w:r>
    </w:p>
    <w:p w:rsidRPr="00BB2EAF" w:rsidR="000E4CB2" w:rsidP="000E4CB2" w:rsidRDefault="000E4CB2" w14:paraId="19E88DAE" w14:textId="77777777"/>
    <w:p w:rsidRPr="00BB2EAF" w:rsidR="000E4CB2" w:rsidP="000E4CB2" w:rsidRDefault="000E4CB2" w14:paraId="099011F9" w14:textId="77777777">
      <w:r>
        <w:t>As for the Dutch respondents, none of the aspects were deemed "very effective", and only "appropriate funding instruments" and "appropriate evaluation framework" were found to have been "moderately effective", by 33% and 22% of the respondents respectively.</w:t>
      </w:r>
    </w:p>
    <w:p w:rsidRPr="00BB2EAF" w:rsidR="00816C92" w:rsidP="000E4CB2" w:rsidRDefault="00816C92" w14:paraId="45D5B150" w14:textId="77777777"/>
    <w:p w:rsidRPr="00BB2EAF" w:rsidR="000E4CB2" w:rsidP="000E4CB2" w:rsidRDefault="000E4CB2" w14:paraId="770E408D" w14:textId="74E9BBC7">
      <w:r>
        <w:t>The rest of the answers in all four aspects were split between "not very effective", "not at all effective" and "unsure". It is worth mentioning that "ease of participation (admin effort)" and "covering different innovation needs over the whole innovation cycle in a single funding instrument" received no positive assessments, with 44%, or 4, of the respondents and 22%, or 2, of the respondents considering these aspects as having been "not at all effective" in H2020 support for MSMEs.</w:t>
      </w:r>
    </w:p>
    <w:p w:rsidRPr="00BB2EAF" w:rsidR="000E4CB2" w:rsidP="000E4CB2" w:rsidRDefault="000E4CB2" w14:paraId="78CF6787" w14:textId="77777777"/>
    <w:p w:rsidRPr="00BB2EAF" w:rsidR="000E4CB2" w:rsidP="000E4CB2" w:rsidRDefault="000E4CB2" w14:paraId="47C3A9D7" w14:textId="77777777">
      <w:pPr>
        <w:rPr>
          <w:bCs/>
        </w:rPr>
      </w:pPr>
      <w:r>
        <w:t xml:space="preserve">During the semi-structured interviews, the </w:t>
      </w:r>
      <w:r>
        <w:rPr>
          <w:b/>
        </w:rPr>
        <w:t>Croatian</w:t>
      </w:r>
      <w:r>
        <w:t xml:space="preserve"> participants suggested several improvements to be made to H2020 in terms of its support for MSMEs. First of all, they said that there was room for wider participation and that the process could be made more accessible to MSMEs. Targeted publicity about MSME participation in H2020 was required to promote greater participation. </w:t>
      </w:r>
    </w:p>
    <w:p w:rsidRPr="00BB2EAF" w:rsidR="000E4CB2" w:rsidP="000E4CB2" w:rsidRDefault="000E4CB2" w14:paraId="38578A6D" w14:textId="77777777">
      <w:pPr>
        <w:rPr>
          <w:bCs/>
        </w:rPr>
      </w:pPr>
    </w:p>
    <w:p w:rsidRPr="00BB2EAF" w:rsidR="000E4CB2" w:rsidP="000E4CB2" w:rsidRDefault="000E4CB2" w14:paraId="116651F7" w14:textId="77777777">
      <w:pPr>
        <w:rPr>
          <w:bCs/>
        </w:rPr>
      </w:pPr>
      <w:r>
        <w:lastRenderedPageBreak/>
        <w:t xml:space="preserve">The </w:t>
      </w:r>
      <w:r>
        <w:rPr>
          <w:b/>
        </w:rPr>
        <w:t>Dutch</w:t>
      </w:r>
      <w:r>
        <w:t xml:space="preserve"> participants saw the rather low involvement of MSMEs, especially in the area of industrial leadership, as one of the main shortcomings.</w:t>
      </w:r>
    </w:p>
    <w:p w:rsidRPr="00BB2EAF" w:rsidR="000E4CB2" w:rsidP="000E4CB2" w:rsidRDefault="000E4CB2" w14:paraId="1D632675" w14:textId="77777777">
      <w:pPr>
        <w:rPr>
          <w:bCs/>
        </w:rPr>
      </w:pPr>
    </w:p>
    <w:p w:rsidRPr="00BB2EAF" w:rsidR="000E4CB2" w:rsidP="000E4CB2" w:rsidRDefault="000E4CB2" w14:paraId="7FC7130B" w14:textId="77777777">
      <w:pPr>
        <w:rPr>
          <w:bCs/>
        </w:rPr>
      </w:pPr>
      <w:r>
        <w:t xml:space="preserve">The </w:t>
      </w:r>
      <w:r>
        <w:rPr>
          <w:b/>
        </w:rPr>
        <w:t>Latvian</w:t>
      </w:r>
      <w:r>
        <w:t xml:space="preserve"> public authorities too expressed the view that MSME involvement in H2020 should be increased. Comparing Latvia with other countries in this respect, they said that Latvia was small and had a different business structure and that, under H2020, the state gave the highest priority to companies with a high innovation component. Hence, MSMEs had less chance to participate in tenders because they lacked capacity.</w:t>
      </w:r>
    </w:p>
    <w:p w:rsidRPr="00BB2EAF" w:rsidR="000E4CB2" w:rsidP="000E4CB2" w:rsidRDefault="000E4CB2" w14:paraId="13328436" w14:textId="77777777">
      <w:pPr>
        <w:rPr>
          <w:bCs/>
        </w:rPr>
      </w:pPr>
    </w:p>
    <w:p w:rsidRPr="00BB2EAF" w:rsidR="000E4CB2" w:rsidP="000E4CB2" w:rsidRDefault="000E4CB2" w14:paraId="1406BECC" w14:textId="77777777">
      <w:r>
        <w:t>Furthermore, it was noted that H2020 had a special instrument – the SME tool – aimed at MSMEs, but, from the total of 625 applications from Latvia, only 2.16% had received funding. This was an extremely low indicator in comparison to other funding opportunities. Under H2020, this competition for funding between MSMEs had increased even further, which was seen as not at all attractive for this type of company, which had to plan their financing very carefully.</w:t>
      </w:r>
    </w:p>
    <w:p w:rsidRPr="00BB2EAF" w:rsidR="000E4CB2" w:rsidP="000E4CB2" w:rsidRDefault="000E4CB2" w14:paraId="61D24DE8" w14:textId="77777777">
      <w:pPr>
        <w:rPr>
          <w:bCs/>
        </w:rPr>
      </w:pPr>
    </w:p>
    <w:p w:rsidRPr="00BB2EAF" w:rsidR="000E4CB2" w:rsidP="000E4CB2" w:rsidRDefault="000E4CB2" w14:paraId="5C03A727" w14:textId="3A90BE1A">
      <w:pPr>
        <w:rPr>
          <w:bCs/>
        </w:rPr>
      </w:pPr>
      <w:r>
        <w:t xml:space="preserve">The </w:t>
      </w:r>
      <w:r>
        <w:rPr>
          <w:b/>
        </w:rPr>
        <w:t>Croatian</w:t>
      </w:r>
      <w:r>
        <w:t xml:space="preserve"> participants noted that the process was too dependent on larger companies to ensure a successful proposal. Smaller firms always ended up relying on larger organisations as partners due to previous success with applications and resources, but this did not always benefit the smaller organisation and they could be overshadowed.</w:t>
      </w:r>
    </w:p>
    <w:p w:rsidRPr="00BB2EAF" w:rsidR="000E4CB2" w:rsidP="000E4CB2" w:rsidRDefault="000E4CB2" w14:paraId="13307643" w14:textId="77777777">
      <w:pPr>
        <w:rPr>
          <w:bCs/>
        </w:rPr>
      </w:pPr>
    </w:p>
    <w:p w:rsidRPr="00BB2EAF" w:rsidR="000E4CB2" w:rsidP="000E4CB2" w:rsidRDefault="000E4CB2" w14:paraId="45359BD1" w14:textId="77777777">
      <w:pPr>
        <w:rPr>
          <w:bCs/>
        </w:rPr>
      </w:pPr>
      <w:r>
        <w:t xml:space="preserve">Secondly, according to the </w:t>
      </w:r>
      <w:r>
        <w:rPr>
          <w:b/>
        </w:rPr>
        <w:t>Croatian</w:t>
      </w:r>
      <w:r>
        <w:t xml:space="preserve"> stakeholders, applying to H2020 was seen as overly complex, and support for project management (accounting, HR, technology support etc.) was insufficient. The Accelerator tool was highly selective and demanding, which acted as a barrier to SMEs. It was very difficult for these organisations to find consortia and almost impossible for them to form their own. Larger organisations and institutes tended to have their own "favourite" or established MSME partners, so newcomers were barred from participation in several ways. </w:t>
      </w:r>
    </w:p>
    <w:p w:rsidRPr="00BB2EAF" w:rsidR="000E4CB2" w:rsidP="000E4CB2" w:rsidRDefault="000E4CB2" w14:paraId="34A77299" w14:textId="77777777">
      <w:pPr>
        <w:rPr>
          <w:bCs/>
        </w:rPr>
      </w:pPr>
    </w:p>
    <w:p w:rsidRPr="00BB2EAF" w:rsidR="000E4CB2" w:rsidP="000E4CB2" w:rsidRDefault="000E4CB2" w14:paraId="16E430F9" w14:textId="77777777">
      <w:pPr>
        <w:rPr>
          <w:bCs/>
        </w:rPr>
      </w:pPr>
      <w:r>
        <w:t xml:space="preserve">The </w:t>
      </w:r>
      <w:r>
        <w:rPr>
          <w:b/>
        </w:rPr>
        <w:t>Dutch</w:t>
      </w:r>
      <w:r>
        <w:t xml:space="preserve"> and </w:t>
      </w:r>
      <w:r>
        <w:rPr>
          <w:b/>
        </w:rPr>
        <w:t>Latvian</w:t>
      </w:r>
      <w:r>
        <w:t xml:space="preserve"> stakeholders mentioned the difficulty in finding suitable partners and gaining access to existing consortia as well.</w:t>
      </w:r>
    </w:p>
    <w:p w:rsidRPr="00BB2EAF" w:rsidR="000E4CB2" w:rsidP="000E4CB2" w:rsidRDefault="000E4CB2" w14:paraId="4B378EAF" w14:textId="77777777">
      <w:pPr>
        <w:rPr>
          <w:bCs/>
        </w:rPr>
      </w:pPr>
    </w:p>
    <w:p w:rsidRPr="00BB2EAF" w:rsidR="000E4CB2" w:rsidP="000E4CB2" w:rsidRDefault="000E4CB2" w14:paraId="2D699B54" w14:textId="77777777">
      <w:pPr>
        <w:rPr>
          <w:bCs/>
        </w:rPr>
      </w:pPr>
      <w:r>
        <w:t xml:space="preserve">Moreover, the </w:t>
      </w:r>
      <w:r>
        <w:rPr>
          <w:b/>
        </w:rPr>
        <w:t>Croatian</w:t>
      </w:r>
      <w:r>
        <w:t xml:space="preserve"> stakeholders said that the low success rate was demotivating for applicants. After being rejected, many gave up on H2020 and applied instead for other funding opportunities. This problem was magnified for MSMEs, who faced stronger constraints on resources. Moreover, it took eight months on average from application to funding, which was too long for smaller organisations to work without achieving funding. This was another barrier to smaller organisations' participation. </w:t>
      </w:r>
    </w:p>
    <w:p w:rsidRPr="00BB2EAF" w:rsidR="000E4CB2" w:rsidP="000E4CB2" w:rsidRDefault="000E4CB2" w14:paraId="4778B17E" w14:textId="77777777">
      <w:pPr>
        <w:rPr>
          <w:bCs/>
        </w:rPr>
      </w:pPr>
    </w:p>
    <w:p w:rsidRPr="00BB2EAF" w:rsidR="000E4CB2" w:rsidP="000E4CB2" w:rsidRDefault="000E4CB2" w14:paraId="7C3E0FA7" w14:textId="77777777">
      <w:pPr>
        <w:rPr>
          <w:bCs/>
        </w:rPr>
      </w:pPr>
      <w:r>
        <w:t xml:space="preserve">In this regard, the </w:t>
      </w:r>
      <w:r>
        <w:rPr>
          <w:b/>
        </w:rPr>
        <w:t>Latvian</w:t>
      </w:r>
      <w:r>
        <w:t xml:space="preserve"> participants proposed the idea of providing better support for smaller applicants, such as enabling partnerships and providing technical assistance with specific problems throughout the process. </w:t>
      </w:r>
    </w:p>
    <w:p w:rsidRPr="00BB2EAF" w:rsidR="000E4CB2" w:rsidP="000E4CB2" w:rsidRDefault="000E4CB2" w14:paraId="73EB748C" w14:textId="77777777">
      <w:pPr>
        <w:rPr>
          <w:bCs/>
        </w:rPr>
      </w:pPr>
    </w:p>
    <w:p w:rsidRPr="00BB2EAF" w:rsidR="000E4CB2" w:rsidP="000E4CB2" w:rsidRDefault="000E4CB2" w14:paraId="2AE31ADE" w14:textId="77777777">
      <w:pPr>
        <w:rPr>
          <w:bCs/>
        </w:rPr>
      </w:pPr>
      <w:r>
        <w:t xml:space="preserve">The </w:t>
      </w:r>
      <w:r>
        <w:rPr>
          <w:b/>
        </w:rPr>
        <w:t>Croatian</w:t>
      </w:r>
      <w:r>
        <w:t xml:space="preserve"> stakeholders, on the other hand, thought that a potential solution to this issue could be smaller calls that were adapted to MSME-level capacity, especially in countries with lower participation rates, such as Croatia. This would also help such companies to set up their own consortia and gain valuable leadership experience. </w:t>
      </w:r>
    </w:p>
    <w:p w:rsidRPr="00BB2EAF" w:rsidR="000E4CB2" w:rsidP="000E4CB2" w:rsidRDefault="000E4CB2" w14:paraId="658A81CD" w14:textId="77777777">
      <w:pPr>
        <w:rPr>
          <w:bCs/>
        </w:rPr>
      </w:pPr>
    </w:p>
    <w:p w:rsidRPr="00BB2EAF" w:rsidR="000E4CB2" w:rsidP="000E4CB2" w:rsidRDefault="000E4CB2" w14:paraId="0DA2766F" w14:textId="77777777">
      <w:pPr>
        <w:rPr>
          <w:bCs/>
        </w:rPr>
      </w:pPr>
      <w:r>
        <w:lastRenderedPageBreak/>
        <w:t xml:space="preserve">Finally, the </w:t>
      </w:r>
      <w:r>
        <w:rPr>
          <w:b/>
        </w:rPr>
        <w:t>Croatian</w:t>
      </w:r>
      <w:r>
        <w:t xml:space="preserve"> participants mentioned the high level of administrative work needed for participation in H2020 as another way in which SMEs were excluded because they did not have the staff and resources to cover lengthy and complex applications. By comparison, the European Social Fund did not have such a high administrative burden. However, H2020 remained easier than national funds, which were seen as even more demanding and complicated. </w:t>
      </w:r>
    </w:p>
    <w:p w:rsidRPr="00BB2EAF" w:rsidR="000E4CB2" w:rsidP="000E4CB2" w:rsidRDefault="000E4CB2" w14:paraId="2CA63573" w14:textId="77777777">
      <w:pPr>
        <w:rPr>
          <w:bCs/>
        </w:rPr>
      </w:pPr>
    </w:p>
    <w:p w:rsidRPr="00BB2EAF" w:rsidR="000E4CB2" w:rsidP="000E4CB2" w:rsidRDefault="000E4CB2" w14:paraId="7F5D4E4C" w14:textId="77777777">
      <w:pPr>
        <w:rPr>
          <w:bCs/>
        </w:rPr>
      </w:pPr>
      <w:r>
        <w:t xml:space="preserve">The </w:t>
      </w:r>
      <w:r>
        <w:rPr>
          <w:b/>
        </w:rPr>
        <w:t>Dutch</w:t>
      </w:r>
      <w:r>
        <w:t xml:space="preserve"> participants agreed that the </w:t>
      </w:r>
      <w:r>
        <w:rPr>
          <w:b/>
        </w:rPr>
        <w:t>administrative burden</w:t>
      </w:r>
      <w:r>
        <w:t xml:space="preserve"> was a common obstacle, especially for MSMEs. All the Dutch participants agreed that the application procedures took too long and should be facilitated and accelerated in future programmes. </w:t>
      </w:r>
    </w:p>
    <w:p w:rsidRPr="00BB2EAF" w:rsidR="000E4CB2" w:rsidP="000E4CB2" w:rsidRDefault="000E4CB2" w14:paraId="3991AB6D" w14:textId="77777777">
      <w:pPr>
        <w:rPr>
          <w:bCs/>
        </w:rPr>
      </w:pPr>
    </w:p>
    <w:p w:rsidRPr="00BB2EAF" w:rsidR="000E4CB2" w:rsidP="000E4CB2" w:rsidRDefault="000E4CB2" w14:paraId="246A4B24" w14:textId="77777777">
      <w:pPr>
        <w:rPr>
          <w:bCs/>
        </w:rPr>
      </w:pPr>
      <w:r>
        <w:t xml:space="preserve">In this regard, the </w:t>
      </w:r>
      <w:r>
        <w:rPr>
          <w:b/>
        </w:rPr>
        <w:t>Latvian</w:t>
      </w:r>
      <w:r>
        <w:t xml:space="preserve"> stakeholders mentioned the fact that one barrier to MSME participation was previous negative experiences with structural funds in terms of the high administrative burden and overwhelming bureaucracy. These made them hesitant to apply for other funds. In general, it could be said that MSMEs in Latvia lacked innovation capacity, which hindered their participation, especially when the H2020 grant application process was highly competitive. The potential solution could indeed be for them to unite in consortia and find their special niche. The public authorities agreed that there was a lot of potential for growth in Latvia with regard to private sector participation in Horizon.</w:t>
      </w:r>
    </w:p>
    <w:p w:rsidRPr="00BB2EAF" w:rsidR="000E4CB2" w:rsidP="000E4CB2" w:rsidRDefault="000E4CB2" w14:paraId="1CD1760D" w14:textId="77777777"/>
    <w:p w:rsidRPr="00BB2EAF" w:rsidR="000E4CB2" w:rsidP="000E4CB2" w:rsidRDefault="000E4CB2" w14:paraId="2AAA9FA0" w14:textId="77777777">
      <w:r>
        <w:t xml:space="preserve">When asked </w:t>
      </w:r>
      <w:r>
        <w:rPr>
          <w:u w:val="single"/>
        </w:rPr>
        <w:t>whether they knew on which priority of the H2020 their Member State had focused the most</w:t>
      </w:r>
      <w:r>
        <w:t xml:space="preserve"> (</w:t>
      </w:r>
      <w:r>
        <w:rPr>
          <w:b/>
        </w:rPr>
        <w:t>question 9</w:t>
      </w:r>
      <w:r>
        <w:t>), the respondents gave the following replies:</w:t>
      </w:r>
    </w:p>
    <w:p w:rsidRPr="00BB2EAF" w:rsidR="000E4CB2" w:rsidP="000E4CB2" w:rsidRDefault="000E4CB2" w14:paraId="6EBA7ADD" w14:textId="77777777"/>
    <w:p w:rsidRPr="00BB2EAF" w:rsidR="000E4CB2" w:rsidP="000E4CB2" w:rsidRDefault="000E4CB2" w14:paraId="030863E7" w14:textId="77777777">
      <w:r>
        <w:rPr>
          <w:noProof/>
          <w:lang w:eastAsia="fi-FI"/>
        </w:rPr>
        <w:drawing>
          <wp:inline distT="0" distB="0" distL="0" distR="0" wp14:anchorId="57A15078" wp14:editId="6298E2F5">
            <wp:extent cx="5791200" cy="2781300"/>
            <wp:effectExtent l="0" t="0" r="0" b="0"/>
            <wp:docPr id="22" name="Chart 22">
              <a:extLst xmlns:a="http://schemas.openxmlformats.org/drawingml/2006/main">
                <a:ext uri="{FF2B5EF4-FFF2-40B4-BE49-F238E27FC236}">
                  <a16:creationId xmlns:a16="http://schemas.microsoft.com/office/drawing/2014/main" id="{7714B308-A6F8-44FC-BFF6-320EAEF698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Pr="00BB2EAF" w:rsidR="000E4CB2" w:rsidP="000E4CB2" w:rsidRDefault="000E4CB2" w14:paraId="73ED52E1" w14:textId="77777777"/>
    <w:p w:rsidRPr="00BB2EAF" w:rsidR="000E4CB2" w:rsidP="000E4CB2" w:rsidRDefault="000E4CB2" w14:paraId="72918A42" w14:textId="77777777">
      <w:pPr>
        <w:pStyle w:val="ListParagraph"/>
        <w:numPr>
          <w:ilvl w:val="0"/>
          <w:numId w:val="8"/>
        </w:numPr>
        <w:overflowPunct/>
        <w:autoSpaceDE/>
        <w:autoSpaceDN/>
        <w:adjustRightInd/>
        <w:textAlignment w:val="auto"/>
      </w:pPr>
      <w:r>
        <w:t>the Croatian respondents: 54% – Excellent Science and 46% – Societal Challenges;</w:t>
      </w:r>
    </w:p>
    <w:p w:rsidRPr="00BB2EAF" w:rsidR="000E4CB2" w:rsidP="000E4CB2" w:rsidRDefault="000E4CB2" w14:paraId="5471F4F2" w14:textId="77777777">
      <w:pPr>
        <w:pStyle w:val="ListParagraph"/>
        <w:numPr>
          <w:ilvl w:val="0"/>
          <w:numId w:val="8"/>
        </w:numPr>
        <w:overflowPunct/>
        <w:autoSpaceDE/>
        <w:autoSpaceDN/>
        <w:adjustRightInd/>
        <w:textAlignment w:val="auto"/>
      </w:pPr>
      <w:r>
        <w:t>the Latvian respondents: 83% – Societal Challenges and 17%, or 1 respondent – Industrial Leadership;</w:t>
      </w:r>
    </w:p>
    <w:p w:rsidRPr="00BB2EAF" w:rsidR="000E4CB2" w:rsidP="000E4CB2" w:rsidRDefault="000E4CB2" w14:paraId="32CEC234" w14:textId="77777777">
      <w:pPr>
        <w:pStyle w:val="ListParagraph"/>
        <w:numPr>
          <w:ilvl w:val="0"/>
          <w:numId w:val="8"/>
        </w:numPr>
        <w:overflowPunct/>
        <w:autoSpaceDE/>
        <w:autoSpaceDN/>
        <w:adjustRightInd/>
        <w:textAlignment w:val="auto"/>
      </w:pPr>
      <w:r>
        <w:t>the Dutch respondents: 56% – Excellent Science and 33% – Industrial Leadership;</w:t>
      </w:r>
    </w:p>
    <w:p w:rsidRPr="00BB2EAF" w:rsidR="000E4CB2" w:rsidP="000E4CB2" w:rsidRDefault="000E4CB2" w14:paraId="40FD1A02" w14:textId="77777777">
      <w:pPr>
        <w:pStyle w:val="ListParagraph"/>
        <w:numPr>
          <w:ilvl w:val="0"/>
          <w:numId w:val="8"/>
        </w:numPr>
        <w:overflowPunct/>
        <w:autoSpaceDE/>
        <w:autoSpaceDN/>
        <w:adjustRightInd/>
        <w:textAlignment w:val="auto"/>
      </w:pPr>
      <w:r>
        <w:t>the Portuguese respondents: 91% – Excellent Science and 9%, or 1 respondent – Industrial Leadership.</w:t>
      </w:r>
    </w:p>
    <w:p w:rsidRPr="00BB2EAF" w:rsidR="000E4CB2" w:rsidP="000E4CB2" w:rsidRDefault="000E4CB2" w14:paraId="48DBA5C1" w14:textId="77777777"/>
    <w:p w:rsidRPr="00BB2EAF" w:rsidR="000E4CB2" w:rsidP="000E4CB2" w:rsidRDefault="000E4CB2" w14:paraId="2D72AD96" w14:textId="77777777">
      <w:r>
        <w:lastRenderedPageBreak/>
        <w:t xml:space="preserve">When asked about </w:t>
      </w:r>
      <w:r>
        <w:rPr>
          <w:u w:val="single"/>
        </w:rPr>
        <w:t>their opinion of H2020-funded actions in their country</w:t>
      </w:r>
      <w:r>
        <w:t xml:space="preserve"> (</w:t>
      </w:r>
      <w:r>
        <w:rPr>
          <w:b/>
        </w:rPr>
        <w:t>question 10</w:t>
      </w:r>
      <w:r>
        <w:t>), the majority of the respondents (38%) deemed them "appropriate", while 36% said that they were "very good, we use or monitor them regularly", and 21% considered them as "poor".</w:t>
      </w:r>
    </w:p>
    <w:p w:rsidRPr="00BB2EAF" w:rsidR="000E4CB2" w:rsidP="000E4CB2" w:rsidRDefault="000E4CB2" w14:paraId="237A307B" w14:textId="77777777"/>
    <w:p w:rsidRPr="00BB2EAF" w:rsidR="000E4CB2" w:rsidP="000E4CB2" w:rsidRDefault="000E4CB2" w14:paraId="21A2A21F" w14:textId="77777777">
      <w:r>
        <w:t xml:space="preserve">Opinions varied across the countries. A significant proportion of the Croatian respondents (38%) considered the H2020-funded actions in Croatia to have been "poor", whereas an equal number of 31% viewed them as having been "very good, we use or monitor them regularly" or "adequate". </w:t>
      </w:r>
    </w:p>
    <w:p w:rsidRPr="00BB2EAF" w:rsidR="000E4CB2" w:rsidP="000E4CB2" w:rsidRDefault="000E4CB2" w14:paraId="77324504" w14:textId="77777777"/>
    <w:p w:rsidRPr="00BB2EAF" w:rsidR="000E4CB2" w:rsidP="000E4CB2" w:rsidRDefault="000E4CB2" w14:paraId="5E8EAEC6" w14:textId="77777777">
      <w:r>
        <w:t>The Latvian and Dutch respondents held the most positive views, with 50% (or 3 respondents) and 67% respectively saying that the H2020-funded actions in their respective countries had been "very good, we use or monitor them regularly".</w:t>
      </w:r>
    </w:p>
    <w:p w:rsidRPr="00BB2EAF" w:rsidR="000E4CB2" w:rsidP="000E4CB2" w:rsidRDefault="000E4CB2" w14:paraId="22D3D9BE" w14:textId="77777777"/>
    <w:p w:rsidRPr="00BB2EAF" w:rsidR="000E4CB2" w:rsidP="000E4CB2" w:rsidRDefault="000E4CB2" w14:paraId="34551282" w14:textId="77777777">
      <w:r>
        <w:t>Finally, the majority of the Portuguese respondents (64%) viewed the H2020-funded actions in Portugal as having been "adequate", and 18% thought that they had been "poor".</w:t>
      </w:r>
    </w:p>
    <w:p w:rsidRPr="00BB2EAF" w:rsidR="000E4CB2" w:rsidP="000E4CB2" w:rsidRDefault="000E4CB2" w14:paraId="3EB3DFD1" w14:textId="77777777"/>
    <w:p w:rsidRPr="00BB2EAF" w:rsidR="000E4CB2" w:rsidP="000E4CB2" w:rsidRDefault="000E4CB2" w14:paraId="159E1F8F" w14:textId="77777777">
      <w:r>
        <w:rPr>
          <w:noProof/>
          <w:lang w:eastAsia="fi-FI"/>
        </w:rPr>
        <w:drawing>
          <wp:inline distT="0" distB="0" distL="0" distR="0" wp14:anchorId="1E47C944" wp14:editId="4300FDA2">
            <wp:extent cx="5797550" cy="2743200"/>
            <wp:effectExtent l="0" t="0" r="0" b="0"/>
            <wp:docPr id="23" name="Chart 23">
              <a:extLst xmlns:a="http://schemas.openxmlformats.org/drawingml/2006/main">
                <a:ext uri="{FF2B5EF4-FFF2-40B4-BE49-F238E27FC236}">
                  <a16:creationId xmlns:a16="http://schemas.microsoft.com/office/drawing/2014/main" id="{7714B308-A6F8-44FC-BFF6-320EAEF698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Pr="00BB2EAF" w:rsidR="000E4CB2" w:rsidP="000E4CB2" w:rsidRDefault="000E4CB2" w14:paraId="6E2D6120" w14:textId="77777777">
      <w:r>
        <w:t xml:space="preserve">In terms of categories, representatives from academia and the public authorities viewed the outcomes of the H2020-funded actions in their countries in the most positive light (45% and 50% (or 2 respondents) respectively considering them "very good"). In contrast, 50% (or 2 respondents) from business organisations and 75% (or 3 respondents) from civil society organisations viewed them as "poor". </w:t>
      </w:r>
    </w:p>
    <w:p w:rsidRPr="00BB2EAF" w:rsidR="000E4CB2" w:rsidP="000E4CB2" w:rsidRDefault="000E4CB2" w14:paraId="5DF400F5" w14:textId="77777777"/>
    <w:p w:rsidRPr="00BB2EAF" w:rsidR="000E4CB2" w:rsidP="000E4CB2" w:rsidRDefault="000E4CB2" w14:paraId="74D5AC6A" w14:textId="77777777">
      <w:pPr>
        <w:rPr>
          <w:bCs/>
        </w:rPr>
      </w:pPr>
      <w:r>
        <w:t xml:space="preserve">During the semi-structured interviews, the </w:t>
      </w:r>
      <w:r>
        <w:rPr>
          <w:b/>
        </w:rPr>
        <w:t>Croatian</w:t>
      </w:r>
      <w:r>
        <w:t xml:space="preserve"> participants from educational establishments and research organisations, as well as those from NGOs, businesses and social partners, held very positive views of H2020 overall and praised it as a beneficial tool for Croatian companies to develop technical excellence and increase Europe's standing in R&amp;D globally. However, the Croatian public authorities had mixed opinions on whether H2020 had been successful in the country. The tough competition, lack of a twinning project and modest results in land-use projects due to there being no national land-use strategy were cited as negative points.</w:t>
      </w:r>
    </w:p>
    <w:p w:rsidRPr="00BB2EAF" w:rsidR="000E4CB2" w:rsidP="000E4CB2" w:rsidRDefault="000E4CB2" w14:paraId="4444508C" w14:textId="77777777"/>
    <w:p w:rsidRPr="00BB2EAF" w:rsidR="000E4CB2" w:rsidP="000E4CB2" w:rsidRDefault="000E4CB2" w14:paraId="0BD2F663" w14:textId="77777777">
      <w:r>
        <w:t xml:space="preserve">The </w:t>
      </w:r>
      <w:r>
        <w:rPr>
          <w:b/>
        </w:rPr>
        <w:t>Dutch</w:t>
      </w:r>
      <w:r>
        <w:t xml:space="preserve"> participants had an overall positive view of H2020, which allowed direct networking, discussions and exchanges of experience among scientists and other experts in the relevant field. They </w:t>
      </w:r>
      <w:r>
        <w:lastRenderedPageBreak/>
        <w:t>considered it to be much better than its predecessors and they assessed the performance of the H2020 programme positively, stressing its comprehensiveness and its clearly defined pillars. Particularly, Dutch research organisations warmly welcomed H2020 and explained that the Netherlands had performed very well under it. They appreciated the fact that the programme enabled the implementation of some projects which could not have been carried out without it.</w:t>
      </w:r>
    </w:p>
    <w:p w:rsidRPr="00BB2EAF" w:rsidR="000E4CB2" w:rsidP="000E4CB2" w:rsidRDefault="000E4CB2" w14:paraId="3742DA2E" w14:textId="77777777"/>
    <w:p w:rsidRPr="00BB2EAF" w:rsidR="000E4CB2" w:rsidP="000E4CB2" w:rsidRDefault="000E4CB2" w14:paraId="1AB8E29E" w14:textId="77777777">
      <w:r>
        <w:t xml:space="preserve">Representatives from </w:t>
      </w:r>
      <w:r>
        <w:rPr>
          <w:b/>
        </w:rPr>
        <w:t>Latvian</w:t>
      </w:r>
      <w:r>
        <w:t xml:space="preserve"> research organisations, NGOs and businesses felt that, overall, the programme had been highly successful, particularly in Latvian educational and research organisations, and in general had had good levels of participation and had led to successful projects. They said that participating in H2020 projects was greatly beneficial to those involved and contributed to the scientific process within these organisations. </w:t>
      </w:r>
    </w:p>
    <w:p w:rsidRPr="00BB2EAF" w:rsidR="000E4CB2" w:rsidP="000E4CB2" w:rsidRDefault="000E4CB2" w14:paraId="41DA7AF3" w14:textId="77777777"/>
    <w:p w:rsidRPr="00BB2EAF" w:rsidR="000E4CB2" w:rsidP="000E4CB2" w:rsidRDefault="000E4CB2" w14:paraId="75AB94EA" w14:textId="77777777">
      <w:r>
        <w:t>They said that one of the major advantages to participating in H2020 had been establishing networks with other European countries by collaborating on projects. However, the lead partner for a project had to be a leading expert in the field, which tended to favour countries with a more established research community. This had been an issue for Latvia, whose participation had therefore been primarily in initiatives started by other partners. This was not seen as a problem of a lack of capacity, but more a lack of "research maturity".</w:t>
      </w:r>
    </w:p>
    <w:p w:rsidRPr="00BB2EAF" w:rsidR="000E4CB2" w:rsidP="000E4CB2" w:rsidRDefault="000E4CB2" w14:paraId="527CD0A4" w14:textId="77777777"/>
    <w:p w:rsidRPr="00BB2EAF" w:rsidR="000E4CB2" w:rsidP="000E4CB2" w:rsidRDefault="000E4CB2" w14:paraId="195CF255" w14:textId="77777777">
      <w:r>
        <w:t>The Latvian business stakeholders noted that the advantages of H2020 for SMEs were the possibility to develop innovative services, to network with and learn from others in the same field abroad, to better understand the markets of other countries and to develop national forecasting capabilities.</w:t>
      </w:r>
    </w:p>
    <w:p w:rsidRPr="00BB2EAF" w:rsidR="000E4CB2" w:rsidP="000E4CB2" w:rsidRDefault="000E4CB2" w14:paraId="1DC956B0" w14:textId="77777777"/>
    <w:p w:rsidRPr="00BB2EAF" w:rsidR="000E4CB2" w:rsidP="000E4CB2" w:rsidRDefault="000E4CB2" w14:paraId="500F4D11" w14:textId="77777777">
      <w:r>
        <w:t xml:space="preserve">Furthermore, they pointed out that H2020 was more accessible, simpler and had a lower administrative burden than other funds; for example, they praised the fact that all reports were standardised. </w:t>
      </w:r>
    </w:p>
    <w:p w:rsidRPr="00BB2EAF" w:rsidR="000E4CB2" w:rsidP="000E4CB2" w:rsidRDefault="000E4CB2" w14:paraId="760C68AD" w14:textId="77777777"/>
    <w:p w:rsidRPr="00BB2EAF" w:rsidR="000E4CB2" w:rsidP="000E4CB2" w:rsidRDefault="000E4CB2" w14:paraId="5518BD71" w14:textId="77777777">
      <w:r>
        <w:t xml:space="preserve">However, they said that Latvia's successes under H2020 had been dominated by the two largest universities. Aside from these two recipients, Latvia had had a small number of projects and low funding compared to other Member States. At the same time, around one quarter of H2020 projects in Latvia had been awarded to companies, so the employers' confederation considered that Latvian companies had been very successful under H2020. </w:t>
      </w:r>
    </w:p>
    <w:p w:rsidRPr="00BB2EAF" w:rsidR="000E4CB2" w:rsidP="000E4CB2" w:rsidRDefault="000E4CB2" w14:paraId="312876FC" w14:textId="77777777"/>
    <w:p w:rsidRPr="00BB2EAF" w:rsidR="000E4CB2" w:rsidP="000E4CB2" w:rsidRDefault="000E4CB2" w14:paraId="786980B4" w14:textId="77777777">
      <w:r>
        <w:t>Finally, the representatives from public authorities expressed the view that, considering the size of the county, its research capacity and the population, Latvia saw itself as a well-performing country. Furthermore, they stressed that H2020 had been a very important programme for Latvia, for developing the Latvian research system and for improving integration into the European Research Area.</w:t>
      </w:r>
    </w:p>
    <w:p w:rsidRPr="00BB2EAF" w:rsidR="000E4CB2" w:rsidP="000E4CB2" w:rsidRDefault="000E4CB2" w14:paraId="027B6D75" w14:textId="77777777"/>
    <w:p w:rsidRPr="00BB2EAF" w:rsidR="000E4CB2" w:rsidP="000E4CB2" w:rsidRDefault="000E4CB2" w14:paraId="5422E2EA" w14:textId="5DD9BE51">
      <w:r>
        <w:rPr>
          <w:b/>
        </w:rPr>
        <w:t>Portuguese</w:t>
      </w:r>
      <w:r>
        <w:t xml:space="preserve"> stakeholders from academia noted that H2020, by enabling research in areas with considerable potential (such as health and pharmaceuticals), had been instrumental in promoting research that had eventually been taken up by private companies. They also praised the H2020 selection and reporting processes, believing it perfectly balanced. The Portuguese business representatives noted that H2020 had had much less bureaucracy than national programmes, making it very attractive; it had focused less on the paper trail and more on results.</w:t>
      </w:r>
    </w:p>
    <w:p w:rsidRPr="00BB2EAF" w:rsidR="000E4CB2" w:rsidP="000E4CB2" w:rsidRDefault="000E4CB2" w14:paraId="59681ACD" w14:textId="77777777"/>
    <w:p w:rsidRPr="00BB2EAF" w:rsidR="000E4CB2" w:rsidP="000E4CB2" w:rsidRDefault="000E4CB2" w14:paraId="09D91B9E" w14:textId="77777777">
      <w:r>
        <w:lastRenderedPageBreak/>
        <w:t>However, the Portuguese representatives from academia emphasised that H2020's effectiveness in Portugal had been affected by the lack of scale (many small research centres) and this had led to less efficient and effective use of resources. There had also been a lack of strategic vision for Portugal, impacting on decisions made about complex procedures, with no attention having been paid to developing innovation. They said that the overall mindset in Portugal was to have bureaucracy for the sake of it and not for the sake of public good; in this regard, the European Union had the potential to nudge Portugal away from this mindset.</w:t>
      </w:r>
    </w:p>
    <w:p w:rsidRPr="00BB2EAF" w:rsidR="000E4CB2" w:rsidP="000E4CB2" w:rsidRDefault="000E4CB2" w14:paraId="69053A83" w14:textId="77777777"/>
    <w:p w:rsidRPr="00BB2EAF" w:rsidR="000E4CB2" w:rsidP="000E4CB2" w:rsidRDefault="000E4CB2" w14:paraId="08A2A3B0" w14:textId="77777777">
      <w:r>
        <w:t xml:space="preserve">When asked </w:t>
      </w:r>
      <w:r>
        <w:rPr>
          <w:u w:val="single"/>
        </w:rPr>
        <w:t xml:space="preserve">whether their country had allocated appropriate funding to complementary programmes </w:t>
      </w:r>
      <w:r>
        <w:t>(e.g. Eureka and Eurostars) (</w:t>
      </w:r>
      <w:r>
        <w:rPr>
          <w:b/>
        </w:rPr>
        <w:t>question 11</w:t>
      </w:r>
      <w:r>
        <w:t>), the majority of the respondents (44%) did not agree and said that the funds had been "insufficient", while 36% were "unsure" and 21% considered them to have been "appropriate".</w:t>
      </w:r>
    </w:p>
    <w:p w:rsidRPr="00BB2EAF" w:rsidR="000E4CB2" w:rsidP="000E4CB2" w:rsidRDefault="000E4CB2" w14:paraId="626E4039" w14:textId="77777777"/>
    <w:p w:rsidRPr="00BB2EAF" w:rsidR="000E4CB2" w:rsidP="000E4CB2" w:rsidRDefault="000E4CB2" w14:paraId="3AA2A7C5" w14:textId="77777777">
      <w:r>
        <w:t>When looking at the views per country, Croatian, Latvian and Portuguese respondents held that the funding allocated to complementary programmes had been largely "insufficient" (54%, 50% and 55% respectively), while 56% of the Dutch respondents found them "appropriate". Only 1 Dutch respondent thought that the funds had been "insufficient". Furthermore, a large proportion (46%) of the Croatian respondents did not know how to assess this matter.</w:t>
      </w:r>
    </w:p>
    <w:p w:rsidRPr="00BB2EAF" w:rsidR="000E4CB2" w:rsidP="000E4CB2" w:rsidRDefault="000E4CB2" w14:paraId="0D0AFAF9" w14:textId="77777777"/>
    <w:p w:rsidRPr="00BB2EAF" w:rsidR="000E4CB2" w:rsidP="000E4CB2" w:rsidRDefault="000E4CB2" w14:paraId="794AE417" w14:textId="77777777">
      <w:r>
        <w:rPr>
          <w:noProof/>
          <w:lang w:eastAsia="fi-FI"/>
        </w:rPr>
        <w:drawing>
          <wp:inline distT="0" distB="0" distL="0" distR="0" wp14:anchorId="180F1814" wp14:editId="161B8425">
            <wp:extent cx="5689600" cy="2743200"/>
            <wp:effectExtent l="0" t="0" r="6350" b="0"/>
            <wp:docPr id="24" name="Chart 24">
              <a:extLst xmlns:a="http://schemas.openxmlformats.org/drawingml/2006/main">
                <a:ext uri="{FF2B5EF4-FFF2-40B4-BE49-F238E27FC236}">
                  <a16:creationId xmlns:a16="http://schemas.microsoft.com/office/drawing/2014/main" id="{EDEBE2F3-4C16-4F02-9355-9AF4B31DF6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Pr="00BB2EAF" w:rsidR="000E4CB2" w:rsidP="000E4CB2" w:rsidRDefault="000E4CB2" w14:paraId="491D4B0E" w14:textId="77777777"/>
    <w:p w:rsidRPr="00BB2EAF" w:rsidR="000E4CB2" w:rsidP="000E4CB2" w:rsidRDefault="000E4CB2" w14:paraId="03D525F1" w14:textId="77777777">
      <w:r>
        <w:t>Breaking the respondents down by category shows a similar picture: respondents from academia and business associations considered the funding allocated to complementary programmes as "insufficient" (55% and 75% respectively), whereas 75%, or 3, of the respondents from civil society organisations were "unsure". Finally, 75%, or 3, of the respondents from public authorities were of the opinion that these funds had been "appropriate".</w:t>
      </w:r>
    </w:p>
    <w:p w:rsidRPr="00BB2EAF" w:rsidR="000E4CB2" w:rsidP="000E4CB2" w:rsidRDefault="000E4CB2" w14:paraId="231D3777" w14:textId="77777777"/>
    <w:p w:rsidRPr="00BB2EAF" w:rsidR="000E4CB2" w:rsidP="000E4CB2" w:rsidRDefault="000E4CB2" w14:paraId="32E58A73" w14:textId="77777777">
      <w:r>
        <w:t xml:space="preserve">When questioned on </w:t>
      </w:r>
      <w:r>
        <w:rPr>
          <w:u w:val="single"/>
        </w:rPr>
        <w:t>the role of national contact points (NCPs) in H2020</w:t>
      </w:r>
      <w:r>
        <w:rPr>
          <w:b/>
        </w:rPr>
        <w:t xml:space="preserve"> </w:t>
      </w:r>
      <w:r>
        <w:t>(</w:t>
      </w:r>
      <w:r>
        <w:rPr>
          <w:b/>
        </w:rPr>
        <w:t>question 12</w:t>
      </w:r>
      <w:r>
        <w:t xml:space="preserve">), stakeholders had divided opinions on their role at different levels of the programme. The response was by and large positive concerning awareness-raising about H2020 and associated programmes, concerning dissemination of information on it (including open calls, rules of participation and proposal submission), concerning specific assistance to participants (call identification and topic framing, action </w:t>
      </w:r>
      <w:r>
        <w:lastRenderedPageBreak/>
        <w:t>types, partner search, rules of participation, roles and responsibilities of consortium members, ethical aspects), promotional events (information days, seminars, conferences, newsletters, workshops) and information provided about other European research and innovation programmes (e.g. European Health Programme, COSNIE, Eureka, Digital Europe, etc.). Approximately 60% to 80% of respondents, all countries and categories included, believed NCPs were effective in these fields.</w:t>
      </w:r>
    </w:p>
    <w:p w:rsidRPr="00BB2EAF" w:rsidR="000E4CB2" w:rsidP="000E4CB2" w:rsidRDefault="000E4CB2" w14:paraId="2AFD3CCA" w14:textId="77777777"/>
    <w:p w:rsidRPr="00BB2EAF" w:rsidR="000E4CB2" w:rsidP="000E4CB2" w:rsidRDefault="000E4CB2" w14:paraId="5011D125" w14:textId="77777777">
      <w:r>
        <w:rPr>
          <w:noProof/>
          <w:lang w:eastAsia="fi-FI"/>
        </w:rPr>
        <w:drawing>
          <wp:inline distT="0" distB="0" distL="0" distR="0" wp14:anchorId="38A940DB" wp14:editId="5029DAFD">
            <wp:extent cx="5943600" cy="4718050"/>
            <wp:effectExtent l="0" t="0" r="0" b="6350"/>
            <wp:docPr id="25" name="Chart 25">
              <a:extLst xmlns:a="http://schemas.openxmlformats.org/drawingml/2006/main">
                <a:ext uri="{FF2B5EF4-FFF2-40B4-BE49-F238E27FC236}">
                  <a16:creationId xmlns:a16="http://schemas.microsoft.com/office/drawing/2014/main" id="{7CD8CAA8-BC73-4913-B964-E8C0A76BF7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Pr="00BB2EAF" w:rsidR="000E4CB2" w:rsidP="000E4CB2" w:rsidRDefault="000E4CB2" w14:paraId="56916862" w14:textId="77777777"/>
    <w:p w:rsidRPr="00BB2EAF" w:rsidR="000E4CB2" w:rsidP="000E4CB2" w:rsidRDefault="000E4CB2" w14:paraId="235E5FAE" w14:textId="77777777">
      <w:r>
        <w:t>Opinions were more divided on support for participants with available funding synergies between H2020 and European Regional and Development Fund (ERDF) programmes in their countries, with 18 positive answers and 18 negative answers. More than half of the respondents believed NCPs were not very effective, or not effective at all, in organising training events (e.g. proposal writing).</w:t>
      </w:r>
    </w:p>
    <w:p w:rsidRPr="00BB2EAF" w:rsidR="000E4CB2" w:rsidP="000E4CB2" w:rsidRDefault="000E4CB2" w14:paraId="76895526" w14:textId="77777777"/>
    <w:p w:rsidRPr="00BB2EAF" w:rsidR="000E4CB2" w:rsidP="000E4CB2" w:rsidRDefault="000E4CB2" w14:paraId="0D9482D3" w14:textId="77777777">
      <w:r>
        <w:t xml:space="preserve">Overall, the Dutch and, to a lesser degree, the Portuguese respondents had a very positive view of the NCPs. Most of the answers falling under the categories "not very effective" and '"not effective at all" came from Croatia and Latvia. </w:t>
      </w:r>
    </w:p>
    <w:p w:rsidRPr="00BB2EAF" w:rsidR="000E4CB2" w:rsidP="000E4CB2" w:rsidRDefault="000E4CB2" w14:paraId="156BA169" w14:textId="77777777"/>
    <w:p w:rsidRPr="00BB2EAF" w:rsidR="000E4CB2" w:rsidP="000E4CB2" w:rsidRDefault="000E4CB2" w14:paraId="5D1BFAEE" w14:textId="77777777">
      <w:r>
        <w:t xml:space="preserve">Participants in the country missions in these two countries expressed views that hinted at the possible origins of these disparities. In the field of research, a divide persisted between "older" and "newer" Member States. </w:t>
      </w:r>
      <w:r>
        <w:rPr>
          <w:b/>
        </w:rPr>
        <w:t>Latvian</w:t>
      </w:r>
      <w:r>
        <w:t xml:space="preserve"> institutions noted that their main partners in H2020 projects had been the older Member States. H2020 was seen as a tool for bridging this gap by encouraging partnerships and aiding the development of research networks between countries. Countries with less developed </w:t>
      </w:r>
      <w:r>
        <w:lastRenderedPageBreak/>
        <w:t>research capacities could learn from those with more developed capacities, which was seen as a major advantage to participation. There was also growing cooperation to promote scientific excellence in the region to address this gap, for example through the Institute of Central Europe</w:t>
      </w:r>
      <w:r w:rsidRPr="00BB2EAF">
        <w:rPr>
          <w:rStyle w:val="FootnoteReference"/>
        </w:rPr>
        <w:footnoteReference w:id="6"/>
      </w:r>
      <w:r>
        <w:t>. The institute acted as an association for cooperation and the exchange of best practices and was developing a white paper on how H2020 partnerships could help bridge this divide, which was expected to be published shortly and would be disseminated to relevant authorities in Brussels and the Member States.</w:t>
      </w:r>
    </w:p>
    <w:p w:rsidRPr="00BB2EAF" w:rsidR="000E4CB2" w:rsidP="000E4CB2" w:rsidRDefault="000E4CB2" w14:paraId="157668BC" w14:textId="77777777"/>
    <w:p w:rsidRPr="00BB2EAF" w:rsidR="000E4CB2" w:rsidP="000E4CB2" w:rsidRDefault="000E4CB2" w14:paraId="7A9CB9D4" w14:textId="77777777">
      <w:r>
        <w:t xml:space="preserve">Organisations were split in half concerning </w:t>
      </w:r>
      <w:r>
        <w:rPr>
          <w:u w:val="single"/>
        </w:rPr>
        <w:t>the question of whether the actions of the H2020 programme had been adapted to the change brought about by the pandemic</w:t>
      </w:r>
      <w:r>
        <w:t xml:space="preserve"> (</w:t>
      </w:r>
      <w:r>
        <w:rPr>
          <w:b/>
        </w:rPr>
        <w:t>question 13</w:t>
      </w:r>
      <w:r>
        <w:t xml:space="preserve">): one half believed they had, the other half were unsure. Only 1 research organisation in Latvia gave a negative answer. </w:t>
      </w:r>
    </w:p>
    <w:p w:rsidRPr="00BB2EAF" w:rsidR="000E4CB2" w:rsidP="000E4CB2" w:rsidRDefault="000E4CB2" w14:paraId="6991E96F" w14:textId="77777777"/>
    <w:p w:rsidRPr="00BB2EAF" w:rsidR="000E4CB2" w:rsidP="000E4CB2" w:rsidRDefault="000E4CB2" w14:paraId="1DB52510" w14:textId="77777777">
      <w:r>
        <w:rPr>
          <w:noProof/>
          <w:lang w:eastAsia="fi-FI"/>
        </w:rPr>
        <w:drawing>
          <wp:inline distT="0" distB="0" distL="0" distR="0" wp14:anchorId="70C2F60C" wp14:editId="026617E9">
            <wp:extent cx="5765800" cy="2247900"/>
            <wp:effectExtent l="0" t="0" r="6350" b="0"/>
            <wp:docPr id="26" name="Chart 26">
              <a:extLst xmlns:a="http://schemas.openxmlformats.org/drawingml/2006/main">
                <a:ext uri="{FF2B5EF4-FFF2-40B4-BE49-F238E27FC236}">
                  <a16:creationId xmlns:a16="http://schemas.microsoft.com/office/drawing/2014/main" id="{D79FE639-9050-4D48-AABA-FD72E252B5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Pr="00BB2EAF" w:rsidR="000E4CB2" w:rsidP="000E4CB2" w:rsidRDefault="000E4CB2" w14:paraId="495B9334" w14:textId="77777777"/>
    <w:p w:rsidRPr="00BB2EAF" w:rsidR="000E4CB2" w:rsidP="000E4CB2" w:rsidRDefault="000E4CB2" w14:paraId="592B1B2A" w14:textId="77777777">
      <w:r>
        <w:t xml:space="preserve">Strikingly, this split was visible across all categories of participants and across the four countries participating in this evaluation. This issue did not gather much attention in the country visits, though Portuguese participants connected to biomedical research did underline that H2020 funds had also been used in research contributing to the fight against the pandemic. </w:t>
      </w:r>
    </w:p>
    <w:p w:rsidRPr="00BB2EAF" w:rsidR="000E4CB2" w:rsidP="000E4CB2" w:rsidRDefault="000E4CB2" w14:paraId="65BDFBF6" w14:textId="77777777"/>
    <w:p w:rsidRPr="00BB2EAF" w:rsidR="000E4CB2" w:rsidP="000E4CB2" w:rsidRDefault="000E4CB2" w14:paraId="4478072D" w14:textId="0566FF39">
      <w:r>
        <w:t>Respondents to the questionnaire were asked to identify (</w:t>
      </w:r>
      <w:r>
        <w:rPr>
          <w:b/>
        </w:rPr>
        <w:t>question 14</w:t>
      </w:r>
      <w:r>
        <w:t>)</w:t>
      </w:r>
      <w:r>
        <w:rPr>
          <w:b/>
        </w:rPr>
        <w:t xml:space="preserve"> </w:t>
      </w:r>
      <w:r>
        <w:rPr>
          <w:u w:val="single"/>
        </w:rPr>
        <w:t>problems in the implementation of H2020</w:t>
      </w:r>
      <w:r>
        <w:t xml:space="preserve">. About half of the respondents shared issues that they had faced, though others (especially in line with the information gathered in the country visit to Portugal) said that H2020 had been an exemplary process. The difficulties that </w:t>
      </w:r>
      <w:r>
        <w:rPr>
          <w:b/>
        </w:rPr>
        <w:t>Portuguese</w:t>
      </w:r>
      <w:r>
        <w:t xml:space="preserve"> stakeholders mentioned related to internal difficulties and national bureaucracy and, if anything, they would want Portuguese authorities to directly apply the procedures used by the European Commission. Nevertheless, question 14 allowed stakeholders from the four countries to share some remarks.</w:t>
      </w:r>
    </w:p>
    <w:p w:rsidRPr="00BB2EAF" w:rsidR="000E4CB2" w:rsidP="000E4CB2" w:rsidRDefault="000E4CB2" w14:paraId="4BB81806" w14:textId="77777777"/>
    <w:p w:rsidRPr="00BB2EAF" w:rsidR="000E4CB2" w:rsidP="000E4CB2" w:rsidRDefault="000E4CB2" w14:paraId="707E6D60" w14:textId="77777777">
      <w:r>
        <w:t xml:space="preserve">Specifically, stakeholders in the fields of business and academia complained about the complexity of procedures and of H2020's structure itself. This was clearly the case for SMEs and academic stakeholders who were less experienced in competing for European funds and building international research consortia. Including new partners in projects had been difficult due to project timelines, inexperience and the administrative burden. The low success rate made it a less attractive investment </w:t>
      </w:r>
      <w:r>
        <w:lastRenderedPageBreak/>
        <w:t xml:space="preserve">opportunity for SMEs. One of the respondents suggested that business associations could play a decisive role in encouraging companies to participate in H2020 project applications. </w:t>
      </w:r>
    </w:p>
    <w:p w:rsidRPr="00BB2EAF" w:rsidR="000E4CB2" w:rsidP="000E4CB2" w:rsidRDefault="000E4CB2" w14:paraId="3D36FBDA" w14:textId="77777777"/>
    <w:p w:rsidRPr="00BB2EAF" w:rsidR="000E4CB2" w:rsidP="000E4CB2" w:rsidRDefault="000E4CB2" w14:paraId="0168BD54" w14:textId="77777777">
      <w:r>
        <w:t>Interactions with other funds and the difficulties for the academic world in dealing with the programme's requirements were also matters of concern. A Dutch research institution mentioned that a large part of the scientific community did not understand the budget allocated to the European Fund for Strategic Investments (EFSI). It seemed to them that those who profited from the R&amp;D funding were not at all engaged in R&amp;D and the H2020 budget was used because it was easy to do so. H2020 had been the first EU R&amp;D programme that used a different procedure from previous EU R&amp;D programmes. This included an emphasis on innovation, which was not among the primary goals of comprehensive universities, hence they focused on low technology readiness level (TRL) research instead of higher TRL research. This also applied to Horizon Europe and needed to be taken into account. Academic research contributed to solving national, European and even global challenges, but most often did so from the low TRL research point of view. Higher TRLs were often dealt with by either more applied research universities or research and technology organisations or companies and industries engaged in R&amp;D. Moreover, TRLs did not necessarily apply to social sciences and humanities research. This was also the case for Horizon Europe. It might be better to rephrase and redefine the term as "(societal) impact readiness levels".</w:t>
      </w:r>
    </w:p>
    <w:p w:rsidRPr="00BB2EAF" w:rsidR="000E4CB2" w:rsidP="000E4CB2" w:rsidRDefault="000E4CB2" w14:paraId="2A33FEE8" w14:textId="77777777"/>
    <w:p w:rsidRPr="00BB2EAF" w:rsidR="000E4CB2" w:rsidP="000E4CB2" w:rsidRDefault="000E4CB2" w14:paraId="27C6D763" w14:textId="77777777">
      <w:r>
        <w:t xml:space="preserve">The issue of competition for funds and human resources was also mentioned. While access to the H2020 programme had been very competitive, Croatian academic stakeholders believed that there had been a lack of transparency in the proposal evaluation process. The process had not provided researchers with an opportunity to easily and effectively respond to and oppose the reviewers' statements. </w:t>
      </w:r>
    </w:p>
    <w:p w:rsidRPr="00BB2EAF" w:rsidR="000E4CB2" w:rsidP="000E4CB2" w:rsidRDefault="000E4CB2" w14:paraId="1241AC6C" w14:textId="77777777"/>
    <w:p w:rsidRPr="00BB2EAF" w:rsidR="000E4CB2" w:rsidP="000E4CB2" w:rsidRDefault="000E4CB2" w14:paraId="7C8076F2" w14:textId="77777777">
      <w:r>
        <w:t xml:space="preserve">Other academic stakeholders complained that competition for human resources was also an issue that some institutions faced. Being successful in grant applications depended not only on institutional skills, but also on the experience and competences of individual researchers. Poorer countries were less able to hire experienced researchers and so were disadvantaged. This was in line with the opinion of Portuguese public authorities, who felt that it was necessary to provide opportunities for pre-competitive research, together with European added value. There was still much to be done to counteract the unidirectional migratory flows of skilled people from the peripheries to the centre of Europe. Research careers and intersectoral mobility could be strengthened by promoting scientific employment, committing more funds to actions aimed at retaining the best talent, and consolidating knowledge and research and innovation ecosystems. </w:t>
      </w:r>
    </w:p>
    <w:p w:rsidRPr="00BB2EAF" w:rsidR="000E4CB2" w:rsidP="000E4CB2" w:rsidRDefault="000E4CB2" w14:paraId="676023F3" w14:textId="77777777"/>
    <w:p w:rsidRPr="00BB2EAF" w:rsidR="000E4CB2" w:rsidP="00C94E47" w:rsidRDefault="000E4CB2" w14:paraId="6E501770" w14:textId="77777777">
      <w:pPr>
        <w:pStyle w:val="Heading2"/>
        <w:keepNext/>
        <w:ind w:left="567" w:hanging="567"/>
        <w:rPr>
          <w:b/>
        </w:rPr>
      </w:pPr>
      <w:bookmarkStart w:name="_Toc125632264" w:id="23"/>
      <w:bookmarkStart w:name="_Toc128464341" w:id="24"/>
      <w:bookmarkStart w:name="_Toc128464372" w:id="25"/>
      <w:r>
        <w:lastRenderedPageBreak/>
        <w:t>Relevance</w:t>
      </w:r>
      <w:bookmarkEnd w:id="23"/>
      <w:bookmarkEnd w:id="24"/>
      <w:bookmarkEnd w:id="25"/>
    </w:p>
    <w:p w:rsidRPr="00BB2EAF" w:rsidR="000E4CB2" w:rsidP="00C94E47" w:rsidRDefault="000E4CB2" w14:paraId="11A00EB0" w14:textId="77777777">
      <w:pPr>
        <w:keepNext/>
      </w:pPr>
    </w:p>
    <w:tbl>
      <w:tblPr>
        <w:tblStyle w:val="TableGrid"/>
        <w:tblW w:w="0" w:type="auto"/>
        <w:tblInd w:w="0" w:type="dxa"/>
        <w:tblLook w:val="04A0" w:firstRow="1" w:lastRow="0" w:firstColumn="1" w:lastColumn="0" w:noHBand="0" w:noVBand="1"/>
      </w:tblPr>
      <w:tblGrid>
        <w:gridCol w:w="9063"/>
      </w:tblGrid>
      <w:tr w:rsidRPr="00BB2EAF" w:rsidR="000E4CB2" w:rsidTr="001E61B3" w14:paraId="3A54FFD5" w14:textId="77777777">
        <w:tc>
          <w:tcPr>
            <w:tcW w:w="9063" w:type="dxa"/>
          </w:tcPr>
          <w:p w:rsidRPr="00BB2EAF" w:rsidR="000E4CB2" w:rsidP="00C94E47" w:rsidRDefault="000E4CB2" w14:paraId="44603819" w14:textId="77777777">
            <w:pPr>
              <w:keepNext/>
            </w:pPr>
            <w:r>
              <w:t xml:space="preserve">According to the European Commission's Better Regulation toolbox, the criterion of relevance "looks at the relationship between the needs and problems in society and the objectives of the intervention and hence touches on aspects of design. Relevance analysis also requires a consideration of how the objectives of an EU intervention (…) correspond to wider EU policy goals and priorities." </w:t>
            </w:r>
            <w:r w:rsidRPr="00BB2EAF">
              <w:rPr>
                <w:rStyle w:val="FootnoteReference"/>
                <w:lang w:val="en-GB"/>
              </w:rPr>
              <w:footnoteReference w:id="7"/>
            </w:r>
          </w:p>
        </w:tc>
      </w:tr>
    </w:tbl>
    <w:p w:rsidRPr="00BB2EAF" w:rsidR="000E4CB2" w:rsidP="000E4CB2" w:rsidRDefault="000E4CB2" w14:paraId="69E765AB" w14:textId="77777777">
      <w:pPr>
        <w:rPr>
          <w:i/>
          <w:iCs/>
        </w:rPr>
      </w:pPr>
    </w:p>
    <w:p w:rsidRPr="00BB2EAF" w:rsidR="000E4CB2" w:rsidP="000E4CB2" w:rsidRDefault="000E4CB2" w14:paraId="6D344269" w14:textId="77777777">
      <w:pPr>
        <w:keepNext/>
        <w:rPr>
          <w:i/>
          <w:iCs/>
        </w:rPr>
      </w:pPr>
      <w:r>
        <w:rPr>
          <w:i/>
        </w:rPr>
        <w:t>General conclusions</w:t>
      </w:r>
    </w:p>
    <w:p w:rsidRPr="00BB2EAF" w:rsidR="000E4CB2" w:rsidP="000E4CB2" w:rsidRDefault="000E4CB2" w14:paraId="08E4A890" w14:textId="77777777">
      <w:pPr>
        <w:keepNext/>
      </w:pPr>
    </w:p>
    <w:p w:rsidRPr="00BB2EAF" w:rsidR="000E4CB2" w:rsidP="000E4CB2" w:rsidRDefault="000E4CB2" w14:paraId="47235DE0" w14:textId="77777777">
      <w:r>
        <w:t xml:space="preserve">When asked about </w:t>
      </w:r>
      <w:r>
        <w:rPr>
          <w:u w:val="single"/>
        </w:rPr>
        <w:t>the influence of H2020 in the evolution of R&amp;D spending</w:t>
      </w:r>
      <w:r>
        <w:t xml:space="preserve"> in their countries (</w:t>
      </w:r>
      <w:r>
        <w:rPr>
          <w:b/>
        </w:rPr>
        <w:t>question 15</w:t>
      </w:r>
      <w:r>
        <w:t xml:space="preserve">), the overwhelming majority of the respondents (7 out of 10) believed that H2020 had been either very relevant or adequate. The Croatian respondents were the least positive on this question, with only 4 out of 10 being positive, contrasting with the Dutch respondents, who were all positive: 7 thought it was very relevant and 2 that it was adequate. None believed it was poor or were unsure of H2020's relevance for the development of R&amp;D. </w:t>
      </w:r>
    </w:p>
    <w:p w:rsidRPr="00BB2EAF" w:rsidR="000E4CB2" w:rsidP="000E4CB2" w:rsidRDefault="000E4CB2" w14:paraId="32D531BE" w14:textId="77777777"/>
    <w:p w:rsidRPr="00BB2EAF" w:rsidR="000E4CB2" w:rsidP="000E4CB2" w:rsidRDefault="000E4CB2" w14:paraId="37E217EC" w14:textId="77777777">
      <w:r>
        <w:rPr>
          <w:noProof/>
          <w:lang w:eastAsia="fi-FI"/>
        </w:rPr>
        <w:drawing>
          <wp:inline distT="0" distB="0" distL="0" distR="0" wp14:anchorId="21AFE857" wp14:editId="747108E7">
            <wp:extent cx="2628900" cy="2082800"/>
            <wp:effectExtent l="0" t="0" r="0" b="0"/>
            <wp:docPr id="27" name="Chart 27">
              <a:extLst xmlns:a="http://schemas.openxmlformats.org/drawingml/2006/main">
                <a:ext uri="{FF2B5EF4-FFF2-40B4-BE49-F238E27FC236}">
                  <a16:creationId xmlns:a16="http://schemas.microsoft.com/office/drawing/2014/main" id="{BE1F8F92-C454-417C-8DEF-7FC5030EF8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Pr>
          <w:noProof/>
          <w:lang w:eastAsia="fi-FI"/>
        </w:rPr>
        <w:drawing>
          <wp:inline distT="0" distB="0" distL="0" distR="0" wp14:anchorId="2F6F78B6" wp14:editId="62769C15">
            <wp:extent cx="1492250" cy="1642110"/>
            <wp:effectExtent l="0" t="0" r="0" b="0"/>
            <wp:docPr id="28" name="Chart 28">
              <a:extLst xmlns:a="http://schemas.openxmlformats.org/drawingml/2006/main">
                <a:ext uri="{FF2B5EF4-FFF2-40B4-BE49-F238E27FC236}">
                  <a16:creationId xmlns:a16="http://schemas.microsoft.com/office/drawing/2014/main" id="{0EAC2A7F-AEE9-49C8-98FD-621B51D9F7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Pr>
          <w:noProof/>
          <w:lang w:eastAsia="fi-FI"/>
        </w:rPr>
        <w:drawing>
          <wp:inline distT="0" distB="0" distL="0" distR="0" wp14:anchorId="7B4EB3C8" wp14:editId="1553FDEA">
            <wp:extent cx="1593850" cy="1606550"/>
            <wp:effectExtent l="0" t="0" r="6350" b="0"/>
            <wp:docPr id="29" name="Chart 29">
              <a:extLst xmlns:a="http://schemas.openxmlformats.org/drawingml/2006/main">
                <a:ext uri="{FF2B5EF4-FFF2-40B4-BE49-F238E27FC236}">
                  <a16:creationId xmlns:a16="http://schemas.microsoft.com/office/drawing/2014/main" id="{73253C4F-FE06-40DA-BE0E-24E32D5478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Pr="00BB2EAF" w:rsidR="000E4CB2" w:rsidP="000E4CB2" w:rsidRDefault="000E4CB2" w14:paraId="77BC80AA" w14:textId="77777777">
      <w:pPr>
        <w:rPr>
          <w:iCs/>
        </w:rPr>
      </w:pPr>
    </w:p>
    <w:p w:rsidRPr="00BB2EAF" w:rsidR="000E4CB2" w:rsidP="000E4CB2" w:rsidRDefault="000E4CB2" w14:paraId="15A0E1FC" w14:textId="77777777">
      <w:pPr>
        <w:rPr>
          <w:iCs/>
        </w:rPr>
      </w:pPr>
      <w:r>
        <w:t xml:space="preserve">According to the participants in the country visit to the </w:t>
      </w:r>
      <w:r>
        <w:rPr>
          <w:b/>
        </w:rPr>
        <w:t>Netherlands</w:t>
      </w:r>
      <w:r>
        <w:t xml:space="preserve">, H2020 had been extremely relevant in the country, as participation in such programmes helped to build political and scientific capital and had positive effects on reputation. In the Netherlands, a better reputation enabled organisations to receive other national funds. The programme also made it possible to build networks with international scholars quickly. </w:t>
      </w:r>
    </w:p>
    <w:p w:rsidRPr="00BB2EAF" w:rsidR="000E4CB2" w:rsidP="000E4CB2" w:rsidRDefault="000E4CB2" w14:paraId="580A4D7F" w14:textId="77777777">
      <w:pPr>
        <w:rPr>
          <w:iCs/>
        </w:rPr>
      </w:pPr>
    </w:p>
    <w:p w:rsidRPr="00BB2EAF" w:rsidR="000E4CB2" w:rsidP="000E4CB2" w:rsidRDefault="000E4CB2" w14:paraId="1E4BEFE2" w14:textId="77777777">
      <w:pPr>
        <w:rPr>
          <w:iCs/>
        </w:rPr>
      </w:pPr>
      <w:r>
        <w:t xml:space="preserve">According to the </w:t>
      </w:r>
      <w:r>
        <w:rPr>
          <w:b/>
        </w:rPr>
        <w:t>Dutch</w:t>
      </w:r>
      <w:r>
        <w:t xml:space="preserve"> participants, all pillars of H2020 were relevant, especially the second pillar, Industrial Leadership, and were becoming more relevant due to their link to societal changes and mission-oriented innovation policies. In the Netherlands, the European mission-oriented innovation policy was being applied, which trickled down to the regions. Thus, the pillars were having an ever-bigger impact on society, while the results were increasingly visible. Furthermore, they stressed that the three pillars were intertwined and complemented each other and hoped for the continuation of this structure. The Excellent Science pillar was of particular interest for the participating universities, as were the European Research Council and Marie Skłodowska-Curie Actions.</w:t>
      </w:r>
    </w:p>
    <w:p w:rsidRPr="00BB2EAF" w:rsidR="000E4CB2" w:rsidP="000E4CB2" w:rsidRDefault="000E4CB2" w14:paraId="623E7669" w14:textId="77777777">
      <w:pPr>
        <w:rPr>
          <w:iCs/>
        </w:rPr>
      </w:pPr>
    </w:p>
    <w:p w:rsidRPr="00BB2EAF" w:rsidR="000E4CB2" w:rsidP="000E4CB2" w:rsidRDefault="000E4CB2" w14:paraId="115174A9" w14:textId="77777777">
      <w:pPr>
        <w:rPr>
          <w:iCs/>
        </w:rPr>
      </w:pPr>
      <w:r>
        <w:t xml:space="preserve">In </w:t>
      </w:r>
      <w:r>
        <w:rPr>
          <w:b/>
        </w:rPr>
        <w:t>Croatia</w:t>
      </w:r>
      <w:r>
        <w:t>, by contrast, some stakeholders complained that there were weak links between Croatian bodies and H2020 programmes and other EU funds. They had different priorities and different application criteria and methods – for example, the first-come-first-served method was still used in Croatian application evaluations, which participants criticised as being very outdated.</w:t>
      </w:r>
    </w:p>
    <w:p w:rsidRPr="00BB2EAF" w:rsidR="000E4CB2" w:rsidP="000E4CB2" w:rsidRDefault="000E4CB2" w14:paraId="7CF53B0D" w14:textId="77777777">
      <w:pPr>
        <w:rPr>
          <w:iCs/>
        </w:rPr>
      </w:pPr>
    </w:p>
    <w:p w:rsidRPr="00BB2EAF" w:rsidR="000E4CB2" w:rsidP="000E4CB2" w:rsidRDefault="000E4CB2" w14:paraId="66E762BF" w14:textId="77777777">
      <w:pPr>
        <w:rPr>
          <w:iCs/>
        </w:rPr>
      </w:pPr>
      <w:r>
        <w:t xml:space="preserve">In </w:t>
      </w:r>
      <w:r>
        <w:rPr>
          <w:b/>
        </w:rPr>
        <w:t>Portugal</w:t>
      </w:r>
      <w:r>
        <w:t>, for most organisations, the majority of their research funding came from public funds, half from European funds and half from national funds. The remaining funding (10% to 30%) came from private funds. Portuguese public funds were used to maintain research centres' core capabilities (both scientific and institutional management), whereas EU funding was invested in specific research projects. Some stakeholders believed that H2020 had professionalised project management. In the past, scientists used to contact each other directly. In recent years, it was managers who contacted different teams about how to set up projects. Thus, H2020 had enabled research institutions to gain experience in applying for other sources of international funding and build strategic partnerships within new or existing networks.</w:t>
      </w:r>
    </w:p>
    <w:p w:rsidRPr="00BB2EAF" w:rsidR="000E4CB2" w:rsidP="000E4CB2" w:rsidRDefault="000E4CB2" w14:paraId="55C4317F" w14:textId="77777777"/>
    <w:p w:rsidRPr="00BB2EAF" w:rsidR="000E4CB2" w:rsidP="000E4CB2" w:rsidRDefault="000E4CB2" w14:paraId="62ABB57E" w14:textId="77777777">
      <w:r>
        <w:t xml:space="preserve">In </w:t>
      </w:r>
      <w:r>
        <w:rPr>
          <w:u w:val="single"/>
        </w:rPr>
        <w:t>terms of programme design, H2020</w:t>
      </w:r>
      <w:r>
        <w:t xml:space="preserve"> (</w:t>
      </w:r>
      <w:r>
        <w:rPr>
          <w:b/>
        </w:rPr>
        <w:t>question 16</w:t>
      </w:r>
      <w:r>
        <w:t xml:space="preserve">) was considered adequate by 3 out of 4 respondents of the questionnaire. This positive evaluation was seen across the sectors and the four countries. </w:t>
      </w:r>
    </w:p>
    <w:p w:rsidRPr="00BB2EAF" w:rsidR="000E4CB2" w:rsidP="000E4CB2" w:rsidRDefault="000E4CB2" w14:paraId="705E933D" w14:textId="77777777"/>
    <w:p w:rsidRPr="00BB2EAF" w:rsidR="000E4CB2" w:rsidP="000E4CB2" w:rsidRDefault="000E4CB2" w14:paraId="77437DA6" w14:textId="77777777">
      <w:pPr>
        <w:jc w:val="center"/>
      </w:pPr>
      <w:r>
        <w:rPr>
          <w:noProof/>
          <w:lang w:eastAsia="fi-FI"/>
        </w:rPr>
        <w:drawing>
          <wp:inline distT="0" distB="0" distL="0" distR="0" wp14:anchorId="5240B008" wp14:editId="16ADFB53">
            <wp:extent cx="5626100" cy="2070100"/>
            <wp:effectExtent l="0" t="0" r="0" b="6350"/>
            <wp:docPr id="30" name="Chart 30">
              <a:extLst xmlns:a="http://schemas.openxmlformats.org/drawingml/2006/main">
                <a:ext uri="{FF2B5EF4-FFF2-40B4-BE49-F238E27FC236}">
                  <a16:creationId xmlns:a16="http://schemas.microsoft.com/office/drawing/2014/main" id="{60EEFA1B-4624-4782-8942-FA94A6E58F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Pr="00BB2EAF" w:rsidR="000E4CB2" w:rsidP="000E4CB2" w:rsidRDefault="000E4CB2" w14:paraId="7338381F" w14:textId="77777777"/>
    <w:p w:rsidRPr="00BB2EAF" w:rsidR="000E4CB2" w:rsidP="000E4CB2" w:rsidRDefault="000E4CB2" w14:paraId="4ECDEFFA" w14:textId="77777777">
      <w:r>
        <w:t xml:space="preserve">Nevertheless, whereas the assessment was generally very positive in the Netherlands and Latvia, 5 out of 13 Croatian respondents found H2020 challenging or too complex, and 3 of the 13 Portuguese respondents found it challenging. As already described above in the analysis of the answers to question 14, the difficulties experienced by some stakeholders were felt mainly by smaller institutions or those with less experience and, as mentioned by Dutch stakeholders, by SMEs, which were even less familiar with the programme's procedures. The respondents recognised, though, that the programme facilitated international cooperation, which was becoming increasingly complex and could not be done by one university alone. </w:t>
      </w:r>
    </w:p>
    <w:p w:rsidRPr="00BB2EAF" w:rsidR="000E4CB2" w:rsidP="000E4CB2" w:rsidRDefault="000E4CB2" w14:paraId="4D7C2741" w14:textId="77777777"/>
    <w:p w:rsidRPr="00BB2EAF" w:rsidR="000E4CB2" w:rsidP="000E4CB2" w:rsidRDefault="000E4CB2" w14:paraId="2EFAD5DC" w14:textId="77777777">
      <w:r>
        <w:t xml:space="preserve">One Portuguese participant recommended making the Horizon programme more focused and not using its budget across individual programmes, as there were other funds for that. The respondents recommended focusing on major challenges in society and on tools that were already known and proven, like the European Research Council. They said that there was no need to reinvent the wheel with every new framework programme and that the European Commission should stick with what was </w:t>
      </w:r>
      <w:r>
        <w:lastRenderedPageBreak/>
        <w:t>going well and replicate that. It should be kept in mind that, even if a small change was made, it would have huge repercussions across the industry.</w:t>
      </w:r>
    </w:p>
    <w:p w:rsidRPr="00BB2EAF" w:rsidR="000E4CB2" w:rsidP="000E4CB2" w:rsidRDefault="000E4CB2" w14:paraId="67EB2C51" w14:textId="77777777"/>
    <w:p w:rsidRPr="00BB2EAF" w:rsidR="000E4CB2" w:rsidP="000E4CB2" w:rsidRDefault="000E4CB2" w14:paraId="440FFFA2" w14:textId="77777777">
      <w:r>
        <w:t xml:space="preserve">For more than 7 out of 10 respondents to the questionnaire, </w:t>
      </w:r>
      <w:r>
        <w:rPr>
          <w:u w:val="single"/>
        </w:rPr>
        <w:t>access to financial resources and technical assistance, and to the financial programmes and instruments available, should be simplified</w:t>
      </w:r>
      <w:r>
        <w:t xml:space="preserve"> (</w:t>
      </w:r>
      <w:r>
        <w:rPr>
          <w:b/>
        </w:rPr>
        <w:t>question 17</w:t>
      </w:r>
      <w:r>
        <w:t>).</w:t>
      </w:r>
    </w:p>
    <w:p w:rsidRPr="00BB2EAF" w:rsidR="000E4CB2" w:rsidP="000E4CB2" w:rsidRDefault="000E4CB2" w14:paraId="34CECC62" w14:textId="77777777"/>
    <w:p w:rsidRPr="00BB2EAF" w:rsidR="000E4CB2" w:rsidP="000E4CB2" w:rsidRDefault="000E4CB2" w14:paraId="7C839FF8" w14:textId="77777777">
      <w:r>
        <w:rPr>
          <w:noProof/>
          <w:lang w:eastAsia="fi-FI"/>
        </w:rPr>
        <w:drawing>
          <wp:inline distT="0" distB="0" distL="0" distR="0" wp14:anchorId="2B8F5F84" wp14:editId="365025EB">
            <wp:extent cx="5670550" cy="2070100"/>
            <wp:effectExtent l="0" t="0" r="6350" b="6350"/>
            <wp:docPr id="31" name="Chart 31">
              <a:extLst xmlns:a="http://schemas.openxmlformats.org/drawingml/2006/main">
                <a:ext uri="{FF2B5EF4-FFF2-40B4-BE49-F238E27FC236}">
                  <a16:creationId xmlns:a16="http://schemas.microsoft.com/office/drawing/2014/main" id="{56357BF1-9C58-4FC3-AB7D-993CA50A5F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Pr="00BB2EAF" w:rsidR="000E4CB2" w:rsidP="000E4CB2" w:rsidRDefault="000E4CB2" w14:paraId="609CDB29" w14:textId="77777777">
      <w:r>
        <w:t xml:space="preserve">Some participants in the semi-structured interviews mentioned that the selection and reporting processes under H2020 were perfectly balanced – some further agility was needed, but good reporting was no less important because this was public money. </w:t>
      </w:r>
    </w:p>
    <w:p w:rsidRPr="00BB2EAF" w:rsidR="000E4CB2" w:rsidP="000E4CB2" w:rsidRDefault="000E4CB2" w14:paraId="7C90ADA6" w14:textId="77777777"/>
    <w:p w:rsidRPr="00BB2EAF" w:rsidR="000E4CB2" w:rsidP="000E4CB2" w:rsidRDefault="000E4CB2" w14:paraId="5562BFE0" w14:textId="77777777">
      <w:r>
        <w:t xml:space="preserve">Others did give more direct suggestions for improvements. The </w:t>
      </w:r>
      <w:r>
        <w:rPr>
          <w:b/>
        </w:rPr>
        <w:t>Dutch</w:t>
      </w:r>
      <w:r>
        <w:t xml:space="preserve"> participants, for example, pointed out that, in order to be eligible for H2020 funds, organisations had to invest large amounts of money beforehand, not knowing if the potential funds would outweigh the initial investments. Moreover, it took a lot of time and effort to prepare and submit the proposal. If the applicants failed, they did not get this investment back. In earlier programmes, the European Commission had provided project officers who had offered advice and the option of discussing matters with potential participants at an early stage. It had been well organised. After 10 years, this possibility had disappeared. Having this kind of offer in future programmes would help make the process easier for applicants. </w:t>
      </w:r>
    </w:p>
    <w:p w:rsidRPr="00BB2EAF" w:rsidR="000E4CB2" w:rsidP="000E4CB2" w:rsidRDefault="000E4CB2" w14:paraId="4867D6E8" w14:textId="77777777"/>
    <w:p w:rsidRPr="00BB2EAF" w:rsidR="000E4CB2" w:rsidP="000E4CB2" w:rsidRDefault="000E4CB2" w14:paraId="52AC56A6" w14:textId="77777777">
      <w:r>
        <w:t xml:space="preserve">In </w:t>
      </w:r>
      <w:r>
        <w:rPr>
          <w:b/>
        </w:rPr>
        <w:t>Croatia</w:t>
      </w:r>
      <w:r>
        <w:t>, some participants pointed to the fact that, in some other countries, national funding was available for the preparation phase of applications. This would help bridge some of the gap between larger applicants and SMEs, and should be encouraged.</w:t>
      </w:r>
    </w:p>
    <w:p w:rsidRPr="00BB2EAF" w:rsidR="000E4CB2" w:rsidP="000E4CB2" w:rsidRDefault="000E4CB2" w14:paraId="38850C60" w14:textId="77777777"/>
    <w:p w:rsidRPr="00BB2EAF" w:rsidR="000E4CB2" w:rsidP="000E4CB2" w:rsidRDefault="000E4CB2" w14:paraId="63389232" w14:textId="77777777">
      <w:pPr>
        <w:rPr>
          <w:i/>
          <w:iCs/>
        </w:rPr>
      </w:pPr>
      <w:r>
        <w:rPr>
          <w:i/>
        </w:rPr>
        <w:t>Relations between H2020 and the ERDF</w:t>
      </w:r>
    </w:p>
    <w:p w:rsidRPr="00BB2EAF" w:rsidR="000E4CB2" w:rsidP="000E4CB2" w:rsidRDefault="000E4CB2" w14:paraId="0C4D6168" w14:textId="77777777"/>
    <w:p w:rsidRPr="00BB2EAF" w:rsidR="000E4CB2" w:rsidP="000E4CB2" w:rsidRDefault="000E4CB2" w14:paraId="0F9E9313" w14:textId="77777777">
      <w:r>
        <w:t xml:space="preserve">Although half of the questionnaire respondents believed that, for the success of the H2020 programme actions, </w:t>
      </w:r>
      <w:r>
        <w:rPr>
          <w:u w:val="single"/>
        </w:rPr>
        <w:t>it was important to seek synergies with the ERDF and for actions to complement other funds and programmes</w:t>
      </w:r>
      <w:r>
        <w:t xml:space="preserve"> (</w:t>
      </w:r>
      <w:r>
        <w:rPr>
          <w:b/>
        </w:rPr>
        <w:t>question 19</w:t>
      </w:r>
      <w:r>
        <w:t xml:space="preserve">). A similar number of respondents thought that the H2020 programme </w:t>
      </w:r>
      <w:r>
        <w:rPr>
          <w:u w:val="single"/>
        </w:rPr>
        <w:t>had not been</w:t>
      </w:r>
      <w:r>
        <w:t xml:space="preserve"> </w:t>
      </w:r>
      <w:r>
        <w:rPr>
          <w:u w:val="single"/>
        </w:rPr>
        <w:t>consistent with or complementary to the European Structural and Investment Funds, in particular the ERDF</w:t>
      </w:r>
      <w:r>
        <w:t xml:space="preserve"> (</w:t>
      </w:r>
      <w:r>
        <w:rPr>
          <w:b/>
        </w:rPr>
        <w:t>question 18</w:t>
      </w:r>
      <w:r>
        <w:t>).</w:t>
      </w:r>
    </w:p>
    <w:p w:rsidRPr="00BB2EAF" w:rsidR="000E4CB2" w:rsidP="000E4CB2" w:rsidRDefault="000E4CB2" w14:paraId="517CED88" w14:textId="77777777"/>
    <w:p w:rsidRPr="00BB2EAF" w:rsidR="000E4CB2" w:rsidP="000E4CB2" w:rsidRDefault="000E4CB2" w14:paraId="40B16BFF" w14:textId="77777777">
      <w:r>
        <w:t xml:space="preserve">While 8 of the 11 Portuguese respondents believed that the synergies between the two funds had been a success factor, only 1 of the 9 </w:t>
      </w:r>
      <w:r>
        <w:rPr>
          <w:b/>
        </w:rPr>
        <w:t>Dutch</w:t>
      </w:r>
      <w:r>
        <w:t xml:space="preserve"> respondents shared this opinion, possibly due to ERDF financing not having the same relevance in the two countries. Notwithstanding this, in the semi-</w:t>
      </w:r>
      <w:r>
        <w:lastRenderedPageBreak/>
        <w:t>structured interviews, one Dutch participant highlighted the Digital Europe programme and the Interregional Innovation Investments (I3) instrument, which came under the ERDF, and pointed out that these could facilitate synergies. As for Portugal, public authorities stressed the important role that R&amp;D could play in promoting cohesion by adopting countercyclical measures to adequately strengthen knowledge-based cohesion platforms across Europe.</w:t>
      </w:r>
    </w:p>
    <w:p w:rsidRPr="00BB2EAF" w:rsidR="000E4CB2" w:rsidP="000E4CB2" w:rsidRDefault="000E4CB2" w14:paraId="7188FD8F" w14:textId="77777777">
      <w:r>
        <w:rPr>
          <w:noProof/>
          <w:lang w:eastAsia="fi-FI"/>
        </w:rPr>
        <w:drawing>
          <wp:inline distT="0" distB="0" distL="0" distR="0" wp14:anchorId="3BCB6F7B" wp14:editId="068083A0">
            <wp:extent cx="2830195" cy="2622550"/>
            <wp:effectExtent l="0" t="0" r="8255" b="6350"/>
            <wp:docPr id="32" name="Chart 32">
              <a:extLst xmlns:a="http://schemas.openxmlformats.org/drawingml/2006/main">
                <a:ext uri="{FF2B5EF4-FFF2-40B4-BE49-F238E27FC236}">
                  <a16:creationId xmlns:a16="http://schemas.microsoft.com/office/drawing/2014/main" id="{88BF7F97-E4EA-46DC-B119-E463DA993E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Pr>
          <w:noProof/>
          <w:lang w:eastAsia="fi-FI"/>
        </w:rPr>
        <w:drawing>
          <wp:inline distT="0" distB="0" distL="0" distR="0" wp14:anchorId="0B463E9C" wp14:editId="20DCA3F7">
            <wp:extent cx="2750820" cy="2692400"/>
            <wp:effectExtent l="0" t="0" r="0" b="0"/>
            <wp:docPr id="33" name="Chart 33">
              <a:extLst xmlns:a="http://schemas.openxmlformats.org/drawingml/2006/main">
                <a:ext uri="{FF2B5EF4-FFF2-40B4-BE49-F238E27FC236}">
                  <a16:creationId xmlns:a16="http://schemas.microsoft.com/office/drawing/2014/main" id="{B442BD47-5546-4708-8D88-9177913BBD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Pr="00BB2EAF" w:rsidR="000E4CB2" w:rsidP="000E4CB2" w:rsidRDefault="000E4CB2" w14:paraId="2F7454AE" w14:textId="77777777"/>
    <w:p w:rsidRPr="00BB2EAF" w:rsidR="000E4CB2" w:rsidP="000E4CB2" w:rsidRDefault="000E4CB2" w14:paraId="1CE16943" w14:textId="77777777"/>
    <w:p w:rsidRPr="00BB2EAF" w:rsidR="000E4CB2" w:rsidP="000E4CB2" w:rsidRDefault="000E4CB2" w14:paraId="0E8FDED9" w14:textId="77777777">
      <w:r>
        <w:t xml:space="preserve">In </w:t>
      </w:r>
      <w:r>
        <w:rPr>
          <w:b/>
        </w:rPr>
        <w:t>Latvia</w:t>
      </w:r>
      <w:r>
        <w:t>, H2020 projects had also been used to follow on from previous EU-funded projects, for example one participant noted that a current H2020 project was the "logical follow-on" from a previous ERDF project. Structural funds had been strategically used to expand organisations' capacities, which had borne fruit in terms of which H2020 projects they had participated in. This had allowed organisations to become more interesting as partners and take a leading role in new fields. This use of structural funds was intentional, but had worked even better than expected and opened organisations up to many more H2020 projects. This had been especially true in the areas of microbiology and virology.</w:t>
      </w:r>
    </w:p>
    <w:p w:rsidRPr="00BB2EAF" w:rsidR="000E4CB2" w:rsidP="000E4CB2" w:rsidRDefault="000E4CB2" w14:paraId="4064E474" w14:textId="77777777"/>
    <w:p w:rsidRPr="00BB2EAF" w:rsidR="000E4CB2" w:rsidP="000E4CB2" w:rsidRDefault="000E4CB2" w14:paraId="799D03C3" w14:textId="77777777">
      <w:r>
        <w:t xml:space="preserve">When asked if they believed that their countries implemented </w:t>
      </w:r>
      <w:r>
        <w:rPr>
          <w:u w:val="single"/>
        </w:rPr>
        <w:t>efficient synergies between the H2020 and ERDF funding programmes (e.g. fast-track to funding through ERDF programmes for H2020 applications awarded the "seal of excellence")</w:t>
      </w:r>
      <w:r>
        <w:t xml:space="preserve"> (</w:t>
      </w:r>
      <w:r>
        <w:rPr>
          <w:b/>
        </w:rPr>
        <w:t>question 22</w:t>
      </w:r>
      <w:r>
        <w:t xml:space="preserve">), no stakeholders answered positively. Answers were split in half between "no" and "unsure". </w:t>
      </w:r>
    </w:p>
    <w:p w:rsidRPr="00BB2EAF" w:rsidR="000E4CB2" w:rsidP="000E4CB2" w:rsidRDefault="000E4CB2" w14:paraId="17A656F0" w14:textId="77777777"/>
    <w:p w:rsidRPr="00BB2EAF" w:rsidR="000E4CB2" w:rsidP="000E4CB2" w:rsidRDefault="000E4CB2" w14:paraId="6361FBD8" w14:textId="77777777">
      <w:pPr>
        <w:jc w:val="center"/>
      </w:pPr>
      <w:r>
        <w:rPr>
          <w:noProof/>
          <w:lang w:eastAsia="fi-FI"/>
        </w:rPr>
        <w:lastRenderedPageBreak/>
        <w:drawing>
          <wp:inline distT="0" distB="0" distL="0" distR="0" wp14:anchorId="4B8B0489" wp14:editId="2F39D263">
            <wp:extent cx="5772150" cy="2433320"/>
            <wp:effectExtent l="0" t="0" r="0" b="5080"/>
            <wp:docPr id="34" name="Chart 34">
              <a:extLst xmlns:a="http://schemas.openxmlformats.org/drawingml/2006/main">
                <a:ext uri="{FF2B5EF4-FFF2-40B4-BE49-F238E27FC236}">
                  <a16:creationId xmlns:a16="http://schemas.microsoft.com/office/drawing/2014/main" id="{F82143DE-88AA-4C5D-BA07-3C25A2B576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Pr="00BB2EAF" w:rsidR="000E4CB2" w:rsidP="000E4CB2" w:rsidRDefault="000E4CB2" w14:paraId="41077253" w14:textId="77777777"/>
    <w:p w:rsidRPr="00BB2EAF" w:rsidR="000E4CB2" w:rsidP="000E4CB2" w:rsidRDefault="000E4CB2" w14:paraId="55B9A05C" w14:textId="77777777">
      <w:r>
        <w:t>In Portugal and Croatia, though, the proportions were slightly different: Portugal had fewer negative answers, the overwhelming majority of stakeholders being unsure, whereas 8 out of 13 Croatian stakeholders answered that there were no synergies.</w:t>
      </w:r>
    </w:p>
    <w:p w:rsidRPr="00BB2EAF" w:rsidR="000E4CB2" w:rsidP="000E4CB2" w:rsidRDefault="000E4CB2" w14:paraId="4D49CAD4" w14:textId="77777777"/>
    <w:p w:rsidRPr="00BB2EAF" w:rsidR="000E4CB2" w:rsidP="000E4CB2" w:rsidRDefault="000E4CB2" w14:paraId="22F705F4" w14:textId="77777777">
      <w:pPr>
        <w:rPr>
          <w:i/>
          <w:iCs/>
        </w:rPr>
      </w:pPr>
      <w:r>
        <w:rPr>
          <w:i/>
        </w:rPr>
        <w:t>Relations between H2020 and other funds</w:t>
      </w:r>
    </w:p>
    <w:p w:rsidRPr="00BB2EAF" w:rsidR="000E4CB2" w:rsidP="000E4CB2" w:rsidRDefault="000E4CB2" w14:paraId="79AC1A6F" w14:textId="77777777"/>
    <w:p w:rsidRPr="00BB2EAF" w:rsidR="000E4CB2" w:rsidP="000E4CB2" w:rsidRDefault="000E4CB2" w14:paraId="5A7F0863" w14:textId="77777777">
      <w:r>
        <w:t xml:space="preserve">Half of the questionnaire respondents believed that </w:t>
      </w:r>
      <w:r>
        <w:rPr>
          <w:u w:val="single"/>
        </w:rPr>
        <w:t>H2020 was consistent with and complementary to other programmes and funds</w:t>
      </w:r>
      <w:r>
        <w:t xml:space="preserve"> (</w:t>
      </w:r>
      <w:r>
        <w:rPr>
          <w:b/>
        </w:rPr>
        <w:t>question 20</w:t>
      </w:r>
      <w:r>
        <w:t xml:space="preserve">). Very few of the respondents answered negatively, but 2 out of 5 were unsure on this question. </w:t>
      </w:r>
    </w:p>
    <w:p w:rsidRPr="00BB2EAF" w:rsidR="000E4CB2" w:rsidP="000E4CB2" w:rsidRDefault="000E4CB2" w14:paraId="5671A5BD" w14:textId="77777777"/>
    <w:p w:rsidRPr="00BB2EAF" w:rsidR="000E4CB2" w:rsidP="000E4CB2" w:rsidRDefault="000E4CB2" w14:paraId="60F03374" w14:textId="77777777">
      <w:pPr>
        <w:jc w:val="center"/>
      </w:pPr>
      <w:r>
        <w:rPr>
          <w:noProof/>
          <w:lang w:eastAsia="fi-FI"/>
        </w:rPr>
        <w:drawing>
          <wp:inline distT="0" distB="0" distL="0" distR="0" wp14:anchorId="5848F8E7" wp14:editId="0281A710">
            <wp:extent cx="5759450" cy="2011680"/>
            <wp:effectExtent l="0" t="0" r="0" b="7620"/>
            <wp:docPr id="35" name="Chart 35">
              <a:extLst xmlns:a="http://schemas.openxmlformats.org/drawingml/2006/main">
                <a:ext uri="{FF2B5EF4-FFF2-40B4-BE49-F238E27FC236}">
                  <a16:creationId xmlns:a16="http://schemas.microsoft.com/office/drawing/2014/main" id="{44D97306-27A5-4902-B8E9-A2BA6E4105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Pr="00BB2EAF" w:rsidR="000E4CB2" w:rsidP="000E4CB2" w:rsidRDefault="000E4CB2" w14:paraId="79F2C347" w14:textId="77777777">
      <w:r>
        <w:t xml:space="preserve">On the other hand, with regard to whether there were any </w:t>
      </w:r>
      <w:r>
        <w:rPr>
          <w:u w:val="single"/>
        </w:rPr>
        <w:t>overlaps or duplications of actions between H2020 and other programmes and funds</w:t>
      </w:r>
      <w:r>
        <w:t xml:space="preserve"> (</w:t>
      </w:r>
      <w:r>
        <w:rPr>
          <w:b/>
        </w:rPr>
        <w:t>question 21</w:t>
      </w:r>
      <w:r>
        <w:t xml:space="preserve">), out of every 4 respondents, 2 believed there were no overlaps, 1 believed there were and 1 was unsure. </w:t>
      </w:r>
    </w:p>
    <w:p w:rsidRPr="00BB2EAF" w:rsidR="000E4CB2" w:rsidP="000E4CB2" w:rsidRDefault="000E4CB2" w14:paraId="713A6856" w14:textId="77777777"/>
    <w:p w:rsidRPr="00BB2EAF" w:rsidR="000E4CB2" w:rsidP="000E4CB2" w:rsidRDefault="000E4CB2" w14:paraId="68C19AA9" w14:textId="77777777">
      <w:r>
        <w:t xml:space="preserve">These results were not uniform across the countries: 3 out of the 6 Latvian respondents believed there were overlaps, as did 4 out of the 11 Portuguese respondents. By contrast, almost all the Dutch respondents (7 out of 9) answered that there were no duplications between H2020 and other funds. </w:t>
      </w:r>
    </w:p>
    <w:p w:rsidRPr="00BB2EAF" w:rsidR="000E4CB2" w:rsidP="000E4CB2" w:rsidRDefault="000E4CB2" w14:paraId="66572321" w14:textId="77777777"/>
    <w:p w:rsidRPr="00BB2EAF" w:rsidR="000E4CB2" w:rsidP="000E4CB2" w:rsidRDefault="000E4CB2" w14:paraId="37EB8BBF" w14:textId="77777777">
      <w:r>
        <w:rPr>
          <w:noProof/>
          <w:lang w:eastAsia="fi-FI"/>
        </w:rPr>
        <w:lastRenderedPageBreak/>
        <w:drawing>
          <wp:inline distT="0" distB="0" distL="0" distR="0" wp14:anchorId="42F2CEEE" wp14:editId="77F94A31">
            <wp:extent cx="5784850" cy="2590800"/>
            <wp:effectExtent l="0" t="0" r="6350" b="0"/>
            <wp:docPr id="36" name="Chart 36">
              <a:extLst xmlns:a="http://schemas.openxmlformats.org/drawingml/2006/main">
                <a:ext uri="{FF2B5EF4-FFF2-40B4-BE49-F238E27FC236}">
                  <a16:creationId xmlns:a16="http://schemas.microsoft.com/office/drawing/2014/main" id="{20CB8BB3-719B-4527-AA9E-4AAF672829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Pr="00BB2EAF" w:rsidR="000E4CB2" w:rsidP="000E4CB2" w:rsidRDefault="000E4CB2" w14:paraId="625CE14C" w14:textId="77777777">
      <w:pPr>
        <w:rPr>
          <w:szCs w:val="24"/>
        </w:rPr>
      </w:pPr>
      <w:r>
        <w:t xml:space="preserve">During the semi-structured interviews in </w:t>
      </w:r>
      <w:r>
        <w:rPr>
          <w:b/>
        </w:rPr>
        <w:t>Portugal</w:t>
      </w:r>
      <w:r>
        <w:t xml:space="preserve">, stakeholders called for a better sense of priorities, identifying which areas should receive more investment in order to have better value for money. They referred to the fact that overlaps between EU and national funds could be frustrating. It would be preferable to have more complementarity and fewer overlaps since there might be areas that were underfunded due to the concentration of EU and national funds in specific areas. The Recovery and Resilience Facility (RRF) would also cover many areas relevant for innovation. Horizon Europe should focus on more alternative research. Overlaps should be avoided – and this was not only the case for the RRF, but also for national funds. It was this public funding that enabled companies to develop technologies that had market potential but were still not mature enough for an immediate transfer. In such sectors, public funding such as Horizon gave important signals both through direct financial investment and by showing that political actors and public authorities were committed to a given field of technological development research. Better complementarity and fewer overlaps would allow for a wider range of research without wasting resources on duplicate projects. </w:t>
      </w:r>
    </w:p>
    <w:p w:rsidRPr="00BB2EAF" w:rsidR="000E4CB2" w:rsidP="000E4CB2" w:rsidRDefault="000E4CB2" w14:paraId="203C0251" w14:textId="77777777">
      <w:pPr>
        <w:rPr>
          <w:szCs w:val="24"/>
        </w:rPr>
      </w:pPr>
    </w:p>
    <w:p w:rsidRPr="00BB2EAF" w:rsidR="000E4CB2" w:rsidP="000E4CB2" w:rsidRDefault="000E4CB2" w14:paraId="3931B1DF" w14:textId="77777777">
      <w:pPr>
        <w:rPr>
          <w:szCs w:val="24"/>
        </w:rPr>
      </w:pPr>
      <w:r>
        <w:t xml:space="preserve">In </w:t>
      </w:r>
      <w:r>
        <w:rPr>
          <w:b/>
        </w:rPr>
        <w:t>Latvia</w:t>
      </w:r>
      <w:r>
        <w:t>, H2020 implementation coincided with, and to a large extent supported, reforms in the national system for science (aiming to reduce fragmentation and change the structure of programmes etc.). Latvian public authorities usually mentioned Horizon programmes to European Commission representatives as examples of how to simplify procedures and cut red tape. Stakeholders believed that H2020 had a significant and positive impact on the national research and innovation system.</w:t>
      </w:r>
    </w:p>
    <w:p w:rsidRPr="00BB2EAF" w:rsidR="000E4CB2" w:rsidP="000E4CB2" w:rsidRDefault="000E4CB2" w14:paraId="428186B0" w14:textId="77777777">
      <w:pPr>
        <w:rPr>
          <w:szCs w:val="24"/>
        </w:rPr>
      </w:pPr>
    </w:p>
    <w:p w:rsidRPr="00BB2EAF" w:rsidR="000E4CB2" w:rsidP="000E4CB2" w:rsidRDefault="000E4CB2" w14:paraId="7E18DD22" w14:textId="77777777">
      <w:pPr>
        <w:rPr>
          <w:szCs w:val="24"/>
        </w:rPr>
      </w:pPr>
      <w:r>
        <w:t xml:space="preserve">In </w:t>
      </w:r>
      <w:r>
        <w:rPr>
          <w:b/>
        </w:rPr>
        <w:t>Croatia</w:t>
      </w:r>
      <w:r>
        <w:t xml:space="preserve">, stakeholders called on public authorities to implement additional funds to increase the capacities of research institutions and the private sector when applying for EU funds such as H2020. This could be a way to support national research while ensuring complementarity between EU and national funds. </w:t>
      </w:r>
    </w:p>
    <w:p w:rsidRPr="00BB2EAF" w:rsidR="000E4CB2" w:rsidP="000E4CB2" w:rsidRDefault="000E4CB2" w14:paraId="1AE86155" w14:textId="77777777"/>
    <w:p w:rsidRPr="00BB2EAF" w:rsidR="000E4CB2" w:rsidP="000E4CB2" w:rsidRDefault="000E4CB2" w14:paraId="5FEAB6A5" w14:textId="77777777">
      <w:pPr>
        <w:pStyle w:val="Heading2"/>
        <w:ind w:left="567" w:hanging="567"/>
        <w:rPr>
          <w:b/>
        </w:rPr>
      </w:pPr>
      <w:bookmarkStart w:name="_Toc125632265" w:id="26"/>
      <w:bookmarkStart w:name="_Toc128464342" w:id="27"/>
      <w:bookmarkStart w:name="_Toc128464373" w:id="28"/>
      <w:r>
        <w:t>Inclusion of civil society and added value</w:t>
      </w:r>
      <w:bookmarkEnd w:id="26"/>
      <w:bookmarkEnd w:id="27"/>
      <w:bookmarkEnd w:id="28"/>
    </w:p>
    <w:p w:rsidRPr="00BB2EAF" w:rsidR="000E4CB2" w:rsidP="000E4CB2" w:rsidRDefault="000E4CB2" w14:paraId="4A6DBDB2" w14:textId="77777777">
      <w:pPr>
        <w:jc w:val="center"/>
      </w:pPr>
    </w:p>
    <w:p w:rsidRPr="00BB2EAF" w:rsidR="000E4CB2" w:rsidP="000E4CB2" w:rsidRDefault="000E4CB2" w14:paraId="6F1322C3" w14:textId="77777777">
      <w:pPr>
        <w:jc w:val="left"/>
      </w:pPr>
      <w:r>
        <w:t xml:space="preserve">Respondents differed significantly across Member States on the inclusion of civil society </w:t>
      </w:r>
      <w:r>
        <w:rPr>
          <w:b/>
        </w:rPr>
        <w:t>(question 23)</w:t>
      </w:r>
      <w:r>
        <w:t xml:space="preserve">. Latvia and the Netherlands saw the highest levels of reported inclusion at 67%, and no Latvian respondents answered no. Croatia and Portugal saw 46% and 27% respond no, respectively. </w:t>
      </w:r>
    </w:p>
    <w:p w:rsidRPr="00BB2EAF" w:rsidR="000E4CB2" w:rsidP="000E4CB2" w:rsidRDefault="000E4CB2" w14:paraId="4C298F85" w14:textId="77777777">
      <w:pPr>
        <w:jc w:val="left"/>
      </w:pPr>
    </w:p>
    <w:p w:rsidRPr="00BB2EAF" w:rsidR="000E4CB2" w:rsidP="000E4CB2" w:rsidRDefault="000E4CB2" w14:paraId="7173C4BE" w14:textId="77777777">
      <w:pPr>
        <w:jc w:val="left"/>
      </w:pPr>
      <w:r>
        <w:rPr>
          <w:noProof/>
          <w:lang w:eastAsia="fi-FI"/>
        </w:rPr>
        <w:lastRenderedPageBreak/>
        <w:drawing>
          <wp:inline distT="0" distB="0" distL="0" distR="0" wp14:anchorId="31A02074" wp14:editId="6709D648">
            <wp:extent cx="5708650" cy="2686050"/>
            <wp:effectExtent l="0" t="0" r="6350" b="0"/>
            <wp:docPr id="6" name="Chart 6">
              <a:extLst xmlns:a="http://schemas.openxmlformats.org/drawingml/2006/main">
                <a:ext uri="{FF2B5EF4-FFF2-40B4-BE49-F238E27FC236}">
                  <a16:creationId xmlns:a16="http://schemas.microsoft.com/office/drawing/2014/main" id="{C9569BE3-A4DD-4802-9B44-10B4F51411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Pr="00BB2EAF" w:rsidR="000E4CB2" w:rsidP="000E4CB2" w:rsidRDefault="000E4CB2" w14:paraId="014FAEA7" w14:textId="77777777"/>
    <w:p w:rsidRPr="00BB2EAF" w:rsidR="000E4CB2" w:rsidP="000E4CB2" w:rsidRDefault="000E4CB2" w14:paraId="68EBF96F" w14:textId="77777777">
      <w:r>
        <w:t xml:space="preserve">Looking at responses by type of organisation, public authorities were the most positive about the inclusion of civil society, with 100% responding yes. By contrast, half of civil society organisations did not feel included. Around 40% of research institutes and other types of organisations felt that public authorities had included civil society in H2020. </w:t>
      </w:r>
    </w:p>
    <w:p w:rsidRPr="00BB2EAF" w:rsidR="000E4CB2" w:rsidP="000E4CB2" w:rsidRDefault="000E4CB2" w14:paraId="3FCCFD14" w14:textId="77777777">
      <w:r>
        <w:rPr>
          <w:noProof/>
          <w:lang w:eastAsia="fi-FI"/>
        </w:rPr>
        <w:drawing>
          <wp:inline distT="0" distB="0" distL="0" distR="0" wp14:anchorId="7F6E87AE" wp14:editId="4E582442">
            <wp:extent cx="5651500" cy="2355850"/>
            <wp:effectExtent l="0" t="0" r="6350" b="6350"/>
            <wp:docPr id="8" name="Chart 8">
              <a:extLst xmlns:a="http://schemas.openxmlformats.org/drawingml/2006/main">
                <a:ext uri="{FF2B5EF4-FFF2-40B4-BE49-F238E27FC236}">
                  <a16:creationId xmlns:a16="http://schemas.microsoft.com/office/drawing/2014/main" id="{A4FBC29E-BFCC-4C52-84B2-8B2582B5E6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Pr="00BB2EAF" w:rsidR="000E4CB2" w:rsidP="000E4CB2" w:rsidRDefault="000E4CB2" w14:paraId="3615C0D5" w14:textId="77777777">
      <w:pPr>
        <w:rPr>
          <w:rFonts w:eastAsiaTheme="minorHAnsi"/>
          <w:bCs/>
        </w:rPr>
      </w:pPr>
      <w:r>
        <w:t>Civil society stakeholders were perceived as having much to contribute in terms of specialist knowledge, innovative solutions and access to the public, and should be further encouraged to participate, with the process being made easier for them. There was a perception that H2020 projects were too large and complicated for smaller civil society organisations to be involved in, and national stakeholders had a role to play in improving communication about the benefits and challenges to participation. Participants noted that the value of participating was often non-material: the experience gained, networking opportunities, etc. Communicating this aspect was important to encourage civil society to engage in projects.</w:t>
      </w:r>
    </w:p>
    <w:p w:rsidRPr="00BB2EAF" w:rsidR="000E4CB2" w:rsidP="000E4CB2" w:rsidRDefault="000E4CB2" w14:paraId="7B9379AD" w14:textId="77777777">
      <w:pPr>
        <w:rPr>
          <w:rFonts w:eastAsiaTheme="minorHAnsi"/>
          <w:bCs/>
        </w:rPr>
      </w:pPr>
    </w:p>
    <w:p w:rsidRPr="00BB2EAF" w:rsidR="000E4CB2" w:rsidP="000E4CB2" w:rsidRDefault="000E4CB2" w14:paraId="63AFDAEE" w14:textId="77777777">
      <w:r>
        <w:t xml:space="preserve">However, research institutes and H2020 partners pointed out that civil society participation was also dependent on the area of the research project. For example, for one participant working in the strictly regulated area of medical research, civil society involvement was impossible. However, they had been able to involve patient advocacy groups and doctors' associations in some projects related to the social </w:t>
      </w:r>
      <w:r>
        <w:lastRenderedPageBreak/>
        <w:t>impact of medical interventions. For others working on infrastructure, consulting local residents had been a key part of the project.</w:t>
      </w:r>
    </w:p>
    <w:p w:rsidRPr="00BB2EAF" w:rsidR="000E4CB2" w:rsidP="000E4CB2" w:rsidRDefault="000E4CB2" w14:paraId="6C6ECAAE" w14:textId="77777777"/>
    <w:p w:rsidRPr="00BB2EAF" w:rsidR="000E4CB2" w:rsidP="000E4CB2" w:rsidRDefault="000E4CB2" w14:paraId="71625677" w14:textId="77777777">
      <w:r>
        <w:t xml:space="preserve">When asked specifically about their own institution </w:t>
      </w:r>
      <w:r>
        <w:rPr>
          <w:b/>
        </w:rPr>
        <w:t>(question 24)</w:t>
      </w:r>
      <w:r>
        <w:t xml:space="preserve">, 25% of civil society respondents and businesses indicated they had been regularly consulted. Three quarters of the civil society organisations who responded to the survey had not been consulted. Almost two thirds of research institutes who responded and 40% of other organisations had been regularly consulted. </w:t>
      </w:r>
    </w:p>
    <w:p w:rsidRPr="00BB2EAF" w:rsidR="000E4CB2" w:rsidP="000E4CB2" w:rsidRDefault="000E4CB2" w14:paraId="649C0ABD" w14:textId="77777777"/>
    <w:p w:rsidRPr="00BB2EAF" w:rsidR="000E4CB2" w:rsidP="000E4CB2" w:rsidRDefault="000E4CB2" w14:paraId="5154EA12" w14:textId="77777777">
      <w:pPr>
        <w:jc w:val="center"/>
      </w:pPr>
      <w:r>
        <w:rPr>
          <w:noProof/>
          <w:lang w:eastAsia="fi-FI"/>
        </w:rPr>
        <w:drawing>
          <wp:inline distT="0" distB="0" distL="0" distR="0" wp14:anchorId="2673D02B" wp14:editId="4405D371">
            <wp:extent cx="5435600" cy="2165350"/>
            <wp:effectExtent l="0" t="0" r="0" b="6350"/>
            <wp:docPr id="9" name="Chart 9">
              <a:extLst xmlns:a="http://schemas.openxmlformats.org/drawingml/2006/main">
                <a:ext uri="{FF2B5EF4-FFF2-40B4-BE49-F238E27FC236}">
                  <a16:creationId xmlns:a16="http://schemas.microsoft.com/office/drawing/2014/main" id="{563A45FC-EFB1-4ACC-934C-1ACC8E5D44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Pr="00BB2EAF" w:rsidR="000E4CB2" w:rsidP="000E4CB2" w:rsidRDefault="000E4CB2" w14:paraId="41A4A695" w14:textId="77777777"/>
    <w:p w:rsidRPr="00BB2EAF" w:rsidR="000E4CB2" w:rsidP="000E4CB2" w:rsidRDefault="000E4CB2" w14:paraId="64976723" w14:textId="77777777">
      <w:r>
        <w:t>Breaking down these results by country, the majority of survey respondents in the Netherlands (78%), Latvia (67%) and Portugal (55%) indicated that they had been regularly consulted. In Croatia, only 31% of respondents had been regularly consulted, with more than half (54%) stating they had not been consulted.</w:t>
      </w:r>
    </w:p>
    <w:p w:rsidRPr="00BB2EAF" w:rsidR="000E4CB2" w:rsidP="000E4CB2" w:rsidRDefault="000E4CB2" w14:paraId="1F5C8EB8" w14:textId="77777777">
      <w:pPr>
        <w:jc w:val="center"/>
      </w:pPr>
      <w:r>
        <w:rPr>
          <w:noProof/>
          <w:lang w:eastAsia="fi-FI"/>
        </w:rPr>
        <w:drawing>
          <wp:inline distT="0" distB="0" distL="0" distR="0" wp14:anchorId="2E8D7D61" wp14:editId="050FB83A">
            <wp:extent cx="5594350" cy="2470150"/>
            <wp:effectExtent l="0" t="0" r="6350" b="6350"/>
            <wp:docPr id="10" name="Chart 10">
              <a:extLst xmlns:a="http://schemas.openxmlformats.org/drawingml/2006/main">
                <a:ext uri="{FF2B5EF4-FFF2-40B4-BE49-F238E27FC236}">
                  <a16:creationId xmlns:a16="http://schemas.microsoft.com/office/drawing/2014/main" id="{43ED0B17-486E-4BA8-AFE2-56BDD88C43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Pr="00BB2EAF" w:rsidR="000E4CB2" w:rsidP="000E4CB2" w:rsidRDefault="000E4CB2" w14:paraId="3CDBFCFD" w14:textId="77777777">
      <w:r>
        <w:t>Of those who had been consulted, 48% reported that the level of involvement had been very good, another 48% reported a good or adequate level and 5% indicated that their level of involvement had been poor.</w:t>
      </w:r>
    </w:p>
    <w:p w:rsidRPr="00BB2EAF" w:rsidR="000E4CB2" w:rsidP="000E4CB2" w:rsidRDefault="000E4CB2" w14:paraId="5E854F13" w14:textId="77777777"/>
    <w:p w:rsidRPr="00BB2EAF" w:rsidR="000E4CB2" w:rsidP="000E4CB2" w:rsidRDefault="000E4CB2" w14:paraId="3B376B96" w14:textId="77777777">
      <w:r>
        <w:t xml:space="preserve">When asked whether the final beneficiaries of H2020 were aware of the origin of the resources and programmes </w:t>
      </w:r>
      <w:r>
        <w:rPr>
          <w:b/>
        </w:rPr>
        <w:t>(question 25)</w:t>
      </w:r>
      <w:r>
        <w:t xml:space="preserve">, over two thirds of respondents indicated yes, 13% said they were not aware and 21% were unsure. </w:t>
      </w:r>
    </w:p>
    <w:p w:rsidRPr="00BB2EAF" w:rsidR="000E4CB2" w:rsidP="000E4CB2" w:rsidRDefault="000E4CB2" w14:paraId="5827319B" w14:textId="77777777">
      <w:pPr>
        <w:jc w:val="center"/>
      </w:pPr>
      <w:r>
        <w:rPr>
          <w:noProof/>
          <w:lang w:eastAsia="fi-FI"/>
        </w:rPr>
        <w:lastRenderedPageBreak/>
        <w:drawing>
          <wp:inline distT="0" distB="0" distL="0" distR="0" wp14:anchorId="471B2F35" wp14:editId="78EEEF8C">
            <wp:extent cx="5632450" cy="2165350"/>
            <wp:effectExtent l="0" t="0" r="6350" b="6350"/>
            <wp:docPr id="11" name="Chart 11">
              <a:extLst xmlns:a="http://schemas.openxmlformats.org/drawingml/2006/main">
                <a:ext uri="{FF2B5EF4-FFF2-40B4-BE49-F238E27FC236}">
                  <a16:creationId xmlns:a16="http://schemas.microsoft.com/office/drawing/2014/main" id="{4D734AF2-8C11-4309-9688-4AF713B991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Pr="00BB2EAF" w:rsidR="000E4CB2" w:rsidP="000E4CB2" w:rsidRDefault="000E4CB2" w14:paraId="72A6F886" w14:textId="77777777">
      <w:r>
        <w:t xml:space="preserve">In all countries, more than half of respondents indicated that beneficiaries were aware of the origins of H2020 resources and programmes. This level of awareness was highest in Latvia (83%) and Portugal (82%), with 56% of Dutch and 54% of Croatian respondents answering yes. </w:t>
      </w:r>
    </w:p>
    <w:p w:rsidRPr="00BB2EAF" w:rsidR="000E4CB2" w:rsidP="000E4CB2" w:rsidRDefault="000E4CB2" w14:paraId="0A991821" w14:textId="77777777"/>
    <w:p w:rsidRPr="00BB2EAF" w:rsidR="000E4CB2" w:rsidP="000E4CB2" w:rsidRDefault="000E4CB2" w14:paraId="2E3F6FBF" w14:textId="77777777">
      <w:r>
        <w:t xml:space="preserve">Over two thirds (64%) of respondents rated communication and information about H2020 as good or very good </w:t>
      </w:r>
      <w:r>
        <w:rPr>
          <w:b/>
        </w:rPr>
        <w:t>(question 27)</w:t>
      </w:r>
      <w:r>
        <w:t>. Looking at the results by country, Latvian respondents were the most positive about H2020 communication and information, with 83% rating it as good or very good and no respondents indicating that it was poor. This was followed by Portugal (73% good or very good) and Croatia (62%). In the Netherlands, 44% of respondents felt that communication and information were good or very good.</w:t>
      </w:r>
    </w:p>
    <w:p w:rsidRPr="00BB2EAF" w:rsidR="000E4CB2" w:rsidP="000E4CB2" w:rsidRDefault="000E4CB2" w14:paraId="52AED059" w14:textId="77777777"/>
    <w:p w:rsidRPr="00BB2EAF" w:rsidR="000E4CB2" w:rsidP="000E4CB2" w:rsidRDefault="000E4CB2" w14:paraId="177BB7A2" w14:textId="77777777">
      <w:r>
        <w:rPr>
          <w:noProof/>
          <w:lang w:eastAsia="fi-FI"/>
        </w:rPr>
        <w:drawing>
          <wp:inline distT="0" distB="0" distL="0" distR="0" wp14:anchorId="0168D243" wp14:editId="2D570652">
            <wp:extent cx="5651500" cy="2032000"/>
            <wp:effectExtent l="0" t="0" r="6350" b="6350"/>
            <wp:docPr id="7" name="Chart 7">
              <a:extLst xmlns:a="http://schemas.openxmlformats.org/drawingml/2006/main">
                <a:ext uri="{FF2B5EF4-FFF2-40B4-BE49-F238E27FC236}">
                  <a16:creationId xmlns:a16="http://schemas.microsoft.com/office/drawing/2014/main" id="{032E8D10-1500-4112-8C50-B3AD271711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rsidRPr="00BB2EAF" w:rsidR="000E4CB2" w:rsidP="000E4CB2" w:rsidRDefault="000E4CB2" w14:paraId="00407867" w14:textId="77777777">
      <w:pPr>
        <w:jc w:val="center"/>
      </w:pPr>
      <w:r>
        <w:rPr>
          <w:noProof/>
          <w:lang w:eastAsia="fi-FI"/>
        </w:rPr>
        <w:lastRenderedPageBreak/>
        <w:drawing>
          <wp:inline distT="0" distB="0" distL="0" distR="0" wp14:anchorId="7E9A312F" wp14:editId="7C5DC2A8">
            <wp:extent cx="5634990" cy="2512060"/>
            <wp:effectExtent l="0" t="0" r="3810" b="2540"/>
            <wp:docPr id="13" name="Chart 13">
              <a:extLst xmlns:a="http://schemas.openxmlformats.org/drawingml/2006/main">
                <a:ext uri="{FF2B5EF4-FFF2-40B4-BE49-F238E27FC236}">
                  <a16:creationId xmlns:a16="http://schemas.microsoft.com/office/drawing/2014/main" id="{2CE69934-E9E5-4501-AB68-A55BD572DA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Pr="00BB2EAF" w:rsidR="000E4CB2" w:rsidP="000E4CB2" w:rsidRDefault="000E4CB2" w14:paraId="4457C3E3" w14:textId="77777777">
      <w:pPr>
        <w:jc w:val="left"/>
      </w:pPr>
    </w:p>
    <w:p w:rsidRPr="00BB2EAF" w:rsidR="000E4CB2" w:rsidP="000E4CB2" w:rsidRDefault="000E4CB2" w14:paraId="7602A558" w14:textId="77777777">
      <w:r>
        <w:t xml:space="preserve">Almost half (46%) of respondents thought that communication towards H2020 beneficiaries could be improved </w:t>
      </w:r>
      <w:r>
        <w:rPr>
          <w:b/>
        </w:rPr>
        <w:t>(question 26)</w:t>
      </w:r>
      <w:r>
        <w:t xml:space="preserve">. A third (33%) responded that communication and information systems did not need modifying. </w:t>
      </w:r>
    </w:p>
    <w:p w:rsidRPr="00BB2EAF" w:rsidR="000E4CB2" w:rsidP="000E4CB2" w:rsidRDefault="000E4CB2" w14:paraId="5E8E0CF0" w14:textId="77777777">
      <w:pPr>
        <w:jc w:val="left"/>
      </w:pPr>
    </w:p>
    <w:p w:rsidRPr="00BB2EAF" w:rsidR="000E4CB2" w:rsidP="000E4CB2" w:rsidRDefault="000E4CB2" w14:paraId="0A9349A7" w14:textId="77777777">
      <w:pPr>
        <w:jc w:val="center"/>
      </w:pPr>
      <w:r>
        <w:rPr>
          <w:noProof/>
          <w:lang w:eastAsia="fi-FI"/>
        </w:rPr>
        <w:drawing>
          <wp:inline distT="0" distB="0" distL="0" distR="0" wp14:anchorId="3401A2E4" wp14:editId="3DD2C20C">
            <wp:extent cx="5661660" cy="2130425"/>
            <wp:effectExtent l="0" t="0" r="0" b="3175"/>
            <wp:docPr id="12" name="Chart 12">
              <a:extLst xmlns:a="http://schemas.openxmlformats.org/drawingml/2006/main">
                <a:ext uri="{FF2B5EF4-FFF2-40B4-BE49-F238E27FC236}">
                  <a16:creationId xmlns:a16="http://schemas.microsoft.com/office/drawing/2014/main" id="{8F3E8C7F-306D-4211-9BF3-A7D90415A9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Pr="00BB2EAF" w:rsidR="000E4CB2" w:rsidP="000E4CB2" w:rsidRDefault="000E4CB2" w14:paraId="13EC149B" w14:textId="77777777">
      <w:pPr>
        <w:jc w:val="left"/>
      </w:pPr>
    </w:p>
    <w:p w:rsidRPr="00BB2EAF" w:rsidR="000E4CB2" w:rsidP="000E4CB2" w:rsidRDefault="000E4CB2" w14:paraId="62DF4231" w14:textId="77777777">
      <w:r>
        <w:t xml:space="preserve">When asked how to improve the involvement of beneficiaries, social partners and civil society organisations in future actions of the Horizon Europe programme, introducing targeted communications for social partners, civil society and beneficiaries was strongly encouraged. NCPs were identified as the best placed people to reach out to civil society in their countries and make them aware of H2020 opportunities. Holding promotional events for beneficiaries and civil society where information and opportunities to network would be available could increase participation and the formation of new consortia. </w:t>
      </w:r>
    </w:p>
    <w:p w:rsidRPr="00BB2EAF" w:rsidR="000E4CB2" w:rsidP="000E4CB2" w:rsidRDefault="000E4CB2" w14:paraId="29FB415F" w14:textId="77777777"/>
    <w:p w:rsidRPr="00BB2EAF" w:rsidR="000E4CB2" w:rsidP="000E4CB2" w:rsidRDefault="000E4CB2" w14:paraId="27079EBF" w14:textId="77777777">
      <w:r>
        <w:t xml:space="preserve">The participation and selection criteria could also be widened. Smaller calls or calls targeted at civil society stakeholders as leads would be welcomed and, where relevant, proposals which included civil society should be valued. Previous best practice examples of civil society involvement should be shared to make all participants aware of how this wider participation could work. </w:t>
      </w:r>
    </w:p>
    <w:p w:rsidRPr="00BB2EAF" w:rsidR="000E4CB2" w:rsidP="000E4CB2" w:rsidRDefault="000E4CB2" w14:paraId="6A61D8EE" w14:textId="77777777">
      <w:pPr>
        <w:jc w:val="left"/>
      </w:pPr>
    </w:p>
    <w:p w:rsidRPr="00BB2EAF" w:rsidR="000E4CB2" w:rsidP="000E4CB2" w:rsidRDefault="000E4CB2" w14:paraId="46CC109B" w14:textId="77777777">
      <w:r>
        <w:t xml:space="preserve">Authorities were urged to involve societal stakeholders in all aspects of developing, regulating and evaluating research, with one respondent pointing to the example of the Netherlands, where "various </w:t>
      </w:r>
      <w:r>
        <w:lastRenderedPageBreak/>
        <w:t>civil society organisations are involved in the various programmes", for example through sounding board groups. Establishing national research priorities was also mentioned as an area where civil society stakeholders could make valuable contributions.</w:t>
      </w:r>
    </w:p>
    <w:p w:rsidRPr="00BB2EAF" w:rsidR="000E4CB2" w:rsidP="000E4CB2" w:rsidRDefault="000E4CB2" w14:paraId="1DA5E499" w14:textId="77777777"/>
    <w:p w:rsidRPr="00BB2EAF" w:rsidR="000E4CB2" w:rsidP="00C94E47" w:rsidRDefault="000E4CB2" w14:paraId="003F96B4" w14:textId="77777777">
      <w:pPr>
        <w:pStyle w:val="Heading2"/>
        <w:keepNext/>
        <w:rPr>
          <w:b/>
          <w:bCs/>
        </w:rPr>
      </w:pPr>
      <w:bookmarkStart w:name="_Toc125632266" w:id="29"/>
      <w:bookmarkStart w:name="_Toc128464343" w:id="30"/>
      <w:bookmarkStart w:name="_Toc128464374" w:id="31"/>
      <w:r>
        <w:t>Additional comments</w:t>
      </w:r>
      <w:bookmarkEnd w:id="29"/>
      <w:bookmarkEnd w:id="30"/>
      <w:bookmarkEnd w:id="31"/>
    </w:p>
    <w:p w:rsidRPr="00BB2EAF" w:rsidR="000E4CB2" w:rsidP="00C94E47" w:rsidRDefault="000E4CB2" w14:paraId="2285380E" w14:textId="77777777">
      <w:pPr>
        <w:keepNext/>
      </w:pPr>
    </w:p>
    <w:p w:rsidRPr="00BB2EAF" w:rsidR="000E4CB2" w:rsidP="000E4CB2" w:rsidRDefault="000E4CB2" w14:paraId="6BC4418F" w14:textId="77777777">
      <w:r>
        <w:t xml:space="preserve">Stakeholders were given the opportunity to raise further issues that were not included in the questionnaire or to expand on issues that they thought deserved additional attention. Below, we summarise the additional contributions, organised by topic. </w:t>
      </w:r>
    </w:p>
    <w:p w:rsidRPr="00BB2EAF" w:rsidR="000E4CB2" w:rsidP="000E4CB2" w:rsidRDefault="000E4CB2" w14:paraId="6313F652" w14:textId="77777777"/>
    <w:p w:rsidRPr="00BB2EAF" w:rsidR="000E4CB2" w:rsidP="00C94E47" w:rsidRDefault="000E4CB2" w14:paraId="0FDD8CDF" w14:textId="77777777">
      <w:pPr>
        <w:keepNext/>
        <w:rPr>
          <w:b/>
          <w:bCs/>
        </w:rPr>
      </w:pPr>
      <w:r>
        <w:rPr>
          <w:b/>
          <w:i/>
        </w:rPr>
        <w:t>Competition between private businesses and research institutes</w:t>
      </w:r>
      <w:r>
        <w:rPr>
          <w:b/>
        </w:rPr>
        <w:t xml:space="preserve">: </w:t>
      </w:r>
    </w:p>
    <w:p w:rsidRPr="00BB2EAF" w:rsidR="000E4CB2" w:rsidP="000E4CB2" w:rsidRDefault="000E4CB2" w14:paraId="4171FBC3" w14:textId="77777777">
      <w:r>
        <w:t>Some participants raised the point that broader participation in research calls could lead to private companies, including SMEs and state-funded research institutes, competing for the same resources. Separate support for different types of stakeholders could help avoid competition between the state and the private sector.</w:t>
      </w:r>
    </w:p>
    <w:p w:rsidRPr="00BB2EAF" w:rsidR="000E4CB2" w:rsidP="000E4CB2" w:rsidRDefault="000E4CB2" w14:paraId="4CD43CE2" w14:textId="77777777"/>
    <w:p w:rsidRPr="00BB2EAF" w:rsidR="000E4CB2" w:rsidP="00C94E47" w:rsidRDefault="000E4CB2" w14:paraId="05308A2A" w14:textId="77777777">
      <w:pPr>
        <w:keepNext/>
        <w:rPr>
          <w:b/>
          <w:bCs/>
        </w:rPr>
      </w:pPr>
      <w:r>
        <w:rPr>
          <w:b/>
          <w:i/>
        </w:rPr>
        <w:t>Strategic autonomy</w:t>
      </w:r>
      <w:r>
        <w:rPr>
          <w:b/>
        </w:rPr>
        <w:t>:</w:t>
      </w:r>
    </w:p>
    <w:p w:rsidRPr="00BB2EAF" w:rsidR="000E4CB2" w:rsidP="000E4CB2" w:rsidRDefault="000E4CB2" w14:paraId="32311B7D" w14:textId="77777777">
      <w:r>
        <w:t xml:space="preserve">In order for the EU to work on its industrial strategic autonomy, it needed to use the strengths and diversity of business, civil society and research across regions. Greater inclusion in research and development was noted as a key step towards strategic autonomy, which needed to include all TRL levels. </w:t>
      </w:r>
    </w:p>
    <w:p w:rsidRPr="00BB2EAF" w:rsidR="000E4CB2" w:rsidP="000E4CB2" w:rsidRDefault="000E4CB2" w14:paraId="20F86706" w14:textId="5B59E05B">
      <w:pPr>
        <w:spacing w:after="160" w:line="259" w:lineRule="auto"/>
        <w:jc w:val="left"/>
      </w:pPr>
    </w:p>
    <w:p w:rsidRPr="00BB2EAF" w:rsidR="000E4CB2" w:rsidP="00C94E47" w:rsidRDefault="000E4CB2" w14:paraId="74951822" w14:textId="77777777">
      <w:pPr>
        <w:pStyle w:val="Heading1"/>
        <w:keepNext/>
        <w:ind w:left="567" w:hanging="567"/>
      </w:pPr>
      <w:bookmarkStart w:name="_Toc125632267" w:id="32"/>
      <w:bookmarkStart w:name="_Toc128464344" w:id="33"/>
      <w:bookmarkStart w:name="_Toc128464375" w:id="34"/>
      <w:r>
        <w:t>Secondary data: literature review of EESC work</w:t>
      </w:r>
      <w:bookmarkEnd w:id="32"/>
      <w:bookmarkEnd w:id="33"/>
      <w:bookmarkEnd w:id="34"/>
    </w:p>
    <w:p w:rsidRPr="00BB2EAF" w:rsidR="000E4CB2" w:rsidP="00C94E47" w:rsidRDefault="000E4CB2" w14:paraId="16CBD115" w14:textId="77777777">
      <w:pPr>
        <w:keepNext/>
      </w:pPr>
    </w:p>
    <w:p w:rsidRPr="00BB2EAF" w:rsidR="000E4CB2" w:rsidP="000E4CB2" w:rsidRDefault="000E4CB2" w14:paraId="2420C881" w14:textId="77777777">
      <w:r>
        <w:t xml:space="preserve">In this section we provide an overview of the Committee's past work relating to H2020 (and, more broadly, research and innovation). </w:t>
      </w:r>
    </w:p>
    <w:p w:rsidRPr="00BB2EAF" w:rsidR="000E4CB2" w:rsidP="000E4CB2" w:rsidRDefault="000E4CB2" w14:paraId="18B8C758" w14:textId="77777777"/>
    <w:p w:rsidRPr="00BB2EAF" w:rsidR="000E4CB2" w:rsidP="000E4CB2" w:rsidRDefault="000E4CB2" w14:paraId="03C44394" w14:textId="77777777">
      <w:pPr>
        <w:spacing w:line="276" w:lineRule="auto"/>
        <w:rPr>
          <w:bCs/>
        </w:rPr>
      </w:pPr>
      <w:r>
        <w:rPr>
          <w:b/>
        </w:rPr>
        <w:t xml:space="preserve">In </w:t>
      </w:r>
      <w:hyperlink w:history="1" r:id="rId63">
        <w:r>
          <w:rPr>
            <w:rStyle w:val="Hyperlink"/>
          </w:rPr>
          <w:t>INT/996</w:t>
        </w:r>
      </w:hyperlink>
      <w:r>
        <w:rPr>
          <w:b/>
        </w:rPr>
        <w:t xml:space="preserve"> on </w:t>
      </w:r>
      <w:r>
        <w:rPr>
          <w:b/>
          <w:i/>
        </w:rPr>
        <w:t>A new European Innovation Agenda</w:t>
      </w:r>
      <w:r>
        <w:rPr>
          <w:b/>
        </w:rPr>
        <w:t xml:space="preserve"> (2022), </w:t>
      </w:r>
      <w:r>
        <w:t>the EESC</w:t>
      </w:r>
      <w:r>
        <w:rPr>
          <w:b/>
        </w:rPr>
        <w:t xml:space="preserve"> </w:t>
      </w:r>
      <w:r>
        <w:t>welcomed the Commission's European Innovation Agenda and, particularly, its twofold objective of fostering Europe's competitiveness and of promoting European citizens' welfare.</w:t>
      </w:r>
    </w:p>
    <w:p w:rsidRPr="00BB2EAF" w:rsidR="000E4CB2" w:rsidP="000E4CB2" w:rsidRDefault="000E4CB2" w14:paraId="1B61389E" w14:textId="77777777">
      <w:pPr>
        <w:spacing w:line="276" w:lineRule="auto"/>
      </w:pPr>
    </w:p>
    <w:p w:rsidRPr="00BB2EAF" w:rsidR="000E4CB2" w:rsidP="000E4CB2" w:rsidRDefault="000E4CB2" w14:paraId="7BC5D38C" w14:textId="77777777">
      <w:pPr>
        <w:spacing w:line="276" w:lineRule="auto"/>
        <w:rPr>
          <w:bCs/>
        </w:rPr>
      </w:pPr>
      <w:r>
        <w:t>The</w:t>
      </w:r>
      <w:r>
        <w:rPr>
          <w:b/>
        </w:rPr>
        <w:t xml:space="preserve"> </w:t>
      </w:r>
      <w:r>
        <w:t xml:space="preserve">focus on closing the so-called "scale-up" and deep tech gaps, which the EU currently had in comparison with third states where growth-stage tech businesses were more common, was considered as crucial. The EESC urged the Commission to put more emphasis on the role played by businesses, SMEs and start-ups in particular and the innovation networks that they led in delivering the green and digital transitions. </w:t>
      </w:r>
    </w:p>
    <w:p w:rsidRPr="00BB2EAF" w:rsidR="000E4CB2" w:rsidP="000E4CB2" w:rsidRDefault="000E4CB2" w14:paraId="6F518D01" w14:textId="77777777">
      <w:pPr>
        <w:spacing w:line="276" w:lineRule="auto"/>
      </w:pPr>
    </w:p>
    <w:p w:rsidRPr="00BB2EAF" w:rsidR="000E4CB2" w:rsidP="000E4CB2" w:rsidRDefault="000E4CB2" w14:paraId="269B55FA" w14:textId="77777777">
      <w:pPr>
        <w:spacing w:line="276" w:lineRule="auto"/>
        <w:rPr>
          <w:bCs/>
        </w:rPr>
      </w:pPr>
      <w:r>
        <w:t>The EESC pointed out the importance of funding experimentation and testing infrastructure in order to help start-ups and to close the gap between labs and commercial applications. In this regard, it welcomed the introduction of the new concept of "testing and experimentation infrastructures" in the draft revised General Block Exemption Regulation (GBER) on State aid.</w:t>
      </w:r>
    </w:p>
    <w:p w:rsidRPr="00BB2EAF" w:rsidR="000E4CB2" w:rsidP="000E4CB2" w:rsidRDefault="000E4CB2" w14:paraId="303E1FFA" w14:textId="77777777">
      <w:pPr>
        <w:spacing w:line="276" w:lineRule="auto"/>
        <w:rPr>
          <w:bCs/>
        </w:rPr>
      </w:pPr>
    </w:p>
    <w:p w:rsidRPr="00BB2EAF" w:rsidR="000E4CB2" w:rsidP="000E4CB2" w:rsidRDefault="000E4CB2" w14:paraId="5A5D9096" w14:textId="77777777">
      <w:pPr>
        <w:spacing w:line="276" w:lineRule="auto"/>
        <w:rPr>
          <w:bCs/>
        </w:rPr>
      </w:pPr>
      <w:r>
        <w:t xml:space="preserve">The Committee urged the Commission to encourage the interregional dimension of investments, with the joint participation of less and more innovative regions. Further, public support should also benefit higher education and innovation labs. To that end, it proposed using a number of pilot research centres and universities to pursue innovative goals. </w:t>
      </w:r>
    </w:p>
    <w:p w:rsidRPr="00BB2EAF" w:rsidR="000E4CB2" w:rsidP="000E4CB2" w:rsidRDefault="000E4CB2" w14:paraId="5280B15E" w14:textId="77777777">
      <w:pPr>
        <w:spacing w:line="276" w:lineRule="auto"/>
        <w:rPr>
          <w:bCs/>
        </w:rPr>
      </w:pPr>
    </w:p>
    <w:p w:rsidRPr="00BB2EAF" w:rsidR="000E4CB2" w:rsidP="000E4CB2" w:rsidRDefault="000E4CB2" w14:paraId="2E214C0D" w14:textId="77777777">
      <w:pPr>
        <w:spacing w:line="276" w:lineRule="auto"/>
        <w:rPr>
          <w:b/>
        </w:rPr>
      </w:pPr>
      <w:r>
        <w:t>The EESC also welcomed the Commission's support for Member States in taking forward cross-border projects of common European interest. It therefore proposed that both research work and the professional development of researchers be funded and that research results, which were publicly supported, be open to further development by innovators, possibly through the Innospace Platform.</w:t>
      </w:r>
    </w:p>
    <w:p w:rsidRPr="00BB2EAF" w:rsidR="000E4CB2" w:rsidP="000E4CB2" w:rsidRDefault="000E4CB2" w14:paraId="4E6F4D96" w14:textId="77777777">
      <w:pPr>
        <w:spacing w:line="276" w:lineRule="auto"/>
        <w:rPr>
          <w:b/>
        </w:rPr>
      </w:pPr>
    </w:p>
    <w:p w:rsidRPr="00BB2EAF" w:rsidR="000E4CB2" w:rsidP="000E4CB2" w:rsidRDefault="000E4CB2" w14:paraId="1F005C8B" w14:textId="77777777">
      <w:pPr>
        <w:spacing w:line="276" w:lineRule="auto"/>
        <w:rPr>
          <w:bCs/>
        </w:rPr>
      </w:pPr>
      <w:r>
        <w:rPr>
          <w:b/>
        </w:rPr>
        <w:t xml:space="preserve">In </w:t>
      </w:r>
      <w:hyperlink w:history="1" r:id="rId64">
        <w:r>
          <w:rPr>
            <w:rStyle w:val="Hyperlink"/>
          </w:rPr>
          <w:t>INT/962</w:t>
        </w:r>
      </w:hyperlink>
      <w:r>
        <w:rPr>
          <w:b/>
        </w:rPr>
        <w:t xml:space="preserve"> on </w:t>
      </w:r>
      <w:r>
        <w:rPr>
          <w:b/>
          <w:i/>
        </w:rPr>
        <w:t>A Pact for R&amp;I in Europe</w:t>
      </w:r>
      <w:r>
        <w:rPr>
          <w:b/>
        </w:rPr>
        <w:t xml:space="preserve"> (2022), </w:t>
      </w:r>
      <w:r>
        <w:t>the EESC welcomed</w:t>
      </w:r>
      <w:r>
        <w:rPr>
          <w:b/>
        </w:rPr>
        <w:t xml:space="preserve"> </w:t>
      </w:r>
      <w:r>
        <w:t>the fact that the Pact for Research and Innovation in Europe</w:t>
      </w:r>
      <w:r>
        <w:rPr>
          <w:i/>
        </w:rPr>
        <w:t xml:space="preserve"> </w:t>
      </w:r>
      <w:r>
        <w:t xml:space="preserve">set out commonly agreed values and principles for R&amp;I and identified at a general level the areas where Member States would jointly develop priority actions. </w:t>
      </w:r>
    </w:p>
    <w:p w:rsidRPr="00BB2EAF" w:rsidR="000E4CB2" w:rsidP="000E4CB2" w:rsidRDefault="000E4CB2" w14:paraId="6BEB0D4C" w14:textId="77777777">
      <w:pPr>
        <w:spacing w:line="276" w:lineRule="auto"/>
      </w:pPr>
    </w:p>
    <w:p w:rsidRPr="00BB2EAF" w:rsidR="000E4CB2" w:rsidP="000E4CB2" w:rsidRDefault="000E4CB2" w14:paraId="3369FD6B" w14:textId="77777777">
      <w:pPr>
        <w:spacing w:line="276" w:lineRule="auto"/>
        <w:rPr>
          <w:bCs/>
        </w:rPr>
      </w:pPr>
      <w:r>
        <w:t>The EESC highlighted that, in the future, Europe should turn its R&amp;D results into value creation, business opportunities and quality jobs. One very important tool for turning Europe's R&amp;D results into business opportunities, higher profits and jobs for Europe was intellectual property rights (IPR). The great importance of IPR and patents should be added to the paragraph in the pact on value creation, and a clear IPR strategy for Europe should be developed as part of the Pact for the New European Research Area (ERA).</w:t>
      </w:r>
    </w:p>
    <w:p w:rsidRPr="00BB2EAF" w:rsidR="000E4CB2" w:rsidP="000E4CB2" w:rsidRDefault="000E4CB2" w14:paraId="042BBF6D" w14:textId="77777777">
      <w:pPr>
        <w:spacing w:line="276" w:lineRule="auto"/>
        <w:rPr>
          <w:bCs/>
        </w:rPr>
      </w:pPr>
    </w:p>
    <w:p w:rsidRPr="00BB2EAF" w:rsidR="000E4CB2" w:rsidP="000E4CB2" w:rsidRDefault="000E4CB2" w14:paraId="1D5B6C00" w14:textId="77777777">
      <w:pPr>
        <w:spacing w:line="276" w:lineRule="auto"/>
        <w:rPr>
          <w:bCs/>
        </w:rPr>
      </w:pPr>
      <w:r>
        <w:t>The EESC welcomed the Pact for Research and Innovation's clear call to deepen the ERA, i.e. to move from coordinating national policies to deeper integration of these policies, and its call to accelerate the twin green and digital transitions.</w:t>
      </w:r>
    </w:p>
    <w:p w:rsidRPr="00BB2EAF" w:rsidR="000E4CB2" w:rsidP="000E4CB2" w:rsidRDefault="000E4CB2" w14:paraId="574B06B4" w14:textId="77777777">
      <w:pPr>
        <w:spacing w:line="276" w:lineRule="auto"/>
        <w:rPr>
          <w:bCs/>
        </w:rPr>
      </w:pPr>
    </w:p>
    <w:p w:rsidRPr="00BB2EAF" w:rsidR="000E4CB2" w:rsidP="000E4CB2" w:rsidRDefault="000E4CB2" w14:paraId="744D04E6" w14:textId="77777777">
      <w:pPr>
        <w:spacing w:line="276" w:lineRule="auto"/>
        <w:rPr>
          <w:bCs/>
        </w:rPr>
      </w:pPr>
      <w:r>
        <w:t>In view of the massive investments in research, technology and innovation (RTI) in Asia (China, South Korea etc.), the EU had to substantially speed up its efforts in R&amp;I, especially regarding the swift transformation of R&amp;D results into innovative products and services, since Europe was lagging behind in this area. In the new Pact for R&amp;I, Europe also needed to lay the groundwork for a more entrepreneurial culture such as risk-taking.</w:t>
      </w:r>
    </w:p>
    <w:p w:rsidRPr="00BB2EAF" w:rsidR="000E4CB2" w:rsidP="000E4CB2" w:rsidRDefault="000E4CB2" w14:paraId="49C1DFC5" w14:textId="77777777">
      <w:pPr>
        <w:spacing w:line="276" w:lineRule="auto"/>
        <w:rPr>
          <w:bCs/>
        </w:rPr>
      </w:pPr>
    </w:p>
    <w:p w:rsidRPr="00BB2EAF" w:rsidR="000E4CB2" w:rsidP="000E4CB2" w:rsidRDefault="000E4CB2" w14:paraId="2DB257EB" w14:textId="77777777">
      <w:pPr>
        <w:spacing w:line="276" w:lineRule="auto"/>
        <w:rPr>
          <w:bCs/>
        </w:rPr>
      </w:pPr>
      <w:r>
        <w:t>The EESC stressed that, to date, only a limited share of the EU population (the "usual suspects for R&amp;I" only) had been engaged in the EU's R&amp;I policies. However, modern socioeconomic research had highlighted the great importance of science, technology and society in fostering strong performers in R&amp;I. The EESC asked for civil society organisations and social and economic partners (notably organisations representing MSMEs) to be included appropriately at EU and national level so that they could make specific contributions, with a view to making the EU stronger on the global stage.</w:t>
      </w:r>
    </w:p>
    <w:p w:rsidRPr="00BB2EAF" w:rsidR="000E4CB2" w:rsidP="000E4CB2" w:rsidRDefault="000E4CB2" w14:paraId="2DE3938F" w14:textId="77777777">
      <w:pPr>
        <w:spacing w:line="276" w:lineRule="auto"/>
        <w:rPr>
          <w:bCs/>
        </w:rPr>
      </w:pPr>
    </w:p>
    <w:p w:rsidRPr="00BB2EAF" w:rsidR="000E4CB2" w:rsidP="000E4CB2" w:rsidRDefault="000E4CB2" w14:paraId="0EA0AFD7" w14:textId="77777777">
      <w:pPr>
        <w:spacing w:line="276" w:lineRule="auto"/>
        <w:rPr>
          <w:bCs/>
        </w:rPr>
      </w:pPr>
      <w:r>
        <w:rPr>
          <w:b/>
        </w:rPr>
        <w:t xml:space="preserve">In </w:t>
      </w:r>
      <w:hyperlink w:history="1" r:id="rId65">
        <w:r>
          <w:rPr>
            <w:rStyle w:val="Hyperlink"/>
          </w:rPr>
          <w:t>INT/941</w:t>
        </w:r>
      </w:hyperlink>
      <w:r>
        <w:rPr>
          <w:b/>
        </w:rPr>
        <w:t xml:space="preserve"> on a </w:t>
      </w:r>
      <w:r>
        <w:rPr>
          <w:b/>
          <w:i/>
        </w:rPr>
        <w:t xml:space="preserve">Global approach to R&amp;I </w:t>
      </w:r>
      <w:r>
        <w:rPr>
          <w:b/>
        </w:rPr>
        <w:t>(2021),</w:t>
      </w:r>
      <w:r>
        <w:t xml:space="preserve"> the EESC welcomed the EU's commitment to leading and to preserving openness in international research and innovation cooperation, while promoting a level playing field and reciprocity underpinned by fundamental values.</w:t>
      </w:r>
    </w:p>
    <w:p w:rsidRPr="00BB2EAF" w:rsidR="000E4CB2" w:rsidP="000E4CB2" w:rsidRDefault="000E4CB2" w14:paraId="45868B3E" w14:textId="77777777">
      <w:pPr>
        <w:spacing w:line="276" w:lineRule="auto"/>
        <w:rPr>
          <w:bCs/>
        </w:rPr>
      </w:pPr>
    </w:p>
    <w:p w:rsidRPr="00BB2EAF" w:rsidR="000E4CB2" w:rsidP="000E4CB2" w:rsidRDefault="000E4CB2" w14:paraId="5598B5F2" w14:textId="77777777">
      <w:pPr>
        <w:spacing w:line="276" w:lineRule="auto"/>
        <w:rPr>
          <w:bCs/>
        </w:rPr>
      </w:pPr>
      <w:r>
        <w:t>The Committee deemed it necessary to better involve civil society organisations in supporting EU institutions and Member States in developing extraordinary policies and special programmes (career mobility, attracting/retaining researchers, and using research and innovation results to boost the entrepreneurship culture of EU SMEs) capable of "collecting EU value added" that could in turn feed into an ambitious European Research Area for the next decade.</w:t>
      </w:r>
    </w:p>
    <w:p w:rsidRPr="00BB2EAF" w:rsidR="000E4CB2" w:rsidP="000E4CB2" w:rsidRDefault="000E4CB2" w14:paraId="5E88D862" w14:textId="77777777">
      <w:pPr>
        <w:spacing w:line="276" w:lineRule="auto"/>
        <w:rPr>
          <w:bCs/>
        </w:rPr>
      </w:pPr>
    </w:p>
    <w:p w:rsidRPr="00BB2EAF" w:rsidR="000E4CB2" w:rsidP="000E4CB2" w:rsidRDefault="000E4CB2" w14:paraId="42E20EC7" w14:textId="77777777">
      <w:pPr>
        <w:spacing w:line="276" w:lineRule="auto"/>
        <w:rPr>
          <w:bCs/>
        </w:rPr>
      </w:pPr>
      <w:r>
        <w:t>The EESC pointed out the importance of strengthening the EU's leading role in supporting multilateral research and innovation partnerships to find new solutions to green, digital, health, social and innovation challenges, taking into consideration the current impact of COVID-19 on European health systems, societies, business communities and the wider global economy.</w:t>
      </w:r>
    </w:p>
    <w:p w:rsidRPr="00BB2EAF" w:rsidR="000E4CB2" w:rsidP="000E4CB2" w:rsidRDefault="000E4CB2" w14:paraId="755DC6B3" w14:textId="77777777">
      <w:pPr>
        <w:spacing w:line="276" w:lineRule="auto"/>
        <w:rPr>
          <w:bCs/>
        </w:rPr>
      </w:pPr>
    </w:p>
    <w:p w:rsidRPr="00BB2EAF" w:rsidR="000E4CB2" w:rsidP="000E4CB2" w:rsidRDefault="000E4CB2" w14:paraId="299CBC23" w14:textId="77777777">
      <w:pPr>
        <w:spacing w:line="276" w:lineRule="auto"/>
      </w:pPr>
      <w:r>
        <w:t>The EESC recommended including civil society organisations appropriately at EU and national level in the European Commission's work in monitoring actions, as set out in the Commission's Communication, so that they could provide specific contributions, with a view to making the EU stronger on the global stage.</w:t>
      </w:r>
    </w:p>
    <w:p w:rsidRPr="00BB2EAF" w:rsidR="000E4CB2" w:rsidP="000E4CB2" w:rsidRDefault="000E4CB2" w14:paraId="7CEA4EF9" w14:textId="77777777">
      <w:pPr>
        <w:spacing w:line="276" w:lineRule="auto"/>
        <w:rPr>
          <w:bCs/>
        </w:rPr>
      </w:pPr>
    </w:p>
    <w:p w:rsidRPr="00BB2EAF" w:rsidR="000E4CB2" w:rsidP="000E4CB2" w:rsidRDefault="000E4CB2" w14:paraId="43E49281" w14:textId="77777777">
      <w:pPr>
        <w:spacing w:line="276" w:lineRule="auto"/>
        <w:rPr>
          <w:bCs/>
        </w:rPr>
      </w:pPr>
      <w:r>
        <w:rPr>
          <w:b/>
        </w:rPr>
        <w:t xml:space="preserve">In </w:t>
      </w:r>
      <w:hyperlink w:history="1" r:id="rId66">
        <w:r>
          <w:rPr>
            <w:rStyle w:val="Hyperlink"/>
          </w:rPr>
          <w:t>INT/924</w:t>
        </w:r>
      </w:hyperlink>
      <w:r>
        <w:rPr>
          <w:b/>
        </w:rPr>
        <w:t xml:space="preserve">, on </w:t>
      </w:r>
      <w:r>
        <w:rPr>
          <w:b/>
          <w:i/>
        </w:rPr>
        <w:t>A new ERA for R&amp;I</w:t>
      </w:r>
      <w:r>
        <w:rPr>
          <w:b/>
        </w:rPr>
        <w:t xml:space="preserve"> (2021), </w:t>
      </w:r>
      <w:r>
        <w:t>the EESC welcomed the focus on rapidly translating R&amp;I results into sustainable business and advocated</w:t>
      </w:r>
      <w:r>
        <w:rPr>
          <w:b/>
        </w:rPr>
        <w:t xml:space="preserve"> </w:t>
      </w:r>
      <w:r>
        <w:t>new governance in the field of research in order to remove administrative and regulatory barriers to innovation.</w:t>
      </w:r>
    </w:p>
    <w:p w:rsidRPr="00BB2EAF" w:rsidR="000E4CB2" w:rsidP="000E4CB2" w:rsidRDefault="000E4CB2" w14:paraId="32D53602" w14:textId="77777777">
      <w:pPr>
        <w:spacing w:line="276" w:lineRule="auto"/>
      </w:pPr>
    </w:p>
    <w:p w:rsidRPr="00BB2EAF" w:rsidR="000E4CB2" w:rsidP="000E4CB2" w:rsidRDefault="000E4CB2" w14:paraId="3885A7B8" w14:textId="77777777">
      <w:pPr>
        <w:spacing w:line="276" w:lineRule="auto"/>
        <w:rPr>
          <w:bCs/>
        </w:rPr>
      </w:pPr>
      <w:r>
        <w:t>The Committee emphasised that an intelligent blending of R&amp;D tools at all levels (regional, national, European and global) was important and that R&amp;D and innovation should be promoted by making use of the large EU structural funds.</w:t>
      </w:r>
    </w:p>
    <w:p w:rsidRPr="00BB2EAF" w:rsidR="000E4CB2" w:rsidP="000E4CB2" w:rsidRDefault="000E4CB2" w14:paraId="7A801223" w14:textId="77777777">
      <w:pPr>
        <w:spacing w:line="276" w:lineRule="auto"/>
        <w:rPr>
          <w:bCs/>
        </w:rPr>
      </w:pPr>
    </w:p>
    <w:p w:rsidRPr="00BB2EAF" w:rsidR="000E4CB2" w:rsidP="000E4CB2" w:rsidRDefault="000E4CB2" w14:paraId="1E44AFD2" w14:textId="77777777">
      <w:pPr>
        <w:spacing w:line="276" w:lineRule="auto"/>
        <w:rPr>
          <w:bCs/>
        </w:rPr>
      </w:pPr>
      <w:r>
        <w:t>The EESC described the following key sectors and technologies as vital for the EU's prosperity:</w:t>
      </w:r>
    </w:p>
    <w:p w:rsidRPr="00BB2EAF" w:rsidR="000E4CB2" w:rsidP="000E4CB2" w:rsidRDefault="000E4CB2" w14:paraId="4C19BC5E" w14:textId="77777777">
      <w:pPr>
        <w:spacing w:line="276" w:lineRule="auto"/>
        <w:rPr>
          <w:bCs/>
        </w:rPr>
      </w:pPr>
    </w:p>
    <w:p w:rsidRPr="00BB2EAF" w:rsidR="000E4CB2" w:rsidP="000E4CB2" w:rsidRDefault="000E4CB2" w14:paraId="125C3B04" w14:textId="77777777">
      <w:pPr>
        <w:pStyle w:val="ListParagraph"/>
        <w:numPr>
          <w:ilvl w:val="0"/>
          <w:numId w:val="9"/>
        </w:numPr>
        <w:overflowPunct/>
        <w:autoSpaceDE/>
        <w:autoSpaceDN/>
        <w:adjustRightInd/>
        <w:spacing w:line="276" w:lineRule="auto"/>
        <w:textAlignment w:val="auto"/>
        <w:rPr>
          <w:bCs/>
        </w:rPr>
      </w:pPr>
      <w:r>
        <w:t>digital business models;</w:t>
      </w:r>
    </w:p>
    <w:p w:rsidRPr="00BB2EAF" w:rsidR="000E4CB2" w:rsidP="000E4CB2" w:rsidRDefault="000E4CB2" w14:paraId="7750CC43" w14:textId="77777777">
      <w:pPr>
        <w:pStyle w:val="ListParagraph"/>
        <w:numPr>
          <w:ilvl w:val="0"/>
          <w:numId w:val="9"/>
        </w:numPr>
        <w:overflowPunct/>
        <w:autoSpaceDE/>
        <w:autoSpaceDN/>
        <w:adjustRightInd/>
        <w:spacing w:line="276" w:lineRule="auto"/>
        <w:textAlignment w:val="auto"/>
        <w:rPr>
          <w:bCs/>
        </w:rPr>
      </w:pPr>
      <w:r>
        <w:t>technologies for manufacturing goods and food;</w:t>
      </w:r>
    </w:p>
    <w:p w:rsidRPr="00BB2EAF" w:rsidR="000E4CB2" w:rsidP="000E4CB2" w:rsidRDefault="000E4CB2" w14:paraId="71B90EF0" w14:textId="77777777">
      <w:pPr>
        <w:pStyle w:val="ListParagraph"/>
        <w:numPr>
          <w:ilvl w:val="0"/>
          <w:numId w:val="9"/>
        </w:numPr>
        <w:overflowPunct/>
        <w:autoSpaceDE/>
        <w:autoSpaceDN/>
        <w:adjustRightInd/>
        <w:spacing w:line="276" w:lineRule="auto"/>
        <w:textAlignment w:val="auto"/>
        <w:rPr>
          <w:bCs/>
        </w:rPr>
      </w:pPr>
      <w:r>
        <w:t>clinical research, and the pharmaceutical and biotechnological sectors;</w:t>
      </w:r>
    </w:p>
    <w:p w:rsidRPr="00BB2EAF" w:rsidR="000E4CB2" w:rsidP="000E4CB2" w:rsidRDefault="000E4CB2" w14:paraId="637EFCE7" w14:textId="77777777">
      <w:pPr>
        <w:pStyle w:val="ListParagraph"/>
        <w:numPr>
          <w:ilvl w:val="0"/>
          <w:numId w:val="9"/>
        </w:numPr>
        <w:overflowPunct/>
        <w:autoSpaceDE/>
        <w:autoSpaceDN/>
        <w:adjustRightInd/>
        <w:spacing w:line="276" w:lineRule="auto"/>
        <w:textAlignment w:val="auto"/>
        <w:rPr>
          <w:bCs/>
        </w:rPr>
      </w:pPr>
      <w:r>
        <w:t>space technologies;</w:t>
      </w:r>
    </w:p>
    <w:p w:rsidRPr="00BB2EAF" w:rsidR="000E4CB2" w:rsidP="000E4CB2" w:rsidRDefault="000E4CB2" w14:paraId="19B92387" w14:textId="77777777">
      <w:pPr>
        <w:pStyle w:val="ListParagraph"/>
        <w:numPr>
          <w:ilvl w:val="0"/>
          <w:numId w:val="9"/>
        </w:numPr>
        <w:overflowPunct/>
        <w:autoSpaceDE/>
        <w:autoSpaceDN/>
        <w:adjustRightInd/>
        <w:spacing w:line="276" w:lineRule="auto"/>
        <w:textAlignment w:val="auto"/>
        <w:rPr>
          <w:bCs/>
        </w:rPr>
      </w:pPr>
      <w:r>
        <w:t>clean water and sanitation.</w:t>
      </w:r>
    </w:p>
    <w:p w:rsidRPr="00BB2EAF" w:rsidR="000E4CB2" w:rsidP="000E4CB2" w:rsidRDefault="000E4CB2" w14:paraId="6E94C450" w14:textId="77777777">
      <w:pPr>
        <w:spacing w:line="276" w:lineRule="auto"/>
        <w:rPr>
          <w:bCs/>
        </w:rPr>
      </w:pPr>
    </w:p>
    <w:p w:rsidRPr="00BB2EAF" w:rsidR="000E4CB2" w:rsidP="000E4CB2" w:rsidRDefault="000E4CB2" w14:paraId="5C3C1BD5" w14:textId="77777777">
      <w:pPr>
        <w:spacing w:line="276" w:lineRule="auto"/>
        <w:rPr>
          <w:bCs/>
        </w:rPr>
      </w:pPr>
      <w:r>
        <w:t>Further, the EESC considered the European Innovation Council (EIC) and the European Institute of Innovation and Technology (EIT), with its knowledge and innovation centres (KICs), to be valuable partners and tools in accelerating the translation of R&amp;I results and in redirecting the focus of the EU's R&amp;I towards the generation of breakthrough innovations that addressed the concrete needs of citizens and businesses, particularly in relation to major societal challenges.</w:t>
      </w:r>
    </w:p>
    <w:p w:rsidRPr="00BB2EAF" w:rsidR="000E4CB2" w:rsidP="000E4CB2" w:rsidRDefault="000E4CB2" w14:paraId="0904B471" w14:textId="77777777">
      <w:pPr>
        <w:spacing w:line="276" w:lineRule="auto"/>
        <w:rPr>
          <w:bCs/>
        </w:rPr>
      </w:pPr>
    </w:p>
    <w:p w:rsidRPr="00BB2EAF" w:rsidR="000E4CB2" w:rsidP="000E4CB2" w:rsidRDefault="000E4CB2" w14:paraId="148B0269" w14:textId="77777777">
      <w:pPr>
        <w:spacing w:line="276" w:lineRule="auto"/>
        <w:rPr>
          <w:bCs/>
        </w:rPr>
      </w:pPr>
      <w:r>
        <w:t>The EIC accelerator offered substantial EU funds for innovative European start-ups with high growth potential, whereas the EIT by definition pursued research excellence for technology push innovations in its KICs; thus, both the EIC and the EIT were important partners in accelerating the translation of R&amp;I results.</w:t>
      </w:r>
    </w:p>
    <w:p w:rsidRPr="00BB2EAF" w:rsidR="000E4CB2" w:rsidP="000E4CB2" w:rsidRDefault="000E4CB2" w14:paraId="33E821D4" w14:textId="77777777">
      <w:pPr>
        <w:spacing w:line="276" w:lineRule="auto"/>
        <w:rPr>
          <w:bCs/>
        </w:rPr>
      </w:pPr>
    </w:p>
    <w:p w:rsidRPr="00BB2EAF" w:rsidR="000E4CB2" w:rsidP="000E4CB2" w:rsidRDefault="000E4CB2" w14:paraId="6B6697E2" w14:textId="77777777">
      <w:pPr>
        <w:spacing w:line="276" w:lineRule="auto"/>
        <w:rPr>
          <w:bCs/>
        </w:rPr>
      </w:pPr>
      <w:r>
        <w:t>The EESC noted that research in the social sciences and humanities was very important for the complex renewal of the ERA agenda. Further, it noted that Europe was especially lagging behind the US and Asia regarding the speed of turning R&amp;D results into innovative products and services. As a result, the EESC encouraged the Commission to aim for both "excellence" and "speed" in its research, technology and innovation policy.</w:t>
      </w:r>
    </w:p>
    <w:p w:rsidRPr="00BB2EAF" w:rsidR="000E4CB2" w:rsidP="000E4CB2" w:rsidRDefault="000E4CB2" w14:paraId="59DD9915" w14:textId="77777777">
      <w:pPr>
        <w:spacing w:line="276" w:lineRule="auto"/>
      </w:pPr>
    </w:p>
    <w:p w:rsidRPr="00BB2EAF" w:rsidR="000E4CB2" w:rsidP="000E4CB2" w:rsidRDefault="000E4CB2" w14:paraId="2546AEB2" w14:textId="77777777">
      <w:pPr>
        <w:spacing w:line="276" w:lineRule="auto"/>
      </w:pPr>
      <w:r>
        <w:rPr>
          <w:b/>
        </w:rPr>
        <w:t xml:space="preserve">In </w:t>
      </w:r>
      <w:hyperlink w:history="1" r:id="rId67">
        <w:r>
          <w:rPr>
            <w:rStyle w:val="Hyperlink"/>
          </w:rPr>
          <w:t>INT/881</w:t>
        </w:r>
      </w:hyperlink>
      <w:r>
        <w:rPr>
          <w:b/>
        </w:rPr>
        <w:t xml:space="preserve"> on </w:t>
      </w:r>
      <w:r>
        <w:rPr>
          <w:b/>
          <w:i/>
        </w:rPr>
        <w:t>Fostering an entrepreneurship and innovation-friendly single market – promoting new business models to meet societal challenges and transitions</w:t>
      </w:r>
      <w:r>
        <w:rPr>
          <w:b/>
        </w:rPr>
        <w:t xml:space="preserve"> (2019), </w:t>
      </w:r>
      <w:r>
        <w:t>the EESC recognised</w:t>
      </w:r>
      <w:r>
        <w:rPr>
          <w:b/>
        </w:rPr>
        <w:t xml:space="preserve"> </w:t>
      </w:r>
      <w:r>
        <w:t>that it was necessary to pursue a social market economy which, while making smart use of new technologies, managed to address the major challenges relating to sustainability, climate change and reducing inequalities. The business world could play an active and important role in this.</w:t>
      </w:r>
    </w:p>
    <w:p w:rsidRPr="00BB2EAF" w:rsidR="000E4CB2" w:rsidP="000E4CB2" w:rsidRDefault="000E4CB2" w14:paraId="23A8A401" w14:textId="77777777">
      <w:pPr>
        <w:spacing w:line="276" w:lineRule="auto"/>
      </w:pPr>
    </w:p>
    <w:p w:rsidRPr="00BB2EAF" w:rsidR="000E4CB2" w:rsidP="000E4CB2" w:rsidRDefault="000E4CB2" w14:paraId="17A87CD4" w14:textId="77777777">
      <w:pPr>
        <w:spacing w:line="276" w:lineRule="auto"/>
        <w:rPr>
          <w:bCs/>
        </w:rPr>
      </w:pPr>
      <w:r>
        <w:lastRenderedPageBreak/>
        <w:t>Given the wide variety of economic models and types of company in Europe, it was important that legislative proposals concerning businesses, the economy and the internal market were not uniform and took the "biodiversity of companies" into consideration.</w:t>
      </w:r>
    </w:p>
    <w:p w:rsidRPr="00BB2EAF" w:rsidR="000E4CB2" w:rsidP="000E4CB2" w:rsidRDefault="000E4CB2" w14:paraId="35C988EA" w14:textId="77777777">
      <w:pPr>
        <w:spacing w:line="276" w:lineRule="auto"/>
        <w:rPr>
          <w:bCs/>
        </w:rPr>
      </w:pPr>
    </w:p>
    <w:p w:rsidRPr="00BB2EAF" w:rsidR="000E4CB2" w:rsidP="000E4CB2" w:rsidRDefault="000E4CB2" w14:paraId="0F963FD1" w14:textId="77777777">
      <w:pPr>
        <w:spacing w:line="276" w:lineRule="auto"/>
      </w:pPr>
      <w:r>
        <w:t>The EESC stressed that the European institutions needed to support the development of artificial intelligence and the proper use of big data, both by creating appropriate rules to guarantee the development of such technology while respecting individual rights and by investing European and national public resources in a coordinated manner so as to ensure that the EU was competitive on a global scale.</w:t>
      </w:r>
    </w:p>
    <w:p w:rsidRPr="00BB2EAF" w:rsidR="000E4CB2" w:rsidP="000E4CB2" w:rsidRDefault="000E4CB2" w14:paraId="121B015B" w14:textId="77777777">
      <w:pPr>
        <w:spacing w:line="276" w:lineRule="auto"/>
      </w:pPr>
    </w:p>
    <w:p w:rsidRPr="00BB2EAF" w:rsidR="000E4CB2" w:rsidP="000E4CB2" w:rsidRDefault="000E4CB2" w14:paraId="310FBE07" w14:textId="77777777">
      <w:pPr>
        <w:spacing w:line="276" w:lineRule="auto"/>
        <w:rPr>
          <w:bCs/>
        </w:rPr>
      </w:pPr>
      <w:r>
        <w:t>It was important that changes to productive processes and to the economy in general took place in the context of constructive social dialogue and with due respect for workers' rights and quality of life.</w:t>
      </w:r>
    </w:p>
    <w:p w:rsidRPr="00BB2EAF" w:rsidR="000E4CB2" w:rsidP="000E4CB2" w:rsidRDefault="000E4CB2" w14:paraId="43F9CE56" w14:textId="77777777">
      <w:pPr>
        <w:spacing w:line="276" w:lineRule="auto"/>
      </w:pPr>
    </w:p>
    <w:p w:rsidRPr="00BB2EAF" w:rsidR="000E4CB2" w:rsidP="000E4CB2" w:rsidRDefault="000E4CB2" w14:paraId="616D9122" w14:textId="77777777">
      <w:pPr>
        <w:spacing w:line="276" w:lineRule="auto"/>
        <w:rPr>
          <w:bCs/>
        </w:rPr>
      </w:pPr>
      <w:r>
        <w:t>The EESC noted the need to recognise and support the role that SMEs, family businesses, social economy enterprises, craft businesses, small traders and farmers played in promoting and spreading entrepreneurial spirit focused on the role of people and local communities, thereby helping to build the European model of an inclusive single market.</w:t>
      </w:r>
    </w:p>
    <w:p w:rsidRPr="00BB2EAF" w:rsidR="000E4CB2" w:rsidP="000E4CB2" w:rsidRDefault="000E4CB2" w14:paraId="4365A1AA" w14:textId="77777777">
      <w:pPr>
        <w:spacing w:line="276" w:lineRule="auto"/>
        <w:rPr>
          <w:b/>
        </w:rPr>
      </w:pPr>
    </w:p>
    <w:p w:rsidRPr="00BB2EAF" w:rsidR="000E4CB2" w:rsidP="000E4CB2" w:rsidRDefault="000E4CB2" w14:paraId="2CF7C835" w14:textId="77777777">
      <w:pPr>
        <w:spacing w:line="276" w:lineRule="auto"/>
      </w:pPr>
      <w:r>
        <w:rPr>
          <w:b/>
        </w:rPr>
        <w:t xml:space="preserve">In </w:t>
      </w:r>
      <w:hyperlink w:history="1" r:id="rId68">
        <w:r>
          <w:rPr>
            <w:rStyle w:val="Hyperlink"/>
          </w:rPr>
          <w:t>INT/858</w:t>
        </w:r>
      </w:hyperlink>
      <w:r>
        <w:rPr>
          <w:b/>
        </w:rPr>
        <w:t xml:space="preserve"> on </w:t>
      </w:r>
      <w:r>
        <w:rPr>
          <w:b/>
          <w:i/>
        </w:rPr>
        <w:t>Horizon Europe</w:t>
      </w:r>
      <w:r>
        <w:rPr>
          <w:b/>
        </w:rPr>
        <w:t xml:space="preserve"> (2018), </w:t>
      </w:r>
      <w:r>
        <w:t>the EESC welcomed the fact that many of the recommendations made by the Committee for the Horizon 2020 mid-term evaluation had been taken up in areas such as collaborative research and mobility, as well as in steps to strengthen innovation, overcome disparities among regions, promote science and innovation activities among members of the public, remedy low success rates and reduce the administrative burden.</w:t>
      </w:r>
    </w:p>
    <w:p w:rsidRPr="00BB2EAF" w:rsidR="000E4CB2" w:rsidP="000E4CB2" w:rsidRDefault="000E4CB2" w14:paraId="38C85DBD" w14:textId="77777777">
      <w:pPr>
        <w:spacing w:line="276" w:lineRule="auto"/>
        <w:rPr>
          <w:bCs/>
        </w:rPr>
      </w:pPr>
    </w:p>
    <w:p w:rsidRPr="00BB2EAF" w:rsidR="000E4CB2" w:rsidP="000E4CB2" w:rsidRDefault="000E4CB2" w14:paraId="79C0F63F" w14:textId="77777777">
      <w:pPr>
        <w:spacing w:line="276" w:lineRule="auto"/>
        <w:rPr>
          <w:bCs/>
        </w:rPr>
      </w:pPr>
      <w:r>
        <w:t xml:space="preserve">The Committee emphasised that science, research and innovation needed to be key elements of the European community-building process and therefore supported the Horizon Europe approach of bringing the public closer to these activities and achievements. </w:t>
      </w:r>
    </w:p>
    <w:p w:rsidRPr="00BB2EAF" w:rsidR="000E4CB2" w:rsidP="000E4CB2" w:rsidRDefault="000E4CB2" w14:paraId="7AB3BFE0" w14:textId="77777777">
      <w:pPr>
        <w:spacing w:line="276" w:lineRule="auto"/>
        <w:rPr>
          <w:bCs/>
        </w:rPr>
      </w:pPr>
    </w:p>
    <w:p w:rsidRPr="00BB2EAF" w:rsidR="000E4CB2" w:rsidP="000E4CB2" w:rsidRDefault="000E4CB2" w14:paraId="5CD4F147" w14:textId="77777777">
      <w:pPr>
        <w:spacing w:line="276" w:lineRule="auto"/>
        <w:rPr>
          <w:bCs/>
        </w:rPr>
      </w:pPr>
      <w:r>
        <w:t>Further, the EESC supported the design of R&amp;I missions as part of Horizon Europe's strategy to achieve more impactful R&amp;I outcomes and to really change the way people perceived science and its impacts in their day-to-day lives. The EESC stressed the urgent need to organise strategic missions that could stimulate research and innovation ecosystems across Europe and boost collaborative research as the main tool in broadening knowledge and creating impact.</w:t>
      </w:r>
    </w:p>
    <w:p w:rsidRPr="00BB2EAF" w:rsidR="000E4CB2" w:rsidP="000E4CB2" w:rsidRDefault="000E4CB2" w14:paraId="70392933" w14:textId="77777777">
      <w:pPr>
        <w:spacing w:line="276" w:lineRule="auto"/>
        <w:rPr>
          <w:bCs/>
        </w:rPr>
      </w:pPr>
    </w:p>
    <w:p w:rsidRPr="00BB2EAF" w:rsidR="000E4CB2" w:rsidP="000E4CB2" w:rsidRDefault="000E4CB2" w14:paraId="5BEE85C2" w14:textId="77777777">
      <w:pPr>
        <w:spacing w:line="276" w:lineRule="auto"/>
        <w:rPr>
          <w:bCs/>
        </w:rPr>
      </w:pPr>
      <w:r>
        <w:t>The EESC underlined that the European Innovation Council (EIC) was an important tool in supporting breakthrough innovation and boosting entrepreneurship and competitiveness at EU level and thought it should particularly focus on very innovative SMEs and start-ups. The EESC also supported the "open science" policy approach but stressed that introducing a certain timeframe for publishing all the scientific results should be considered.</w:t>
      </w:r>
    </w:p>
    <w:p w:rsidRPr="00BB2EAF" w:rsidR="000E4CB2" w:rsidP="000E4CB2" w:rsidRDefault="000E4CB2" w14:paraId="688E439B" w14:textId="77777777">
      <w:pPr>
        <w:spacing w:line="276" w:lineRule="auto"/>
        <w:rPr>
          <w:bCs/>
        </w:rPr>
      </w:pPr>
    </w:p>
    <w:p w:rsidRPr="00BB2EAF" w:rsidR="000E4CB2" w:rsidP="000E4CB2" w:rsidRDefault="000E4CB2" w14:paraId="34C4933C" w14:textId="77777777">
      <w:pPr>
        <w:spacing w:line="276" w:lineRule="auto"/>
        <w:rPr>
          <w:bCs/>
        </w:rPr>
      </w:pPr>
      <w:r>
        <w:t>Finally, the EESC welcomed the aim of further simplifying State aid rules to facilitate the combination of different funds, which could be instrumental in overcoming the major disparities between Member States and regions in terms of the number of successful R&amp;I projects.</w:t>
      </w:r>
    </w:p>
    <w:p w:rsidRPr="00BB2EAF" w:rsidR="000E4CB2" w:rsidP="000E4CB2" w:rsidRDefault="000E4CB2" w14:paraId="74513D49" w14:textId="77777777">
      <w:pPr>
        <w:spacing w:line="276" w:lineRule="auto"/>
        <w:rPr>
          <w:bCs/>
        </w:rPr>
      </w:pPr>
    </w:p>
    <w:p w:rsidRPr="00BB2EAF" w:rsidR="000E4CB2" w:rsidP="000E4CB2" w:rsidRDefault="000E4CB2" w14:paraId="6BA90736" w14:textId="77777777">
      <w:pPr>
        <w:spacing w:line="276" w:lineRule="auto"/>
        <w:rPr>
          <w:bCs/>
        </w:rPr>
      </w:pPr>
      <w:r>
        <w:rPr>
          <w:b/>
        </w:rPr>
        <w:t xml:space="preserve">In </w:t>
      </w:r>
      <w:hyperlink w:history="1" r:id="rId69">
        <w:r>
          <w:rPr>
            <w:rStyle w:val="Hyperlink"/>
          </w:rPr>
          <w:t>TEN/678</w:t>
        </w:r>
      </w:hyperlink>
      <w:r>
        <w:rPr>
          <w:b/>
        </w:rPr>
        <w:t xml:space="preserve"> on </w:t>
      </w:r>
      <w:r>
        <w:rPr>
          <w:b/>
          <w:i/>
        </w:rPr>
        <w:t>EURATOM – Research and Training Programme 2021-2025</w:t>
      </w:r>
      <w:r>
        <w:rPr>
          <w:b/>
        </w:rPr>
        <w:t xml:space="preserve"> (2018), </w:t>
      </w:r>
      <w:r>
        <w:t>the EESC welcomed the proposal for a Regulation establishing the European Atomic Energy Community (EURATOM) Research and Training Programme for 2021-2025.</w:t>
      </w:r>
    </w:p>
    <w:p w:rsidRPr="00BB2EAF" w:rsidR="000E4CB2" w:rsidP="000E4CB2" w:rsidRDefault="000E4CB2" w14:paraId="4E869FD2" w14:textId="77777777">
      <w:pPr>
        <w:spacing w:line="276" w:lineRule="auto"/>
        <w:rPr>
          <w:bCs/>
        </w:rPr>
      </w:pPr>
    </w:p>
    <w:p w:rsidRPr="00BB2EAF" w:rsidR="000E4CB2" w:rsidP="000E4CB2" w:rsidRDefault="000E4CB2" w14:paraId="1DAE2936" w14:textId="77777777">
      <w:pPr>
        <w:spacing w:line="276" w:lineRule="auto"/>
        <w:rPr>
          <w:bCs/>
        </w:rPr>
      </w:pPr>
      <w:r>
        <w:lastRenderedPageBreak/>
        <w:t>The EESC considered the EURATOM budget to be proportionate to the objectives set and considered it essential to maintain this financial allocation regardless of the outcome of the Brexit negotiations. The Committee also considered it crucial in this respect to manage the United Kingdom's exit from the Euratom programme with the utmost care, particularly with regard to research already in progress, shared infrastructure and the social impact on staff (e.g. working conditions), both on British soil and elsewhere.</w:t>
      </w:r>
    </w:p>
    <w:p w:rsidRPr="00BB2EAF" w:rsidR="000E4CB2" w:rsidP="000E4CB2" w:rsidRDefault="000E4CB2" w14:paraId="3D6FC200" w14:textId="77777777">
      <w:pPr>
        <w:spacing w:line="276" w:lineRule="auto"/>
        <w:rPr>
          <w:bCs/>
        </w:rPr>
      </w:pPr>
    </w:p>
    <w:p w:rsidRPr="00BB2EAF" w:rsidR="000E4CB2" w:rsidP="000E4CB2" w:rsidRDefault="000E4CB2" w14:paraId="03725B7C" w14:textId="77777777">
      <w:pPr>
        <w:spacing w:line="276" w:lineRule="auto"/>
        <w:rPr>
          <w:bCs/>
        </w:rPr>
      </w:pPr>
      <w:r>
        <w:t>The Committee stressed that the Joint European Torus (JET) project was a key factor in the development of the international thermonuclear experimental reactor (ITER) project, with ITER being, from a scientific point of view, the successor to JET. For this reason, the Committee considered it important that JET remain operational (as an EU project or as a joint EU-UK project) until the ITER project became operational.</w:t>
      </w:r>
    </w:p>
    <w:p w:rsidRPr="00BB2EAF" w:rsidR="000E4CB2" w:rsidP="000E4CB2" w:rsidRDefault="000E4CB2" w14:paraId="552C6396" w14:textId="77777777">
      <w:pPr>
        <w:spacing w:line="276" w:lineRule="auto"/>
      </w:pPr>
    </w:p>
    <w:p w:rsidRPr="00BB2EAF" w:rsidR="000E4CB2" w:rsidP="000E4CB2" w:rsidRDefault="000E4CB2" w14:paraId="22F54C88" w14:textId="77777777">
      <w:pPr>
        <w:spacing w:line="276" w:lineRule="auto"/>
      </w:pPr>
      <w:r>
        <w:t>Further, the EESC emphasised that nuclear safety needed to be understood as a dynamic concept, which entailed constant monitoring of and adjustments to existing legislation in accordance with recent developments and innovations, covering the whole life span of plants. Plants located on borders between EU countries should be given particular attention, with increased coordination between national and local authorities and the effective involvement of citizens and workers.</w:t>
      </w:r>
    </w:p>
    <w:p w:rsidRPr="00BB2EAF" w:rsidR="000E4CB2" w:rsidP="000E4CB2" w:rsidRDefault="000E4CB2" w14:paraId="3785CB7B" w14:textId="77777777">
      <w:pPr>
        <w:spacing w:line="276" w:lineRule="auto"/>
      </w:pPr>
    </w:p>
    <w:p w:rsidRPr="00BB2EAF" w:rsidR="000E4CB2" w:rsidP="000E4CB2" w:rsidRDefault="000E4CB2" w14:paraId="22DC11DD" w14:textId="77777777">
      <w:pPr>
        <w:rPr>
          <w:highlight w:val="yellow"/>
        </w:rPr>
      </w:pPr>
      <w:r>
        <w:t>Finally, the EESC considered education – beginning with compulsory education – and training to be an essential factor in attracting young people to scientific and technological subjects.</w:t>
      </w:r>
    </w:p>
    <w:p w:rsidRPr="00BB2EAF" w:rsidR="000E4CB2" w:rsidP="000E4CB2" w:rsidRDefault="000E4CB2" w14:paraId="6FA61F81" w14:textId="77777777"/>
    <w:p w:rsidRPr="00BB2EAF" w:rsidR="000E4CB2" w:rsidP="002934A0" w:rsidRDefault="000E4CB2" w14:paraId="2CEF4D47" w14:textId="77777777">
      <w:pPr>
        <w:keepNext/>
        <w:spacing w:line="240" w:lineRule="auto"/>
        <w:jc w:val="left"/>
      </w:pPr>
      <w:bookmarkStart w:name="_Toc125632268" w:id="35"/>
      <w:bookmarkStart w:name="_Toc128464345" w:id="36"/>
      <w:bookmarkStart w:name="_Toc128464376" w:id="37"/>
      <w:r>
        <w:t>List of organisations consulted</w:t>
      </w:r>
      <w:bookmarkEnd w:id="35"/>
      <w:bookmarkEnd w:id="36"/>
      <w:bookmarkEnd w:id="37"/>
    </w:p>
    <w:p w:rsidRPr="00BB2EAF" w:rsidR="000E4CB2" w:rsidP="002934A0" w:rsidRDefault="000E4CB2" w14:paraId="737455E3" w14:textId="77777777">
      <w:pPr>
        <w:keepNext/>
        <w:spacing w:line="240" w:lineRule="auto"/>
      </w:pPr>
    </w:p>
    <w:tbl>
      <w:tblPr>
        <w:tblStyle w:val="GridTable4"/>
        <w:tblW w:w="9640" w:type="dxa"/>
        <w:tblInd w:w="-147" w:type="dxa"/>
        <w:tblLook w:val="04A0" w:firstRow="1" w:lastRow="0" w:firstColumn="1" w:lastColumn="0" w:noHBand="0" w:noVBand="1"/>
      </w:tblPr>
      <w:tblGrid>
        <w:gridCol w:w="5063"/>
        <w:gridCol w:w="1316"/>
        <w:gridCol w:w="1741"/>
        <w:gridCol w:w="1520"/>
      </w:tblGrid>
      <w:tr w:rsidRPr="00BB2EAF" w:rsidR="000E4CB2" w:rsidTr="001E61B3" w14:paraId="7824DB11" w14:textId="77777777">
        <w:trPr>
          <w:cnfStyle w:val="100000000000" w:firstRow="1" w:lastRow="0" w:firstColumn="0" w:lastColumn="0" w:oddVBand="0" w:evenVBand="0" w:oddHBand="0" w:evenHBand="0" w:firstRowFirstColumn="0" w:firstRowLastColumn="0" w:lastRowFirstColumn="0" w:lastRowLastColumn="0"/>
          <w:trHeight w:val="892"/>
        </w:trPr>
        <w:tc>
          <w:tcPr>
            <w:cnfStyle w:val="001000000000" w:firstRow="0" w:lastRow="0" w:firstColumn="1" w:lastColumn="0" w:oddVBand="0" w:evenVBand="0" w:oddHBand="0" w:evenHBand="0" w:firstRowFirstColumn="0" w:firstRowLastColumn="0" w:lastRowFirstColumn="0" w:lastRowLastColumn="0"/>
            <w:tcW w:w="5131" w:type="dxa"/>
            <w:shd w:val="clear" w:color="auto" w:fill="FFFFFF" w:themeFill="background1"/>
            <w:vAlign w:val="center"/>
            <w:hideMark/>
          </w:tcPr>
          <w:p w:rsidRPr="00BB2EAF" w:rsidR="000E4CB2" w:rsidP="001E61B3" w:rsidRDefault="000E4CB2" w14:paraId="510FCF0A" w14:textId="77777777">
            <w:pPr>
              <w:spacing w:line="240" w:lineRule="auto"/>
              <w:jc w:val="left"/>
              <w:rPr>
                <w:color w:val="auto"/>
              </w:rPr>
            </w:pPr>
            <w:r>
              <w:rPr>
                <w:color w:val="auto"/>
              </w:rPr>
              <w:t>Organisation name</w:t>
            </w:r>
          </w:p>
        </w:tc>
        <w:tc>
          <w:tcPr>
            <w:tcW w:w="1248" w:type="dxa"/>
            <w:shd w:val="clear" w:color="auto" w:fill="FFFFFF" w:themeFill="background1"/>
            <w:vAlign w:val="center"/>
            <w:hideMark/>
          </w:tcPr>
          <w:p w:rsidRPr="00BB2EAF" w:rsidR="000E4CB2" w:rsidP="001E61B3" w:rsidRDefault="000E4CB2" w14:paraId="668689EC" w14:textId="77777777">
            <w:pPr>
              <w:spacing w:line="240" w:lineRule="auto"/>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Member State</w:t>
            </w:r>
          </w:p>
        </w:tc>
        <w:tc>
          <w:tcPr>
            <w:tcW w:w="1741" w:type="dxa"/>
            <w:shd w:val="clear" w:color="auto" w:fill="FFFFFF" w:themeFill="background1"/>
            <w:vAlign w:val="center"/>
            <w:hideMark/>
          </w:tcPr>
          <w:p w:rsidRPr="00BB2EAF" w:rsidR="000E4CB2" w:rsidP="001E61B3" w:rsidRDefault="000E4CB2" w14:paraId="52661406" w14:textId="77777777">
            <w:pPr>
              <w:spacing w:line="240" w:lineRule="auto"/>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Consultation via online questionnaire</w:t>
            </w:r>
          </w:p>
        </w:tc>
        <w:tc>
          <w:tcPr>
            <w:tcW w:w="1520" w:type="dxa"/>
            <w:shd w:val="clear" w:color="auto" w:fill="FFFFFF" w:themeFill="background1"/>
            <w:vAlign w:val="center"/>
            <w:hideMark/>
          </w:tcPr>
          <w:p w:rsidRPr="00BB2EAF" w:rsidR="000E4CB2" w:rsidP="001E61B3" w:rsidRDefault="000E4CB2" w14:paraId="311B1C99" w14:textId="77777777">
            <w:pPr>
              <w:spacing w:line="240" w:lineRule="auto"/>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Consultation via meetings</w:t>
            </w:r>
          </w:p>
        </w:tc>
      </w:tr>
      <w:tr w:rsidRPr="00BB2EAF" w:rsidR="000E4CB2" w:rsidTr="001E61B3" w14:paraId="3335FF9A"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38F511F0" w14:textId="77777777">
            <w:pPr>
              <w:spacing w:line="240" w:lineRule="auto"/>
              <w:jc w:val="left"/>
              <w:rPr>
                <w:b w:val="0"/>
                <w:bCs w:val="0"/>
              </w:rPr>
            </w:pPr>
            <w:r>
              <w:rPr>
                <w:b w:val="0"/>
              </w:rPr>
              <w:t>Agencija za mobilnost i programe EU</w:t>
            </w:r>
          </w:p>
        </w:tc>
        <w:tc>
          <w:tcPr>
            <w:tcW w:w="1248" w:type="dxa"/>
            <w:noWrap/>
            <w:vAlign w:val="center"/>
            <w:hideMark/>
          </w:tcPr>
          <w:p w:rsidRPr="00BB2EAF" w:rsidR="000E4CB2" w:rsidP="001E61B3" w:rsidRDefault="000E4CB2" w14:paraId="2CBDFA48"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Croatia</w:t>
            </w:r>
          </w:p>
        </w:tc>
        <w:tc>
          <w:tcPr>
            <w:tcW w:w="1741" w:type="dxa"/>
            <w:noWrap/>
            <w:vAlign w:val="center"/>
            <w:hideMark/>
          </w:tcPr>
          <w:p w:rsidRPr="00BB2EAF" w:rsidR="000E4CB2" w:rsidP="001E61B3" w:rsidRDefault="000E4CB2" w14:paraId="0F376AAF"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c>
          <w:tcPr>
            <w:tcW w:w="1520" w:type="dxa"/>
            <w:noWrap/>
            <w:vAlign w:val="center"/>
            <w:hideMark/>
          </w:tcPr>
          <w:p w:rsidRPr="00BB2EAF" w:rsidR="000E4CB2" w:rsidP="001E61B3" w:rsidRDefault="000E4CB2" w14:paraId="5C047CD6"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r>
      <w:tr w:rsidRPr="00BB2EAF" w:rsidR="000E4CB2" w:rsidTr="001E61B3" w14:paraId="47278D16"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399B72F7" w14:textId="77777777">
            <w:pPr>
              <w:spacing w:line="240" w:lineRule="auto"/>
              <w:jc w:val="left"/>
              <w:rPr>
                <w:b w:val="0"/>
                <w:bCs w:val="0"/>
              </w:rPr>
            </w:pPr>
            <w:r>
              <w:rPr>
                <w:b w:val="0"/>
              </w:rPr>
              <w:t>Bio-mi Ltd</w:t>
            </w:r>
          </w:p>
        </w:tc>
        <w:tc>
          <w:tcPr>
            <w:tcW w:w="1248" w:type="dxa"/>
            <w:noWrap/>
            <w:vAlign w:val="center"/>
            <w:hideMark/>
          </w:tcPr>
          <w:p w:rsidRPr="00BB2EAF" w:rsidR="000E4CB2" w:rsidP="001E61B3" w:rsidRDefault="000E4CB2" w14:paraId="1B96342A"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Croatia</w:t>
            </w:r>
          </w:p>
        </w:tc>
        <w:tc>
          <w:tcPr>
            <w:tcW w:w="1741" w:type="dxa"/>
            <w:noWrap/>
            <w:vAlign w:val="center"/>
            <w:hideMark/>
          </w:tcPr>
          <w:p w:rsidRPr="00BB2EAF" w:rsidR="000E4CB2" w:rsidP="001E61B3" w:rsidRDefault="000E4CB2" w14:paraId="6C5BFF34"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p>
        </w:tc>
        <w:tc>
          <w:tcPr>
            <w:tcW w:w="1520" w:type="dxa"/>
            <w:noWrap/>
            <w:vAlign w:val="center"/>
            <w:hideMark/>
          </w:tcPr>
          <w:p w:rsidRPr="00BB2EAF" w:rsidR="000E4CB2" w:rsidP="001E61B3" w:rsidRDefault="000E4CB2" w14:paraId="205A66D4"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r>
      <w:tr w:rsidRPr="00BB2EAF" w:rsidR="000E4CB2" w:rsidTr="001E61B3" w14:paraId="0E82FF80"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535C5610" w14:textId="77777777">
            <w:pPr>
              <w:spacing w:line="240" w:lineRule="auto"/>
              <w:jc w:val="left"/>
              <w:rPr>
                <w:b w:val="0"/>
                <w:bCs w:val="0"/>
              </w:rPr>
            </w:pPr>
            <w:r>
              <w:rPr>
                <w:b w:val="0"/>
              </w:rPr>
              <w:t>CEPOR jCEPOR – SMEs and Entrepreneurship Policy Centre</w:t>
            </w:r>
          </w:p>
        </w:tc>
        <w:tc>
          <w:tcPr>
            <w:tcW w:w="1248" w:type="dxa"/>
            <w:noWrap/>
            <w:vAlign w:val="center"/>
            <w:hideMark/>
          </w:tcPr>
          <w:p w:rsidRPr="00BB2EAF" w:rsidR="000E4CB2" w:rsidP="001E61B3" w:rsidRDefault="000E4CB2" w14:paraId="185E922F"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Croatia</w:t>
            </w:r>
          </w:p>
        </w:tc>
        <w:tc>
          <w:tcPr>
            <w:tcW w:w="1741" w:type="dxa"/>
            <w:noWrap/>
            <w:vAlign w:val="center"/>
            <w:hideMark/>
          </w:tcPr>
          <w:p w:rsidRPr="00BB2EAF" w:rsidR="000E4CB2" w:rsidP="001E61B3" w:rsidRDefault="000E4CB2" w14:paraId="7F1ADDE7"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c>
          <w:tcPr>
            <w:tcW w:w="1520" w:type="dxa"/>
            <w:noWrap/>
            <w:vAlign w:val="center"/>
            <w:hideMark/>
          </w:tcPr>
          <w:p w:rsidRPr="00BB2EAF" w:rsidR="000E4CB2" w:rsidP="001E61B3" w:rsidRDefault="000E4CB2" w14:paraId="44BFD609"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p>
        </w:tc>
      </w:tr>
      <w:tr w:rsidRPr="00BB2EAF" w:rsidR="000E4CB2" w:rsidTr="001E61B3" w14:paraId="3F5FEA0A"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52907803" w14:textId="77777777">
            <w:pPr>
              <w:spacing w:line="240" w:lineRule="auto"/>
              <w:jc w:val="left"/>
              <w:rPr>
                <w:b w:val="0"/>
                <w:bCs w:val="0"/>
              </w:rPr>
            </w:pPr>
            <w:r>
              <w:rPr>
                <w:b w:val="0"/>
              </w:rPr>
              <w:t>Croatian Agency for SMEs, Innovation and Investments</w:t>
            </w:r>
          </w:p>
        </w:tc>
        <w:tc>
          <w:tcPr>
            <w:tcW w:w="1248" w:type="dxa"/>
            <w:noWrap/>
            <w:vAlign w:val="center"/>
            <w:hideMark/>
          </w:tcPr>
          <w:p w:rsidRPr="00BB2EAF" w:rsidR="000E4CB2" w:rsidP="001E61B3" w:rsidRDefault="000E4CB2" w14:paraId="0B58F2DE"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Croatia</w:t>
            </w:r>
          </w:p>
        </w:tc>
        <w:tc>
          <w:tcPr>
            <w:tcW w:w="1741" w:type="dxa"/>
            <w:noWrap/>
            <w:vAlign w:val="center"/>
            <w:hideMark/>
          </w:tcPr>
          <w:p w:rsidRPr="00BB2EAF" w:rsidR="000E4CB2" w:rsidP="001E61B3" w:rsidRDefault="000E4CB2" w14:paraId="6E69F813"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p>
        </w:tc>
        <w:tc>
          <w:tcPr>
            <w:tcW w:w="1520" w:type="dxa"/>
            <w:noWrap/>
            <w:vAlign w:val="center"/>
            <w:hideMark/>
          </w:tcPr>
          <w:p w:rsidRPr="00BB2EAF" w:rsidR="000E4CB2" w:rsidP="001E61B3" w:rsidRDefault="000E4CB2" w14:paraId="725EF167"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r>
      <w:tr w:rsidRPr="00BB2EAF" w:rsidR="000E4CB2" w:rsidTr="001E61B3" w14:paraId="7D5F9EC6"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5DA25194" w14:textId="77777777">
            <w:pPr>
              <w:spacing w:line="240" w:lineRule="auto"/>
              <w:jc w:val="left"/>
              <w:rPr>
                <w:b w:val="0"/>
                <w:bCs w:val="0"/>
              </w:rPr>
            </w:pPr>
            <w:r>
              <w:rPr>
                <w:b w:val="0"/>
              </w:rPr>
              <w:t>Croatian Employers' Association / HUP Hrvatska udruga poslodavaca</w:t>
            </w:r>
          </w:p>
        </w:tc>
        <w:tc>
          <w:tcPr>
            <w:tcW w:w="1248" w:type="dxa"/>
            <w:noWrap/>
            <w:vAlign w:val="center"/>
            <w:hideMark/>
          </w:tcPr>
          <w:p w:rsidRPr="00BB2EAF" w:rsidR="000E4CB2" w:rsidP="001E61B3" w:rsidRDefault="000E4CB2" w14:paraId="372093B3"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Croatia</w:t>
            </w:r>
          </w:p>
        </w:tc>
        <w:tc>
          <w:tcPr>
            <w:tcW w:w="1741" w:type="dxa"/>
            <w:noWrap/>
            <w:vAlign w:val="center"/>
            <w:hideMark/>
          </w:tcPr>
          <w:p w:rsidRPr="00BB2EAF" w:rsidR="000E4CB2" w:rsidP="001E61B3" w:rsidRDefault="000E4CB2" w14:paraId="77CF1A4F"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c>
          <w:tcPr>
            <w:tcW w:w="1520" w:type="dxa"/>
            <w:noWrap/>
            <w:vAlign w:val="center"/>
            <w:hideMark/>
          </w:tcPr>
          <w:p w:rsidRPr="00BB2EAF" w:rsidR="000E4CB2" w:rsidP="001E61B3" w:rsidRDefault="000E4CB2" w14:paraId="5F313232"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r>
      <w:tr w:rsidRPr="00BB2EAF" w:rsidR="000E4CB2" w:rsidTr="001E61B3" w14:paraId="4FEB0869"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585B005F" w14:textId="77777777">
            <w:pPr>
              <w:spacing w:line="240" w:lineRule="auto"/>
              <w:jc w:val="left"/>
              <w:rPr>
                <w:b w:val="0"/>
                <w:bCs w:val="0"/>
              </w:rPr>
            </w:pPr>
            <w:r>
              <w:rPr>
                <w:b w:val="0"/>
              </w:rPr>
              <w:t>Genos DNA Laboratory</w:t>
            </w:r>
          </w:p>
        </w:tc>
        <w:tc>
          <w:tcPr>
            <w:tcW w:w="1248" w:type="dxa"/>
            <w:noWrap/>
            <w:vAlign w:val="center"/>
            <w:hideMark/>
          </w:tcPr>
          <w:p w:rsidRPr="00BB2EAF" w:rsidR="000E4CB2" w:rsidP="001E61B3" w:rsidRDefault="000E4CB2" w14:paraId="362A32D3"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Croatia</w:t>
            </w:r>
          </w:p>
        </w:tc>
        <w:tc>
          <w:tcPr>
            <w:tcW w:w="1741" w:type="dxa"/>
            <w:noWrap/>
            <w:vAlign w:val="center"/>
            <w:hideMark/>
          </w:tcPr>
          <w:p w:rsidRPr="00BB2EAF" w:rsidR="000E4CB2" w:rsidP="001E61B3" w:rsidRDefault="000E4CB2" w14:paraId="0BEC9B3A"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p>
        </w:tc>
        <w:tc>
          <w:tcPr>
            <w:tcW w:w="1520" w:type="dxa"/>
            <w:noWrap/>
            <w:vAlign w:val="center"/>
            <w:hideMark/>
          </w:tcPr>
          <w:p w:rsidRPr="00BB2EAF" w:rsidR="000E4CB2" w:rsidP="001E61B3" w:rsidRDefault="000E4CB2" w14:paraId="0F0BB9FE"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r>
      <w:tr w:rsidRPr="00BB2EAF" w:rsidR="000E4CB2" w:rsidTr="001E61B3" w14:paraId="5690BE1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06AE7466" w14:textId="77777777">
            <w:pPr>
              <w:spacing w:line="240" w:lineRule="auto"/>
              <w:jc w:val="left"/>
              <w:rPr>
                <w:b w:val="0"/>
                <w:bCs w:val="0"/>
              </w:rPr>
            </w:pPr>
            <w:r>
              <w:rPr>
                <w:b w:val="0"/>
              </w:rPr>
              <w:t>National Foundation for Civil Society Development</w:t>
            </w:r>
          </w:p>
        </w:tc>
        <w:tc>
          <w:tcPr>
            <w:tcW w:w="1248" w:type="dxa"/>
            <w:noWrap/>
            <w:vAlign w:val="center"/>
            <w:hideMark/>
          </w:tcPr>
          <w:p w:rsidRPr="00BB2EAF" w:rsidR="000E4CB2" w:rsidP="001E61B3" w:rsidRDefault="000E4CB2" w14:paraId="6DB40EC5"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Croatia</w:t>
            </w:r>
          </w:p>
        </w:tc>
        <w:tc>
          <w:tcPr>
            <w:tcW w:w="1741" w:type="dxa"/>
            <w:noWrap/>
            <w:vAlign w:val="center"/>
            <w:hideMark/>
          </w:tcPr>
          <w:p w:rsidRPr="00BB2EAF" w:rsidR="000E4CB2" w:rsidP="001E61B3" w:rsidRDefault="000E4CB2" w14:paraId="2FA791BB"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p>
        </w:tc>
        <w:tc>
          <w:tcPr>
            <w:tcW w:w="1520" w:type="dxa"/>
            <w:noWrap/>
            <w:vAlign w:val="center"/>
            <w:hideMark/>
          </w:tcPr>
          <w:p w:rsidRPr="00BB2EAF" w:rsidR="000E4CB2" w:rsidP="001E61B3" w:rsidRDefault="000E4CB2" w14:paraId="4A8E77A4"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r>
      <w:tr w:rsidRPr="00BB2EAF" w:rsidR="000E4CB2" w:rsidTr="001E61B3" w14:paraId="1C21FC07"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09D89D2C" w14:textId="77777777">
            <w:pPr>
              <w:spacing w:line="240" w:lineRule="auto"/>
              <w:jc w:val="left"/>
              <w:rPr>
                <w:b w:val="0"/>
                <w:bCs w:val="0"/>
              </w:rPr>
            </w:pPr>
            <w:r>
              <w:rPr>
                <w:b w:val="0"/>
              </w:rPr>
              <w:t>ODRAZ-Sustainable Community Development</w:t>
            </w:r>
          </w:p>
        </w:tc>
        <w:tc>
          <w:tcPr>
            <w:tcW w:w="1248" w:type="dxa"/>
            <w:noWrap/>
            <w:vAlign w:val="center"/>
            <w:hideMark/>
          </w:tcPr>
          <w:p w:rsidRPr="00BB2EAF" w:rsidR="000E4CB2" w:rsidP="001E61B3" w:rsidRDefault="000E4CB2" w14:paraId="56125249"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Croatia</w:t>
            </w:r>
          </w:p>
        </w:tc>
        <w:tc>
          <w:tcPr>
            <w:tcW w:w="1741" w:type="dxa"/>
            <w:noWrap/>
            <w:vAlign w:val="center"/>
            <w:hideMark/>
          </w:tcPr>
          <w:p w:rsidRPr="00BB2EAF" w:rsidR="000E4CB2" w:rsidP="001E61B3" w:rsidRDefault="000E4CB2" w14:paraId="17EBA84B"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c>
          <w:tcPr>
            <w:tcW w:w="1520" w:type="dxa"/>
            <w:noWrap/>
            <w:vAlign w:val="center"/>
            <w:hideMark/>
          </w:tcPr>
          <w:p w:rsidRPr="00BB2EAF" w:rsidR="000E4CB2" w:rsidP="001E61B3" w:rsidRDefault="000E4CB2" w14:paraId="46A3FCB1"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r>
      <w:tr w:rsidRPr="00BB2EAF" w:rsidR="000E4CB2" w:rsidTr="001E61B3" w14:paraId="6B556A9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5ECE5755" w14:textId="77777777">
            <w:pPr>
              <w:spacing w:line="240" w:lineRule="auto"/>
              <w:jc w:val="left"/>
              <w:rPr>
                <w:b w:val="0"/>
                <w:bCs w:val="0"/>
              </w:rPr>
            </w:pPr>
            <w:r>
              <w:rPr>
                <w:b w:val="0"/>
              </w:rPr>
              <w:t>Ruđer Bošković Institute</w:t>
            </w:r>
          </w:p>
        </w:tc>
        <w:tc>
          <w:tcPr>
            <w:tcW w:w="1248" w:type="dxa"/>
            <w:noWrap/>
            <w:vAlign w:val="center"/>
            <w:hideMark/>
          </w:tcPr>
          <w:p w:rsidRPr="00BB2EAF" w:rsidR="000E4CB2" w:rsidP="001E61B3" w:rsidRDefault="000E4CB2" w14:paraId="2CF939F6"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Croatia</w:t>
            </w:r>
          </w:p>
        </w:tc>
        <w:tc>
          <w:tcPr>
            <w:tcW w:w="1741" w:type="dxa"/>
            <w:noWrap/>
            <w:vAlign w:val="center"/>
            <w:hideMark/>
          </w:tcPr>
          <w:p w:rsidRPr="00BB2EAF" w:rsidR="000E4CB2" w:rsidP="001E61B3" w:rsidRDefault="000E4CB2" w14:paraId="7031634A"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c>
          <w:tcPr>
            <w:tcW w:w="1520" w:type="dxa"/>
            <w:noWrap/>
            <w:vAlign w:val="center"/>
            <w:hideMark/>
          </w:tcPr>
          <w:p w:rsidRPr="00BB2EAF" w:rsidR="000E4CB2" w:rsidP="001E61B3" w:rsidRDefault="000E4CB2" w14:paraId="31BAEE51"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r>
      <w:tr w:rsidRPr="00BB2EAF" w:rsidR="000E4CB2" w:rsidTr="001E61B3" w14:paraId="5097EA37"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46E65860" w14:textId="77777777">
            <w:pPr>
              <w:spacing w:line="240" w:lineRule="auto"/>
              <w:jc w:val="left"/>
              <w:rPr>
                <w:b w:val="0"/>
                <w:bCs w:val="0"/>
              </w:rPr>
            </w:pPr>
            <w:r>
              <w:rPr>
                <w:b w:val="0"/>
              </w:rPr>
              <w:t>Sveučilište u Zagrebu Agronomski fakultet</w:t>
            </w:r>
          </w:p>
        </w:tc>
        <w:tc>
          <w:tcPr>
            <w:tcW w:w="1248" w:type="dxa"/>
            <w:noWrap/>
            <w:vAlign w:val="center"/>
            <w:hideMark/>
          </w:tcPr>
          <w:p w:rsidRPr="00BB2EAF" w:rsidR="000E4CB2" w:rsidP="001E61B3" w:rsidRDefault="000E4CB2" w14:paraId="0DD9461A"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Croatia</w:t>
            </w:r>
          </w:p>
        </w:tc>
        <w:tc>
          <w:tcPr>
            <w:tcW w:w="1741" w:type="dxa"/>
            <w:noWrap/>
            <w:vAlign w:val="center"/>
            <w:hideMark/>
          </w:tcPr>
          <w:p w:rsidRPr="00BB2EAF" w:rsidR="000E4CB2" w:rsidP="001E61B3" w:rsidRDefault="000E4CB2" w14:paraId="63630426"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c>
          <w:tcPr>
            <w:tcW w:w="1520" w:type="dxa"/>
            <w:noWrap/>
            <w:vAlign w:val="center"/>
            <w:hideMark/>
          </w:tcPr>
          <w:p w:rsidRPr="00BB2EAF" w:rsidR="000E4CB2" w:rsidP="001E61B3" w:rsidRDefault="000E4CB2" w14:paraId="68A30230"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r>
      <w:tr w:rsidRPr="00BB2EAF" w:rsidR="000E4CB2" w:rsidTr="001E61B3" w14:paraId="557B6864"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6F0126B4" w14:textId="77777777">
            <w:pPr>
              <w:spacing w:line="240" w:lineRule="auto"/>
              <w:jc w:val="left"/>
              <w:rPr>
                <w:b w:val="0"/>
                <w:bCs w:val="0"/>
              </w:rPr>
            </w:pPr>
            <w:r>
              <w:rPr>
                <w:b w:val="0"/>
              </w:rPr>
              <w:t>Sveučilište u Zagrebu Fakultet elektrotehnike i računarstva</w:t>
            </w:r>
          </w:p>
        </w:tc>
        <w:tc>
          <w:tcPr>
            <w:tcW w:w="1248" w:type="dxa"/>
            <w:noWrap/>
            <w:vAlign w:val="center"/>
            <w:hideMark/>
          </w:tcPr>
          <w:p w:rsidRPr="00BB2EAF" w:rsidR="000E4CB2" w:rsidP="001E61B3" w:rsidRDefault="000E4CB2" w14:paraId="1A36C8B8"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Croatia</w:t>
            </w:r>
          </w:p>
        </w:tc>
        <w:tc>
          <w:tcPr>
            <w:tcW w:w="1741" w:type="dxa"/>
            <w:noWrap/>
            <w:vAlign w:val="center"/>
            <w:hideMark/>
          </w:tcPr>
          <w:p w:rsidRPr="00BB2EAF" w:rsidR="000E4CB2" w:rsidP="001E61B3" w:rsidRDefault="000E4CB2" w14:paraId="42BF021A"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c>
          <w:tcPr>
            <w:tcW w:w="1520" w:type="dxa"/>
            <w:noWrap/>
            <w:vAlign w:val="center"/>
            <w:hideMark/>
          </w:tcPr>
          <w:p w:rsidRPr="00BB2EAF" w:rsidR="000E4CB2" w:rsidP="001E61B3" w:rsidRDefault="000E4CB2" w14:paraId="34C06F52"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p>
        </w:tc>
      </w:tr>
      <w:tr w:rsidRPr="00BB2EAF" w:rsidR="000E4CB2" w:rsidTr="001E61B3" w14:paraId="6095C5B8"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7A60A8BB" w14:textId="77777777">
            <w:pPr>
              <w:spacing w:line="240" w:lineRule="auto"/>
              <w:jc w:val="left"/>
              <w:rPr>
                <w:b w:val="0"/>
                <w:bCs w:val="0"/>
              </w:rPr>
            </w:pPr>
            <w:r>
              <w:rPr>
                <w:b w:val="0"/>
              </w:rPr>
              <w:t>University of Zagreb</w:t>
            </w:r>
          </w:p>
        </w:tc>
        <w:tc>
          <w:tcPr>
            <w:tcW w:w="1248" w:type="dxa"/>
            <w:noWrap/>
            <w:vAlign w:val="center"/>
            <w:hideMark/>
          </w:tcPr>
          <w:p w:rsidRPr="00BB2EAF" w:rsidR="000E4CB2" w:rsidP="001E61B3" w:rsidRDefault="000E4CB2" w14:paraId="6935F70E"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Croatia</w:t>
            </w:r>
          </w:p>
        </w:tc>
        <w:tc>
          <w:tcPr>
            <w:tcW w:w="1741" w:type="dxa"/>
            <w:noWrap/>
            <w:vAlign w:val="center"/>
            <w:hideMark/>
          </w:tcPr>
          <w:p w:rsidRPr="00BB2EAF" w:rsidR="000E4CB2" w:rsidP="001E61B3" w:rsidRDefault="000E4CB2" w14:paraId="5653CE4B"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c>
          <w:tcPr>
            <w:tcW w:w="1520" w:type="dxa"/>
            <w:noWrap/>
            <w:vAlign w:val="center"/>
            <w:hideMark/>
          </w:tcPr>
          <w:p w:rsidRPr="00BB2EAF" w:rsidR="000E4CB2" w:rsidP="001E61B3" w:rsidRDefault="000E4CB2" w14:paraId="681DF6E6"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p>
        </w:tc>
      </w:tr>
      <w:tr w:rsidRPr="00BB2EAF" w:rsidR="000E4CB2" w:rsidTr="001E61B3" w14:paraId="45B3CD8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6CCF20D2" w14:textId="77777777">
            <w:pPr>
              <w:spacing w:line="240" w:lineRule="auto"/>
              <w:jc w:val="left"/>
              <w:rPr>
                <w:b w:val="0"/>
                <w:bCs w:val="0"/>
              </w:rPr>
            </w:pPr>
            <w:r>
              <w:rPr>
                <w:b w:val="0"/>
              </w:rPr>
              <w:t>University of Zagreb, Faculty of Electrical Engineering and Computing</w:t>
            </w:r>
          </w:p>
        </w:tc>
        <w:tc>
          <w:tcPr>
            <w:tcW w:w="1248" w:type="dxa"/>
            <w:noWrap/>
            <w:vAlign w:val="center"/>
            <w:hideMark/>
          </w:tcPr>
          <w:p w:rsidRPr="00BB2EAF" w:rsidR="000E4CB2" w:rsidP="001E61B3" w:rsidRDefault="000E4CB2" w14:paraId="612B1797"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Croatia</w:t>
            </w:r>
          </w:p>
        </w:tc>
        <w:tc>
          <w:tcPr>
            <w:tcW w:w="1741" w:type="dxa"/>
            <w:noWrap/>
            <w:vAlign w:val="center"/>
            <w:hideMark/>
          </w:tcPr>
          <w:p w:rsidRPr="00BB2EAF" w:rsidR="000E4CB2" w:rsidP="001E61B3" w:rsidRDefault="000E4CB2" w14:paraId="4D34ED12"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c>
          <w:tcPr>
            <w:tcW w:w="1520" w:type="dxa"/>
            <w:noWrap/>
            <w:vAlign w:val="center"/>
            <w:hideMark/>
          </w:tcPr>
          <w:p w:rsidRPr="00BB2EAF" w:rsidR="000E4CB2" w:rsidP="001E61B3" w:rsidRDefault="000E4CB2" w14:paraId="0277B6FE"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p>
        </w:tc>
      </w:tr>
      <w:tr w:rsidRPr="00BB2EAF" w:rsidR="000E4CB2" w:rsidTr="001E61B3" w14:paraId="47D69144"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1DE03758" w14:textId="77777777">
            <w:pPr>
              <w:spacing w:line="240" w:lineRule="auto"/>
              <w:jc w:val="left"/>
              <w:rPr>
                <w:b w:val="0"/>
                <w:bCs w:val="0"/>
              </w:rPr>
            </w:pPr>
            <w:r>
              <w:rPr>
                <w:b w:val="0"/>
              </w:rPr>
              <w:t>UNIZG-FER</w:t>
            </w:r>
          </w:p>
        </w:tc>
        <w:tc>
          <w:tcPr>
            <w:tcW w:w="1248" w:type="dxa"/>
            <w:noWrap/>
            <w:vAlign w:val="center"/>
            <w:hideMark/>
          </w:tcPr>
          <w:p w:rsidRPr="00BB2EAF" w:rsidR="000E4CB2" w:rsidP="001E61B3" w:rsidRDefault="000E4CB2" w14:paraId="3DB7F526"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Croatia</w:t>
            </w:r>
          </w:p>
        </w:tc>
        <w:tc>
          <w:tcPr>
            <w:tcW w:w="1741" w:type="dxa"/>
            <w:noWrap/>
            <w:vAlign w:val="center"/>
            <w:hideMark/>
          </w:tcPr>
          <w:p w:rsidRPr="00BB2EAF" w:rsidR="000E4CB2" w:rsidP="001E61B3" w:rsidRDefault="000E4CB2" w14:paraId="554485E6"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c>
          <w:tcPr>
            <w:tcW w:w="1520" w:type="dxa"/>
            <w:noWrap/>
            <w:vAlign w:val="center"/>
            <w:hideMark/>
          </w:tcPr>
          <w:p w:rsidRPr="00BB2EAF" w:rsidR="000E4CB2" w:rsidP="001E61B3" w:rsidRDefault="000E4CB2" w14:paraId="40D1B341"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r>
      <w:tr w:rsidRPr="00BB2EAF" w:rsidR="000E4CB2" w:rsidTr="001E61B3" w14:paraId="5BF3D6DC"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0D8FB094" w14:textId="77777777">
            <w:pPr>
              <w:spacing w:line="240" w:lineRule="auto"/>
              <w:jc w:val="left"/>
              <w:rPr>
                <w:b w:val="0"/>
                <w:bCs w:val="0"/>
              </w:rPr>
            </w:pPr>
            <w:r>
              <w:rPr>
                <w:b w:val="0"/>
              </w:rPr>
              <w:t>AS Latvijas Finieris</w:t>
            </w:r>
          </w:p>
        </w:tc>
        <w:tc>
          <w:tcPr>
            <w:tcW w:w="1248" w:type="dxa"/>
            <w:noWrap/>
            <w:vAlign w:val="center"/>
            <w:hideMark/>
          </w:tcPr>
          <w:p w:rsidRPr="00BB2EAF" w:rsidR="000E4CB2" w:rsidP="001E61B3" w:rsidRDefault="000E4CB2" w14:paraId="5C75CD32"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Latvia</w:t>
            </w:r>
          </w:p>
        </w:tc>
        <w:tc>
          <w:tcPr>
            <w:tcW w:w="1741" w:type="dxa"/>
            <w:noWrap/>
            <w:vAlign w:val="center"/>
            <w:hideMark/>
          </w:tcPr>
          <w:p w:rsidRPr="00BB2EAF" w:rsidR="000E4CB2" w:rsidP="001E61B3" w:rsidRDefault="000E4CB2" w14:paraId="2E4DD02E"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c>
          <w:tcPr>
            <w:tcW w:w="1520" w:type="dxa"/>
            <w:noWrap/>
            <w:vAlign w:val="center"/>
            <w:hideMark/>
          </w:tcPr>
          <w:p w:rsidRPr="00BB2EAF" w:rsidR="000E4CB2" w:rsidP="001E61B3" w:rsidRDefault="000E4CB2" w14:paraId="7A384674"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r>
      <w:tr w:rsidRPr="00BB2EAF" w:rsidR="000E4CB2" w:rsidTr="001E61B3" w14:paraId="26E6E213"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3486A68A" w14:textId="77777777">
            <w:pPr>
              <w:spacing w:line="240" w:lineRule="auto"/>
              <w:jc w:val="left"/>
              <w:rPr>
                <w:b w:val="0"/>
                <w:bCs w:val="0"/>
              </w:rPr>
            </w:pPr>
            <w:r>
              <w:rPr>
                <w:b w:val="0"/>
              </w:rPr>
              <w:t>Baltic Studies Centre</w:t>
            </w:r>
          </w:p>
        </w:tc>
        <w:tc>
          <w:tcPr>
            <w:tcW w:w="1248" w:type="dxa"/>
            <w:noWrap/>
            <w:vAlign w:val="center"/>
            <w:hideMark/>
          </w:tcPr>
          <w:p w:rsidRPr="00BB2EAF" w:rsidR="000E4CB2" w:rsidP="001E61B3" w:rsidRDefault="000E4CB2" w14:paraId="2CAFD633"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Latvia</w:t>
            </w:r>
          </w:p>
        </w:tc>
        <w:tc>
          <w:tcPr>
            <w:tcW w:w="1741" w:type="dxa"/>
            <w:noWrap/>
            <w:vAlign w:val="center"/>
            <w:hideMark/>
          </w:tcPr>
          <w:p w:rsidRPr="00BB2EAF" w:rsidR="000E4CB2" w:rsidP="001E61B3" w:rsidRDefault="000E4CB2" w14:paraId="70B922BD"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c>
          <w:tcPr>
            <w:tcW w:w="1520" w:type="dxa"/>
            <w:noWrap/>
            <w:vAlign w:val="center"/>
            <w:hideMark/>
          </w:tcPr>
          <w:p w:rsidRPr="00BB2EAF" w:rsidR="000E4CB2" w:rsidP="001E61B3" w:rsidRDefault="000E4CB2" w14:paraId="0976A00E"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r>
      <w:tr w:rsidRPr="00BB2EAF" w:rsidR="000E4CB2" w:rsidTr="001E61B3" w14:paraId="3C4497DD"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027BB418" w14:textId="77777777">
            <w:pPr>
              <w:spacing w:line="240" w:lineRule="auto"/>
              <w:jc w:val="left"/>
              <w:rPr>
                <w:b w:val="0"/>
                <w:bCs w:val="0"/>
              </w:rPr>
            </w:pPr>
            <w:r>
              <w:rPr>
                <w:b w:val="0"/>
              </w:rPr>
              <w:lastRenderedPageBreak/>
              <w:t>Confederation of Employers of Latvia</w:t>
            </w:r>
          </w:p>
        </w:tc>
        <w:tc>
          <w:tcPr>
            <w:tcW w:w="1248" w:type="dxa"/>
            <w:noWrap/>
            <w:vAlign w:val="center"/>
            <w:hideMark/>
          </w:tcPr>
          <w:p w:rsidRPr="00BB2EAF" w:rsidR="000E4CB2" w:rsidP="001E61B3" w:rsidRDefault="000E4CB2" w14:paraId="5EB8B13E"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Latvia</w:t>
            </w:r>
          </w:p>
        </w:tc>
        <w:tc>
          <w:tcPr>
            <w:tcW w:w="1741" w:type="dxa"/>
            <w:noWrap/>
            <w:vAlign w:val="center"/>
            <w:hideMark/>
          </w:tcPr>
          <w:p w:rsidRPr="00BB2EAF" w:rsidR="000E4CB2" w:rsidP="001E61B3" w:rsidRDefault="000E4CB2" w14:paraId="6E747E06"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p>
        </w:tc>
        <w:tc>
          <w:tcPr>
            <w:tcW w:w="1520" w:type="dxa"/>
            <w:noWrap/>
            <w:vAlign w:val="center"/>
            <w:hideMark/>
          </w:tcPr>
          <w:p w:rsidRPr="00BB2EAF" w:rsidR="000E4CB2" w:rsidP="001E61B3" w:rsidRDefault="000E4CB2" w14:paraId="0613AF9C"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r>
      <w:tr w:rsidRPr="00BB2EAF" w:rsidR="000E4CB2" w:rsidTr="001E61B3" w14:paraId="24014A46"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2E82C8DC" w14:textId="77777777">
            <w:pPr>
              <w:spacing w:line="240" w:lineRule="auto"/>
              <w:jc w:val="left"/>
              <w:rPr>
                <w:b w:val="0"/>
                <w:bCs w:val="0"/>
              </w:rPr>
            </w:pPr>
            <w:r>
              <w:rPr>
                <w:b w:val="0"/>
              </w:rPr>
              <w:t>Ekodoma</w:t>
            </w:r>
          </w:p>
        </w:tc>
        <w:tc>
          <w:tcPr>
            <w:tcW w:w="1248" w:type="dxa"/>
            <w:noWrap/>
            <w:vAlign w:val="center"/>
            <w:hideMark/>
          </w:tcPr>
          <w:p w:rsidRPr="00BB2EAF" w:rsidR="000E4CB2" w:rsidP="001E61B3" w:rsidRDefault="000E4CB2" w14:paraId="6A607603"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Latvia</w:t>
            </w:r>
          </w:p>
        </w:tc>
        <w:tc>
          <w:tcPr>
            <w:tcW w:w="1741" w:type="dxa"/>
            <w:noWrap/>
            <w:vAlign w:val="center"/>
            <w:hideMark/>
          </w:tcPr>
          <w:p w:rsidRPr="00BB2EAF" w:rsidR="000E4CB2" w:rsidP="001E61B3" w:rsidRDefault="000E4CB2" w14:paraId="119C45FB"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c>
          <w:tcPr>
            <w:tcW w:w="1520" w:type="dxa"/>
            <w:noWrap/>
            <w:vAlign w:val="center"/>
            <w:hideMark/>
          </w:tcPr>
          <w:p w:rsidRPr="00BB2EAF" w:rsidR="000E4CB2" w:rsidP="001E61B3" w:rsidRDefault="000E4CB2" w14:paraId="33356F72"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r>
      <w:tr w:rsidRPr="00BB2EAF" w:rsidR="000E4CB2" w:rsidTr="001E61B3" w14:paraId="6B19FE2B"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608B1B72" w14:textId="77777777">
            <w:pPr>
              <w:spacing w:line="240" w:lineRule="auto"/>
              <w:jc w:val="left"/>
              <w:rPr>
                <w:b w:val="0"/>
                <w:bCs w:val="0"/>
              </w:rPr>
            </w:pPr>
            <w:r>
              <w:rPr>
                <w:b w:val="0"/>
              </w:rPr>
              <w:t>Horizon 2020 National Contact Point</w:t>
            </w:r>
          </w:p>
        </w:tc>
        <w:tc>
          <w:tcPr>
            <w:tcW w:w="1248" w:type="dxa"/>
            <w:noWrap/>
            <w:vAlign w:val="center"/>
            <w:hideMark/>
          </w:tcPr>
          <w:p w:rsidRPr="00BB2EAF" w:rsidR="000E4CB2" w:rsidP="001E61B3" w:rsidRDefault="000E4CB2" w14:paraId="53A8D136"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Latvia</w:t>
            </w:r>
          </w:p>
        </w:tc>
        <w:tc>
          <w:tcPr>
            <w:tcW w:w="1741" w:type="dxa"/>
            <w:noWrap/>
            <w:vAlign w:val="center"/>
            <w:hideMark/>
          </w:tcPr>
          <w:p w:rsidRPr="00BB2EAF" w:rsidR="000E4CB2" w:rsidP="001E61B3" w:rsidRDefault="000E4CB2" w14:paraId="0E6ED492"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p>
        </w:tc>
        <w:tc>
          <w:tcPr>
            <w:tcW w:w="1520" w:type="dxa"/>
            <w:noWrap/>
            <w:vAlign w:val="center"/>
            <w:hideMark/>
          </w:tcPr>
          <w:p w:rsidRPr="00BB2EAF" w:rsidR="000E4CB2" w:rsidP="001E61B3" w:rsidRDefault="000E4CB2" w14:paraId="4CDD913F"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r>
      <w:tr w:rsidRPr="00BB2EAF" w:rsidR="000E4CB2" w:rsidTr="001E61B3" w14:paraId="03195E28"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5F38A11E" w14:textId="77777777">
            <w:pPr>
              <w:spacing w:line="240" w:lineRule="auto"/>
              <w:jc w:val="left"/>
              <w:rPr>
                <w:b w:val="0"/>
                <w:bCs w:val="0"/>
              </w:rPr>
            </w:pPr>
            <w:r>
              <w:rPr>
                <w:b w:val="0"/>
              </w:rPr>
              <w:t>Latvian Council of Science</w:t>
            </w:r>
          </w:p>
        </w:tc>
        <w:tc>
          <w:tcPr>
            <w:tcW w:w="1248" w:type="dxa"/>
            <w:noWrap/>
            <w:vAlign w:val="center"/>
            <w:hideMark/>
          </w:tcPr>
          <w:p w:rsidRPr="00BB2EAF" w:rsidR="000E4CB2" w:rsidP="001E61B3" w:rsidRDefault="000E4CB2" w14:paraId="1A89F283"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Latvia</w:t>
            </w:r>
          </w:p>
        </w:tc>
        <w:tc>
          <w:tcPr>
            <w:tcW w:w="1741" w:type="dxa"/>
            <w:noWrap/>
            <w:vAlign w:val="center"/>
            <w:hideMark/>
          </w:tcPr>
          <w:p w:rsidRPr="00BB2EAF" w:rsidR="000E4CB2" w:rsidP="001E61B3" w:rsidRDefault="000E4CB2" w14:paraId="392953AC"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c>
          <w:tcPr>
            <w:tcW w:w="1520" w:type="dxa"/>
            <w:noWrap/>
            <w:vAlign w:val="center"/>
            <w:hideMark/>
          </w:tcPr>
          <w:p w:rsidRPr="00BB2EAF" w:rsidR="000E4CB2" w:rsidP="001E61B3" w:rsidRDefault="000E4CB2" w14:paraId="017BBD4A"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r>
      <w:tr w:rsidRPr="00BB2EAF" w:rsidR="000E4CB2" w:rsidTr="001E61B3" w14:paraId="495A142E"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7F3DE6B1" w14:textId="77777777">
            <w:pPr>
              <w:spacing w:line="240" w:lineRule="auto"/>
              <w:jc w:val="left"/>
              <w:rPr>
                <w:b w:val="0"/>
                <w:bCs w:val="0"/>
              </w:rPr>
            </w:pPr>
            <w:r>
              <w:rPr>
                <w:b w:val="0"/>
              </w:rPr>
              <w:t>Latvian Institute of Organic Synthesis</w:t>
            </w:r>
          </w:p>
        </w:tc>
        <w:tc>
          <w:tcPr>
            <w:tcW w:w="1248" w:type="dxa"/>
            <w:noWrap/>
            <w:vAlign w:val="center"/>
            <w:hideMark/>
          </w:tcPr>
          <w:p w:rsidRPr="00BB2EAF" w:rsidR="000E4CB2" w:rsidP="001E61B3" w:rsidRDefault="000E4CB2" w14:paraId="04C8088E"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Latvia</w:t>
            </w:r>
          </w:p>
        </w:tc>
        <w:tc>
          <w:tcPr>
            <w:tcW w:w="1741" w:type="dxa"/>
            <w:noWrap/>
            <w:vAlign w:val="center"/>
            <w:hideMark/>
          </w:tcPr>
          <w:p w:rsidRPr="00BB2EAF" w:rsidR="000E4CB2" w:rsidP="001E61B3" w:rsidRDefault="000E4CB2" w14:paraId="08FCD847"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c>
          <w:tcPr>
            <w:tcW w:w="1520" w:type="dxa"/>
            <w:noWrap/>
            <w:vAlign w:val="center"/>
            <w:hideMark/>
          </w:tcPr>
          <w:p w:rsidRPr="00BB2EAF" w:rsidR="000E4CB2" w:rsidP="001E61B3" w:rsidRDefault="000E4CB2" w14:paraId="6701C11B"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r>
      <w:tr w:rsidRPr="00BB2EAF" w:rsidR="000E4CB2" w:rsidTr="001E61B3" w14:paraId="7FEF78CA"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1FC50DB7" w14:textId="77777777">
            <w:pPr>
              <w:spacing w:line="240" w:lineRule="auto"/>
              <w:jc w:val="left"/>
              <w:rPr>
                <w:b w:val="0"/>
                <w:bCs w:val="0"/>
              </w:rPr>
            </w:pPr>
            <w:r>
              <w:rPr>
                <w:b w:val="0"/>
              </w:rPr>
              <w:t>Latvijas Zinātnes padome</w:t>
            </w:r>
          </w:p>
        </w:tc>
        <w:tc>
          <w:tcPr>
            <w:tcW w:w="1248" w:type="dxa"/>
            <w:noWrap/>
            <w:vAlign w:val="center"/>
            <w:hideMark/>
          </w:tcPr>
          <w:p w:rsidRPr="00BB2EAF" w:rsidR="000E4CB2" w:rsidP="001E61B3" w:rsidRDefault="000E4CB2" w14:paraId="65ABF99F"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Latvia</w:t>
            </w:r>
          </w:p>
        </w:tc>
        <w:tc>
          <w:tcPr>
            <w:tcW w:w="1741" w:type="dxa"/>
            <w:noWrap/>
            <w:vAlign w:val="center"/>
            <w:hideMark/>
          </w:tcPr>
          <w:p w:rsidRPr="00BB2EAF" w:rsidR="000E4CB2" w:rsidP="001E61B3" w:rsidRDefault="000E4CB2" w14:paraId="1194484B"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c>
          <w:tcPr>
            <w:tcW w:w="1520" w:type="dxa"/>
            <w:noWrap/>
            <w:vAlign w:val="center"/>
            <w:hideMark/>
          </w:tcPr>
          <w:p w:rsidRPr="00BB2EAF" w:rsidR="000E4CB2" w:rsidP="001E61B3" w:rsidRDefault="000E4CB2" w14:paraId="00A61E92"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p>
        </w:tc>
      </w:tr>
      <w:tr w:rsidRPr="00BB2EAF" w:rsidR="000E4CB2" w:rsidTr="001E61B3" w14:paraId="73C5DDC9"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20F9CE9A" w14:textId="77777777">
            <w:pPr>
              <w:spacing w:line="240" w:lineRule="auto"/>
              <w:jc w:val="left"/>
              <w:rPr>
                <w:b w:val="0"/>
                <w:bCs w:val="0"/>
              </w:rPr>
            </w:pPr>
            <w:r>
              <w:rPr>
                <w:b w:val="0"/>
              </w:rPr>
              <w:t>Ministry of Education and Science</w:t>
            </w:r>
          </w:p>
        </w:tc>
        <w:tc>
          <w:tcPr>
            <w:tcW w:w="1248" w:type="dxa"/>
            <w:noWrap/>
            <w:vAlign w:val="center"/>
            <w:hideMark/>
          </w:tcPr>
          <w:p w:rsidRPr="00BB2EAF" w:rsidR="000E4CB2" w:rsidP="001E61B3" w:rsidRDefault="000E4CB2" w14:paraId="2A77BAA5"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Latvia</w:t>
            </w:r>
          </w:p>
        </w:tc>
        <w:tc>
          <w:tcPr>
            <w:tcW w:w="1741" w:type="dxa"/>
            <w:noWrap/>
            <w:vAlign w:val="center"/>
            <w:hideMark/>
          </w:tcPr>
          <w:p w:rsidRPr="00BB2EAF" w:rsidR="000E4CB2" w:rsidP="001E61B3" w:rsidRDefault="000E4CB2" w14:paraId="4E401778"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p>
        </w:tc>
        <w:tc>
          <w:tcPr>
            <w:tcW w:w="1520" w:type="dxa"/>
            <w:noWrap/>
            <w:vAlign w:val="center"/>
            <w:hideMark/>
          </w:tcPr>
          <w:p w:rsidRPr="00BB2EAF" w:rsidR="000E4CB2" w:rsidP="001E61B3" w:rsidRDefault="000E4CB2" w14:paraId="0BD13408"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r>
      <w:tr w:rsidRPr="00BB2EAF" w:rsidR="000E4CB2" w:rsidTr="001E61B3" w14:paraId="7F764AB3"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08DA61C8" w14:textId="77777777">
            <w:pPr>
              <w:spacing w:line="240" w:lineRule="auto"/>
              <w:jc w:val="left"/>
              <w:rPr>
                <w:b w:val="0"/>
                <w:bCs w:val="0"/>
              </w:rPr>
            </w:pPr>
            <w:r>
              <w:rPr>
                <w:b w:val="0"/>
              </w:rPr>
              <w:t>Riga Biomaterials Innovations and Development Centre</w:t>
            </w:r>
          </w:p>
        </w:tc>
        <w:tc>
          <w:tcPr>
            <w:tcW w:w="1248" w:type="dxa"/>
            <w:noWrap/>
            <w:vAlign w:val="center"/>
            <w:hideMark/>
          </w:tcPr>
          <w:p w:rsidRPr="00BB2EAF" w:rsidR="000E4CB2" w:rsidP="001E61B3" w:rsidRDefault="000E4CB2" w14:paraId="3CE5EF94"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Latvia</w:t>
            </w:r>
          </w:p>
        </w:tc>
        <w:tc>
          <w:tcPr>
            <w:tcW w:w="1741" w:type="dxa"/>
            <w:noWrap/>
            <w:vAlign w:val="center"/>
            <w:hideMark/>
          </w:tcPr>
          <w:p w:rsidRPr="00BB2EAF" w:rsidR="000E4CB2" w:rsidP="001E61B3" w:rsidRDefault="000E4CB2" w14:paraId="5C24C3E6"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p>
        </w:tc>
        <w:tc>
          <w:tcPr>
            <w:tcW w:w="1520" w:type="dxa"/>
            <w:noWrap/>
            <w:vAlign w:val="center"/>
            <w:hideMark/>
          </w:tcPr>
          <w:p w:rsidRPr="00BB2EAF" w:rsidR="000E4CB2" w:rsidP="001E61B3" w:rsidRDefault="000E4CB2" w14:paraId="097C452B"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r>
      <w:tr w:rsidRPr="00BB2EAF" w:rsidR="000E4CB2" w:rsidTr="001E61B3" w14:paraId="02F3DF77"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781CAB30" w14:textId="77777777">
            <w:pPr>
              <w:spacing w:line="240" w:lineRule="auto"/>
              <w:jc w:val="left"/>
              <w:rPr>
                <w:b w:val="0"/>
                <w:bCs w:val="0"/>
              </w:rPr>
            </w:pPr>
            <w:r>
              <w:rPr>
                <w:b w:val="0"/>
              </w:rPr>
              <w:t>Riga Technical University</w:t>
            </w:r>
          </w:p>
        </w:tc>
        <w:tc>
          <w:tcPr>
            <w:tcW w:w="1248" w:type="dxa"/>
            <w:noWrap/>
            <w:vAlign w:val="center"/>
            <w:hideMark/>
          </w:tcPr>
          <w:p w:rsidRPr="00BB2EAF" w:rsidR="000E4CB2" w:rsidP="001E61B3" w:rsidRDefault="000E4CB2" w14:paraId="7EE03B82"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Latvia</w:t>
            </w:r>
          </w:p>
        </w:tc>
        <w:tc>
          <w:tcPr>
            <w:tcW w:w="1741" w:type="dxa"/>
            <w:noWrap/>
            <w:vAlign w:val="center"/>
            <w:hideMark/>
          </w:tcPr>
          <w:p w:rsidRPr="00BB2EAF" w:rsidR="000E4CB2" w:rsidP="001E61B3" w:rsidRDefault="000E4CB2" w14:paraId="7B57D9CB"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p>
        </w:tc>
        <w:tc>
          <w:tcPr>
            <w:tcW w:w="1520" w:type="dxa"/>
            <w:noWrap/>
            <w:vAlign w:val="center"/>
            <w:hideMark/>
          </w:tcPr>
          <w:p w:rsidRPr="00BB2EAF" w:rsidR="000E4CB2" w:rsidP="001E61B3" w:rsidRDefault="000E4CB2" w14:paraId="744B2C6A"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r>
      <w:tr w:rsidRPr="00BB2EAF" w:rsidR="000E4CB2" w:rsidTr="001E61B3" w14:paraId="5F733C5D"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60D07C92" w14:textId="77777777">
            <w:pPr>
              <w:spacing w:line="240" w:lineRule="auto"/>
              <w:jc w:val="left"/>
              <w:rPr>
                <w:b w:val="0"/>
                <w:bCs w:val="0"/>
              </w:rPr>
            </w:pPr>
            <w:r>
              <w:rPr>
                <w:b w:val="0"/>
              </w:rPr>
              <w:t>Riga Technical University</w:t>
            </w:r>
          </w:p>
        </w:tc>
        <w:tc>
          <w:tcPr>
            <w:tcW w:w="1248" w:type="dxa"/>
            <w:noWrap/>
            <w:vAlign w:val="center"/>
            <w:hideMark/>
          </w:tcPr>
          <w:p w:rsidRPr="00BB2EAF" w:rsidR="000E4CB2" w:rsidP="001E61B3" w:rsidRDefault="000E4CB2" w14:paraId="3947CA8D"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Latvia</w:t>
            </w:r>
          </w:p>
        </w:tc>
        <w:tc>
          <w:tcPr>
            <w:tcW w:w="1741" w:type="dxa"/>
            <w:noWrap/>
            <w:vAlign w:val="center"/>
            <w:hideMark/>
          </w:tcPr>
          <w:p w:rsidRPr="00BB2EAF" w:rsidR="000E4CB2" w:rsidP="001E61B3" w:rsidRDefault="000E4CB2" w14:paraId="12326814"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p>
        </w:tc>
        <w:tc>
          <w:tcPr>
            <w:tcW w:w="1520" w:type="dxa"/>
            <w:noWrap/>
            <w:vAlign w:val="center"/>
            <w:hideMark/>
          </w:tcPr>
          <w:p w:rsidRPr="00BB2EAF" w:rsidR="000E4CB2" w:rsidP="001E61B3" w:rsidRDefault="000E4CB2" w14:paraId="32CF8D79"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r>
      <w:tr w:rsidRPr="00BB2EAF" w:rsidR="000E4CB2" w:rsidTr="001E61B3" w14:paraId="14CA0B6B"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62DF9AB8" w14:textId="77777777">
            <w:pPr>
              <w:spacing w:line="240" w:lineRule="auto"/>
              <w:jc w:val="left"/>
              <w:rPr>
                <w:b w:val="0"/>
                <w:bCs w:val="0"/>
              </w:rPr>
            </w:pPr>
            <w:r>
              <w:rPr>
                <w:b w:val="0"/>
              </w:rPr>
              <w:t>Beyond 4.0 – a project under the H2020 Work Programme</w:t>
            </w:r>
          </w:p>
        </w:tc>
        <w:tc>
          <w:tcPr>
            <w:tcW w:w="1248" w:type="dxa"/>
            <w:noWrap/>
            <w:vAlign w:val="center"/>
            <w:hideMark/>
          </w:tcPr>
          <w:p w:rsidRPr="00BB2EAF" w:rsidR="000E4CB2" w:rsidP="001E61B3" w:rsidRDefault="000E4CB2" w14:paraId="373F6401"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Netherlands</w:t>
            </w:r>
          </w:p>
        </w:tc>
        <w:tc>
          <w:tcPr>
            <w:tcW w:w="1741" w:type="dxa"/>
            <w:noWrap/>
            <w:vAlign w:val="center"/>
            <w:hideMark/>
          </w:tcPr>
          <w:p w:rsidRPr="00BB2EAF" w:rsidR="000E4CB2" w:rsidP="001E61B3" w:rsidRDefault="000E4CB2" w14:paraId="15EC4811"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p>
        </w:tc>
        <w:tc>
          <w:tcPr>
            <w:tcW w:w="1520" w:type="dxa"/>
            <w:noWrap/>
            <w:vAlign w:val="center"/>
            <w:hideMark/>
          </w:tcPr>
          <w:p w:rsidRPr="00BB2EAF" w:rsidR="000E4CB2" w:rsidP="001E61B3" w:rsidRDefault="000E4CB2" w14:paraId="24957584"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r>
      <w:tr w:rsidRPr="00BB2EAF" w:rsidR="000E4CB2" w:rsidTr="001E61B3" w14:paraId="0263B422"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2624BFC5" w14:textId="77777777">
            <w:pPr>
              <w:spacing w:line="240" w:lineRule="auto"/>
              <w:jc w:val="left"/>
              <w:rPr>
                <w:b w:val="0"/>
                <w:bCs w:val="0"/>
              </w:rPr>
            </w:pPr>
            <w:r>
              <w:rPr>
                <w:b w:val="0"/>
              </w:rPr>
              <w:t>Regional Development Agency East Netherlands – Oost NL</w:t>
            </w:r>
          </w:p>
        </w:tc>
        <w:tc>
          <w:tcPr>
            <w:tcW w:w="1248" w:type="dxa"/>
            <w:noWrap/>
            <w:vAlign w:val="center"/>
            <w:hideMark/>
          </w:tcPr>
          <w:p w:rsidRPr="00BB2EAF" w:rsidR="000E4CB2" w:rsidP="001E61B3" w:rsidRDefault="000E4CB2" w14:paraId="6ADDAF5F"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Netherlands</w:t>
            </w:r>
          </w:p>
        </w:tc>
        <w:tc>
          <w:tcPr>
            <w:tcW w:w="1741" w:type="dxa"/>
            <w:noWrap/>
            <w:vAlign w:val="center"/>
            <w:hideMark/>
          </w:tcPr>
          <w:p w:rsidRPr="00BB2EAF" w:rsidR="000E4CB2" w:rsidP="001E61B3" w:rsidRDefault="000E4CB2" w14:paraId="559DC24D"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c>
          <w:tcPr>
            <w:tcW w:w="1520" w:type="dxa"/>
            <w:noWrap/>
            <w:vAlign w:val="center"/>
            <w:hideMark/>
          </w:tcPr>
          <w:p w:rsidRPr="00BB2EAF" w:rsidR="000E4CB2" w:rsidP="001E61B3" w:rsidRDefault="000E4CB2" w14:paraId="2033E84E"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r>
      <w:tr w:rsidRPr="00BB2EAF" w:rsidR="000E4CB2" w:rsidTr="001E61B3" w14:paraId="7FF6C39D"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46022DE1" w14:textId="77777777">
            <w:pPr>
              <w:spacing w:line="240" w:lineRule="auto"/>
              <w:jc w:val="left"/>
              <w:rPr>
                <w:b w:val="0"/>
                <w:bCs w:val="0"/>
              </w:rPr>
            </w:pPr>
            <w:r>
              <w:rPr>
                <w:b w:val="0"/>
              </w:rPr>
              <w:t>TNO, Healthy Living and Work Unit</w:t>
            </w:r>
          </w:p>
        </w:tc>
        <w:tc>
          <w:tcPr>
            <w:tcW w:w="1248" w:type="dxa"/>
            <w:noWrap/>
            <w:vAlign w:val="center"/>
            <w:hideMark/>
          </w:tcPr>
          <w:p w:rsidRPr="00BB2EAF" w:rsidR="000E4CB2" w:rsidP="001E61B3" w:rsidRDefault="000E4CB2" w14:paraId="5CA6ED0D"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Netherlands</w:t>
            </w:r>
          </w:p>
        </w:tc>
        <w:tc>
          <w:tcPr>
            <w:tcW w:w="1741" w:type="dxa"/>
            <w:noWrap/>
            <w:vAlign w:val="center"/>
            <w:hideMark/>
          </w:tcPr>
          <w:p w:rsidRPr="00BB2EAF" w:rsidR="000E4CB2" w:rsidP="001E61B3" w:rsidRDefault="000E4CB2" w14:paraId="0AE0F42D"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c>
          <w:tcPr>
            <w:tcW w:w="1520" w:type="dxa"/>
            <w:noWrap/>
            <w:vAlign w:val="center"/>
            <w:hideMark/>
          </w:tcPr>
          <w:p w:rsidRPr="00BB2EAF" w:rsidR="000E4CB2" w:rsidP="001E61B3" w:rsidRDefault="000E4CB2" w14:paraId="73041DC3"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p>
        </w:tc>
      </w:tr>
      <w:tr w:rsidRPr="00BB2EAF" w:rsidR="000E4CB2" w:rsidTr="001E61B3" w14:paraId="2D777A6D"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38BB4EF4" w14:textId="77777777">
            <w:pPr>
              <w:spacing w:line="240" w:lineRule="auto"/>
              <w:jc w:val="left"/>
              <w:rPr>
                <w:b w:val="0"/>
                <w:bCs w:val="0"/>
              </w:rPr>
            </w:pPr>
            <w:r>
              <w:rPr>
                <w:b w:val="0"/>
              </w:rPr>
              <w:t>TNO, Vector Centre</w:t>
            </w:r>
          </w:p>
        </w:tc>
        <w:tc>
          <w:tcPr>
            <w:tcW w:w="1248" w:type="dxa"/>
            <w:noWrap/>
            <w:vAlign w:val="center"/>
            <w:hideMark/>
          </w:tcPr>
          <w:p w:rsidRPr="00BB2EAF" w:rsidR="000E4CB2" w:rsidP="001E61B3" w:rsidRDefault="000E4CB2" w14:paraId="04D0B64B"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Netherlands</w:t>
            </w:r>
          </w:p>
        </w:tc>
        <w:tc>
          <w:tcPr>
            <w:tcW w:w="1741" w:type="dxa"/>
            <w:noWrap/>
            <w:vAlign w:val="center"/>
            <w:hideMark/>
          </w:tcPr>
          <w:p w:rsidRPr="00BB2EAF" w:rsidR="000E4CB2" w:rsidP="001E61B3" w:rsidRDefault="000E4CB2" w14:paraId="55EE11F1"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p>
        </w:tc>
        <w:tc>
          <w:tcPr>
            <w:tcW w:w="1520" w:type="dxa"/>
            <w:noWrap/>
            <w:vAlign w:val="center"/>
            <w:hideMark/>
          </w:tcPr>
          <w:p w:rsidRPr="00BB2EAF" w:rsidR="000E4CB2" w:rsidP="001E61B3" w:rsidRDefault="000E4CB2" w14:paraId="29333B52"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r>
      <w:tr w:rsidRPr="00BB2EAF" w:rsidR="000E4CB2" w:rsidTr="001E61B3" w14:paraId="76248546"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5BA085EE" w14:textId="77777777">
            <w:pPr>
              <w:spacing w:line="240" w:lineRule="auto"/>
              <w:jc w:val="left"/>
              <w:rPr>
                <w:b w:val="0"/>
                <w:bCs w:val="0"/>
              </w:rPr>
            </w:pPr>
            <w:r>
              <w:rPr>
                <w:b w:val="0"/>
              </w:rPr>
              <w:t>TNO, Netherlands, Organisation for Applied Scientific Research</w:t>
            </w:r>
          </w:p>
        </w:tc>
        <w:tc>
          <w:tcPr>
            <w:tcW w:w="1248" w:type="dxa"/>
            <w:noWrap/>
            <w:vAlign w:val="center"/>
            <w:hideMark/>
          </w:tcPr>
          <w:p w:rsidRPr="00BB2EAF" w:rsidR="000E4CB2" w:rsidP="001E61B3" w:rsidRDefault="000E4CB2" w14:paraId="383EEF9A"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Netherlands</w:t>
            </w:r>
          </w:p>
        </w:tc>
        <w:tc>
          <w:tcPr>
            <w:tcW w:w="1741" w:type="dxa"/>
            <w:noWrap/>
            <w:vAlign w:val="center"/>
            <w:hideMark/>
          </w:tcPr>
          <w:p w:rsidRPr="00BB2EAF" w:rsidR="000E4CB2" w:rsidP="001E61B3" w:rsidRDefault="000E4CB2" w14:paraId="617AAF40"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c>
          <w:tcPr>
            <w:tcW w:w="1520" w:type="dxa"/>
            <w:noWrap/>
            <w:vAlign w:val="center"/>
            <w:hideMark/>
          </w:tcPr>
          <w:p w:rsidRPr="00BB2EAF" w:rsidR="000E4CB2" w:rsidP="001E61B3" w:rsidRDefault="000E4CB2" w14:paraId="3AA20EF4"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r>
      <w:tr w:rsidRPr="00BB2EAF" w:rsidR="000E4CB2" w:rsidTr="001E61B3" w14:paraId="288AFF30"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7219B813" w14:textId="77777777">
            <w:pPr>
              <w:spacing w:line="240" w:lineRule="auto"/>
              <w:jc w:val="left"/>
              <w:rPr>
                <w:b w:val="0"/>
                <w:bCs w:val="0"/>
              </w:rPr>
            </w:pPr>
            <w:r>
              <w:rPr>
                <w:b w:val="0"/>
              </w:rPr>
              <w:t>Twente Board</w:t>
            </w:r>
          </w:p>
        </w:tc>
        <w:tc>
          <w:tcPr>
            <w:tcW w:w="1248" w:type="dxa"/>
            <w:noWrap/>
            <w:vAlign w:val="center"/>
            <w:hideMark/>
          </w:tcPr>
          <w:p w:rsidRPr="00BB2EAF" w:rsidR="000E4CB2" w:rsidP="001E61B3" w:rsidRDefault="000E4CB2" w14:paraId="5FB7B599"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Netherlands</w:t>
            </w:r>
          </w:p>
        </w:tc>
        <w:tc>
          <w:tcPr>
            <w:tcW w:w="1741" w:type="dxa"/>
            <w:noWrap/>
            <w:vAlign w:val="center"/>
            <w:hideMark/>
          </w:tcPr>
          <w:p w:rsidRPr="00BB2EAF" w:rsidR="000E4CB2" w:rsidP="001E61B3" w:rsidRDefault="000E4CB2" w14:paraId="25BEA2CC"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c>
          <w:tcPr>
            <w:tcW w:w="1520" w:type="dxa"/>
            <w:noWrap/>
            <w:vAlign w:val="center"/>
            <w:hideMark/>
          </w:tcPr>
          <w:p w:rsidRPr="00BB2EAF" w:rsidR="000E4CB2" w:rsidP="001E61B3" w:rsidRDefault="000E4CB2" w14:paraId="1D783B63"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r>
      <w:tr w:rsidRPr="00BB2EAF" w:rsidR="000E4CB2" w:rsidTr="001E61B3" w14:paraId="647EE13C"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776C8D15" w14:textId="77777777">
            <w:pPr>
              <w:spacing w:line="240" w:lineRule="auto"/>
              <w:jc w:val="left"/>
              <w:rPr>
                <w:b w:val="0"/>
                <w:bCs w:val="0"/>
              </w:rPr>
            </w:pPr>
            <w:r>
              <w:rPr>
                <w:b w:val="0"/>
              </w:rPr>
              <w:t>University of Groningen</w:t>
            </w:r>
          </w:p>
        </w:tc>
        <w:tc>
          <w:tcPr>
            <w:tcW w:w="1248" w:type="dxa"/>
            <w:noWrap/>
            <w:vAlign w:val="center"/>
            <w:hideMark/>
          </w:tcPr>
          <w:p w:rsidRPr="00BB2EAF" w:rsidR="000E4CB2" w:rsidP="001E61B3" w:rsidRDefault="000E4CB2" w14:paraId="1A6D44C2"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Netherlands</w:t>
            </w:r>
          </w:p>
        </w:tc>
        <w:tc>
          <w:tcPr>
            <w:tcW w:w="1741" w:type="dxa"/>
            <w:noWrap/>
            <w:vAlign w:val="center"/>
            <w:hideMark/>
          </w:tcPr>
          <w:p w:rsidRPr="00BB2EAF" w:rsidR="000E4CB2" w:rsidP="001E61B3" w:rsidRDefault="000E4CB2" w14:paraId="6CF39021"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p>
        </w:tc>
        <w:tc>
          <w:tcPr>
            <w:tcW w:w="1520" w:type="dxa"/>
            <w:noWrap/>
            <w:vAlign w:val="center"/>
            <w:hideMark/>
          </w:tcPr>
          <w:p w:rsidRPr="00BB2EAF" w:rsidR="000E4CB2" w:rsidP="001E61B3" w:rsidRDefault="000E4CB2" w14:paraId="56ED3108"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r>
      <w:tr w:rsidRPr="00BB2EAF" w:rsidR="000E4CB2" w:rsidTr="001E61B3" w14:paraId="43BE5B5D"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7293B920" w14:textId="77777777">
            <w:pPr>
              <w:spacing w:line="240" w:lineRule="auto"/>
              <w:jc w:val="left"/>
              <w:rPr>
                <w:b w:val="0"/>
                <w:bCs w:val="0"/>
              </w:rPr>
            </w:pPr>
            <w:r>
              <w:rPr>
                <w:b w:val="0"/>
              </w:rPr>
              <w:t>University of Twente</w:t>
            </w:r>
          </w:p>
        </w:tc>
        <w:tc>
          <w:tcPr>
            <w:tcW w:w="1248" w:type="dxa"/>
            <w:noWrap/>
            <w:vAlign w:val="center"/>
            <w:hideMark/>
          </w:tcPr>
          <w:p w:rsidRPr="00BB2EAF" w:rsidR="000E4CB2" w:rsidP="001E61B3" w:rsidRDefault="000E4CB2" w14:paraId="2831E3E8"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Netherlands</w:t>
            </w:r>
          </w:p>
        </w:tc>
        <w:tc>
          <w:tcPr>
            <w:tcW w:w="1741" w:type="dxa"/>
            <w:noWrap/>
            <w:vAlign w:val="center"/>
            <w:hideMark/>
          </w:tcPr>
          <w:p w:rsidRPr="00BB2EAF" w:rsidR="000E4CB2" w:rsidP="001E61B3" w:rsidRDefault="000E4CB2" w14:paraId="1D0108AF"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c>
          <w:tcPr>
            <w:tcW w:w="1520" w:type="dxa"/>
            <w:noWrap/>
            <w:vAlign w:val="center"/>
            <w:hideMark/>
          </w:tcPr>
          <w:p w:rsidRPr="00BB2EAF" w:rsidR="000E4CB2" w:rsidP="001E61B3" w:rsidRDefault="000E4CB2" w14:paraId="4BB6ED67"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r>
      <w:tr w:rsidRPr="00BB2EAF" w:rsidR="000E4CB2" w:rsidTr="001E61B3" w14:paraId="5927C29A"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78C3DB8B" w14:textId="77777777">
            <w:pPr>
              <w:spacing w:line="240" w:lineRule="auto"/>
              <w:jc w:val="left"/>
              <w:rPr>
                <w:b w:val="0"/>
                <w:bCs w:val="0"/>
              </w:rPr>
            </w:pPr>
            <w:r>
              <w:rPr>
                <w:b w:val="0"/>
              </w:rPr>
              <w:t>UNL – National rectors' conference, Universities of the Netherlands</w:t>
            </w:r>
          </w:p>
        </w:tc>
        <w:tc>
          <w:tcPr>
            <w:tcW w:w="1248" w:type="dxa"/>
            <w:noWrap/>
            <w:vAlign w:val="center"/>
            <w:hideMark/>
          </w:tcPr>
          <w:p w:rsidRPr="00BB2EAF" w:rsidR="000E4CB2" w:rsidP="001E61B3" w:rsidRDefault="000E4CB2" w14:paraId="0CCA5EC2"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Netherlands</w:t>
            </w:r>
          </w:p>
        </w:tc>
        <w:tc>
          <w:tcPr>
            <w:tcW w:w="1741" w:type="dxa"/>
            <w:noWrap/>
            <w:vAlign w:val="center"/>
            <w:hideMark/>
          </w:tcPr>
          <w:p w:rsidRPr="00BB2EAF" w:rsidR="000E4CB2" w:rsidP="001E61B3" w:rsidRDefault="000E4CB2" w14:paraId="4AA1E44F"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p>
        </w:tc>
        <w:tc>
          <w:tcPr>
            <w:tcW w:w="1520" w:type="dxa"/>
            <w:noWrap/>
            <w:vAlign w:val="center"/>
            <w:hideMark/>
          </w:tcPr>
          <w:p w:rsidRPr="00BB2EAF" w:rsidR="000E4CB2" w:rsidP="001E61B3" w:rsidRDefault="000E4CB2" w14:paraId="3FC08E81"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r>
      <w:tr w:rsidRPr="00BB2EAF" w:rsidR="000E4CB2" w:rsidTr="001E61B3" w14:paraId="16C9EE45"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656182AE" w14:textId="77777777">
            <w:pPr>
              <w:spacing w:line="240" w:lineRule="auto"/>
              <w:jc w:val="left"/>
              <w:rPr>
                <w:b w:val="0"/>
                <w:bCs w:val="0"/>
              </w:rPr>
            </w:pPr>
            <w:r>
              <w:rPr>
                <w:b w:val="0"/>
              </w:rPr>
              <w:t>Vrije Universiteit Amsterdam</w:t>
            </w:r>
          </w:p>
        </w:tc>
        <w:tc>
          <w:tcPr>
            <w:tcW w:w="1248" w:type="dxa"/>
            <w:noWrap/>
            <w:vAlign w:val="center"/>
            <w:hideMark/>
          </w:tcPr>
          <w:p w:rsidRPr="00BB2EAF" w:rsidR="000E4CB2" w:rsidP="001E61B3" w:rsidRDefault="000E4CB2" w14:paraId="68DF4D43"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Netherlands</w:t>
            </w:r>
          </w:p>
        </w:tc>
        <w:tc>
          <w:tcPr>
            <w:tcW w:w="1741" w:type="dxa"/>
            <w:noWrap/>
            <w:vAlign w:val="center"/>
            <w:hideMark/>
          </w:tcPr>
          <w:p w:rsidRPr="00BB2EAF" w:rsidR="000E4CB2" w:rsidP="001E61B3" w:rsidRDefault="000E4CB2" w14:paraId="59A3ED70"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c>
          <w:tcPr>
            <w:tcW w:w="1520" w:type="dxa"/>
            <w:noWrap/>
            <w:vAlign w:val="center"/>
            <w:hideMark/>
          </w:tcPr>
          <w:p w:rsidRPr="00BB2EAF" w:rsidR="000E4CB2" w:rsidP="001E61B3" w:rsidRDefault="000E4CB2" w14:paraId="00D8C353"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p>
        </w:tc>
      </w:tr>
      <w:tr w:rsidRPr="00BB2EAF" w:rsidR="000E4CB2" w:rsidTr="001E61B3" w14:paraId="5E0AFAAC"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5BC67980" w14:textId="77777777">
            <w:pPr>
              <w:spacing w:line="240" w:lineRule="auto"/>
              <w:jc w:val="left"/>
              <w:rPr>
                <w:b w:val="0"/>
                <w:bCs w:val="0"/>
              </w:rPr>
            </w:pPr>
            <w:r>
              <w:rPr>
                <w:b w:val="0"/>
              </w:rPr>
              <w:t>Wageningen University &amp; Research</w:t>
            </w:r>
          </w:p>
        </w:tc>
        <w:tc>
          <w:tcPr>
            <w:tcW w:w="1248" w:type="dxa"/>
            <w:noWrap/>
            <w:vAlign w:val="center"/>
            <w:hideMark/>
          </w:tcPr>
          <w:p w:rsidRPr="00BB2EAF" w:rsidR="000E4CB2" w:rsidP="001E61B3" w:rsidRDefault="000E4CB2" w14:paraId="682FFDD3"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Netherlands</w:t>
            </w:r>
          </w:p>
        </w:tc>
        <w:tc>
          <w:tcPr>
            <w:tcW w:w="1741" w:type="dxa"/>
            <w:noWrap/>
            <w:vAlign w:val="center"/>
            <w:hideMark/>
          </w:tcPr>
          <w:p w:rsidRPr="00BB2EAF" w:rsidR="000E4CB2" w:rsidP="001E61B3" w:rsidRDefault="000E4CB2" w14:paraId="14297367"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c>
          <w:tcPr>
            <w:tcW w:w="1520" w:type="dxa"/>
            <w:noWrap/>
            <w:vAlign w:val="center"/>
            <w:hideMark/>
          </w:tcPr>
          <w:p w:rsidRPr="00BB2EAF" w:rsidR="000E4CB2" w:rsidP="001E61B3" w:rsidRDefault="000E4CB2" w14:paraId="153CF18A"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r>
      <w:tr w:rsidRPr="00BB2EAF" w:rsidR="000E4CB2" w:rsidTr="001E61B3" w14:paraId="470D7F5D"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663F7385" w14:textId="77777777">
            <w:pPr>
              <w:spacing w:line="240" w:lineRule="auto"/>
              <w:jc w:val="left"/>
              <w:rPr>
                <w:b w:val="0"/>
                <w:bCs w:val="0"/>
              </w:rPr>
            </w:pPr>
            <w:r>
              <w:rPr>
                <w:b w:val="0"/>
                <w:color w:val="000000" w:themeColor="text1"/>
              </w:rPr>
              <w:t xml:space="preserve">ZLTO – farmers' and market gardeners' organisation </w:t>
            </w:r>
          </w:p>
        </w:tc>
        <w:tc>
          <w:tcPr>
            <w:tcW w:w="1248" w:type="dxa"/>
            <w:noWrap/>
            <w:vAlign w:val="center"/>
            <w:hideMark/>
          </w:tcPr>
          <w:p w:rsidRPr="00BB2EAF" w:rsidR="000E4CB2" w:rsidP="001E61B3" w:rsidRDefault="000E4CB2" w14:paraId="2B3FA9C2"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Netherlands</w:t>
            </w:r>
          </w:p>
        </w:tc>
        <w:tc>
          <w:tcPr>
            <w:tcW w:w="1741" w:type="dxa"/>
            <w:noWrap/>
            <w:vAlign w:val="center"/>
            <w:hideMark/>
          </w:tcPr>
          <w:p w:rsidRPr="00BB2EAF" w:rsidR="000E4CB2" w:rsidP="001E61B3" w:rsidRDefault="000E4CB2" w14:paraId="4460354B"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p>
        </w:tc>
        <w:tc>
          <w:tcPr>
            <w:tcW w:w="1520" w:type="dxa"/>
            <w:noWrap/>
            <w:vAlign w:val="center"/>
            <w:hideMark/>
          </w:tcPr>
          <w:p w:rsidRPr="00BB2EAF" w:rsidR="000E4CB2" w:rsidP="001E61B3" w:rsidRDefault="000E4CB2" w14:paraId="39E95277"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r>
      <w:tr w:rsidRPr="00BB2EAF" w:rsidR="000E4CB2" w:rsidTr="001E61B3" w14:paraId="15D180A6"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6BDBEE58" w14:textId="77777777">
            <w:pPr>
              <w:spacing w:line="240" w:lineRule="auto"/>
              <w:jc w:val="left"/>
              <w:rPr>
                <w:b w:val="0"/>
                <w:bCs w:val="0"/>
              </w:rPr>
            </w:pPr>
            <w:r>
              <w:rPr>
                <w:b w:val="0"/>
              </w:rPr>
              <w:t>Zuidelijke Land en Tuinbouw Organisatie</w:t>
            </w:r>
          </w:p>
        </w:tc>
        <w:tc>
          <w:tcPr>
            <w:tcW w:w="1248" w:type="dxa"/>
            <w:noWrap/>
            <w:vAlign w:val="center"/>
            <w:hideMark/>
          </w:tcPr>
          <w:p w:rsidRPr="00BB2EAF" w:rsidR="000E4CB2" w:rsidP="001E61B3" w:rsidRDefault="000E4CB2" w14:paraId="6F53A4D2"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Netherlands</w:t>
            </w:r>
          </w:p>
        </w:tc>
        <w:tc>
          <w:tcPr>
            <w:tcW w:w="1741" w:type="dxa"/>
            <w:noWrap/>
            <w:vAlign w:val="center"/>
            <w:hideMark/>
          </w:tcPr>
          <w:p w:rsidRPr="00BB2EAF" w:rsidR="000E4CB2" w:rsidP="001E61B3" w:rsidRDefault="000E4CB2" w14:paraId="76E6FA0E"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c>
          <w:tcPr>
            <w:tcW w:w="1520" w:type="dxa"/>
            <w:noWrap/>
            <w:vAlign w:val="center"/>
            <w:hideMark/>
          </w:tcPr>
          <w:p w:rsidRPr="00BB2EAF" w:rsidR="000E4CB2" w:rsidP="001E61B3" w:rsidRDefault="000E4CB2" w14:paraId="1613EF56"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p>
        </w:tc>
      </w:tr>
      <w:tr w:rsidRPr="00BB2EAF" w:rsidR="000E4CB2" w:rsidTr="001E61B3" w14:paraId="7729EDB7"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214121F2" w14:textId="77777777">
            <w:pPr>
              <w:spacing w:line="240" w:lineRule="auto"/>
              <w:jc w:val="left"/>
              <w:rPr>
                <w:b w:val="0"/>
                <w:bCs w:val="0"/>
              </w:rPr>
            </w:pPr>
            <w:r>
              <w:rPr>
                <w:b w:val="0"/>
              </w:rPr>
              <w:t>AECEF – Association of European Civil Engineering Faculties</w:t>
            </w:r>
          </w:p>
        </w:tc>
        <w:tc>
          <w:tcPr>
            <w:tcW w:w="1248" w:type="dxa"/>
            <w:noWrap/>
            <w:vAlign w:val="center"/>
            <w:hideMark/>
          </w:tcPr>
          <w:p w:rsidRPr="00BB2EAF" w:rsidR="000E4CB2" w:rsidP="001E61B3" w:rsidRDefault="000E4CB2" w14:paraId="5ABFF8E2"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Portugal</w:t>
            </w:r>
          </w:p>
        </w:tc>
        <w:tc>
          <w:tcPr>
            <w:tcW w:w="1741" w:type="dxa"/>
            <w:noWrap/>
            <w:vAlign w:val="center"/>
            <w:hideMark/>
          </w:tcPr>
          <w:p w:rsidRPr="00BB2EAF" w:rsidR="000E4CB2" w:rsidP="001E61B3" w:rsidRDefault="000E4CB2" w14:paraId="11BBEA3E"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c>
          <w:tcPr>
            <w:tcW w:w="1520" w:type="dxa"/>
            <w:noWrap/>
            <w:vAlign w:val="center"/>
            <w:hideMark/>
          </w:tcPr>
          <w:p w:rsidRPr="00BB2EAF" w:rsidR="000E4CB2" w:rsidP="001E61B3" w:rsidRDefault="000E4CB2" w14:paraId="711614D4"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p>
        </w:tc>
      </w:tr>
      <w:tr w:rsidRPr="00BB2EAF" w:rsidR="000E4CB2" w:rsidTr="001E61B3" w14:paraId="42CE0376" w14:textId="7777777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1E918A7B" w14:textId="77777777">
            <w:pPr>
              <w:spacing w:line="240" w:lineRule="auto"/>
              <w:jc w:val="left"/>
              <w:rPr>
                <w:b w:val="0"/>
                <w:bCs w:val="0"/>
              </w:rPr>
            </w:pPr>
            <w:r>
              <w:rPr>
                <w:b w:val="0"/>
              </w:rPr>
              <w:t>Altice Labs, SA</w:t>
            </w:r>
          </w:p>
        </w:tc>
        <w:tc>
          <w:tcPr>
            <w:tcW w:w="1248" w:type="dxa"/>
            <w:noWrap/>
            <w:vAlign w:val="center"/>
            <w:hideMark/>
          </w:tcPr>
          <w:p w:rsidRPr="00BB2EAF" w:rsidR="000E4CB2" w:rsidP="001E61B3" w:rsidRDefault="000E4CB2" w14:paraId="507A540B"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Portugal</w:t>
            </w:r>
          </w:p>
        </w:tc>
        <w:tc>
          <w:tcPr>
            <w:tcW w:w="1741" w:type="dxa"/>
            <w:noWrap/>
            <w:vAlign w:val="center"/>
            <w:hideMark/>
          </w:tcPr>
          <w:p w:rsidRPr="00BB2EAF" w:rsidR="000E4CB2" w:rsidP="001E61B3" w:rsidRDefault="000E4CB2" w14:paraId="7FF70F25"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c>
          <w:tcPr>
            <w:tcW w:w="1520" w:type="dxa"/>
            <w:noWrap/>
            <w:vAlign w:val="center"/>
            <w:hideMark/>
          </w:tcPr>
          <w:p w:rsidRPr="00BB2EAF" w:rsidR="000E4CB2" w:rsidP="001E61B3" w:rsidRDefault="000E4CB2" w14:paraId="440D06E3"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p>
        </w:tc>
      </w:tr>
      <w:tr w:rsidRPr="00BB2EAF" w:rsidR="000E4CB2" w:rsidTr="001E61B3" w14:paraId="414E3425" w14:textId="77777777">
        <w:trPr>
          <w:trHeight w:val="6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7467AD44" w14:textId="77777777">
            <w:pPr>
              <w:spacing w:line="240" w:lineRule="auto"/>
              <w:jc w:val="left"/>
              <w:rPr>
                <w:b w:val="0"/>
                <w:bCs w:val="0"/>
              </w:rPr>
            </w:pPr>
            <w:r>
              <w:rPr>
                <w:b w:val="0"/>
              </w:rPr>
              <w:t>CoLAB ForestWISE – Laboratorio Colaborativo para a Gestão Integrada da Floresta e do Fogo</w:t>
            </w:r>
          </w:p>
        </w:tc>
        <w:tc>
          <w:tcPr>
            <w:tcW w:w="1248" w:type="dxa"/>
            <w:noWrap/>
            <w:vAlign w:val="center"/>
            <w:hideMark/>
          </w:tcPr>
          <w:p w:rsidRPr="00BB2EAF" w:rsidR="000E4CB2" w:rsidP="001E61B3" w:rsidRDefault="000E4CB2" w14:paraId="486EFD05"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Portugal</w:t>
            </w:r>
          </w:p>
        </w:tc>
        <w:tc>
          <w:tcPr>
            <w:tcW w:w="1741" w:type="dxa"/>
            <w:noWrap/>
            <w:vAlign w:val="center"/>
            <w:hideMark/>
          </w:tcPr>
          <w:p w:rsidRPr="00BB2EAF" w:rsidR="000E4CB2" w:rsidP="001E61B3" w:rsidRDefault="000E4CB2" w14:paraId="64ED7145"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c>
          <w:tcPr>
            <w:tcW w:w="1520" w:type="dxa"/>
            <w:noWrap/>
            <w:vAlign w:val="center"/>
            <w:hideMark/>
          </w:tcPr>
          <w:p w:rsidRPr="00BB2EAF" w:rsidR="000E4CB2" w:rsidP="001E61B3" w:rsidRDefault="000E4CB2" w14:paraId="041F56B6"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r>
      <w:tr w:rsidRPr="00BB2EAF" w:rsidR="000E4CB2" w:rsidTr="001E61B3" w14:paraId="10D250CB" w14:textId="7777777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703359D6" w14:textId="77777777">
            <w:pPr>
              <w:spacing w:line="240" w:lineRule="auto"/>
              <w:jc w:val="left"/>
              <w:rPr>
                <w:b w:val="0"/>
                <w:bCs w:val="0"/>
              </w:rPr>
            </w:pPr>
            <w:r>
              <w:rPr>
                <w:b w:val="0"/>
              </w:rPr>
              <w:t>FeedInov CoLAB</w:t>
            </w:r>
          </w:p>
        </w:tc>
        <w:tc>
          <w:tcPr>
            <w:tcW w:w="1248" w:type="dxa"/>
            <w:noWrap/>
            <w:vAlign w:val="center"/>
            <w:hideMark/>
          </w:tcPr>
          <w:p w:rsidRPr="00BB2EAF" w:rsidR="000E4CB2" w:rsidP="001E61B3" w:rsidRDefault="000E4CB2" w14:paraId="7D0A643E"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Portugal</w:t>
            </w:r>
          </w:p>
        </w:tc>
        <w:tc>
          <w:tcPr>
            <w:tcW w:w="1741" w:type="dxa"/>
            <w:noWrap/>
            <w:vAlign w:val="center"/>
            <w:hideMark/>
          </w:tcPr>
          <w:p w:rsidRPr="00BB2EAF" w:rsidR="000E4CB2" w:rsidP="001E61B3" w:rsidRDefault="000E4CB2" w14:paraId="12B4A852"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c>
          <w:tcPr>
            <w:tcW w:w="1520" w:type="dxa"/>
            <w:noWrap/>
            <w:vAlign w:val="center"/>
            <w:hideMark/>
          </w:tcPr>
          <w:p w:rsidRPr="00BB2EAF" w:rsidR="000E4CB2" w:rsidP="001E61B3" w:rsidRDefault="000E4CB2" w14:paraId="37AA06C4"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p>
        </w:tc>
      </w:tr>
      <w:tr w:rsidRPr="00BB2EAF" w:rsidR="000E4CB2" w:rsidTr="001E61B3" w14:paraId="49A7CEFA"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6F722913" w14:textId="77777777">
            <w:pPr>
              <w:spacing w:line="240" w:lineRule="auto"/>
              <w:jc w:val="left"/>
              <w:rPr>
                <w:b w:val="0"/>
                <w:bCs w:val="0"/>
              </w:rPr>
            </w:pPr>
            <w:r>
              <w:rPr>
                <w:b w:val="0"/>
              </w:rPr>
              <w:t>Fundação para a Ciência e a Tecnologia</w:t>
            </w:r>
          </w:p>
        </w:tc>
        <w:tc>
          <w:tcPr>
            <w:tcW w:w="1248" w:type="dxa"/>
            <w:noWrap/>
            <w:vAlign w:val="center"/>
            <w:hideMark/>
          </w:tcPr>
          <w:p w:rsidRPr="00BB2EAF" w:rsidR="000E4CB2" w:rsidP="001E61B3" w:rsidRDefault="000E4CB2" w14:paraId="099EB9FD"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Portugal</w:t>
            </w:r>
          </w:p>
        </w:tc>
        <w:tc>
          <w:tcPr>
            <w:tcW w:w="1741" w:type="dxa"/>
            <w:noWrap/>
            <w:vAlign w:val="center"/>
            <w:hideMark/>
          </w:tcPr>
          <w:p w:rsidRPr="00BB2EAF" w:rsidR="000E4CB2" w:rsidP="001E61B3" w:rsidRDefault="000E4CB2" w14:paraId="2951CA98"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c>
          <w:tcPr>
            <w:tcW w:w="1520" w:type="dxa"/>
            <w:noWrap/>
            <w:vAlign w:val="center"/>
            <w:hideMark/>
          </w:tcPr>
          <w:p w:rsidRPr="00BB2EAF" w:rsidR="000E4CB2" w:rsidP="001E61B3" w:rsidRDefault="000E4CB2" w14:paraId="41D5FF16"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p>
        </w:tc>
      </w:tr>
      <w:tr w:rsidRPr="00BB2EAF" w:rsidR="000E4CB2" w:rsidTr="001E61B3" w14:paraId="0BB4BC9A"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45BC1A72" w14:textId="77777777">
            <w:pPr>
              <w:spacing w:line="240" w:lineRule="auto"/>
              <w:jc w:val="left"/>
              <w:rPr>
                <w:b w:val="0"/>
                <w:bCs w:val="0"/>
              </w:rPr>
            </w:pPr>
            <w:r>
              <w:rPr>
                <w:b w:val="0"/>
              </w:rPr>
              <w:t>Instituto de Medicina Molecular</w:t>
            </w:r>
          </w:p>
        </w:tc>
        <w:tc>
          <w:tcPr>
            <w:tcW w:w="1248" w:type="dxa"/>
            <w:noWrap/>
            <w:vAlign w:val="center"/>
            <w:hideMark/>
          </w:tcPr>
          <w:p w:rsidRPr="00BB2EAF" w:rsidR="000E4CB2" w:rsidP="001E61B3" w:rsidRDefault="000E4CB2" w14:paraId="5C4F6825"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Portugal</w:t>
            </w:r>
          </w:p>
        </w:tc>
        <w:tc>
          <w:tcPr>
            <w:tcW w:w="1741" w:type="dxa"/>
            <w:noWrap/>
            <w:vAlign w:val="center"/>
            <w:hideMark/>
          </w:tcPr>
          <w:p w:rsidRPr="00BB2EAF" w:rsidR="000E4CB2" w:rsidP="001E61B3" w:rsidRDefault="000E4CB2" w14:paraId="6D5B4062"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c>
          <w:tcPr>
            <w:tcW w:w="1520" w:type="dxa"/>
            <w:noWrap/>
            <w:vAlign w:val="center"/>
            <w:hideMark/>
          </w:tcPr>
          <w:p w:rsidRPr="00BB2EAF" w:rsidR="000E4CB2" w:rsidP="001E61B3" w:rsidRDefault="000E4CB2" w14:paraId="60C1F3D9"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r>
      <w:tr w:rsidRPr="00BB2EAF" w:rsidR="000E4CB2" w:rsidTr="001E61B3" w14:paraId="2E679E9C"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2FB42195" w14:textId="77777777">
            <w:pPr>
              <w:spacing w:line="240" w:lineRule="auto"/>
              <w:jc w:val="left"/>
              <w:rPr>
                <w:b w:val="0"/>
                <w:bCs w:val="0"/>
              </w:rPr>
            </w:pPr>
            <w:r>
              <w:rPr>
                <w:b w:val="0"/>
              </w:rPr>
              <w:t>International Iberian Nanotechnology Laboratory</w:t>
            </w:r>
          </w:p>
        </w:tc>
        <w:tc>
          <w:tcPr>
            <w:tcW w:w="1248" w:type="dxa"/>
            <w:noWrap/>
            <w:vAlign w:val="center"/>
            <w:hideMark/>
          </w:tcPr>
          <w:p w:rsidRPr="00BB2EAF" w:rsidR="000E4CB2" w:rsidP="001E61B3" w:rsidRDefault="000E4CB2" w14:paraId="2C792F77"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Portugal</w:t>
            </w:r>
          </w:p>
        </w:tc>
        <w:tc>
          <w:tcPr>
            <w:tcW w:w="1741" w:type="dxa"/>
            <w:noWrap/>
            <w:vAlign w:val="center"/>
            <w:hideMark/>
          </w:tcPr>
          <w:p w:rsidRPr="00BB2EAF" w:rsidR="000E4CB2" w:rsidP="001E61B3" w:rsidRDefault="000E4CB2" w14:paraId="401EB602"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c>
          <w:tcPr>
            <w:tcW w:w="1520" w:type="dxa"/>
            <w:noWrap/>
            <w:vAlign w:val="center"/>
            <w:hideMark/>
          </w:tcPr>
          <w:p w:rsidRPr="00BB2EAF" w:rsidR="000E4CB2" w:rsidP="001E61B3" w:rsidRDefault="000E4CB2" w14:paraId="75393308"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r>
      <w:tr w:rsidRPr="00BB2EAF" w:rsidR="000E4CB2" w:rsidTr="001E61B3" w14:paraId="507DE643" w14:textId="77777777">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583CA54E" w14:textId="77777777">
            <w:pPr>
              <w:spacing w:line="240" w:lineRule="auto"/>
              <w:jc w:val="left"/>
              <w:rPr>
                <w:b w:val="0"/>
                <w:bCs w:val="0"/>
              </w:rPr>
            </w:pPr>
            <w:r>
              <w:rPr>
                <w:b w:val="0"/>
              </w:rPr>
              <w:t>L.C.S.D. – Associação Data Colab – Laboratório Colaborativo Para Serviços de Inovação Orientados Para Os Dados</w:t>
            </w:r>
          </w:p>
        </w:tc>
        <w:tc>
          <w:tcPr>
            <w:tcW w:w="1248" w:type="dxa"/>
            <w:noWrap/>
            <w:vAlign w:val="center"/>
            <w:hideMark/>
          </w:tcPr>
          <w:p w:rsidRPr="00BB2EAF" w:rsidR="000E4CB2" w:rsidP="001E61B3" w:rsidRDefault="000E4CB2" w14:paraId="299E8AFD"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Portugal</w:t>
            </w:r>
          </w:p>
        </w:tc>
        <w:tc>
          <w:tcPr>
            <w:tcW w:w="1741" w:type="dxa"/>
            <w:noWrap/>
            <w:vAlign w:val="center"/>
            <w:hideMark/>
          </w:tcPr>
          <w:p w:rsidRPr="00BB2EAF" w:rsidR="000E4CB2" w:rsidP="001E61B3" w:rsidRDefault="000E4CB2" w14:paraId="4246C3BB"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c>
          <w:tcPr>
            <w:tcW w:w="1520" w:type="dxa"/>
            <w:noWrap/>
            <w:vAlign w:val="center"/>
            <w:hideMark/>
          </w:tcPr>
          <w:p w:rsidRPr="00BB2EAF" w:rsidR="000E4CB2" w:rsidP="001E61B3" w:rsidRDefault="000E4CB2" w14:paraId="2FCFC323"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p>
        </w:tc>
      </w:tr>
      <w:tr w:rsidRPr="00BB2EAF" w:rsidR="000E4CB2" w:rsidTr="001E61B3" w14:paraId="2CDA9B12"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08F77C4C" w14:textId="77777777">
            <w:pPr>
              <w:spacing w:line="240" w:lineRule="auto"/>
              <w:jc w:val="left"/>
              <w:rPr>
                <w:b w:val="0"/>
                <w:bCs w:val="0"/>
              </w:rPr>
            </w:pPr>
            <w:r>
              <w:rPr>
                <w:b w:val="0"/>
              </w:rPr>
              <w:t>MORE CoLAB</w:t>
            </w:r>
          </w:p>
        </w:tc>
        <w:tc>
          <w:tcPr>
            <w:tcW w:w="1248" w:type="dxa"/>
            <w:noWrap/>
            <w:vAlign w:val="center"/>
            <w:hideMark/>
          </w:tcPr>
          <w:p w:rsidRPr="00BB2EAF" w:rsidR="000E4CB2" w:rsidP="001E61B3" w:rsidRDefault="000E4CB2" w14:paraId="19682EED"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Portugal</w:t>
            </w:r>
          </w:p>
        </w:tc>
        <w:tc>
          <w:tcPr>
            <w:tcW w:w="1741" w:type="dxa"/>
            <w:noWrap/>
            <w:vAlign w:val="center"/>
            <w:hideMark/>
          </w:tcPr>
          <w:p w:rsidRPr="00BB2EAF" w:rsidR="000E4CB2" w:rsidP="001E61B3" w:rsidRDefault="000E4CB2" w14:paraId="4CDD003B"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c>
          <w:tcPr>
            <w:tcW w:w="1520" w:type="dxa"/>
            <w:noWrap/>
            <w:vAlign w:val="center"/>
            <w:hideMark/>
          </w:tcPr>
          <w:p w:rsidRPr="00BB2EAF" w:rsidR="000E4CB2" w:rsidP="001E61B3" w:rsidRDefault="000E4CB2" w14:paraId="555EB1DF"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p>
        </w:tc>
      </w:tr>
      <w:tr w:rsidRPr="00BB2EAF" w:rsidR="000E4CB2" w:rsidTr="001E61B3" w14:paraId="2C221944"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597BB9F5" w14:textId="77777777">
            <w:pPr>
              <w:spacing w:line="240" w:lineRule="auto"/>
              <w:jc w:val="left"/>
              <w:rPr>
                <w:b w:val="0"/>
                <w:bCs w:val="0"/>
              </w:rPr>
            </w:pPr>
            <w:r>
              <w:rPr>
                <w:b w:val="0"/>
              </w:rPr>
              <w:t>University of Coimbra</w:t>
            </w:r>
          </w:p>
        </w:tc>
        <w:tc>
          <w:tcPr>
            <w:tcW w:w="1248" w:type="dxa"/>
            <w:noWrap/>
            <w:vAlign w:val="center"/>
            <w:hideMark/>
          </w:tcPr>
          <w:p w:rsidRPr="00BB2EAF" w:rsidR="000E4CB2" w:rsidP="001E61B3" w:rsidRDefault="000E4CB2" w14:paraId="7A99E396"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Portugal</w:t>
            </w:r>
          </w:p>
        </w:tc>
        <w:tc>
          <w:tcPr>
            <w:tcW w:w="1741" w:type="dxa"/>
            <w:noWrap/>
            <w:vAlign w:val="center"/>
            <w:hideMark/>
          </w:tcPr>
          <w:p w:rsidRPr="00BB2EAF" w:rsidR="000E4CB2" w:rsidP="001E61B3" w:rsidRDefault="000E4CB2" w14:paraId="7CBCEDCB"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c>
          <w:tcPr>
            <w:tcW w:w="1520" w:type="dxa"/>
            <w:noWrap/>
            <w:vAlign w:val="center"/>
            <w:hideMark/>
          </w:tcPr>
          <w:p w:rsidRPr="00BB2EAF" w:rsidR="000E4CB2" w:rsidP="001E61B3" w:rsidRDefault="000E4CB2" w14:paraId="76FB9222"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p>
        </w:tc>
      </w:tr>
      <w:tr w:rsidRPr="00BB2EAF" w:rsidR="000E4CB2" w:rsidTr="001E61B3" w14:paraId="49F2A970"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3330035F" w14:textId="77777777">
            <w:pPr>
              <w:spacing w:line="240" w:lineRule="auto"/>
              <w:jc w:val="left"/>
              <w:rPr>
                <w:b w:val="0"/>
                <w:bCs w:val="0"/>
              </w:rPr>
            </w:pPr>
            <w:r>
              <w:rPr>
                <w:b w:val="0"/>
              </w:rPr>
              <w:t>University of Coimbra, Liaison with the business sector</w:t>
            </w:r>
          </w:p>
        </w:tc>
        <w:tc>
          <w:tcPr>
            <w:tcW w:w="1248" w:type="dxa"/>
            <w:noWrap/>
            <w:vAlign w:val="center"/>
            <w:hideMark/>
          </w:tcPr>
          <w:p w:rsidRPr="00BB2EAF" w:rsidR="000E4CB2" w:rsidP="001E61B3" w:rsidRDefault="000E4CB2" w14:paraId="53FE19CB"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Portugal</w:t>
            </w:r>
          </w:p>
        </w:tc>
        <w:tc>
          <w:tcPr>
            <w:tcW w:w="1741" w:type="dxa"/>
            <w:noWrap/>
            <w:vAlign w:val="center"/>
            <w:hideMark/>
          </w:tcPr>
          <w:p w:rsidRPr="00BB2EAF" w:rsidR="000E4CB2" w:rsidP="001E61B3" w:rsidRDefault="000E4CB2" w14:paraId="5630691F"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p>
        </w:tc>
        <w:tc>
          <w:tcPr>
            <w:tcW w:w="1520" w:type="dxa"/>
            <w:noWrap/>
            <w:vAlign w:val="center"/>
            <w:hideMark/>
          </w:tcPr>
          <w:p w:rsidRPr="00BB2EAF" w:rsidR="000E4CB2" w:rsidP="001E61B3" w:rsidRDefault="000E4CB2" w14:paraId="1A3DA514"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r>
      <w:tr w:rsidRPr="00BB2EAF" w:rsidR="000E4CB2" w:rsidTr="001E61B3" w14:paraId="79035AAE"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7D5AF7DD" w14:textId="77777777">
            <w:pPr>
              <w:spacing w:line="240" w:lineRule="auto"/>
              <w:jc w:val="left"/>
              <w:rPr>
                <w:b w:val="0"/>
                <w:bCs w:val="0"/>
              </w:rPr>
            </w:pPr>
            <w:r>
              <w:rPr>
                <w:b w:val="0"/>
              </w:rPr>
              <w:t>University of Coimbra, Research Management Service</w:t>
            </w:r>
          </w:p>
        </w:tc>
        <w:tc>
          <w:tcPr>
            <w:tcW w:w="1248" w:type="dxa"/>
            <w:noWrap/>
            <w:vAlign w:val="center"/>
            <w:hideMark/>
          </w:tcPr>
          <w:p w:rsidRPr="00BB2EAF" w:rsidR="000E4CB2" w:rsidP="001E61B3" w:rsidRDefault="000E4CB2" w14:paraId="25E3D2BF"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Portugal</w:t>
            </w:r>
          </w:p>
        </w:tc>
        <w:tc>
          <w:tcPr>
            <w:tcW w:w="1741" w:type="dxa"/>
            <w:noWrap/>
            <w:vAlign w:val="center"/>
            <w:hideMark/>
          </w:tcPr>
          <w:p w:rsidRPr="00BB2EAF" w:rsidR="000E4CB2" w:rsidP="001E61B3" w:rsidRDefault="000E4CB2" w14:paraId="3018ADCC"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p>
        </w:tc>
        <w:tc>
          <w:tcPr>
            <w:tcW w:w="1520" w:type="dxa"/>
            <w:noWrap/>
            <w:vAlign w:val="center"/>
            <w:hideMark/>
          </w:tcPr>
          <w:p w:rsidRPr="00BB2EAF" w:rsidR="000E4CB2" w:rsidP="001E61B3" w:rsidRDefault="000E4CB2" w14:paraId="3DD03EBB"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r>
      <w:tr w:rsidRPr="00BB2EAF" w:rsidR="000E4CB2" w:rsidTr="001E61B3" w14:paraId="024C8791"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10BAC1BF" w14:textId="77777777">
            <w:pPr>
              <w:spacing w:line="240" w:lineRule="auto"/>
              <w:jc w:val="left"/>
              <w:rPr>
                <w:b w:val="0"/>
                <w:bCs w:val="0"/>
              </w:rPr>
            </w:pPr>
            <w:r>
              <w:rPr>
                <w:b w:val="0"/>
              </w:rPr>
              <w:t>WavEC Offshore Renewables</w:t>
            </w:r>
          </w:p>
        </w:tc>
        <w:tc>
          <w:tcPr>
            <w:tcW w:w="1248" w:type="dxa"/>
            <w:noWrap/>
            <w:vAlign w:val="center"/>
            <w:hideMark/>
          </w:tcPr>
          <w:p w:rsidRPr="00BB2EAF" w:rsidR="000E4CB2" w:rsidP="001E61B3" w:rsidRDefault="000E4CB2" w14:paraId="67A76BAA"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Portugal</w:t>
            </w:r>
          </w:p>
        </w:tc>
        <w:tc>
          <w:tcPr>
            <w:tcW w:w="1741" w:type="dxa"/>
            <w:noWrap/>
            <w:vAlign w:val="center"/>
            <w:hideMark/>
          </w:tcPr>
          <w:p w:rsidRPr="00BB2EAF" w:rsidR="000E4CB2" w:rsidP="001E61B3" w:rsidRDefault="000E4CB2" w14:paraId="1CDA4A34"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c>
          <w:tcPr>
            <w:tcW w:w="1520" w:type="dxa"/>
            <w:noWrap/>
            <w:vAlign w:val="center"/>
            <w:hideMark/>
          </w:tcPr>
          <w:p w:rsidRPr="00BB2EAF" w:rsidR="000E4CB2" w:rsidP="001E61B3" w:rsidRDefault="000E4CB2" w14:paraId="7D5D6083"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r>
    </w:tbl>
    <w:p w:rsidRPr="00BB2EAF" w:rsidR="003860C1" w:rsidP="002934A0" w:rsidRDefault="000E4CB2" w14:paraId="6945CB4D" w14:textId="51E91F8D">
      <w:pPr>
        <w:overflowPunct/>
        <w:autoSpaceDE/>
        <w:autoSpaceDN/>
        <w:adjustRightInd/>
        <w:jc w:val="center"/>
        <w:textAlignment w:val="auto"/>
      </w:pPr>
      <w:bookmarkStart w:name="_GoBack" w:id="38"/>
      <w:bookmarkEnd w:id="38"/>
      <w:r>
        <w:t>______________</w:t>
      </w:r>
    </w:p>
    <w:sectPr w:rsidRPr="00BB2EAF" w:rsidR="003860C1" w:rsidSect="0042578F">
      <w:headerReference w:type="even" r:id="rId70"/>
      <w:headerReference w:type="default" r:id="rId71"/>
      <w:footerReference w:type="even" r:id="rId72"/>
      <w:footerReference w:type="default" r:id="rId73"/>
      <w:headerReference w:type="first" r:id="rId74"/>
      <w:footerReference w:type="first" r:id="rId75"/>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897545" w14:textId="77777777" w:rsidR="00693656" w:rsidRDefault="00693656">
      <w:r>
        <w:separator/>
      </w:r>
    </w:p>
  </w:endnote>
  <w:endnote w:type="continuationSeparator" w:id="0">
    <w:p w14:paraId="68D930A9" w14:textId="77777777" w:rsidR="00693656" w:rsidRDefault="00693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7953D" w14:textId="77777777" w:rsidR="004511F3" w:rsidRDefault="004511F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22A56" w14:textId="77777777" w:rsidR="00A26DAF" w:rsidRPr="0042578F" w:rsidRDefault="00A26DAF" w:rsidP="004257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C000F" w14:textId="77777777" w:rsidR="004511F3" w:rsidRDefault="004511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1D24F" w14:textId="77777777" w:rsidR="004511F3" w:rsidRDefault="004511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D2F28" w14:textId="77777777" w:rsidR="000B1578" w:rsidRDefault="000B157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19AEB" w14:textId="77777777" w:rsidR="000E4CB2" w:rsidRPr="0042578F" w:rsidRDefault="000E4CB2" w:rsidP="0042578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DC103" w14:textId="03F0DB77" w:rsidR="000E4CB2" w:rsidRPr="0042578F" w:rsidRDefault="0042578F" w:rsidP="0042578F">
    <w:pPr>
      <w:pStyle w:val="Footer"/>
    </w:pPr>
    <w:r>
      <w:t xml:space="preserve">INT/974 – EESC-2022-03850-00-00-RE-TRA (EN) </w:t>
    </w:r>
    <w:r>
      <w:fldChar w:fldCharType="begin"/>
    </w:r>
    <w:r>
      <w:instrText xml:space="preserve"> PAGE  \* Arabic  \* MERGEFORMAT </w:instrText>
    </w:r>
    <w:r>
      <w:fldChar w:fldCharType="separate"/>
    </w:r>
    <w:r w:rsidR="00363A3B">
      <w:rPr>
        <w:noProof/>
      </w:rPr>
      <w:t>7</w:t>
    </w:r>
    <w:r>
      <w:fldChar w:fldCharType="end"/>
    </w:r>
    <w:r>
      <w:t>/</w:t>
    </w:r>
    <w:fldSimple w:instr=" NUMPAGES ">
      <w:r w:rsidR="00363A3B">
        <w:rPr>
          <w:noProof/>
        </w:rPr>
        <w:t>46</w:t>
      </w:r>
    </w:fldSimple>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342E1" w14:textId="77777777" w:rsidR="000E4CB2" w:rsidRPr="0042578F" w:rsidRDefault="000E4CB2" w:rsidP="0042578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22A53" w14:textId="77777777" w:rsidR="00A26DAF" w:rsidRPr="0042578F" w:rsidRDefault="00A26DAF" w:rsidP="0042578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22A54" w14:textId="4F66AE4F" w:rsidR="00A26DAF" w:rsidRPr="0042578F" w:rsidRDefault="0042578F" w:rsidP="0042578F">
    <w:pPr>
      <w:pStyle w:val="Footer"/>
    </w:pPr>
    <w:r>
      <w:t xml:space="preserve">INT/974 – EESC-2022-03850-00-00-RESE-TRA (EN) </w:t>
    </w:r>
    <w:r>
      <w:fldChar w:fldCharType="begin"/>
    </w:r>
    <w:r>
      <w:instrText xml:space="preserve"> PAGE  \* Arabic  \* MERGEFORMAT </w:instrText>
    </w:r>
    <w:r>
      <w:fldChar w:fldCharType="separate"/>
    </w:r>
    <w:r w:rsidR="00363A3B">
      <w:rPr>
        <w:noProof/>
      </w:rPr>
      <w:t>46</w:t>
    </w:r>
    <w:r>
      <w:fldChar w:fldCharType="end"/>
    </w:r>
    <w:r>
      <w:t>/</w:t>
    </w:r>
    <w:fldSimple w:instr=" NUMPAGES ">
      <w:r w:rsidR="00363A3B">
        <w:rPr>
          <w:noProof/>
        </w:rPr>
        <w:t>46</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BE96F9" w14:textId="77777777" w:rsidR="00693656" w:rsidRDefault="00693656">
      <w:r>
        <w:separator/>
      </w:r>
    </w:p>
  </w:footnote>
  <w:footnote w:type="continuationSeparator" w:id="0">
    <w:p w14:paraId="520F075E" w14:textId="77777777" w:rsidR="00693656" w:rsidRDefault="00693656">
      <w:r>
        <w:continuationSeparator/>
      </w:r>
    </w:p>
  </w:footnote>
  <w:footnote w:id="1">
    <w:p w14:paraId="596B0932" w14:textId="77777777" w:rsidR="000E4CB2" w:rsidRPr="00216D93" w:rsidRDefault="000E4CB2" w:rsidP="000E4CB2">
      <w:pPr>
        <w:pStyle w:val="FootnoteText"/>
        <w:ind w:left="567" w:hanging="567"/>
      </w:pPr>
      <w:r>
        <w:rPr>
          <w:rStyle w:val="FootnoteReference"/>
        </w:rPr>
        <w:footnoteRef/>
      </w:r>
      <w:r>
        <w:tab/>
        <w:t xml:space="preserve">H2020 country profile: Croatia </w:t>
      </w:r>
      <w:hyperlink r:id="rId1" w:history="1">
        <w:r>
          <w:rPr>
            <w:rStyle w:val="Hyperlink"/>
          </w:rPr>
          <w:t>https://webgate.ec.europa.eu/dashboard/sense/app/a976d168-2023-41d8-acec-e77640154726/sheet/0c8af38b-b73c-4da2-ba41-73ea34ab7ac4/state/analysis/select/Country/Croatia</w:t>
        </w:r>
      </w:hyperlink>
      <w:r>
        <w:rPr>
          <w:rStyle w:val="Hyperlink"/>
          <w:color w:val="auto"/>
          <w:u w:val="none"/>
        </w:rPr>
        <w:t>.</w:t>
      </w:r>
      <w:r>
        <w:t xml:space="preserve"> </w:t>
      </w:r>
    </w:p>
  </w:footnote>
  <w:footnote w:id="2">
    <w:p w14:paraId="7A4C9DE6" w14:textId="0E2B7F01" w:rsidR="000E4CB2" w:rsidRPr="009213BE" w:rsidRDefault="000E4CB2" w:rsidP="000E4CB2">
      <w:pPr>
        <w:pStyle w:val="FootnoteText"/>
        <w:ind w:left="567" w:hanging="567"/>
      </w:pPr>
      <w:r>
        <w:rPr>
          <w:rStyle w:val="FootnoteReference"/>
        </w:rPr>
        <w:footnoteRef/>
      </w:r>
      <w:r>
        <w:tab/>
        <w:t xml:space="preserve">H2020 country profile: Latvia </w:t>
      </w:r>
      <w:hyperlink r:id="rId2" w:history="1">
        <w:r>
          <w:rPr>
            <w:rStyle w:val="Hyperlink"/>
          </w:rPr>
          <w:t>https://webgate.ec.europa.eu/dashboard/sense/app/a976d168-2023-41d8-acec-e77640154726/sheet/0c8af38b-b73c-4da2-ba41-73ea34ab7ac4/state/analysis/select/Country/Latvia</w:t>
        </w:r>
      </w:hyperlink>
      <w:r>
        <w:t>.</w:t>
      </w:r>
    </w:p>
  </w:footnote>
  <w:footnote w:id="3">
    <w:p w14:paraId="68527F7B" w14:textId="77777777" w:rsidR="000E4CB2" w:rsidRPr="00953D12" w:rsidRDefault="000E4CB2" w:rsidP="000E4CB2">
      <w:pPr>
        <w:pStyle w:val="FootnoteText"/>
        <w:ind w:left="567" w:hanging="567"/>
      </w:pPr>
      <w:r>
        <w:rPr>
          <w:rStyle w:val="FootnoteReference"/>
        </w:rPr>
        <w:footnoteRef/>
      </w:r>
      <w:r>
        <w:tab/>
        <w:t xml:space="preserve">H2020 country profile: the Netherlands </w:t>
      </w:r>
      <w:hyperlink r:id="rId3" w:history="1">
        <w:r>
          <w:rPr>
            <w:rStyle w:val="Hyperlink"/>
          </w:rPr>
          <w:t>https://webgate.ec.europa.eu/dashboard/sense/app/a976d168-2023-41d8-acec-e77640154726/sheet/0c8af38b-b73c-4da2-ba41-73ea34ab7ac4/state/analysis/select/Country/Netherlands</w:t>
        </w:r>
      </w:hyperlink>
      <w:r>
        <w:t xml:space="preserve">. </w:t>
      </w:r>
    </w:p>
  </w:footnote>
  <w:footnote w:id="4">
    <w:p w14:paraId="3FF1867F" w14:textId="5719BD34" w:rsidR="000E4CB2" w:rsidRPr="00216D93" w:rsidRDefault="000E4CB2" w:rsidP="000E4CB2">
      <w:pPr>
        <w:pStyle w:val="FootnoteText"/>
        <w:ind w:left="567" w:hanging="567"/>
      </w:pPr>
      <w:r>
        <w:rPr>
          <w:rStyle w:val="FootnoteReference"/>
        </w:rPr>
        <w:footnoteRef/>
      </w:r>
      <w:r>
        <w:tab/>
        <w:t xml:space="preserve">H2020 country profile: Portugal </w:t>
      </w:r>
      <w:hyperlink r:id="rId4" w:history="1">
        <w:r>
          <w:rPr>
            <w:rStyle w:val="Hyperlink"/>
          </w:rPr>
          <w:t>https://webgate.ec.europa.eu/dashboard/sense/app/a976d168-2023-41d8-acec-e77640154726/sheet/0c8af38b-b73c-4da2-ba41-73ea34ab7ac4/state/analysis/select/Country/Portugal</w:t>
        </w:r>
      </w:hyperlink>
      <w:r>
        <w:t>.</w:t>
      </w:r>
    </w:p>
  </w:footnote>
  <w:footnote w:id="5">
    <w:p w14:paraId="2FC196CC" w14:textId="77777777" w:rsidR="000E4CB2" w:rsidRPr="007F4575" w:rsidRDefault="000E4CB2" w:rsidP="000E4CB2">
      <w:pPr>
        <w:pStyle w:val="FootnoteText"/>
        <w:ind w:left="567" w:hanging="567"/>
      </w:pPr>
      <w:r>
        <w:rPr>
          <w:rStyle w:val="FootnoteReference"/>
        </w:rPr>
        <w:footnoteRef/>
      </w:r>
      <w:r>
        <w:tab/>
      </w:r>
      <w:hyperlink r:id="rId5" w:history="1">
        <w:r>
          <w:rPr>
            <w:rStyle w:val="Hyperlink"/>
          </w:rPr>
          <w:t>https://commission.europa.eu/system/files/2022-06/br_toolbox_-_nov_2021_-_chapter_6.pdf</w:t>
        </w:r>
      </w:hyperlink>
      <w:r>
        <w:t xml:space="preserve">, p.403. </w:t>
      </w:r>
    </w:p>
  </w:footnote>
  <w:footnote w:id="6">
    <w:p w14:paraId="30C2CFBA" w14:textId="77777777" w:rsidR="000E4CB2" w:rsidRPr="00B17812" w:rsidRDefault="000E4CB2" w:rsidP="000E4CB2">
      <w:pPr>
        <w:pStyle w:val="FootnoteText"/>
        <w:ind w:left="567" w:hanging="567"/>
      </w:pPr>
      <w:r>
        <w:rPr>
          <w:rStyle w:val="FootnoteReference"/>
        </w:rPr>
        <w:footnoteRef/>
      </w:r>
      <w:r>
        <w:tab/>
      </w:r>
      <w:hyperlink r:id="rId6" w:history="1">
        <w:r>
          <w:rPr>
            <w:rStyle w:val="Hyperlink"/>
          </w:rPr>
          <w:t>https://ies.lublin.pl/en/instytut/about-the-institute/</w:t>
        </w:r>
      </w:hyperlink>
      <w:r>
        <w:t xml:space="preserve">. </w:t>
      </w:r>
    </w:p>
  </w:footnote>
  <w:footnote w:id="7">
    <w:p w14:paraId="3CA7CE37" w14:textId="44F2AF30" w:rsidR="000E4CB2" w:rsidRPr="00256282" w:rsidRDefault="000E4CB2" w:rsidP="000E4CB2">
      <w:pPr>
        <w:pStyle w:val="FootnoteText"/>
        <w:ind w:left="567" w:hanging="567"/>
      </w:pPr>
      <w:r>
        <w:rPr>
          <w:rStyle w:val="FootnoteReference"/>
        </w:rPr>
        <w:footnoteRef/>
      </w:r>
      <w:r>
        <w:tab/>
      </w:r>
      <w:hyperlink r:id="rId7" w:history="1">
        <w:r>
          <w:rPr>
            <w:rStyle w:val="Hyperlink"/>
          </w:rPr>
          <w:t>https://commission.europa.eu/system/files/2022-06/br_toolbox_-_nov_2021_-_chapter_6.pdf</w:t>
        </w:r>
      </w:hyperlink>
      <w:r>
        <w:t>, p. 407.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DE1F3" w14:textId="77777777" w:rsidR="000B1578" w:rsidRDefault="006B2DFA">
    <w:pPr>
      <w:pStyle w:val="Header"/>
    </w:pPr>
    <w:r>
      <w:pict w14:anchorId="1C61B0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4" o:spid="_x0000_s2050" type="#_x0000_t75" style="position:absolute;left:0;text-align:left;margin-left:0;margin-top:0;width:598.15pt;height:843.9pt;z-index:-251658752;mso-position-horizontal:center;mso-position-horizontal-relative:margin;mso-position-vertical:center;mso-position-vertical-relative:margin" o:allowincell="f">
          <v:imagedata r:id="rId1" o:title="background watermark with footer"/>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22A51" w14:textId="77777777" w:rsidR="00A26DAF" w:rsidRPr="0042578F" w:rsidRDefault="00A26DAF" w:rsidP="0042578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22A52" w14:textId="631A9FB5" w:rsidR="00A26DAF" w:rsidRPr="0042578F" w:rsidRDefault="00A26DAF" w:rsidP="0042578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22A55" w14:textId="77777777" w:rsidR="00A26DAF" w:rsidRPr="0042578F" w:rsidRDefault="00A26DAF" w:rsidP="004257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505DE" w14:textId="77777777" w:rsidR="000B1578" w:rsidRDefault="000B1578">
    <w:pPr>
      <w:pStyle w:val="Header"/>
    </w:pPr>
    <w:r>
      <w:rPr>
        <w:noProof/>
        <w:lang w:eastAsia="fi-FI"/>
      </w:rPr>
      <w:drawing>
        <wp:anchor distT="0" distB="0" distL="114300" distR="114300" simplePos="0" relativeHeight="251654656" behindDoc="0" locked="0" layoutInCell="1" allowOverlap="1" wp14:anchorId="0B478F98" wp14:editId="0BC89A16">
          <wp:simplePos x="898497" y="453224"/>
          <wp:positionH relativeFrom="page">
            <wp:align>center</wp:align>
          </wp:positionH>
          <wp:positionV relativeFrom="page">
            <wp:posOffset>288290</wp:posOffset>
          </wp:positionV>
          <wp:extent cx="6944398" cy="3344276"/>
          <wp:effectExtent l="0" t="0" r="0" b="8890"/>
          <wp:wrapNone/>
          <wp:docPr id="40" name="Picture 40" title="EESCLogo2021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is-20213.jpg"/>
                  <pic:cNvPicPr/>
                </pic:nvPicPr>
                <pic:blipFill>
                  <a:blip r:embed="rId1">
                    <a:extLst>
                      <a:ext uri="{28A0092B-C50C-407E-A947-70E740481C1C}">
                        <a14:useLocalDpi xmlns:a14="http://schemas.microsoft.com/office/drawing/2010/main" val="0"/>
                      </a:ext>
                    </a:extLst>
                  </a:blip>
                  <a:stretch>
                    <a:fillRect/>
                  </a:stretch>
                </pic:blipFill>
                <pic:spPr>
                  <a:xfrm>
                    <a:off x="0" y="0"/>
                    <a:ext cx="6944398" cy="3344276"/>
                  </a:xfrm>
                  <a:prstGeom prst="rect">
                    <a:avLst/>
                  </a:prstGeom>
                </pic:spPr>
              </pic:pic>
            </a:graphicData>
          </a:graphic>
          <wp14:sizeRelH relativeFrom="margin">
            <wp14:pctWidth>0</wp14:pctWidth>
          </wp14:sizeRelH>
          <wp14:sizeRelV relativeFrom="margin">
            <wp14:pctHeight>0</wp14:pctHeight>
          </wp14:sizeRelV>
        </wp:anchor>
      </w:drawing>
    </w:r>
    <w:r w:rsidR="006B2DFA">
      <w:pict w14:anchorId="6AB511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5" o:spid="_x0000_s2051" type="#_x0000_t75" style="position:absolute;left:0;text-align:left;margin-left:0;margin-top:0;width:598.15pt;height:843.9pt;z-index:-251657728;mso-position-horizontal:center;mso-position-horizontal-relative:page;mso-position-vertical:center;mso-position-vertical-relative:page" o:allowincell="f">
          <v:imagedata r:id="rId2" o:title="background watermark with footer"/>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8350E" w14:textId="77777777" w:rsidR="000B1578" w:rsidRDefault="006B2DFA">
    <w:pPr>
      <w:pStyle w:val="Header"/>
    </w:pPr>
    <w:r>
      <w:pict w14:anchorId="3F6D3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3" o:spid="_x0000_s2049" type="#_x0000_t75" style="position:absolute;left:0;text-align:left;margin-left:0;margin-top:0;width:598.15pt;height:843.9pt;z-index:-251659776;mso-position-horizontal:center;mso-position-horizontal-relative:margin;mso-position-vertical:center;mso-position-vertical-relative:margin" o:allowincell="f">
          <v:imagedata r:id="rId1" o:title="background watermark with foote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CB69A" w14:textId="77777777" w:rsidR="000B1578" w:rsidRDefault="006B2DFA">
    <w:pPr>
      <w:pStyle w:val="Header"/>
    </w:pPr>
    <w:r>
      <w:pict w14:anchorId="5BD7D9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7" o:spid="_x0000_s2053" type="#_x0000_t75" style="position:absolute;left:0;text-align:left;margin-left:0;margin-top:0;width:598.15pt;height:843.9pt;z-index:-251655680;mso-position-horizontal:center;mso-position-horizontal-relative:margin;mso-position-vertical:center;mso-position-vertical-relative:margin" o:allowincell="f">
          <v:imagedata r:id="rId1" o:title="background watermark with foote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AA516" w14:textId="77777777" w:rsidR="000B1578" w:rsidRDefault="000B1578">
    <w:pPr>
      <w:pStyle w:val="Header"/>
    </w:pPr>
    <w:r>
      <w:rPr>
        <w:noProof/>
        <w:lang w:eastAsia="fi-FI"/>
      </w:rPr>
      <w:drawing>
        <wp:anchor distT="0" distB="0" distL="114300" distR="114300" simplePos="0" relativeHeight="251655680" behindDoc="1" locked="0" layoutInCell="1" allowOverlap="1" wp14:anchorId="1A0BECCE" wp14:editId="29CC0613">
          <wp:simplePos x="0" y="0"/>
          <wp:positionH relativeFrom="page">
            <wp:posOffset>-10571</wp:posOffset>
          </wp:positionH>
          <wp:positionV relativeFrom="page">
            <wp:posOffset>-221993</wp:posOffset>
          </wp:positionV>
          <wp:extent cx="7581265" cy="10898802"/>
          <wp:effectExtent l="0" t="0" r="635"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ground (footer) recto.png"/>
                  <pic:cNvPicPr/>
                </pic:nvPicPr>
                <pic:blipFill>
                  <a:blip r:embed="rId1">
                    <a:extLst>
                      <a:ext uri="{28A0092B-C50C-407E-A947-70E740481C1C}">
                        <a14:useLocalDpi xmlns:a14="http://schemas.microsoft.com/office/drawing/2010/main" val="0"/>
                      </a:ext>
                    </a:extLst>
                  </a:blip>
                  <a:stretch>
                    <a:fillRect/>
                  </a:stretch>
                </pic:blipFill>
                <pic:spPr>
                  <a:xfrm>
                    <a:off x="0" y="0"/>
                    <a:ext cx="7585107" cy="10904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BE86A" w14:textId="77777777" w:rsidR="000B1578" w:rsidRDefault="006B2DFA">
    <w:pPr>
      <w:pStyle w:val="Header"/>
    </w:pPr>
    <w:r>
      <w:pict w14:anchorId="02D11B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6" o:spid="_x0000_s2052" type="#_x0000_t75" style="position:absolute;left:0;text-align:left;margin-left:0;margin-top:0;width:598.15pt;height:843.9pt;z-index:-251656704;mso-position-horizontal:center;mso-position-horizontal-relative:margin;mso-position-vertical:center;mso-position-vertical-relative:margin" o:allowincell="f">
          <v:imagedata r:id="rId1" o:title="background watermark with footer"/>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EDDF0" w14:textId="77777777" w:rsidR="000E4CB2" w:rsidRPr="0042578F" w:rsidRDefault="000E4CB2" w:rsidP="0042578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F9FF0" w14:textId="3637EAB7" w:rsidR="000E4CB2" w:rsidRPr="0042578F" w:rsidRDefault="000E4CB2" w:rsidP="0042578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B385B" w14:textId="77777777" w:rsidR="000E4CB2" w:rsidRPr="0042578F" w:rsidRDefault="000E4CB2" w:rsidP="004257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5B5A1C76"/>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rPr>
        <w:b w:val="0"/>
        <w:bCs w:val="0"/>
        <w:i w:val="0"/>
        <w:iCs/>
      </w:rPr>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1990B02"/>
    <w:multiLevelType w:val="hybridMultilevel"/>
    <w:tmpl w:val="00E001C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6F44801"/>
    <w:multiLevelType w:val="hybridMultilevel"/>
    <w:tmpl w:val="4008D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DE4C33"/>
    <w:multiLevelType w:val="hybridMultilevel"/>
    <w:tmpl w:val="3014E3C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3E4C2D25"/>
    <w:multiLevelType w:val="hybridMultilevel"/>
    <w:tmpl w:val="A3FA4B1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4C965DE4"/>
    <w:multiLevelType w:val="hybridMultilevel"/>
    <w:tmpl w:val="C60EAF62"/>
    <w:lvl w:ilvl="0" w:tplc="30164A3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4EA66FF8"/>
    <w:multiLevelType w:val="hybridMultilevel"/>
    <w:tmpl w:val="DF545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2E76B2"/>
    <w:multiLevelType w:val="hybridMultilevel"/>
    <w:tmpl w:val="C38A1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9D4FEC"/>
    <w:multiLevelType w:val="hybridMultilevel"/>
    <w:tmpl w:val="A1E2EC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7"/>
  </w:num>
  <w:num w:numId="4">
    <w:abstractNumId w:val="4"/>
  </w:num>
  <w:num w:numId="5">
    <w:abstractNumId w:val="5"/>
  </w:num>
  <w:num w:numId="6">
    <w:abstractNumId w:val="8"/>
  </w:num>
  <w:num w:numId="7">
    <w:abstractNumId w:val="3"/>
  </w:num>
  <w:num w:numId="8">
    <w:abstractNumId w:val="1"/>
  </w:num>
  <w:num w:numId="9">
    <w:abstractNumId w:val="2"/>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F8F"/>
    <w:rsid w:val="000034E2"/>
    <w:rsid w:val="00005AB9"/>
    <w:rsid w:val="00005EB9"/>
    <w:rsid w:val="00006E24"/>
    <w:rsid w:val="00007A40"/>
    <w:rsid w:val="00017B45"/>
    <w:rsid w:val="00020E6E"/>
    <w:rsid w:val="000315A2"/>
    <w:rsid w:val="00031A4B"/>
    <w:rsid w:val="00033913"/>
    <w:rsid w:val="00033DB4"/>
    <w:rsid w:val="00033E5B"/>
    <w:rsid w:val="000357A8"/>
    <w:rsid w:val="000430A6"/>
    <w:rsid w:val="00044923"/>
    <w:rsid w:val="0005249C"/>
    <w:rsid w:val="000534A5"/>
    <w:rsid w:val="0005680D"/>
    <w:rsid w:val="00060D21"/>
    <w:rsid w:val="00063FB4"/>
    <w:rsid w:val="0006793E"/>
    <w:rsid w:val="00067A76"/>
    <w:rsid w:val="00072E0F"/>
    <w:rsid w:val="000735E5"/>
    <w:rsid w:val="0007392F"/>
    <w:rsid w:val="00074BC3"/>
    <w:rsid w:val="00087A6B"/>
    <w:rsid w:val="00087B39"/>
    <w:rsid w:val="00093DE0"/>
    <w:rsid w:val="00096502"/>
    <w:rsid w:val="000A0029"/>
    <w:rsid w:val="000A49BB"/>
    <w:rsid w:val="000A5670"/>
    <w:rsid w:val="000B1578"/>
    <w:rsid w:val="000C323F"/>
    <w:rsid w:val="000C3441"/>
    <w:rsid w:val="000C7F53"/>
    <w:rsid w:val="000D2F8E"/>
    <w:rsid w:val="000E4CB2"/>
    <w:rsid w:val="000F196B"/>
    <w:rsid w:val="00105361"/>
    <w:rsid w:val="001101F8"/>
    <w:rsid w:val="001109B3"/>
    <w:rsid w:val="0011206F"/>
    <w:rsid w:val="0011656A"/>
    <w:rsid w:val="0012220C"/>
    <w:rsid w:val="00132897"/>
    <w:rsid w:val="00136EA3"/>
    <w:rsid w:val="00137575"/>
    <w:rsid w:val="00144231"/>
    <w:rsid w:val="00150434"/>
    <w:rsid w:val="00155721"/>
    <w:rsid w:val="0016503F"/>
    <w:rsid w:val="001654E3"/>
    <w:rsid w:val="0016674F"/>
    <w:rsid w:val="00167CA0"/>
    <w:rsid w:val="0017120D"/>
    <w:rsid w:val="001714F6"/>
    <w:rsid w:val="00176168"/>
    <w:rsid w:val="00177158"/>
    <w:rsid w:val="00180F8F"/>
    <w:rsid w:val="001815BC"/>
    <w:rsid w:val="00182E5B"/>
    <w:rsid w:val="0018320F"/>
    <w:rsid w:val="00184BE9"/>
    <w:rsid w:val="00184FD4"/>
    <w:rsid w:val="00185748"/>
    <w:rsid w:val="00186B04"/>
    <w:rsid w:val="00186F1E"/>
    <w:rsid w:val="00190836"/>
    <w:rsid w:val="00190881"/>
    <w:rsid w:val="00193930"/>
    <w:rsid w:val="00194B2A"/>
    <w:rsid w:val="00194B36"/>
    <w:rsid w:val="001960C6"/>
    <w:rsid w:val="001963A5"/>
    <w:rsid w:val="00196F1E"/>
    <w:rsid w:val="00197FCA"/>
    <w:rsid w:val="001A27DB"/>
    <w:rsid w:val="001A6852"/>
    <w:rsid w:val="001A6C13"/>
    <w:rsid w:val="001A6F30"/>
    <w:rsid w:val="001B286A"/>
    <w:rsid w:val="001B2D02"/>
    <w:rsid w:val="001B3647"/>
    <w:rsid w:val="001B4484"/>
    <w:rsid w:val="001B77FA"/>
    <w:rsid w:val="001C0ABE"/>
    <w:rsid w:val="001C0F80"/>
    <w:rsid w:val="001C5852"/>
    <w:rsid w:val="001C6B08"/>
    <w:rsid w:val="001D3144"/>
    <w:rsid w:val="001D45F0"/>
    <w:rsid w:val="001E1335"/>
    <w:rsid w:val="001E4A33"/>
    <w:rsid w:val="001E5C27"/>
    <w:rsid w:val="001E7038"/>
    <w:rsid w:val="001E7C5D"/>
    <w:rsid w:val="001F0145"/>
    <w:rsid w:val="001F602B"/>
    <w:rsid w:val="001F6932"/>
    <w:rsid w:val="001F6AC8"/>
    <w:rsid w:val="002037D5"/>
    <w:rsid w:val="00206F90"/>
    <w:rsid w:val="00211D82"/>
    <w:rsid w:val="00212B03"/>
    <w:rsid w:val="002145A7"/>
    <w:rsid w:val="00215C10"/>
    <w:rsid w:val="00215C2D"/>
    <w:rsid w:val="00221D83"/>
    <w:rsid w:val="002252C4"/>
    <w:rsid w:val="002262BF"/>
    <w:rsid w:val="002265BE"/>
    <w:rsid w:val="0023140A"/>
    <w:rsid w:val="0023183E"/>
    <w:rsid w:val="00235138"/>
    <w:rsid w:val="00237EE5"/>
    <w:rsid w:val="00243E36"/>
    <w:rsid w:val="002453A7"/>
    <w:rsid w:val="0024540B"/>
    <w:rsid w:val="00245EF4"/>
    <w:rsid w:val="00250E11"/>
    <w:rsid w:val="00251383"/>
    <w:rsid w:val="002522C9"/>
    <w:rsid w:val="00252A21"/>
    <w:rsid w:val="00253E4F"/>
    <w:rsid w:val="002542E4"/>
    <w:rsid w:val="00256D8B"/>
    <w:rsid w:val="00261053"/>
    <w:rsid w:val="00262FDE"/>
    <w:rsid w:val="00263629"/>
    <w:rsid w:val="0026460C"/>
    <w:rsid w:val="00274782"/>
    <w:rsid w:val="002769BD"/>
    <w:rsid w:val="002809EA"/>
    <w:rsid w:val="00284962"/>
    <w:rsid w:val="00287B0E"/>
    <w:rsid w:val="002934A0"/>
    <w:rsid w:val="0029549C"/>
    <w:rsid w:val="002A0B53"/>
    <w:rsid w:val="002A0EEF"/>
    <w:rsid w:val="002B104F"/>
    <w:rsid w:val="002B2DF7"/>
    <w:rsid w:val="002C1D46"/>
    <w:rsid w:val="002C3BF4"/>
    <w:rsid w:val="002C749F"/>
    <w:rsid w:val="002D1437"/>
    <w:rsid w:val="002E336F"/>
    <w:rsid w:val="002E381E"/>
    <w:rsid w:val="002F059B"/>
    <w:rsid w:val="002F1530"/>
    <w:rsid w:val="002F3E20"/>
    <w:rsid w:val="002F5B0B"/>
    <w:rsid w:val="00300924"/>
    <w:rsid w:val="00303383"/>
    <w:rsid w:val="0030596E"/>
    <w:rsid w:val="003073C3"/>
    <w:rsid w:val="00323637"/>
    <w:rsid w:val="00324E8A"/>
    <w:rsid w:val="00331D87"/>
    <w:rsid w:val="00332850"/>
    <w:rsid w:val="00334478"/>
    <w:rsid w:val="003346B4"/>
    <w:rsid w:val="00334AE6"/>
    <w:rsid w:val="003365D0"/>
    <w:rsid w:val="003439AB"/>
    <w:rsid w:val="00354695"/>
    <w:rsid w:val="0035549B"/>
    <w:rsid w:val="00355563"/>
    <w:rsid w:val="00363A3B"/>
    <w:rsid w:val="003755C8"/>
    <w:rsid w:val="00375687"/>
    <w:rsid w:val="00375C20"/>
    <w:rsid w:val="0038034C"/>
    <w:rsid w:val="00380AE0"/>
    <w:rsid w:val="00383324"/>
    <w:rsid w:val="003860C1"/>
    <w:rsid w:val="00387A75"/>
    <w:rsid w:val="003904FD"/>
    <w:rsid w:val="00394254"/>
    <w:rsid w:val="003C2BFB"/>
    <w:rsid w:val="003C436B"/>
    <w:rsid w:val="003C5337"/>
    <w:rsid w:val="003C5F92"/>
    <w:rsid w:val="003D7A8C"/>
    <w:rsid w:val="003D7C00"/>
    <w:rsid w:val="003E0EB4"/>
    <w:rsid w:val="003E19BC"/>
    <w:rsid w:val="003E423D"/>
    <w:rsid w:val="003E56E5"/>
    <w:rsid w:val="003E7E60"/>
    <w:rsid w:val="003F00D4"/>
    <w:rsid w:val="003F2209"/>
    <w:rsid w:val="003F3D39"/>
    <w:rsid w:val="003F646A"/>
    <w:rsid w:val="003F6761"/>
    <w:rsid w:val="003F6A0A"/>
    <w:rsid w:val="004024F5"/>
    <w:rsid w:val="00402DE1"/>
    <w:rsid w:val="00403D8B"/>
    <w:rsid w:val="004058F1"/>
    <w:rsid w:val="00407E7D"/>
    <w:rsid w:val="0041283D"/>
    <w:rsid w:val="00413AB4"/>
    <w:rsid w:val="00421373"/>
    <w:rsid w:val="00421FB7"/>
    <w:rsid w:val="00422600"/>
    <w:rsid w:val="004251D2"/>
    <w:rsid w:val="0042578F"/>
    <w:rsid w:val="00426D86"/>
    <w:rsid w:val="0042763B"/>
    <w:rsid w:val="0043024C"/>
    <w:rsid w:val="00432B98"/>
    <w:rsid w:val="00436706"/>
    <w:rsid w:val="00443D38"/>
    <w:rsid w:val="004441DE"/>
    <w:rsid w:val="0044760C"/>
    <w:rsid w:val="00450E7A"/>
    <w:rsid w:val="004511F3"/>
    <w:rsid w:val="004549BB"/>
    <w:rsid w:val="00456AF8"/>
    <w:rsid w:val="004651B8"/>
    <w:rsid w:val="00470B15"/>
    <w:rsid w:val="00475869"/>
    <w:rsid w:val="00475A77"/>
    <w:rsid w:val="004765AC"/>
    <w:rsid w:val="004801EB"/>
    <w:rsid w:val="00482DDC"/>
    <w:rsid w:val="00483E6C"/>
    <w:rsid w:val="004866A9"/>
    <w:rsid w:val="00491A81"/>
    <w:rsid w:val="00492774"/>
    <w:rsid w:val="00496D7A"/>
    <w:rsid w:val="00497125"/>
    <w:rsid w:val="004A169D"/>
    <w:rsid w:val="004A31BC"/>
    <w:rsid w:val="004A3F1A"/>
    <w:rsid w:val="004A3F45"/>
    <w:rsid w:val="004B1AFA"/>
    <w:rsid w:val="004B6047"/>
    <w:rsid w:val="004B7088"/>
    <w:rsid w:val="004C5B76"/>
    <w:rsid w:val="004D02CD"/>
    <w:rsid w:val="004D0B24"/>
    <w:rsid w:val="004D41C4"/>
    <w:rsid w:val="004D4B90"/>
    <w:rsid w:val="004D6B95"/>
    <w:rsid w:val="004D7F41"/>
    <w:rsid w:val="004E03A2"/>
    <w:rsid w:val="004E317E"/>
    <w:rsid w:val="004E3954"/>
    <w:rsid w:val="004E5856"/>
    <w:rsid w:val="004F093D"/>
    <w:rsid w:val="004F2330"/>
    <w:rsid w:val="004F39DD"/>
    <w:rsid w:val="004F53C6"/>
    <w:rsid w:val="004F69DB"/>
    <w:rsid w:val="004F6B87"/>
    <w:rsid w:val="00501C2D"/>
    <w:rsid w:val="00502637"/>
    <w:rsid w:val="00511140"/>
    <w:rsid w:val="00513CFE"/>
    <w:rsid w:val="00516F2E"/>
    <w:rsid w:val="00523B6A"/>
    <w:rsid w:val="00525F6C"/>
    <w:rsid w:val="0053075F"/>
    <w:rsid w:val="00540003"/>
    <w:rsid w:val="00541739"/>
    <w:rsid w:val="00546AB4"/>
    <w:rsid w:val="005514E5"/>
    <w:rsid w:val="00552738"/>
    <w:rsid w:val="00554C96"/>
    <w:rsid w:val="005630BB"/>
    <w:rsid w:val="0056382F"/>
    <w:rsid w:val="00563C84"/>
    <w:rsid w:val="005762F6"/>
    <w:rsid w:val="00584FBE"/>
    <w:rsid w:val="00585483"/>
    <w:rsid w:val="00587378"/>
    <w:rsid w:val="00587C05"/>
    <w:rsid w:val="00590AAB"/>
    <w:rsid w:val="005938C3"/>
    <w:rsid w:val="0059468C"/>
    <w:rsid w:val="00595125"/>
    <w:rsid w:val="005957EA"/>
    <w:rsid w:val="00596F21"/>
    <w:rsid w:val="005B1CDD"/>
    <w:rsid w:val="005B1E19"/>
    <w:rsid w:val="005B55FC"/>
    <w:rsid w:val="005C2D5E"/>
    <w:rsid w:val="005C3B81"/>
    <w:rsid w:val="005C650C"/>
    <w:rsid w:val="005D086C"/>
    <w:rsid w:val="005D11D3"/>
    <w:rsid w:val="005D440F"/>
    <w:rsid w:val="005D4E1F"/>
    <w:rsid w:val="005D4FB3"/>
    <w:rsid w:val="005E2F07"/>
    <w:rsid w:val="005E2FEA"/>
    <w:rsid w:val="005E536E"/>
    <w:rsid w:val="005F314B"/>
    <w:rsid w:val="00610381"/>
    <w:rsid w:val="00611AF2"/>
    <w:rsid w:val="0061212B"/>
    <w:rsid w:val="006127AF"/>
    <w:rsid w:val="00615FB2"/>
    <w:rsid w:val="00617BD1"/>
    <w:rsid w:val="00617CE8"/>
    <w:rsid w:val="00625401"/>
    <w:rsid w:val="00626FE3"/>
    <w:rsid w:val="006278A0"/>
    <w:rsid w:val="0063095F"/>
    <w:rsid w:val="00646AC2"/>
    <w:rsid w:val="00650390"/>
    <w:rsid w:val="00654DAB"/>
    <w:rsid w:val="0066204A"/>
    <w:rsid w:val="00670E3C"/>
    <w:rsid w:val="00675ED3"/>
    <w:rsid w:val="00677F57"/>
    <w:rsid w:val="00681088"/>
    <w:rsid w:val="00690B7C"/>
    <w:rsid w:val="00693656"/>
    <w:rsid w:val="0069577E"/>
    <w:rsid w:val="0069634B"/>
    <w:rsid w:val="00696623"/>
    <w:rsid w:val="006A04E9"/>
    <w:rsid w:val="006A46EF"/>
    <w:rsid w:val="006A4A03"/>
    <w:rsid w:val="006A5E56"/>
    <w:rsid w:val="006A7543"/>
    <w:rsid w:val="006B725C"/>
    <w:rsid w:val="006C273D"/>
    <w:rsid w:val="006C5C4F"/>
    <w:rsid w:val="006C6282"/>
    <w:rsid w:val="006C762A"/>
    <w:rsid w:val="006D10CD"/>
    <w:rsid w:val="006D5FF9"/>
    <w:rsid w:val="006E0772"/>
    <w:rsid w:val="006E0F86"/>
    <w:rsid w:val="006E64DF"/>
    <w:rsid w:val="006F0B15"/>
    <w:rsid w:val="006F0DCC"/>
    <w:rsid w:val="007039B2"/>
    <w:rsid w:val="00703DF9"/>
    <w:rsid w:val="007048EB"/>
    <w:rsid w:val="00704954"/>
    <w:rsid w:val="00704FBB"/>
    <w:rsid w:val="0070726A"/>
    <w:rsid w:val="0071226B"/>
    <w:rsid w:val="00716DCD"/>
    <w:rsid w:val="00717040"/>
    <w:rsid w:val="00717184"/>
    <w:rsid w:val="00717867"/>
    <w:rsid w:val="00730921"/>
    <w:rsid w:val="00731908"/>
    <w:rsid w:val="00734CFC"/>
    <w:rsid w:val="007509F8"/>
    <w:rsid w:val="00755426"/>
    <w:rsid w:val="00756EBF"/>
    <w:rsid w:val="0076251E"/>
    <w:rsid w:val="00763572"/>
    <w:rsid w:val="00766CC0"/>
    <w:rsid w:val="00767DBB"/>
    <w:rsid w:val="0077093F"/>
    <w:rsid w:val="007750A2"/>
    <w:rsid w:val="007817D6"/>
    <w:rsid w:val="00787912"/>
    <w:rsid w:val="0079177A"/>
    <w:rsid w:val="00794836"/>
    <w:rsid w:val="007948D5"/>
    <w:rsid w:val="007A15C9"/>
    <w:rsid w:val="007A17FE"/>
    <w:rsid w:val="007A6676"/>
    <w:rsid w:val="007B64DF"/>
    <w:rsid w:val="007B7FF5"/>
    <w:rsid w:val="007C2AC0"/>
    <w:rsid w:val="007C3FC6"/>
    <w:rsid w:val="007D14EA"/>
    <w:rsid w:val="007D2CE9"/>
    <w:rsid w:val="007D4FED"/>
    <w:rsid w:val="007D69DA"/>
    <w:rsid w:val="007D70B1"/>
    <w:rsid w:val="007D7140"/>
    <w:rsid w:val="007E1C73"/>
    <w:rsid w:val="007E1CDB"/>
    <w:rsid w:val="007E262D"/>
    <w:rsid w:val="007E408C"/>
    <w:rsid w:val="007E57A0"/>
    <w:rsid w:val="007E602B"/>
    <w:rsid w:val="007E7E21"/>
    <w:rsid w:val="007F0460"/>
    <w:rsid w:val="007F0DA2"/>
    <w:rsid w:val="007F39CE"/>
    <w:rsid w:val="007F5E0D"/>
    <w:rsid w:val="00801085"/>
    <w:rsid w:val="00801A89"/>
    <w:rsid w:val="0080588D"/>
    <w:rsid w:val="00805FE2"/>
    <w:rsid w:val="00812138"/>
    <w:rsid w:val="008151F2"/>
    <w:rsid w:val="00816C92"/>
    <w:rsid w:val="0081777A"/>
    <w:rsid w:val="008210E0"/>
    <w:rsid w:val="00824079"/>
    <w:rsid w:val="00831F0A"/>
    <w:rsid w:val="00833A78"/>
    <w:rsid w:val="0083400E"/>
    <w:rsid w:val="0084585F"/>
    <w:rsid w:val="00853E53"/>
    <w:rsid w:val="0086017F"/>
    <w:rsid w:val="00864D76"/>
    <w:rsid w:val="008656C9"/>
    <w:rsid w:val="0086711C"/>
    <w:rsid w:val="00867535"/>
    <w:rsid w:val="008709FB"/>
    <w:rsid w:val="00875C5B"/>
    <w:rsid w:val="008763D9"/>
    <w:rsid w:val="00877B64"/>
    <w:rsid w:val="00883C5F"/>
    <w:rsid w:val="00891C7D"/>
    <w:rsid w:val="00892FA7"/>
    <w:rsid w:val="008947E9"/>
    <w:rsid w:val="008A3301"/>
    <w:rsid w:val="008A4DF1"/>
    <w:rsid w:val="008A5636"/>
    <w:rsid w:val="008B125E"/>
    <w:rsid w:val="008B241C"/>
    <w:rsid w:val="008B408B"/>
    <w:rsid w:val="008B4F11"/>
    <w:rsid w:val="008C0533"/>
    <w:rsid w:val="008C2362"/>
    <w:rsid w:val="008C3049"/>
    <w:rsid w:val="008C3303"/>
    <w:rsid w:val="008C7DEE"/>
    <w:rsid w:val="008D3D52"/>
    <w:rsid w:val="008D4AE9"/>
    <w:rsid w:val="008D5CF3"/>
    <w:rsid w:val="008D62AF"/>
    <w:rsid w:val="008D7D39"/>
    <w:rsid w:val="008E4574"/>
    <w:rsid w:val="008E6A2A"/>
    <w:rsid w:val="008F4016"/>
    <w:rsid w:val="008F42FE"/>
    <w:rsid w:val="008F4A00"/>
    <w:rsid w:val="008F5402"/>
    <w:rsid w:val="009001D1"/>
    <w:rsid w:val="0090053A"/>
    <w:rsid w:val="00901C2A"/>
    <w:rsid w:val="009076F9"/>
    <w:rsid w:val="009118C7"/>
    <w:rsid w:val="009201A0"/>
    <w:rsid w:val="009225B6"/>
    <w:rsid w:val="00925090"/>
    <w:rsid w:val="00925397"/>
    <w:rsid w:val="00933A21"/>
    <w:rsid w:val="00934C10"/>
    <w:rsid w:val="0093553E"/>
    <w:rsid w:val="0093662A"/>
    <w:rsid w:val="0094060C"/>
    <w:rsid w:val="009455D3"/>
    <w:rsid w:val="00955A4A"/>
    <w:rsid w:val="009606A5"/>
    <w:rsid w:val="00962F1F"/>
    <w:rsid w:val="00965304"/>
    <w:rsid w:val="009662A5"/>
    <w:rsid w:val="00971293"/>
    <w:rsid w:val="00973A3B"/>
    <w:rsid w:val="00983827"/>
    <w:rsid w:val="00983EAE"/>
    <w:rsid w:val="009858B0"/>
    <w:rsid w:val="0098760B"/>
    <w:rsid w:val="00997712"/>
    <w:rsid w:val="009A11DD"/>
    <w:rsid w:val="009B30AA"/>
    <w:rsid w:val="009B5217"/>
    <w:rsid w:val="009C4798"/>
    <w:rsid w:val="009C48DE"/>
    <w:rsid w:val="009D75D1"/>
    <w:rsid w:val="009E085B"/>
    <w:rsid w:val="009E1E1E"/>
    <w:rsid w:val="009E2C4D"/>
    <w:rsid w:val="009E33E3"/>
    <w:rsid w:val="009E7BDB"/>
    <w:rsid w:val="009E7F16"/>
    <w:rsid w:val="009F4A92"/>
    <w:rsid w:val="009F5052"/>
    <w:rsid w:val="00A04C85"/>
    <w:rsid w:val="00A100F0"/>
    <w:rsid w:val="00A135C8"/>
    <w:rsid w:val="00A156E6"/>
    <w:rsid w:val="00A16087"/>
    <w:rsid w:val="00A26DAF"/>
    <w:rsid w:val="00A27D86"/>
    <w:rsid w:val="00A316C0"/>
    <w:rsid w:val="00A33151"/>
    <w:rsid w:val="00A36970"/>
    <w:rsid w:val="00A41EB4"/>
    <w:rsid w:val="00A44BFF"/>
    <w:rsid w:val="00A501E3"/>
    <w:rsid w:val="00A50F0C"/>
    <w:rsid w:val="00A529DB"/>
    <w:rsid w:val="00A56441"/>
    <w:rsid w:val="00A64BAB"/>
    <w:rsid w:val="00A655BF"/>
    <w:rsid w:val="00A67A0B"/>
    <w:rsid w:val="00A736DD"/>
    <w:rsid w:val="00A81D58"/>
    <w:rsid w:val="00A82869"/>
    <w:rsid w:val="00A86BA8"/>
    <w:rsid w:val="00A8758C"/>
    <w:rsid w:val="00A87CF0"/>
    <w:rsid w:val="00A90B2D"/>
    <w:rsid w:val="00AA127E"/>
    <w:rsid w:val="00AA19AE"/>
    <w:rsid w:val="00AA2096"/>
    <w:rsid w:val="00AA423D"/>
    <w:rsid w:val="00AA6A95"/>
    <w:rsid w:val="00AB10DE"/>
    <w:rsid w:val="00AB3668"/>
    <w:rsid w:val="00AB5ED7"/>
    <w:rsid w:val="00AC0B4C"/>
    <w:rsid w:val="00AD0AEE"/>
    <w:rsid w:val="00AD49E3"/>
    <w:rsid w:val="00AD4B4F"/>
    <w:rsid w:val="00AE0D52"/>
    <w:rsid w:val="00AE4405"/>
    <w:rsid w:val="00AF0616"/>
    <w:rsid w:val="00AF0E28"/>
    <w:rsid w:val="00AF13A6"/>
    <w:rsid w:val="00AF6F9B"/>
    <w:rsid w:val="00B01409"/>
    <w:rsid w:val="00B10DBD"/>
    <w:rsid w:val="00B14368"/>
    <w:rsid w:val="00B15629"/>
    <w:rsid w:val="00B22ED8"/>
    <w:rsid w:val="00B2372C"/>
    <w:rsid w:val="00B30C1E"/>
    <w:rsid w:val="00B32F70"/>
    <w:rsid w:val="00B373D0"/>
    <w:rsid w:val="00B43AAA"/>
    <w:rsid w:val="00B43AF7"/>
    <w:rsid w:val="00B53139"/>
    <w:rsid w:val="00B5628E"/>
    <w:rsid w:val="00B562CE"/>
    <w:rsid w:val="00B60B84"/>
    <w:rsid w:val="00B62DE2"/>
    <w:rsid w:val="00B66D0C"/>
    <w:rsid w:val="00B74417"/>
    <w:rsid w:val="00B77246"/>
    <w:rsid w:val="00B80077"/>
    <w:rsid w:val="00B866CD"/>
    <w:rsid w:val="00B867EE"/>
    <w:rsid w:val="00B93034"/>
    <w:rsid w:val="00B97C5D"/>
    <w:rsid w:val="00BA096D"/>
    <w:rsid w:val="00BA1290"/>
    <w:rsid w:val="00BA15F4"/>
    <w:rsid w:val="00BA1C37"/>
    <w:rsid w:val="00BA3101"/>
    <w:rsid w:val="00BB2792"/>
    <w:rsid w:val="00BB2EAF"/>
    <w:rsid w:val="00BB46B3"/>
    <w:rsid w:val="00BB76BF"/>
    <w:rsid w:val="00BC1AD1"/>
    <w:rsid w:val="00BC3255"/>
    <w:rsid w:val="00BC4A58"/>
    <w:rsid w:val="00BC613B"/>
    <w:rsid w:val="00BD45D9"/>
    <w:rsid w:val="00BD477C"/>
    <w:rsid w:val="00BD51D9"/>
    <w:rsid w:val="00BD5C76"/>
    <w:rsid w:val="00BD64E2"/>
    <w:rsid w:val="00BE4995"/>
    <w:rsid w:val="00BF18BA"/>
    <w:rsid w:val="00BF23C6"/>
    <w:rsid w:val="00BF429A"/>
    <w:rsid w:val="00BF62BE"/>
    <w:rsid w:val="00C0342D"/>
    <w:rsid w:val="00C07126"/>
    <w:rsid w:val="00C1187A"/>
    <w:rsid w:val="00C16853"/>
    <w:rsid w:val="00C263F0"/>
    <w:rsid w:val="00C33D41"/>
    <w:rsid w:val="00C344BC"/>
    <w:rsid w:val="00C36BE9"/>
    <w:rsid w:val="00C40106"/>
    <w:rsid w:val="00C40AFD"/>
    <w:rsid w:val="00C41E20"/>
    <w:rsid w:val="00C41E21"/>
    <w:rsid w:val="00C42E3E"/>
    <w:rsid w:val="00C51C13"/>
    <w:rsid w:val="00C525A5"/>
    <w:rsid w:val="00C5300F"/>
    <w:rsid w:val="00C66CE0"/>
    <w:rsid w:val="00C71BED"/>
    <w:rsid w:val="00C747C0"/>
    <w:rsid w:val="00C815DB"/>
    <w:rsid w:val="00C81B53"/>
    <w:rsid w:val="00C82AD2"/>
    <w:rsid w:val="00C86C7B"/>
    <w:rsid w:val="00C90FB6"/>
    <w:rsid w:val="00C9220E"/>
    <w:rsid w:val="00C931C3"/>
    <w:rsid w:val="00C932BD"/>
    <w:rsid w:val="00C93429"/>
    <w:rsid w:val="00C94E47"/>
    <w:rsid w:val="00CA16C5"/>
    <w:rsid w:val="00CA1D52"/>
    <w:rsid w:val="00CA415A"/>
    <w:rsid w:val="00CA7A35"/>
    <w:rsid w:val="00CB06FD"/>
    <w:rsid w:val="00CB1536"/>
    <w:rsid w:val="00CB5F3C"/>
    <w:rsid w:val="00CB7FB8"/>
    <w:rsid w:val="00CC1F71"/>
    <w:rsid w:val="00CC5EB3"/>
    <w:rsid w:val="00CD0E7B"/>
    <w:rsid w:val="00CD2ABD"/>
    <w:rsid w:val="00CD4024"/>
    <w:rsid w:val="00CD4617"/>
    <w:rsid w:val="00CD4855"/>
    <w:rsid w:val="00CE3650"/>
    <w:rsid w:val="00CE6D43"/>
    <w:rsid w:val="00CE7888"/>
    <w:rsid w:val="00D07AC4"/>
    <w:rsid w:val="00D10E1C"/>
    <w:rsid w:val="00D14774"/>
    <w:rsid w:val="00D161A3"/>
    <w:rsid w:val="00D22E49"/>
    <w:rsid w:val="00D23716"/>
    <w:rsid w:val="00D25ED8"/>
    <w:rsid w:val="00D27F8F"/>
    <w:rsid w:val="00D316B8"/>
    <w:rsid w:val="00D31CFC"/>
    <w:rsid w:val="00D3255D"/>
    <w:rsid w:val="00D340C3"/>
    <w:rsid w:val="00D409CD"/>
    <w:rsid w:val="00D423D4"/>
    <w:rsid w:val="00D42CAF"/>
    <w:rsid w:val="00D46B44"/>
    <w:rsid w:val="00D4763B"/>
    <w:rsid w:val="00D53136"/>
    <w:rsid w:val="00D601EF"/>
    <w:rsid w:val="00D61533"/>
    <w:rsid w:val="00D63B2F"/>
    <w:rsid w:val="00D70747"/>
    <w:rsid w:val="00D7261D"/>
    <w:rsid w:val="00D755FC"/>
    <w:rsid w:val="00D76B6D"/>
    <w:rsid w:val="00D84D07"/>
    <w:rsid w:val="00D8526A"/>
    <w:rsid w:val="00D85E61"/>
    <w:rsid w:val="00D90E91"/>
    <w:rsid w:val="00D97257"/>
    <w:rsid w:val="00DB53C1"/>
    <w:rsid w:val="00DC1347"/>
    <w:rsid w:val="00DC39F1"/>
    <w:rsid w:val="00DC4C48"/>
    <w:rsid w:val="00DD0137"/>
    <w:rsid w:val="00DD68FD"/>
    <w:rsid w:val="00DE05D3"/>
    <w:rsid w:val="00DE07A9"/>
    <w:rsid w:val="00DE486F"/>
    <w:rsid w:val="00DE4B35"/>
    <w:rsid w:val="00DE6DAE"/>
    <w:rsid w:val="00DF19C1"/>
    <w:rsid w:val="00DF54CA"/>
    <w:rsid w:val="00DF5B64"/>
    <w:rsid w:val="00E018AA"/>
    <w:rsid w:val="00E02794"/>
    <w:rsid w:val="00E02ABE"/>
    <w:rsid w:val="00E043E3"/>
    <w:rsid w:val="00E0505B"/>
    <w:rsid w:val="00E060C0"/>
    <w:rsid w:val="00E11280"/>
    <w:rsid w:val="00E12359"/>
    <w:rsid w:val="00E152FF"/>
    <w:rsid w:val="00E2461B"/>
    <w:rsid w:val="00E24886"/>
    <w:rsid w:val="00E276FB"/>
    <w:rsid w:val="00E32595"/>
    <w:rsid w:val="00E33A74"/>
    <w:rsid w:val="00E4030B"/>
    <w:rsid w:val="00E41D56"/>
    <w:rsid w:val="00E457DF"/>
    <w:rsid w:val="00E46642"/>
    <w:rsid w:val="00E5139A"/>
    <w:rsid w:val="00E5413D"/>
    <w:rsid w:val="00E57977"/>
    <w:rsid w:val="00E6225F"/>
    <w:rsid w:val="00E635D7"/>
    <w:rsid w:val="00E70576"/>
    <w:rsid w:val="00E71DCF"/>
    <w:rsid w:val="00E83954"/>
    <w:rsid w:val="00E90E62"/>
    <w:rsid w:val="00E91730"/>
    <w:rsid w:val="00E96F04"/>
    <w:rsid w:val="00E97AEC"/>
    <w:rsid w:val="00EA20FE"/>
    <w:rsid w:val="00EA290C"/>
    <w:rsid w:val="00EB491E"/>
    <w:rsid w:val="00EB681B"/>
    <w:rsid w:val="00EB7816"/>
    <w:rsid w:val="00EC4FAD"/>
    <w:rsid w:val="00ED081F"/>
    <w:rsid w:val="00EE0A3D"/>
    <w:rsid w:val="00EE3CFA"/>
    <w:rsid w:val="00EE69E4"/>
    <w:rsid w:val="00EF2A7F"/>
    <w:rsid w:val="00EF3015"/>
    <w:rsid w:val="00EF7E90"/>
    <w:rsid w:val="00F002B6"/>
    <w:rsid w:val="00F10AFE"/>
    <w:rsid w:val="00F15C6C"/>
    <w:rsid w:val="00F17173"/>
    <w:rsid w:val="00F2001C"/>
    <w:rsid w:val="00F224DC"/>
    <w:rsid w:val="00F2687F"/>
    <w:rsid w:val="00F27F29"/>
    <w:rsid w:val="00F32D54"/>
    <w:rsid w:val="00F36C54"/>
    <w:rsid w:val="00F400E8"/>
    <w:rsid w:val="00F418EA"/>
    <w:rsid w:val="00F41A29"/>
    <w:rsid w:val="00F4310E"/>
    <w:rsid w:val="00F44C1C"/>
    <w:rsid w:val="00F518DF"/>
    <w:rsid w:val="00F52C34"/>
    <w:rsid w:val="00F544DB"/>
    <w:rsid w:val="00F6502E"/>
    <w:rsid w:val="00F65663"/>
    <w:rsid w:val="00F7506E"/>
    <w:rsid w:val="00F756C0"/>
    <w:rsid w:val="00F75A40"/>
    <w:rsid w:val="00F77637"/>
    <w:rsid w:val="00F803FF"/>
    <w:rsid w:val="00F8435D"/>
    <w:rsid w:val="00F86635"/>
    <w:rsid w:val="00F87DD0"/>
    <w:rsid w:val="00F912FA"/>
    <w:rsid w:val="00F93360"/>
    <w:rsid w:val="00F93753"/>
    <w:rsid w:val="00F93FE4"/>
    <w:rsid w:val="00F969AD"/>
    <w:rsid w:val="00F97E4E"/>
    <w:rsid w:val="00FA217B"/>
    <w:rsid w:val="00FA5A84"/>
    <w:rsid w:val="00FB0BC5"/>
    <w:rsid w:val="00FB0BCC"/>
    <w:rsid w:val="00FC0FE5"/>
    <w:rsid w:val="00FC1130"/>
    <w:rsid w:val="00FD1ABC"/>
    <w:rsid w:val="00FD7DDF"/>
    <w:rsid w:val="00FE4C92"/>
    <w:rsid w:val="00FF0FAA"/>
    <w:rsid w:val="00FF3C06"/>
    <w:rsid w:val="00FF4396"/>
    <w:rsid w:val="08EDF5A3"/>
    <w:rsid w:val="3E1CF757"/>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14:docId w14:val="6E5229C7"/>
  <w15:docId w15:val="{56932097-87C0-42E1-8174-C51810A22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fi-FI" w:eastAsia="en-GB" w:bidi="en-GB"/>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semiHidden="1" w:uiPriority="0"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6C0"/>
    <w:pPr>
      <w:overflowPunct w:val="0"/>
      <w:autoSpaceDE w:val="0"/>
      <w:autoSpaceDN w:val="0"/>
      <w:adjustRightInd w:val="0"/>
      <w:spacing w:line="288" w:lineRule="auto"/>
      <w:jc w:val="both"/>
      <w:textAlignment w:val="baseline"/>
    </w:pPr>
    <w:rPr>
      <w:szCs w:val="20"/>
      <w:lang w:eastAsia="en-US" w:bidi="ar-SA"/>
    </w:rPr>
  </w:style>
  <w:style w:type="paragraph" w:styleId="Heading1">
    <w:name w:val="heading 1"/>
    <w:basedOn w:val="Normal"/>
    <w:next w:val="Normal"/>
    <w:link w:val="Heading1Char"/>
    <w:qFormat/>
    <w:rsid w:val="00A316C0"/>
    <w:pPr>
      <w:numPr>
        <w:numId w:val="1"/>
      </w:numPr>
      <w:ind w:left="720" w:hanging="720"/>
      <w:outlineLvl w:val="0"/>
    </w:pPr>
    <w:rPr>
      <w:kern w:val="28"/>
    </w:rPr>
  </w:style>
  <w:style w:type="paragraph" w:styleId="Heading2">
    <w:name w:val="heading 2"/>
    <w:basedOn w:val="Normal"/>
    <w:next w:val="Normal"/>
    <w:link w:val="Heading2Char"/>
    <w:qFormat/>
    <w:rsid w:val="00A316C0"/>
    <w:pPr>
      <w:numPr>
        <w:ilvl w:val="1"/>
        <w:numId w:val="1"/>
      </w:numPr>
      <w:outlineLvl w:val="1"/>
    </w:pPr>
  </w:style>
  <w:style w:type="paragraph" w:styleId="Heading3">
    <w:name w:val="heading 3"/>
    <w:basedOn w:val="Normal"/>
    <w:next w:val="Normal"/>
    <w:link w:val="Heading3Char"/>
    <w:qFormat/>
    <w:rsid w:val="00A316C0"/>
    <w:pPr>
      <w:numPr>
        <w:ilvl w:val="2"/>
        <w:numId w:val="1"/>
      </w:numPr>
      <w:ind w:left="720" w:hanging="720"/>
      <w:outlineLvl w:val="2"/>
    </w:pPr>
  </w:style>
  <w:style w:type="paragraph" w:styleId="Heading4">
    <w:name w:val="heading 4"/>
    <w:basedOn w:val="Normal"/>
    <w:next w:val="Normal"/>
    <w:link w:val="Heading4Char"/>
    <w:qFormat/>
    <w:rsid w:val="00A316C0"/>
    <w:pPr>
      <w:numPr>
        <w:ilvl w:val="3"/>
        <w:numId w:val="1"/>
      </w:numPr>
      <w:ind w:left="720" w:hanging="720"/>
      <w:outlineLvl w:val="3"/>
    </w:pPr>
  </w:style>
  <w:style w:type="paragraph" w:styleId="Heading5">
    <w:name w:val="heading 5"/>
    <w:basedOn w:val="Normal"/>
    <w:next w:val="Normal"/>
    <w:link w:val="Heading5Char"/>
    <w:qFormat/>
    <w:rsid w:val="00A316C0"/>
    <w:pPr>
      <w:numPr>
        <w:ilvl w:val="4"/>
        <w:numId w:val="1"/>
      </w:numPr>
      <w:ind w:left="720" w:hanging="720"/>
      <w:outlineLvl w:val="4"/>
    </w:pPr>
  </w:style>
  <w:style w:type="paragraph" w:styleId="Heading6">
    <w:name w:val="heading 6"/>
    <w:basedOn w:val="Normal"/>
    <w:next w:val="Normal"/>
    <w:link w:val="Heading6Char"/>
    <w:qFormat/>
    <w:rsid w:val="00A316C0"/>
    <w:pPr>
      <w:numPr>
        <w:ilvl w:val="5"/>
        <w:numId w:val="1"/>
      </w:numPr>
      <w:ind w:left="720" w:hanging="720"/>
      <w:outlineLvl w:val="5"/>
    </w:pPr>
  </w:style>
  <w:style w:type="paragraph" w:styleId="Heading7">
    <w:name w:val="heading 7"/>
    <w:basedOn w:val="Normal"/>
    <w:next w:val="Normal"/>
    <w:link w:val="Heading7Char"/>
    <w:qFormat/>
    <w:rsid w:val="00A316C0"/>
    <w:pPr>
      <w:numPr>
        <w:ilvl w:val="6"/>
        <w:numId w:val="1"/>
      </w:numPr>
      <w:ind w:left="720" w:hanging="720"/>
      <w:outlineLvl w:val="6"/>
    </w:pPr>
  </w:style>
  <w:style w:type="paragraph" w:styleId="Heading8">
    <w:name w:val="heading 8"/>
    <w:basedOn w:val="Normal"/>
    <w:next w:val="Normal"/>
    <w:link w:val="Heading8Char"/>
    <w:qFormat/>
    <w:rsid w:val="00A316C0"/>
    <w:pPr>
      <w:numPr>
        <w:ilvl w:val="7"/>
        <w:numId w:val="1"/>
      </w:numPr>
      <w:ind w:left="720" w:hanging="720"/>
      <w:outlineLvl w:val="7"/>
    </w:pPr>
  </w:style>
  <w:style w:type="paragraph" w:styleId="Heading9">
    <w:name w:val="heading 9"/>
    <w:basedOn w:val="Normal"/>
    <w:next w:val="Normal"/>
    <w:link w:val="Heading9Char"/>
    <w:qFormat/>
    <w:rsid w:val="00A316C0"/>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szCs w:val="20"/>
      <w:lang w:eastAsia="en-US" w:bidi="ar-SA"/>
    </w:rPr>
  </w:style>
  <w:style w:type="character" w:customStyle="1" w:styleId="Heading2Char">
    <w:name w:val="Heading 2 Char"/>
    <w:basedOn w:val="DefaultParagraphFont"/>
    <w:link w:val="Heading2"/>
    <w:locked/>
    <w:rsid w:val="00CB1536"/>
    <w:rPr>
      <w:szCs w:val="20"/>
      <w:lang w:eastAsia="en-US" w:bidi="ar-SA"/>
    </w:rPr>
  </w:style>
  <w:style w:type="character" w:customStyle="1" w:styleId="Heading3Char">
    <w:name w:val="Heading 3 Char"/>
    <w:basedOn w:val="DefaultParagraphFont"/>
    <w:link w:val="Heading3"/>
    <w:locked/>
    <w:rsid w:val="00CB1536"/>
    <w:rPr>
      <w:szCs w:val="20"/>
      <w:lang w:eastAsia="en-US" w:bidi="ar-SA"/>
    </w:rPr>
  </w:style>
  <w:style w:type="character" w:customStyle="1" w:styleId="Heading4Char">
    <w:name w:val="Heading 4 Char"/>
    <w:basedOn w:val="DefaultParagraphFont"/>
    <w:link w:val="Heading4"/>
    <w:locked/>
    <w:rsid w:val="00CB1536"/>
    <w:rPr>
      <w:szCs w:val="20"/>
      <w:lang w:eastAsia="en-US" w:bidi="ar-SA"/>
    </w:rPr>
  </w:style>
  <w:style w:type="character" w:customStyle="1" w:styleId="Heading5Char">
    <w:name w:val="Heading 5 Char"/>
    <w:basedOn w:val="DefaultParagraphFont"/>
    <w:link w:val="Heading5"/>
    <w:locked/>
    <w:rsid w:val="00CB1536"/>
    <w:rPr>
      <w:szCs w:val="20"/>
      <w:lang w:eastAsia="en-US" w:bidi="ar-SA"/>
    </w:rPr>
  </w:style>
  <w:style w:type="character" w:customStyle="1" w:styleId="Heading6Char">
    <w:name w:val="Heading 6 Char"/>
    <w:basedOn w:val="DefaultParagraphFont"/>
    <w:link w:val="Heading6"/>
    <w:locked/>
    <w:rsid w:val="00CB1536"/>
    <w:rPr>
      <w:szCs w:val="20"/>
      <w:lang w:eastAsia="en-US" w:bidi="ar-SA"/>
    </w:rPr>
  </w:style>
  <w:style w:type="character" w:customStyle="1" w:styleId="Heading7Char">
    <w:name w:val="Heading 7 Char"/>
    <w:basedOn w:val="DefaultParagraphFont"/>
    <w:link w:val="Heading7"/>
    <w:locked/>
    <w:rsid w:val="00CB1536"/>
    <w:rPr>
      <w:szCs w:val="20"/>
      <w:lang w:eastAsia="en-US" w:bidi="ar-SA"/>
    </w:rPr>
  </w:style>
  <w:style w:type="character" w:customStyle="1" w:styleId="Heading8Char">
    <w:name w:val="Heading 8 Char"/>
    <w:basedOn w:val="DefaultParagraphFont"/>
    <w:link w:val="Heading8"/>
    <w:locked/>
    <w:rsid w:val="00CB1536"/>
    <w:rPr>
      <w:szCs w:val="20"/>
      <w:lang w:eastAsia="en-US" w:bidi="ar-SA"/>
    </w:rPr>
  </w:style>
  <w:style w:type="character" w:customStyle="1" w:styleId="Heading9Char">
    <w:name w:val="Heading 9 Char"/>
    <w:basedOn w:val="DefaultParagraphFont"/>
    <w:link w:val="Heading9"/>
    <w:locked/>
    <w:rsid w:val="00CB1536"/>
    <w:rPr>
      <w:szCs w:val="20"/>
      <w:lang w:eastAsia="en-US" w:bidi="ar-SA"/>
    </w:rPr>
  </w:style>
  <w:style w:type="paragraph" w:styleId="Footer">
    <w:name w:val="footer"/>
    <w:basedOn w:val="Normal"/>
    <w:link w:val="FooterChar"/>
    <w:qFormat/>
    <w:rsid w:val="00A316C0"/>
  </w:style>
  <w:style w:type="character" w:customStyle="1" w:styleId="FooterChar">
    <w:name w:val="Footer Char"/>
    <w:basedOn w:val="DefaultParagraphFont"/>
    <w:link w:val="Footer"/>
    <w:locked/>
    <w:rsid w:val="00CB1536"/>
    <w:rPr>
      <w:szCs w:val="20"/>
      <w:lang w:eastAsia="en-US" w:bidi="ar-SA"/>
    </w:rPr>
  </w:style>
  <w:style w:type="paragraph" w:styleId="FootnoteText">
    <w:name w:val="footnote text"/>
    <w:aliases w:val="Footnote text,Reference,Fußnote,Footnote Text Char Char,Footnote Text Char Char Char Char,Footnote Text1,Footnote Text Char Char Char,Fu§notentext Char,Fu§notentext Char1 Char1,Fu§notentext Char Char Char Char,o,fn,Fußn,Fußnotentextf"/>
    <w:basedOn w:val="Normal"/>
    <w:link w:val="FootnoteTextChar"/>
    <w:qFormat/>
    <w:rsid w:val="00A316C0"/>
    <w:pPr>
      <w:keepLines/>
      <w:spacing w:after="60" w:line="240" w:lineRule="auto"/>
      <w:ind w:left="720" w:hanging="720"/>
    </w:pPr>
    <w:rPr>
      <w:sz w:val="16"/>
    </w:rPr>
  </w:style>
  <w:style w:type="character" w:customStyle="1" w:styleId="FootnoteTextChar">
    <w:name w:val="Footnote Text Char"/>
    <w:aliases w:val="Footnote text Char,Reference Char,Fußnote Char,Footnote Text Char Char Char1,Footnote Text Char Char Char Char Char,Footnote Text1 Char,Footnote Text Char Char Char Char1,Fu§notentext Char Char,Fu§notentext Char1 Char1 Char,o Char"/>
    <w:basedOn w:val="DefaultParagraphFont"/>
    <w:link w:val="FootnoteText"/>
    <w:locked/>
    <w:rsid w:val="00CB1536"/>
    <w:rPr>
      <w:sz w:val="16"/>
      <w:szCs w:val="20"/>
      <w:lang w:eastAsia="en-US" w:bidi="ar-SA"/>
    </w:rPr>
  </w:style>
  <w:style w:type="paragraph" w:styleId="Header">
    <w:name w:val="header"/>
    <w:basedOn w:val="Normal"/>
    <w:link w:val="HeaderChar"/>
    <w:qFormat/>
    <w:rsid w:val="00A316C0"/>
  </w:style>
  <w:style w:type="character" w:customStyle="1" w:styleId="HeaderChar">
    <w:name w:val="Header Char"/>
    <w:basedOn w:val="DefaultParagraphFont"/>
    <w:link w:val="Header"/>
    <w:locked/>
    <w:rsid w:val="00CB1536"/>
    <w:rPr>
      <w:szCs w:val="20"/>
      <w:lang w:eastAsia="en-US" w:bidi="ar-SA"/>
    </w:rPr>
  </w:style>
  <w:style w:type="character" w:styleId="Hyperlink">
    <w:name w:val="Hyperlink"/>
    <w:basedOn w:val="DefaultParagraphFont"/>
    <w:uiPriority w:val="99"/>
    <w:rsid w:val="00934C10"/>
    <w:rPr>
      <w:color w:val="0000FF"/>
      <w:u w:val="single"/>
    </w:rPr>
  </w:style>
  <w:style w:type="character" w:styleId="FootnoteReference">
    <w:name w:val="footnote reference"/>
    <w:aliases w:val="Footnote Reference Superscript,BVI fnr, BVI fnr,Footnote symbol,EN Footnote Reference,Times 10 Point,Exposant 3 Point,Footnote reference number,note TESI,stylish,SUPERS,number,no...,Footnote,Ref,de nota al pie,Footnote Reference1"/>
    <w:basedOn w:val="DefaultParagraphFont"/>
    <w:qFormat/>
    <w:rsid w:val="00A316C0"/>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styleId="BalloonText">
    <w:name w:val="Balloon Text"/>
    <w:basedOn w:val="Normal"/>
    <w:link w:val="BalloonTextChar"/>
    <w:uiPriority w:val="99"/>
    <w:semiHidden/>
    <w:unhideWhenUsed/>
    <w:rsid w:val="00CB5F3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F3C"/>
    <w:rPr>
      <w:rFonts w:ascii="Tahoma" w:hAnsi="Tahoma" w:cs="Tahoma"/>
      <w:sz w:val="16"/>
      <w:szCs w:val="16"/>
      <w:lang w:eastAsia="en-US" w:bidi="ar-SA"/>
    </w:rPr>
  </w:style>
  <w:style w:type="character" w:styleId="CommentReference">
    <w:name w:val="annotation reference"/>
    <w:basedOn w:val="DefaultParagraphFont"/>
    <w:semiHidden/>
    <w:unhideWhenUsed/>
    <w:rsid w:val="0086017F"/>
    <w:rPr>
      <w:sz w:val="16"/>
      <w:szCs w:val="16"/>
    </w:rPr>
  </w:style>
  <w:style w:type="paragraph" w:styleId="CommentSubject">
    <w:name w:val="annotation subject"/>
    <w:basedOn w:val="Normal"/>
    <w:next w:val="Normal"/>
    <w:link w:val="CommentSubjectChar"/>
    <w:semiHidden/>
    <w:unhideWhenUsed/>
    <w:rsid w:val="009E7BDB"/>
    <w:rPr>
      <w:b/>
      <w:bCs/>
    </w:rPr>
  </w:style>
  <w:style w:type="character" w:customStyle="1" w:styleId="CommentSubjectChar">
    <w:name w:val="Comment Subject Char"/>
    <w:basedOn w:val="DefaultParagraphFont"/>
    <w:link w:val="CommentSubject"/>
    <w:semiHidden/>
    <w:rsid w:val="009E7BDB"/>
    <w:rPr>
      <w:b/>
      <w:bCs/>
      <w:sz w:val="20"/>
      <w:szCs w:val="20"/>
      <w:lang w:eastAsia="en-US" w:bidi="ar-SA"/>
    </w:rPr>
  </w:style>
  <w:style w:type="paragraph" w:customStyle="1" w:styleId="quotes">
    <w:name w:val="quotes"/>
    <w:basedOn w:val="Normal"/>
    <w:next w:val="Normal"/>
    <w:rsid w:val="00767DBB"/>
    <w:pPr>
      <w:overflowPunct/>
      <w:autoSpaceDE/>
      <w:autoSpaceDN/>
      <w:adjustRightInd/>
      <w:ind w:left="720"/>
      <w:textAlignment w:val="auto"/>
    </w:pPr>
    <w:rPr>
      <w:i/>
      <w:szCs w:val="22"/>
    </w:rPr>
  </w:style>
  <w:style w:type="table" w:styleId="TableGrid">
    <w:name w:val="Table Grid"/>
    <w:basedOn w:val="TableNormal"/>
    <w:uiPriority w:val="39"/>
    <w:locked/>
    <w:rsid w:val="00767DBB"/>
    <w:rPr>
      <w:rFonts w:asciiTheme="minorHAnsi" w:eastAsiaTheme="minorHAnsi" w:hAnsiTheme="minorHAnsi" w:cstheme="minorBidi"/>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locked/>
    <w:rsid w:val="00767DBB"/>
    <w:pPr>
      <w:overflowPunct/>
      <w:autoSpaceDE/>
      <w:autoSpaceDN/>
      <w:adjustRightInd/>
      <w:spacing w:after="200" w:line="240" w:lineRule="auto"/>
      <w:textAlignment w:val="auto"/>
    </w:pPr>
    <w:rPr>
      <w:i/>
      <w:iCs/>
      <w:color w:val="1F497D" w:themeColor="text2"/>
      <w:sz w:val="18"/>
      <w:szCs w:val="18"/>
    </w:rPr>
  </w:style>
  <w:style w:type="character" w:customStyle="1" w:styleId="UnresolvedMention1">
    <w:name w:val="Unresolved Mention1"/>
    <w:basedOn w:val="DefaultParagraphFont"/>
    <w:uiPriority w:val="99"/>
    <w:semiHidden/>
    <w:unhideWhenUsed/>
    <w:rsid w:val="00767DBB"/>
    <w:rPr>
      <w:color w:val="605E5C"/>
      <w:shd w:val="clear" w:color="auto" w:fill="E1DFDD"/>
    </w:rPr>
  </w:style>
  <w:style w:type="table" w:styleId="GridTable5Dark-Accent1">
    <w:name w:val="Grid Table 5 Dark Accent 1"/>
    <w:basedOn w:val="TableNormal"/>
    <w:uiPriority w:val="50"/>
    <w:rsid w:val="00767DBB"/>
    <w:rPr>
      <w:rFonts w:asciiTheme="minorHAnsi" w:eastAsiaTheme="minorHAnsi" w:hAnsiTheme="minorHAnsi" w:cstheme="minorBidi"/>
      <w:lang w:eastAsia="en-US" w:bidi="ar-S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
    <w:name w:val="Grid Table 4"/>
    <w:basedOn w:val="TableNormal"/>
    <w:uiPriority w:val="49"/>
    <w:rsid w:val="00767DBB"/>
    <w:rPr>
      <w:rFonts w:asciiTheme="minorHAnsi" w:eastAsiaTheme="minorHAnsi" w:hAnsiTheme="minorHAnsi" w:cstheme="minorBidi"/>
      <w:lang w:eastAsia="en-US" w:bidi="ar-S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ommentText">
    <w:name w:val="annotation text"/>
    <w:basedOn w:val="Normal"/>
    <w:link w:val="CommentTextChar"/>
    <w:unhideWhenUsed/>
    <w:pPr>
      <w:spacing w:line="240" w:lineRule="auto"/>
    </w:pPr>
    <w:rPr>
      <w:sz w:val="20"/>
    </w:rPr>
  </w:style>
  <w:style w:type="character" w:customStyle="1" w:styleId="CommentTextChar">
    <w:name w:val="Comment Text Char"/>
    <w:basedOn w:val="DefaultParagraphFont"/>
    <w:link w:val="CommentText"/>
    <w:rPr>
      <w:sz w:val="20"/>
      <w:szCs w:val="20"/>
      <w:lang w:eastAsia="en-US" w:bidi="ar-SA"/>
    </w:rPr>
  </w:style>
  <w:style w:type="paragraph" w:styleId="ListParagraph">
    <w:name w:val="List Paragraph"/>
    <w:aliases w:val="Resume Title,Listes,Citation List,Ha,List Paragraph1,Body,List Paragraph_Table bullets,Bullet List Paragraph,1st level - Bullet List Paragraph,Lettre d'introduction,Paragrafo elenco,Medium Grid 1 - Accent 21,AFW Body,Normal bullet 2"/>
    <w:basedOn w:val="Normal"/>
    <w:link w:val="ListParagraphChar"/>
    <w:uiPriority w:val="34"/>
    <w:qFormat/>
    <w:rsid w:val="000E4CB2"/>
    <w:pPr>
      <w:ind w:left="720"/>
      <w:contextualSpacing/>
    </w:pPr>
  </w:style>
  <w:style w:type="paragraph" w:styleId="HTMLPreformatted">
    <w:name w:val="HTML Preformatted"/>
    <w:basedOn w:val="Normal"/>
    <w:link w:val="HTMLPreformattedChar"/>
    <w:uiPriority w:val="99"/>
    <w:unhideWhenUsed/>
    <w:rsid w:val="000E4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jc w:val="left"/>
      <w:textAlignment w:val="auto"/>
    </w:pPr>
    <w:rPr>
      <w:rFonts w:ascii="Courier New" w:hAnsi="Courier New" w:cs="Courier New"/>
      <w:sz w:val="20"/>
      <w:lang w:eastAsia="fr-FR"/>
    </w:rPr>
  </w:style>
  <w:style w:type="character" w:customStyle="1" w:styleId="HTMLPreformattedChar">
    <w:name w:val="HTML Preformatted Char"/>
    <w:basedOn w:val="DefaultParagraphFont"/>
    <w:link w:val="HTMLPreformatted"/>
    <w:uiPriority w:val="99"/>
    <w:rsid w:val="000E4CB2"/>
    <w:rPr>
      <w:rFonts w:ascii="Courier New" w:hAnsi="Courier New" w:cs="Courier New"/>
      <w:sz w:val="20"/>
      <w:szCs w:val="20"/>
      <w:lang w:val="fi-FI" w:eastAsia="fr-FR" w:bidi="ar-SA"/>
    </w:rPr>
  </w:style>
  <w:style w:type="paragraph" w:styleId="TOCHeading">
    <w:name w:val="TOC Heading"/>
    <w:basedOn w:val="Heading1"/>
    <w:next w:val="Normal"/>
    <w:uiPriority w:val="39"/>
    <w:unhideWhenUsed/>
    <w:qFormat/>
    <w:rsid w:val="000E4CB2"/>
    <w:pPr>
      <w:keepNext/>
      <w:keepLines/>
      <w:numPr>
        <w:numId w:val="0"/>
      </w:numPr>
      <w:overflowPunct/>
      <w:autoSpaceDE/>
      <w:autoSpaceDN/>
      <w:adjustRightInd/>
      <w:spacing w:before="240" w:line="259" w:lineRule="auto"/>
      <w:jc w:val="left"/>
      <w:textAlignment w:val="auto"/>
      <w:outlineLvl w:val="9"/>
    </w:pPr>
    <w:rPr>
      <w:rFonts w:asciiTheme="majorHAnsi" w:eastAsiaTheme="majorEastAsia" w:hAnsiTheme="majorHAnsi" w:cstheme="majorBidi"/>
      <w:color w:val="365F91" w:themeColor="accent1" w:themeShade="BF"/>
      <w:kern w:val="0"/>
      <w:sz w:val="32"/>
      <w:szCs w:val="32"/>
    </w:rPr>
  </w:style>
  <w:style w:type="paragraph" w:styleId="TOC1">
    <w:name w:val="toc 1"/>
    <w:basedOn w:val="Normal"/>
    <w:next w:val="Normal"/>
    <w:autoRedefine/>
    <w:uiPriority w:val="39"/>
    <w:unhideWhenUsed/>
    <w:locked/>
    <w:rsid w:val="000E4CB2"/>
    <w:pPr>
      <w:tabs>
        <w:tab w:val="left" w:pos="440"/>
        <w:tab w:val="right" w:leader="dot" w:pos="9063"/>
      </w:tabs>
      <w:overflowPunct/>
      <w:autoSpaceDE/>
      <w:autoSpaceDN/>
      <w:adjustRightInd/>
      <w:spacing w:after="100"/>
      <w:textAlignment w:val="auto"/>
    </w:pPr>
    <w:rPr>
      <w:b/>
      <w:noProof/>
      <w:szCs w:val="22"/>
    </w:rPr>
  </w:style>
  <w:style w:type="paragraph" w:styleId="TOC2">
    <w:name w:val="toc 2"/>
    <w:basedOn w:val="Normal"/>
    <w:next w:val="Normal"/>
    <w:autoRedefine/>
    <w:uiPriority w:val="39"/>
    <w:unhideWhenUsed/>
    <w:locked/>
    <w:rsid w:val="000E4CB2"/>
    <w:pPr>
      <w:overflowPunct/>
      <w:autoSpaceDE/>
      <w:autoSpaceDN/>
      <w:adjustRightInd/>
      <w:spacing w:after="100"/>
      <w:ind w:left="220"/>
      <w:textAlignment w:val="auto"/>
    </w:pPr>
    <w:rPr>
      <w:szCs w:val="22"/>
    </w:rPr>
  </w:style>
  <w:style w:type="character" w:customStyle="1" w:styleId="normaltextrun">
    <w:name w:val="normaltextrun"/>
    <w:basedOn w:val="DefaultParagraphFont"/>
    <w:rsid w:val="000E4CB2"/>
  </w:style>
  <w:style w:type="paragraph" w:customStyle="1" w:styleId="paragraph">
    <w:name w:val="paragraph"/>
    <w:basedOn w:val="Normal"/>
    <w:rsid w:val="000E4CB2"/>
    <w:pPr>
      <w:overflowPunct/>
      <w:autoSpaceDE/>
      <w:autoSpaceDN/>
      <w:adjustRightInd/>
      <w:spacing w:before="100" w:beforeAutospacing="1" w:after="100" w:afterAutospacing="1" w:line="240" w:lineRule="auto"/>
      <w:jc w:val="left"/>
      <w:textAlignment w:val="auto"/>
    </w:pPr>
    <w:rPr>
      <w:sz w:val="24"/>
      <w:szCs w:val="24"/>
      <w:lang w:eastAsia="es-ES"/>
    </w:rPr>
  </w:style>
  <w:style w:type="character" w:customStyle="1" w:styleId="eop">
    <w:name w:val="eop"/>
    <w:basedOn w:val="DefaultParagraphFont"/>
    <w:rsid w:val="000E4CB2"/>
  </w:style>
  <w:style w:type="paragraph" w:styleId="NormalWeb">
    <w:name w:val="Normal (Web)"/>
    <w:basedOn w:val="Normal"/>
    <w:uiPriority w:val="99"/>
    <w:unhideWhenUsed/>
    <w:rsid w:val="000E4CB2"/>
    <w:pPr>
      <w:overflowPunct/>
      <w:autoSpaceDE/>
      <w:autoSpaceDN/>
      <w:adjustRightInd/>
      <w:spacing w:before="100" w:beforeAutospacing="1" w:after="100" w:afterAutospacing="1" w:line="240" w:lineRule="auto"/>
      <w:jc w:val="left"/>
      <w:textAlignment w:val="auto"/>
    </w:pPr>
    <w:rPr>
      <w:sz w:val="24"/>
      <w:szCs w:val="24"/>
      <w:lang w:eastAsia="es-ES"/>
    </w:rPr>
  </w:style>
  <w:style w:type="character" w:styleId="Strong">
    <w:name w:val="Strong"/>
    <w:basedOn w:val="DefaultParagraphFont"/>
    <w:uiPriority w:val="22"/>
    <w:qFormat/>
    <w:locked/>
    <w:rsid w:val="000E4CB2"/>
    <w:rPr>
      <w:b/>
      <w:bCs/>
    </w:rPr>
  </w:style>
  <w:style w:type="character" w:customStyle="1" w:styleId="ListParagraphChar">
    <w:name w:val="List Paragraph Char"/>
    <w:aliases w:val="Resume Title Char,Listes Char,Citation List Char,Ha Char,List Paragraph1 Char,Body Char,List Paragraph_Table bullets Char,Bullet List Paragraph Char,1st level - Bullet List Paragraph Char,Lettre d'introduction Char,AFW Body Char"/>
    <w:link w:val="ListParagraph"/>
    <w:uiPriority w:val="34"/>
    <w:rsid w:val="000E4CB2"/>
    <w:rPr>
      <w:szCs w:val="20"/>
      <w:lang w:eastAsia="en-US" w:bidi="ar-SA"/>
    </w:rPr>
  </w:style>
  <w:style w:type="paragraph" w:styleId="TOC3">
    <w:name w:val="toc 3"/>
    <w:basedOn w:val="Normal"/>
    <w:next w:val="Normal"/>
    <w:autoRedefine/>
    <w:uiPriority w:val="39"/>
    <w:unhideWhenUsed/>
    <w:locked/>
    <w:rsid w:val="000E4CB2"/>
    <w:pPr>
      <w:overflowPunct/>
      <w:autoSpaceDE/>
      <w:autoSpaceDN/>
      <w:adjustRightInd/>
      <w:spacing w:after="100"/>
      <w:ind w:left="440"/>
      <w:textAlignment w:val="auto"/>
    </w:pPr>
    <w:rPr>
      <w:szCs w:val="22"/>
    </w:rPr>
  </w:style>
  <w:style w:type="character" w:customStyle="1" w:styleId="UnresolvedMention2">
    <w:name w:val="Unresolved Mention2"/>
    <w:basedOn w:val="DefaultParagraphFont"/>
    <w:uiPriority w:val="99"/>
    <w:semiHidden/>
    <w:unhideWhenUsed/>
    <w:rsid w:val="000E4C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063661">
      <w:bodyDiv w:val="1"/>
      <w:marLeft w:val="0"/>
      <w:marRight w:val="0"/>
      <w:marTop w:val="0"/>
      <w:marBottom w:val="0"/>
      <w:divBdr>
        <w:top w:val="none" w:sz="0" w:space="0" w:color="auto"/>
        <w:left w:val="none" w:sz="0" w:space="0" w:color="auto"/>
        <w:bottom w:val="none" w:sz="0" w:space="0" w:color="auto"/>
        <w:right w:val="none" w:sz="0" w:space="0" w:color="auto"/>
      </w:divBdr>
    </w:div>
    <w:div w:id="623511621">
      <w:bodyDiv w:val="1"/>
      <w:marLeft w:val="0"/>
      <w:marRight w:val="0"/>
      <w:marTop w:val="0"/>
      <w:marBottom w:val="0"/>
      <w:divBdr>
        <w:top w:val="none" w:sz="0" w:space="0" w:color="auto"/>
        <w:left w:val="none" w:sz="0" w:space="0" w:color="auto"/>
        <w:bottom w:val="none" w:sz="0" w:space="0" w:color="auto"/>
        <w:right w:val="none" w:sz="0" w:space="0" w:color="auto"/>
      </w:divBdr>
    </w:div>
    <w:div w:id="672949853">
      <w:bodyDiv w:val="1"/>
      <w:marLeft w:val="0"/>
      <w:marRight w:val="0"/>
      <w:marTop w:val="0"/>
      <w:marBottom w:val="0"/>
      <w:divBdr>
        <w:top w:val="none" w:sz="0" w:space="0" w:color="auto"/>
        <w:left w:val="none" w:sz="0" w:space="0" w:color="auto"/>
        <w:bottom w:val="none" w:sz="0" w:space="0" w:color="auto"/>
        <w:right w:val="none" w:sz="0" w:space="0" w:color="auto"/>
      </w:divBdr>
    </w:div>
    <w:div w:id="1061637190">
      <w:bodyDiv w:val="1"/>
      <w:marLeft w:val="0"/>
      <w:marRight w:val="0"/>
      <w:marTop w:val="0"/>
      <w:marBottom w:val="0"/>
      <w:divBdr>
        <w:top w:val="none" w:sz="0" w:space="0" w:color="auto"/>
        <w:left w:val="none" w:sz="0" w:space="0" w:color="auto"/>
        <w:bottom w:val="none" w:sz="0" w:space="0" w:color="auto"/>
        <w:right w:val="none" w:sz="0" w:space="0" w:color="auto"/>
      </w:divBdr>
    </w:div>
    <w:div w:id="1261453771">
      <w:bodyDiv w:val="1"/>
      <w:marLeft w:val="0"/>
      <w:marRight w:val="0"/>
      <w:marTop w:val="0"/>
      <w:marBottom w:val="0"/>
      <w:divBdr>
        <w:top w:val="none" w:sz="0" w:space="0" w:color="auto"/>
        <w:left w:val="none" w:sz="0" w:space="0" w:color="auto"/>
        <w:bottom w:val="none" w:sz="0" w:space="0" w:color="auto"/>
        <w:right w:val="none" w:sz="0" w:space="0" w:color="auto"/>
      </w:divBdr>
    </w:div>
    <w:div w:id="1684629426">
      <w:bodyDiv w:val="1"/>
      <w:marLeft w:val="0"/>
      <w:marRight w:val="0"/>
      <w:marTop w:val="0"/>
      <w:marBottom w:val="0"/>
      <w:divBdr>
        <w:top w:val="none" w:sz="0" w:space="0" w:color="auto"/>
        <w:left w:val="none" w:sz="0" w:space="0" w:color="auto"/>
        <w:bottom w:val="none" w:sz="0" w:space="0" w:color="auto"/>
        <w:right w:val="none" w:sz="0" w:space="0" w:color="auto"/>
      </w:divBdr>
    </w:div>
    <w:div w:id="1886482218">
      <w:bodyDiv w:val="1"/>
      <w:marLeft w:val="0"/>
      <w:marRight w:val="0"/>
      <w:marTop w:val="0"/>
      <w:marBottom w:val="0"/>
      <w:divBdr>
        <w:top w:val="none" w:sz="0" w:space="0" w:color="auto"/>
        <w:left w:val="none" w:sz="0" w:space="0" w:color="auto"/>
        <w:bottom w:val="none" w:sz="0" w:space="0" w:color="auto"/>
        <w:right w:val="none" w:sz="0" w:space="0" w:color="auto"/>
      </w:divBdr>
    </w:div>
    <w:div w:id="2036225942">
      <w:bodyDiv w:val="1"/>
      <w:marLeft w:val="0"/>
      <w:marRight w:val="0"/>
      <w:marTop w:val="0"/>
      <w:marBottom w:val="0"/>
      <w:divBdr>
        <w:top w:val="none" w:sz="0" w:space="0" w:color="auto"/>
        <w:left w:val="none" w:sz="0" w:space="0" w:color="auto"/>
        <w:bottom w:val="none" w:sz="0" w:space="0" w:color="auto"/>
        <w:right w:val="none" w:sz="0" w:space="0" w:color="auto"/>
      </w:divBdr>
    </w:div>
    <w:div w:id="210418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7.xml"/><Relationship Id="rId21" Type="http://schemas.openxmlformats.org/officeDocument/2006/relationships/header" Target="header7.xml"/><Relationship Id="rId42" Type="http://schemas.openxmlformats.org/officeDocument/2006/relationships/chart" Target="charts/chart16.xml"/><Relationship Id="rId47" Type="http://schemas.openxmlformats.org/officeDocument/2006/relationships/chart" Target="charts/chart21.xml"/><Relationship Id="rId63" Type="http://schemas.openxmlformats.org/officeDocument/2006/relationships/hyperlink" Target="https://www.eesc.europa.eu/en/our-work/opinions-information-reports/opinions/new-european-innovation-agenda" TargetMode="External"/><Relationship Id="rId68" Type="http://schemas.openxmlformats.org/officeDocument/2006/relationships/hyperlink" Target="https://www.eesc.europa.eu/en/our-work/opinions-information-reports/opinions/horizon-europe" TargetMode="External"/><Relationship Id="rId16" Type="http://schemas.openxmlformats.org/officeDocument/2006/relationships/footer" Target="footer3.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chart" Target="charts/chart6.xml"/><Relationship Id="rId37" Type="http://schemas.openxmlformats.org/officeDocument/2006/relationships/chart" Target="charts/chart11.xml"/><Relationship Id="rId40" Type="http://schemas.openxmlformats.org/officeDocument/2006/relationships/chart" Target="charts/chart14.xml"/><Relationship Id="rId45" Type="http://schemas.openxmlformats.org/officeDocument/2006/relationships/chart" Target="charts/chart19.xml"/><Relationship Id="rId53" Type="http://schemas.openxmlformats.org/officeDocument/2006/relationships/chart" Target="charts/chart27.xml"/><Relationship Id="rId58" Type="http://schemas.openxmlformats.org/officeDocument/2006/relationships/chart" Target="charts/chart32.xml"/><Relationship Id="rId66" Type="http://schemas.openxmlformats.org/officeDocument/2006/relationships/hyperlink" Target="https://www.eesc.europa.eu/en/our-work/opinions-information-reports/opinions/INT-924" TargetMode="External"/><Relationship Id="rId74" Type="http://schemas.openxmlformats.org/officeDocument/2006/relationships/header" Target="header12.xml"/><Relationship Id="rId79" Type="http://schemas.openxmlformats.org/officeDocument/2006/relationships/customXml" Target="../customXml/item2.xml"/><Relationship Id="rId5" Type="http://schemas.openxmlformats.org/officeDocument/2006/relationships/numbering" Target="numbering.xml"/><Relationship Id="rId61" Type="http://schemas.openxmlformats.org/officeDocument/2006/relationships/chart" Target="charts/chart35.xml"/><Relationship Id="rId19" Type="http://schemas.openxmlformats.org/officeDocument/2006/relationships/footer" Target="footer4.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chart" Target="charts/chart1.xml"/><Relationship Id="rId30" Type="http://schemas.openxmlformats.org/officeDocument/2006/relationships/chart" Target="charts/chart4.xml"/><Relationship Id="rId35" Type="http://schemas.openxmlformats.org/officeDocument/2006/relationships/chart" Target="charts/chart9.xml"/><Relationship Id="rId43" Type="http://schemas.openxmlformats.org/officeDocument/2006/relationships/chart" Target="charts/chart17.xml"/><Relationship Id="rId48" Type="http://schemas.openxmlformats.org/officeDocument/2006/relationships/chart" Target="charts/chart22.xml"/><Relationship Id="rId56" Type="http://schemas.openxmlformats.org/officeDocument/2006/relationships/chart" Target="charts/chart30.xml"/><Relationship Id="rId64" Type="http://schemas.openxmlformats.org/officeDocument/2006/relationships/hyperlink" Target="https://www.eesc.europa.eu/en/our-work/opinions-information-reports/opinions/pact-research-and-innovation-europe" TargetMode="External"/><Relationship Id="rId69" Type="http://schemas.openxmlformats.org/officeDocument/2006/relationships/hyperlink" Target="https://www.eesc.europa.eu/en/our-work/opinions-information-reports/opinions/research-and-training-programme-european-atomic-energy-community-period-2021-2025-complementing-horizon-europe-framework" TargetMode="Externa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chart" Target="charts/chart25.xml"/><Relationship Id="rId72" Type="http://schemas.openxmlformats.org/officeDocument/2006/relationships/footer" Target="footer8.xml"/><Relationship Id="rId80"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chart" Target="charts/chart7.xml"/><Relationship Id="rId38" Type="http://schemas.openxmlformats.org/officeDocument/2006/relationships/chart" Target="charts/chart12.xml"/><Relationship Id="rId46" Type="http://schemas.openxmlformats.org/officeDocument/2006/relationships/chart" Target="charts/chart20.xml"/><Relationship Id="rId59" Type="http://schemas.openxmlformats.org/officeDocument/2006/relationships/chart" Target="charts/chart33.xml"/><Relationship Id="rId67" Type="http://schemas.openxmlformats.org/officeDocument/2006/relationships/hyperlink" Target="https://www.eesc.europa.eu/en/our-work/opinions-information-reports/opinions/fostering-entrepreneurship-and-innovation-friendly-single-market-promoting-new-business-models-meet-societal-challenges" TargetMode="External"/><Relationship Id="rId20" Type="http://schemas.openxmlformats.org/officeDocument/2006/relationships/header" Target="header6.xml"/><Relationship Id="rId41" Type="http://schemas.openxmlformats.org/officeDocument/2006/relationships/chart" Target="charts/chart15.xml"/><Relationship Id="rId54" Type="http://schemas.openxmlformats.org/officeDocument/2006/relationships/chart" Target="charts/chart28.xml"/><Relationship Id="rId62" Type="http://schemas.openxmlformats.org/officeDocument/2006/relationships/chart" Target="charts/chart36.xml"/><Relationship Id="rId70" Type="http://schemas.openxmlformats.org/officeDocument/2006/relationships/header" Target="header10.xml"/><Relationship Id="rId75" Type="http://schemas.openxmlformats.org/officeDocument/2006/relationships/footer" Target="footer10.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chart" Target="charts/chart2.xml"/><Relationship Id="rId36" Type="http://schemas.openxmlformats.org/officeDocument/2006/relationships/chart" Target="charts/chart10.xml"/><Relationship Id="rId49" Type="http://schemas.openxmlformats.org/officeDocument/2006/relationships/chart" Target="charts/chart23.xml"/><Relationship Id="rId57" Type="http://schemas.openxmlformats.org/officeDocument/2006/relationships/chart" Target="charts/chart31.xml"/><Relationship Id="rId10" Type="http://schemas.openxmlformats.org/officeDocument/2006/relationships/endnotes" Target="endnotes.xml"/><Relationship Id="rId31" Type="http://schemas.openxmlformats.org/officeDocument/2006/relationships/chart" Target="charts/chart5.xml"/><Relationship Id="rId44" Type="http://schemas.openxmlformats.org/officeDocument/2006/relationships/chart" Target="charts/chart18.xml"/><Relationship Id="rId52" Type="http://schemas.openxmlformats.org/officeDocument/2006/relationships/chart" Target="charts/chart26.xml"/><Relationship Id="rId60" Type="http://schemas.openxmlformats.org/officeDocument/2006/relationships/chart" Target="charts/chart34.xml"/><Relationship Id="rId65" Type="http://schemas.openxmlformats.org/officeDocument/2006/relationships/hyperlink" Target="https://www.eesc.europa.eu/en/our-work/opinions-information-reports/opinions/communication-global-approach-research-innovation-education-and-youth" TargetMode="External"/><Relationship Id="rId73" Type="http://schemas.openxmlformats.org/officeDocument/2006/relationships/footer" Target="footer9.xml"/><Relationship Id="rId78" Type="http://schemas.openxmlformats.org/officeDocument/2006/relationships/customXml" Target="../customXml/item1.xml"/><Relationship Id="rId81"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9" Type="http://schemas.openxmlformats.org/officeDocument/2006/relationships/chart" Target="charts/chart13.xml"/><Relationship Id="rId34" Type="http://schemas.openxmlformats.org/officeDocument/2006/relationships/chart" Target="charts/chart8.xml"/><Relationship Id="rId50" Type="http://schemas.openxmlformats.org/officeDocument/2006/relationships/chart" Target="charts/chart24.xml"/><Relationship Id="rId55" Type="http://schemas.openxmlformats.org/officeDocument/2006/relationships/chart" Target="charts/chart29.xm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eader" Target="header11.xml"/><Relationship Id="rId29" Type="http://schemas.openxmlformats.org/officeDocument/2006/relationships/chart" Target="charts/chart3.xml"/></Relationships>
</file>

<file path=word/_rels/footnotes.xml.rels><?xml version="1.0" encoding="UTF-8" standalone="yes"?>
<Relationships xmlns="http://schemas.openxmlformats.org/package/2006/relationships"><Relationship Id="rId3" Type="http://schemas.openxmlformats.org/officeDocument/2006/relationships/hyperlink" Target="https://webgate.ec.europa.eu/dashboard/sense/app/a976d168-2023-41d8-acec-e77640154726/sheet/0c8af38b-b73c-4da2-ba41-73ea34ab7ac4/state/analysis/select/Country/Netherlands" TargetMode="External"/><Relationship Id="rId7" Type="http://schemas.openxmlformats.org/officeDocument/2006/relationships/hyperlink" Target="https://commission.europa.eu/system/files/2022-06/br_toolbox_-_nov_2021_-_chapter_6.pdf" TargetMode="External"/><Relationship Id="rId2" Type="http://schemas.openxmlformats.org/officeDocument/2006/relationships/hyperlink" Target="https://webgate.ec.europa.eu/dashboard/sense/app/a976d168-2023-41d8-acec-e77640154726/sheet/0c8af38b-b73c-4da2-ba41-73ea34ab7ac4/state/analysis/select/Country/Latvia" TargetMode="External"/><Relationship Id="rId1" Type="http://schemas.openxmlformats.org/officeDocument/2006/relationships/hyperlink" Target="https://webgate.ec.europa.eu/dashboard/sense/app/a976d168-2023-41d8-acec-e77640154726/sheet/0c8af38b-b73c-4da2-ba41-73ea34ab7ac4/state/analysis/select/Country/Croatia" TargetMode="External"/><Relationship Id="rId6" Type="http://schemas.openxmlformats.org/officeDocument/2006/relationships/hyperlink" Target="https://ies.lublin.pl/en/instytut/about-the-institute/" TargetMode="External"/><Relationship Id="rId5" Type="http://schemas.openxmlformats.org/officeDocument/2006/relationships/hyperlink" Target="https://commission.europa.eu/system/files/2022-06/br_toolbox_-_nov_2021_-_chapter_6.pdf" TargetMode="External"/><Relationship Id="rId4" Type="http://schemas.openxmlformats.org/officeDocument/2006/relationships/hyperlink" Target="https://webgate.ec.europa.eu/dashboard/sense/app/a976d168-2023-41d8-acec-e77640154726/sheet/0c8af38b-b73c-4da2-ba41-73ea34ab7ac4/state/analysis/select/Country/Portug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es-cdr.eu.int\dfs\shr-dirc-pas-cese\EVALUATIONS%202022-2023\INT%20974%20Horizon%202020\Questionnaire\QuestionnaireUPDATED.xls"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unitynas\homedirs$\areid\INT.974%20H2020\Data\QuestionnaireUPDATED.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unitynas\homedirs$\areid\INT.974%20H2020\Data\QuestionnaireUPDATED.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unitynas\homedirs$\areid\INT.974%20H2020\Data\QuestionnaireUPDATED.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unitynas\homedirs$\areid\INT.974%20H2020\Data\QuestionnaireUPDATED.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unitynas\homedirs$\areid\INT.974%20H2020\Data\QuestionnaireUPDATED.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unitynas\homedirs$\areid\INT.974%20H2020\Data\QuestionnaireUPDATED.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unitynas\homedirs$\areid\INT.974%20H2020\Data\QuestionnaireUPDATED.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7.xml"/><Relationship Id="rId1" Type="http://schemas.microsoft.com/office/2011/relationships/chartStyle" Target="style17.xml"/><Relationship Id="rId4" Type="http://schemas.openxmlformats.org/officeDocument/2006/relationships/oleObject" Target="../embeddings/oleObject2.bin"/></Relationships>
</file>

<file path=word/charts/_rels/chart18.xml.rels><?xml version="1.0" encoding="UTF-8" standalone="yes"?>
<Relationships xmlns="http://schemas.openxmlformats.org/package/2006/relationships"><Relationship Id="rId3" Type="http://schemas.openxmlformats.org/officeDocument/2006/relationships/oleObject" Target="file:///\\unitynas\homedirs$\areid\INT.974%20H2020\Data\QuestionnaireUPDATED.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19.xml"/><Relationship Id="rId1" Type="http://schemas.microsoft.com/office/2011/relationships/chartStyle" Target="style19.xml"/><Relationship Id="rId4" Type="http://schemas.openxmlformats.org/officeDocument/2006/relationships/oleObject" Target="../embeddings/oleObject3.bin"/></Relationships>
</file>

<file path=word/charts/_rels/chart2.xml.rels><?xml version="1.0" encoding="UTF-8" standalone="yes"?>
<Relationships xmlns="http://schemas.openxmlformats.org/package/2006/relationships"><Relationship Id="rId3" Type="http://schemas.openxmlformats.org/officeDocument/2006/relationships/oleObject" Target="file:///\\ces-cdr.eu.int\dfs\shr-dirc-pas-cese\EVALUATIONS%202022-2023\INT%20974%20Horizon%202020\Questionnaire\QuestionnaireUPDATED.xls"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20.xml"/><Relationship Id="rId1" Type="http://schemas.microsoft.com/office/2011/relationships/chartStyle" Target="style20.xml"/><Relationship Id="rId4" Type="http://schemas.openxmlformats.org/officeDocument/2006/relationships/oleObject" Target="../embeddings/oleObject4.bin"/></Relationships>
</file>

<file path=word/charts/_rels/chart21.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21.xml"/><Relationship Id="rId1" Type="http://schemas.microsoft.com/office/2011/relationships/chartStyle" Target="style21.xml"/><Relationship Id="rId4" Type="http://schemas.openxmlformats.org/officeDocument/2006/relationships/oleObject" Target="../embeddings/oleObject5.bin"/></Relationships>
</file>

<file path=word/charts/_rels/chart22.xml.rels><?xml version="1.0" encoding="UTF-8" standalone="yes"?>
<Relationships xmlns="http://schemas.openxmlformats.org/package/2006/relationships"><Relationship Id="rId3" Type="http://schemas.openxmlformats.org/officeDocument/2006/relationships/oleObject" Target="file:///\\unitynas\homedirs$\areid\INT.974%20H2020\Data\QuestionnaireUPDATED.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file:///\\unitynas\homedirs$\areid\INT.974%20H2020\Data\QuestionnaireUPDATED.xlsx" TargetMode="External"/><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oleObject" Target="file:///\\unitynas\homedirs$\areid\INT.974%20H2020\Data\QuestionnaireUPDATED.xlsx" TargetMode="External"/><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oleObject" Target="file:///\\unitynas\homedirs$\areid\INT.974%20H2020\Data\QuestionnaireUPDATED.xlsx" TargetMode="External"/><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oleObject" Target="file:///\\unitynas\homedirs$\areid\INT.974%20H2020\Data\QuestionnaireUPDATED.xlsx" TargetMode="External"/><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oleObject" Target="file:///\\unitynas\homedirs$\areid\INT.974%20H2020\Data\QuestionnaireUPDATED.xlsx" TargetMode="External"/><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oleObject" Target="file:///\\unitynas\homedirs$\areid\INT.974%20H2020\Data\QuestionnaireUPDATED.xlsx" TargetMode="External"/><Relationship Id="rId2" Type="http://schemas.microsoft.com/office/2011/relationships/chartColorStyle" Target="colors28.xml"/><Relationship Id="rId1" Type="http://schemas.microsoft.com/office/2011/relationships/chartStyle" Target="style28.xml"/></Relationships>
</file>

<file path=word/charts/_rels/chart29.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29.xml"/><Relationship Id="rId1" Type="http://schemas.microsoft.com/office/2011/relationships/chartStyle" Target="style29.xml"/><Relationship Id="rId4" Type="http://schemas.openxmlformats.org/officeDocument/2006/relationships/oleObject" Target="file:///\\unitynas\homedirs$\areid\INT.974%20H2020\Data\QuestionnaireUPDATED.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1.bin"/></Relationships>
</file>

<file path=word/charts/_rels/chart30.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30.xml"/><Relationship Id="rId1" Type="http://schemas.microsoft.com/office/2011/relationships/chartStyle" Target="style30.xml"/><Relationship Id="rId4" Type="http://schemas.openxmlformats.org/officeDocument/2006/relationships/oleObject" Target="file:///\\unitynas\homedirs$\areid\INT.974%20H2020\Data\QuestionnaireUPDATED.xlsx" TargetMode="External"/></Relationships>
</file>

<file path=word/charts/_rels/chart31.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31.xml"/><Relationship Id="rId1" Type="http://schemas.microsoft.com/office/2011/relationships/chartStyle" Target="style31.xml"/><Relationship Id="rId4" Type="http://schemas.openxmlformats.org/officeDocument/2006/relationships/oleObject" Target="file:///\\unitynas\homedirs$\areid\INT.974%20H2020\Data\QuestionnaireUPDATED.xlsx" TargetMode="External"/></Relationships>
</file>

<file path=word/charts/_rels/chart32.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32.xml"/><Relationship Id="rId1" Type="http://schemas.microsoft.com/office/2011/relationships/chartStyle" Target="style32.xml"/><Relationship Id="rId4" Type="http://schemas.openxmlformats.org/officeDocument/2006/relationships/oleObject" Target="file:///\\unitynas\homedirs$\areid\INT.974%20H2020\Data\QuestionnaireUPDATED.xlsx" TargetMode="External"/></Relationships>
</file>

<file path=word/charts/_rels/chart33.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33.xml"/><Relationship Id="rId1" Type="http://schemas.microsoft.com/office/2011/relationships/chartStyle" Target="style33.xml"/><Relationship Id="rId4" Type="http://schemas.openxmlformats.org/officeDocument/2006/relationships/oleObject" Target="file:///\\unitynas\homedirs$\areid\INT.974%20H2020\Data\QuestionnaireUPDATED.xlsx" TargetMode="External"/></Relationships>
</file>

<file path=word/charts/_rels/chart34.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34.xml"/><Relationship Id="rId1" Type="http://schemas.microsoft.com/office/2011/relationships/chartStyle" Target="style34.xml"/><Relationship Id="rId4" Type="http://schemas.openxmlformats.org/officeDocument/2006/relationships/oleObject" Target="file:///\\unitynas\homedirs$\areid\INT.974%20H2020\Data\QuestionnaireUPDATED.xlsx" TargetMode="External"/></Relationships>
</file>

<file path=word/charts/_rels/chart35.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35.xml"/><Relationship Id="rId1" Type="http://schemas.microsoft.com/office/2011/relationships/chartStyle" Target="style35.xml"/><Relationship Id="rId4" Type="http://schemas.openxmlformats.org/officeDocument/2006/relationships/oleObject" Target="file:///\\unitynas\homedirs$\areid\INT.974%20H2020\Data\QuestionnaireUPDATED.xlsx" TargetMode="External"/></Relationships>
</file>

<file path=word/charts/_rels/chart36.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36.xml"/><Relationship Id="rId1" Type="http://schemas.microsoft.com/office/2011/relationships/chartStyle" Target="style36.xml"/><Relationship Id="rId4" Type="http://schemas.openxmlformats.org/officeDocument/2006/relationships/oleObject" Target="file:///\\unitynas\homedirs$\areid\INT.974%20H2020\Data\QuestionnaireUPDATED.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unitynas\homedirs$\areid\INT.974%20H2020\Data\QuestionnaireUPDATED.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unitynas\homedirs$\areid\INT.974%20H2020\Data\QuestionnaireUPDATED.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unitynas\homedirs$\areid\INT.974%20H2020\Data\QuestionnaireUPDATED.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unitynas\homedirs$\areid\INT.974%20H2020\Data\QuestionnaireUPDATED.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unitynas\homedirs$\areid\INT.974%20H2020\Data\QuestionnaireUPDATED.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unitynas\homedirs$\areid\INT.974%20H2020\Data\QuestionnaireUPDATED.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i-FI" sz="1100"/>
              <a:t>Types of organisations</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fi-FI"/>
        </a:p>
      </c:txPr>
    </c:title>
    <c:autoTitleDeleted val="0"/>
    <c:plotArea>
      <c:layout/>
      <c:barChart>
        <c:barDir val="bar"/>
        <c:grouping val="clustered"/>
        <c:varyColors val="0"/>
        <c:ser>
          <c:idx val="1"/>
          <c:order val="1"/>
          <c:tx>
            <c:strRef>
              <c:f>FullPercentage!$C$2</c:f>
              <c:strCache>
                <c:ptCount val="1"/>
                <c:pt idx="0">
                  <c:v>Answers</c:v>
                </c:pt>
              </c:strCache>
            </c:strRef>
          </c:tx>
          <c:spPr>
            <a:solidFill>
              <a:schemeClr val="accent1">
                <a:tint val="77000"/>
              </a:schemeClr>
            </a:solidFill>
            <a:ln>
              <a:noFill/>
            </a:ln>
            <a:effectLst/>
          </c:spPr>
          <c:invertIfNegative val="0"/>
          <c:cat>
            <c:strRef>
              <c:f>FullPercentage!$A$3:$A$7</c:f>
              <c:strCache>
                <c:ptCount val="5"/>
                <c:pt idx="0">
                  <c:v>Business organisations</c:v>
                </c:pt>
                <c:pt idx="1">
                  <c:v>Research and academia</c:v>
                </c:pt>
                <c:pt idx="2">
                  <c:v>Public Authority</c:v>
                </c:pt>
                <c:pt idx="3">
                  <c:v>Other civil society organisations</c:v>
                </c:pt>
                <c:pt idx="4">
                  <c:v>Other</c:v>
                </c:pt>
              </c:strCache>
            </c:strRef>
          </c:cat>
          <c:val>
            <c:numRef>
              <c:f>FullPercentage!$C$3:$C$7</c:f>
              <c:numCache>
                <c:formatCode>General</c:formatCode>
                <c:ptCount val="5"/>
                <c:pt idx="0">
                  <c:v>4</c:v>
                </c:pt>
                <c:pt idx="1">
                  <c:v>22</c:v>
                </c:pt>
                <c:pt idx="2">
                  <c:v>4</c:v>
                </c:pt>
                <c:pt idx="3">
                  <c:v>4</c:v>
                </c:pt>
                <c:pt idx="4">
                  <c:v>5</c:v>
                </c:pt>
              </c:numCache>
            </c:numRef>
          </c:val>
          <c:extLst>
            <c:ext xmlns:c16="http://schemas.microsoft.com/office/drawing/2014/chart" uri="{C3380CC4-5D6E-409C-BE32-E72D297353CC}">
              <c16:uniqueId val="{00000000-45C9-4FB5-B462-961A0E57CFFE}"/>
            </c:ext>
          </c:extLst>
        </c:ser>
        <c:dLbls>
          <c:showLegendKey val="0"/>
          <c:showVal val="0"/>
          <c:showCatName val="0"/>
          <c:showSerName val="0"/>
          <c:showPercent val="0"/>
          <c:showBubbleSize val="0"/>
        </c:dLbls>
        <c:gapWidth val="99"/>
        <c:axId val="645611408"/>
        <c:axId val="645612064"/>
        <c:extLst>
          <c:ext xmlns:c15="http://schemas.microsoft.com/office/drawing/2012/chart" uri="{02D57815-91ED-43cb-92C2-25804820EDAC}">
            <c15:filteredBarSeries>
              <c15:ser>
                <c:idx val="0"/>
                <c:order val="0"/>
                <c:tx>
                  <c:strRef>
                    <c:extLst>
                      <c:ext uri="{02D57815-91ED-43cb-92C2-25804820EDAC}">
                        <c15:formulaRef>
                          <c15:sqref>FullPercentage!$B$2</c15:sqref>
                        </c15:formulaRef>
                      </c:ext>
                    </c:extLst>
                    <c:strCache>
                      <c:ptCount val="1"/>
                    </c:strCache>
                  </c:strRef>
                </c:tx>
                <c:spPr>
                  <a:solidFill>
                    <a:schemeClr val="accent1">
                      <a:shade val="76000"/>
                    </a:schemeClr>
                  </a:solidFill>
                  <a:ln>
                    <a:noFill/>
                  </a:ln>
                  <a:effectLst/>
                </c:spPr>
                <c:invertIfNegative val="0"/>
                <c:cat>
                  <c:strRef>
                    <c:extLst>
                      <c:ext uri="{02D57815-91ED-43cb-92C2-25804820EDAC}">
                        <c15:formulaRef>
                          <c15:sqref>FullPercentage!$A$3:$A$7</c15:sqref>
                        </c15:formulaRef>
                      </c:ext>
                    </c:extLst>
                    <c:strCache>
                      <c:ptCount val="5"/>
                      <c:pt idx="0">
                        <c:v>Business organisations</c:v>
                      </c:pt>
                      <c:pt idx="1">
                        <c:v>Research and academia</c:v>
                      </c:pt>
                      <c:pt idx="2">
                        <c:v>Public Authority</c:v>
                      </c:pt>
                      <c:pt idx="3">
                        <c:v>Other civil society organisations</c:v>
                      </c:pt>
                      <c:pt idx="4">
                        <c:v>Other</c:v>
                      </c:pt>
                    </c:strCache>
                  </c:strRef>
                </c:cat>
                <c:val>
                  <c:numRef>
                    <c:extLst>
                      <c:ext uri="{02D57815-91ED-43cb-92C2-25804820EDAC}">
                        <c15:formulaRef>
                          <c15:sqref>FullPercentage!$B$3:$B$7</c15:sqref>
                        </c15:formulaRef>
                      </c:ext>
                    </c:extLst>
                    <c:numCache>
                      <c:formatCode>General</c:formatCode>
                      <c:ptCount val="5"/>
                    </c:numCache>
                  </c:numRef>
                </c:val>
                <c:extLst>
                  <c:ext xmlns:c16="http://schemas.microsoft.com/office/drawing/2014/chart" uri="{C3380CC4-5D6E-409C-BE32-E72D297353CC}">
                    <c16:uniqueId val="{00000001-45C9-4FB5-B462-961A0E57CFFE}"/>
                  </c:ext>
                </c:extLst>
              </c15:ser>
            </c15:filteredBarSeries>
          </c:ext>
        </c:extLst>
      </c:barChart>
      <c:catAx>
        <c:axId val="645611408"/>
        <c:scaling>
          <c:orientation val="minMax"/>
        </c:scaling>
        <c:delete val="0"/>
        <c:axPos val="l"/>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645612064"/>
        <c:crosses val="autoZero"/>
        <c:auto val="1"/>
        <c:lblAlgn val="ctr"/>
        <c:lblOffset val="100"/>
        <c:noMultiLvlLbl val="0"/>
      </c:catAx>
      <c:valAx>
        <c:axId val="6456120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64561140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fi-FI"/>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i-FI" sz="1100"/>
              <a:t>In your opinion, how effective was the H2020 programme at achieving the following horizontal objectives: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i-FI"/>
        </a:p>
      </c:txPr>
    </c:title>
    <c:autoTitleDeleted val="0"/>
    <c:plotArea>
      <c:layout>
        <c:manualLayout>
          <c:layoutTarget val="inner"/>
          <c:xMode val="edge"/>
          <c:yMode val="edge"/>
          <c:x val="8.7724651457249628E-2"/>
          <c:y val="0.15627813906953478"/>
          <c:w val="0.91227534854275039"/>
          <c:h val="0.32192732311655753"/>
        </c:manualLayout>
      </c:layout>
      <c:barChart>
        <c:barDir val="col"/>
        <c:grouping val="percentStacked"/>
        <c:varyColors val="0"/>
        <c:ser>
          <c:idx val="0"/>
          <c:order val="0"/>
          <c:tx>
            <c:strRef>
              <c:f>FullPercentage!$A$85</c:f>
              <c:strCache>
                <c:ptCount val="1"/>
                <c:pt idx="0">
                  <c:v>Very effective</c:v>
                </c:pt>
              </c:strCache>
            </c:strRef>
          </c:tx>
          <c:spPr>
            <a:solidFill>
              <a:schemeClr val="accent1"/>
            </a:solidFill>
            <a:ln>
              <a:noFill/>
            </a:ln>
            <a:effectLst/>
          </c:spPr>
          <c:invertIfNegative val="0"/>
          <c:cat>
            <c:strRef>
              <c:f>FullPercentage!$C$84:$I$84</c:f>
              <c:strCache>
                <c:ptCount val="7"/>
                <c:pt idx="0">
                  <c:v>Increase the circulation and exploitation of knowledge.</c:v>
                </c:pt>
                <c:pt idx="1">
                  <c:v>Openness to new participants.</c:v>
                </c:pt>
                <c:pt idx="2">
                  <c:v>Promoting gender balance.</c:v>
                </c:pt>
                <c:pt idx="3">
                  <c:v>Consideration for equal treatment and non-discrimination in R&amp;I content throughout all stages of the research cycle.</c:v>
                </c:pt>
                <c:pt idx="4">
                  <c:v>Contribute to the attractiveness of the research profession in the Union.</c:v>
                </c:pt>
                <c:pt idx="5">
                  <c:v>Encouraging the development of framework conditions to help European researchers to remain in or to return to Europe and make Europe a more attractive destination for the best researchers worldwide.</c:v>
                </c:pt>
                <c:pt idx="6">
                  <c:v>Respect fundamental ethical principles – Responsible Research and Innovation.</c:v>
                </c:pt>
              </c:strCache>
            </c:strRef>
          </c:cat>
          <c:val>
            <c:numRef>
              <c:f>FullPercentage!$C$85:$I$85</c:f>
              <c:numCache>
                <c:formatCode>0.000%</c:formatCode>
                <c:ptCount val="7"/>
                <c:pt idx="0">
                  <c:v>0.46153846153846151</c:v>
                </c:pt>
                <c:pt idx="1">
                  <c:v>0.25641025641025639</c:v>
                </c:pt>
                <c:pt idx="2">
                  <c:v>0.33333333333333326</c:v>
                </c:pt>
                <c:pt idx="3">
                  <c:v>0.28205128205128205</c:v>
                </c:pt>
                <c:pt idx="4">
                  <c:v>0.46153846153846151</c:v>
                </c:pt>
                <c:pt idx="5">
                  <c:v>0.30769230769230771</c:v>
                </c:pt>
                <c:pt idx="6">
                  <c:v>0.5641025641025641</c:v>
                </c:pt>
              </c:numCache>
            </c:numRef>
          </c:val>
          <c:extLst>
            <c:ext xmlns:c16="http://schemas.microsoft.com/office/drawing/2014/chart" uri="{C3380CC4-5D6E-409C-BE32-E72D297353CC}">
              <c16:uniqueId val="{00000000-94C9-4DD0-9B66-334102A3D3E5}"/>
            </c:ext>
          </c:extLst>
        </c:ser>
        <c:ser>
          <c:idx val="1"/>
          <c:order val="1"/>
          <c:tx>
            <c:strRef>
              <c:f>FullPercentage!$A$86</c:f>
              <c:strCache>
                <c:ptCount val="1"/>
                <c:pt idx="0">
                  <c:v>Moderately effective</c:v>
                </c:pt>
              </c:strCache>
            </c:strRef>
          </c:tx>
          <c:spPr>
            <a:solidFill>
              <a:schemeClr val="accent2"/>
            </a:solidFill>
            <a:ln>
              <a:noFill/>
            </a:ln>
            <a:effectLst/>
          </c:spPr>
          <c:invertIfNegative val="0"/>
          <c:cat>
            <c:strRef>
              <c:f>FullPercentage!$C$84:$I$84</c:f>
              <c:strCache>
                <c:ptCount val="7"/>
                <c:pt idx="0">
                  <c:v>Increase the circulation and exploitation of knowledge.</c:v>
                </c:pt>
                <c:pt idx="1">
                  <c:v>Openness to new participants.</c:v>
                </c:pt>
                <c:pt idx="2">
                  <c:v>Promoting gender balance.</c:v>
                </c:pt>
                <c:pt idx="3">
                  <c:v>Consideration for equal treatment and non-discrimination in R&amp;I content throughout all stages of the research cycle.</c:v>
                </c:pt>
                <c:pt idx="4">
                  <c:v>Contribute to the attractiveness of the research profession in the Union.</c:v>
                </c:pt>
                <c:pt idx="5">
                  <c:v>Encouraging the development of framework conditions to help European researchers to remain in or to return to Europe and make Europe a more attractive destination for the best researchers worldwide.</c:v>
                </c:pt>
                <c:pt idx="6">
                  <c:v>Respect fundamental ethical principles – Responsible Research and Innovation.</c:v>
                </c:pt>
              </c:strCache>
            </c:strRef>
          </c:cat>
          <c:val>
            <c:numRef>
              <c:f>FullPercentage!$C$86:$I$86</c:f>
              <c:numCache>
                <c:formatCode>0.000%</c:formatCode>
                <c:ptCount val="7"/>
                <c:pt idx="0">
                  <c:v>0.51282051282051277</c:v>
                </c:pt>
                <c:pt idx="1">
                  <c:v>0.48717948717948717</c:v>
                </c:pt>
                <c:pt idx="2">
                  <c:v>0.38461538461538469</c:v>
                </c:pt>
                <c:pt idx="3">
                  <c:v>0.5641025641025641</c:v>
                </c:pt>
                <c:pt idx="4">
                  <c:v>0.30769230769230771</c:v>
                </c:pt>
                <c:pt idx="5">
                  <c:v>0.41025641025641024</c:v>
                </c:pt>
                <c:pt idx="6">
                  <c:v>0.30769230769230771</c:v>
                </c:pt>
              </c:numCache>
            </c:numRef>
          </c:val>
          <c:extLst>
            <c:ext xmlns:c16="http://schemas.microsoft.com/office/drawing/2014/chart" uri="{C3380CC4-5D6E-409C-BE32-E72D297353CC}">
              <c16:uniqueId val="{00000001-94C9-4DD0-9B66-334102A3D3E5}"/>
            </c:ext>
          </c:extLst>
        </c:ser>
        <c:ser>
          <c:idx val="2"/>
          <c:order val="2"/>
          <c:tx>
            <c:strRef>
              <c:f>FullPercentage!$A$87</c:f>
              <c:strCache>
                <c:ptCount val="1"/>
                <c:pt idx="0">
                  <c:v>Not very effective</c:v>
                </c:pt>
              </c:strCache>
            </c:strRef>
          </c:tx>
          <c:spPr>
            <a:solidFill>
              <a:schemeClr val="accent3"/>
            </a:solidFill>
            <a:ln>
              <a:noFill/>
            </a:ln>
            <a:effectLst/>
          </c:spPr>
          <c:invertIfNegative val="0"/>
          <c:cat>
            <c:strRef>
              <c:f>FullPercentage!$C$84:$I$84</c:f>
              <c:strCache>
                <c:ptCount val="7"/>
                <c:pt idx="0">
                  <c:v>Increase the circulation and exploitation of knowledge.</c:v>
                </c:pt>
                <c:pt idx="1">
                  <c:v>Openness to new participants.</c:v>
                </c:pt>
                <c:pt idx="2">
                  <c:v>Promoting gender balance.</c:v>
                </c:pt>
                <c:pt idx="3">
                  <c:v>Consideration for equal treatment and non-discrimination in R&amp;I content throughout all stages of the research cycle.</c:v>
                </c:pt>
                <c:pt idx="4">
                  <c:v>Contribute to the attractiveness of the research profession in the Union.</c:v>
                </c:pt>
                <c:pt idx="5">
                  <c:v>Encouraging the development of framework conditions to help European researchers to remain in or to return to Europe and make Europe a more attractive destination for the best researchers worldwide.</c:v>
                </c:pt>
                <c:pt idx="6">
                  <c:v>Respect fundamental ethical principles – Responsible Research and Innovation.</c:v>
                </c:pt>
              </c:strCache>
            </c:strRef>
          </c:cat>
          <c:val>
            <c:numRef>
              <c:f>FullPercentage!$C$87:$I$87</c:f>
              <c:numCache>
                <c:formatCode>0.000%</c:formatCode>
                <c:ptCount val="7"/>
                <c:pt idx="0">
                  <c:v>2.564102564102564E-2</c:v>
                </c:pt>
                <c:pt idx="1">
                  <c:v>0.25641025641025639</c:v>
                </c:pt>
                <c:pt idx="2">
                  <c:v>0.12820512820512819</c:v>
                </c:pt>
                <c:pt idx="3">
                  <c:v>2.564102564102564E-2</c:v>
                </c:pt>
                <c:pt idx="4">
                  <c:v>0.12820512820512819</c:v>
                </c:pt>
                <c:pt idx="5">
                  <c:v>0.10256410256410256</c:v>
                </c:pt>
                <c:pt idx="6">
                  <c:v>2.564102564102564E-2</c:v>
                </c:pt>
              </c:numCache>
            </c:numRef>
          </c:val>
          <c:extLst>
            <c:ext xmlns:c16="http://schemas.microsoft.com/office/drawing/2014/chart" uri="{C3380CC4-5D6E-409C-BE32-E72D297353CC}">
              <c16:uniqueId val="{00000002-94C9-4DD0-9B66-334102A3D3E5}"/>
            </c:ext>
          </c:extLst>
        </c:ser>
        <c:ser>
          <c:idx val="3"/>
          <c:order val="3"/>
          <c:tx>
            <c:strRef>
              <c:f>FullPercentage!$A$88</c:f>
              <c:strCache>
                <c:ptCount val="1"/>
                <c:pt idx="0">
                  <c:v>Not at all effective</c:v>
                </c:pt>
              </c:strCache>
            </c:strRef>
          </c:tx>
          <c:spPr>
            <a:solidFill>
              <a:schemeClr val="accent4"/>
            </a:solidFill>
            <a:ln>
              <a:noFill/>
            </a:ln>
            <a:effectLst/>
          </c:spPr>
          <c:invertIfNegative val="0"/>
          <c:cat>
            <c:strRef>
              <c:f>FullPercentage!$C$84:$I$84</c:f>
              <c:strCache>
                <c:ptCount val="7"/>
                <c:pt idx="0">
                  <c:v>Increase the circulation and exploitation of knowledge.</c:v>
                </c:pt>
                <c:pt idx="1">
                  <c:v>Openness to new participants.</c:v>
                </c:pt>
                <c:pt idx="2">
                  <c:v>Promoting gender balance.</c:v>
                </c:pt>
                <c:pt idx="3">
                  <c:v>Consideration for equal treatment and non-discrimination in R&amp;I content throughout all stages of the research cycle.</c:v>
                </c:pt>
                <c:pt idx="4">
                  <c:v>Contribute to the attractiveness of the research profession in the Union.</c:v>
                </c:pt>
                <c:pt idx="5">
                  <c:v>Encouraging the development of framework conditions to help European researchers to remain in or to return to Europe and make Europe a more attractive destination for the best researchers worldwide.</c:v>
                </c:pt>
                <c:pt idx="6">
                  <c:v>Respect fundamental ethical principles – Responsible Research and Innovation.</c:v>
                </c:pt>
              </c:strCache>
            </c:strRef>
          </c:cat>
          <c:val>
            <c:numRef>
              <c:f>FullPercentage!$C$88:$I$88</c:f>
              <c:numCache>
                <c:formatCode>0.000%</c:formatCode>
                <c:ptCount val="7"/>
                <c:pt idx="0">
                  <c:v>0</c:v>
                </c:pt>
                <c:pt idx="1">
                  <c:v>0</c:v>
                </c:pt>
                <c:pt idx="2">
                  <c:v>0</c:v>
                </c:pt>
                <c:pt idx="3">
                  <c:v>2.564102564102564E-2</c:v>
                </c:pt>
                <c:pt idx="4">
                  <c:v>2.564102564102564E-2</c:v>
                </c:pt>
                <c:pt idx="5">
                  <c:v>2.564102564102564E-2</c:v>
                </c:pt>
                <c:pt idx="6">
                  <c:v>0</c:v>
                </c:pt>
              </c:numCache>
            </c:numRef>
          </c:val>
          <c:extLst>
            <c:ext xmlns:c16="http://schemas.microsoft.com/office/drawing/2014/chart" uri="{C3380CC4-5D6E-409C-BE32-E72D297353CC}">
              <c16:uniqueId val="{00000003-94C9-4DD0-9B66-334102A3D3E5}"/>
            </c:ext>
          </c:extLst>
        </c:ser>
        <c:ser>
          <c:idx val="4"/>
          <c:order val="4"/>
          <c:tx>
            <c:strRef>
              <c:f>FullPercentage!$A$89</c:f>
              <c:strCache>
                <c:ptCount val="1"/>
                <c:pt idx="0">
                  <c:v>Unsure</c:v>
                </c:pt>
              </c:strCache>
            </c:strRef>
          </c:tx>
          <c:spPr>
            <a:solidFill>
              <a:schemeClr val="accent5"/>
            </a:solidFill>
            <a:ln>
              <a:noFill/>
            </a:ln>
            <a:effectLst/>
          </c:spPr>
          <c:invertIfNegative val="0"/>
          <c:cat>
            <c:strRef>
              <c:f>FullPercentage!$C$84:$I$84</c:f>
              <c:strCache>
                <c:ptCount val="7"/>
                <c:pt idx="0">
                  <c:v>Increase the circulation and exploitation of knowledge.</c:v>
                </c:pt>
                <c:pt idx="1">
                  <c:v>Openness to new participants.</c:v>
                </c:pt>
                <c:pt idx="2">
                  <c:v>Promoting gender balance.</c:v>
                </c:pt>
                <c:pt idx="3">
                  <c:v>Consideration for equal treatment and non-discrimination in R&amp;I content throughout all stages of the research cycle.</c:v>
                </c:pt>
                <c:pt idx="4">
                  <c:v>Contribute to the attractiveness of the research profession in the Union.</c:v>
                </c:pt>
                <c:pt idx="5">
                  <c:v>Encouraging the development of framework conditions to help European researchers to remain in or to return to Europe and make Europe a more attractive destination for the best researchers worldwide.</c:v>
                </c:pt>
                <c:pt idx="6">
                  <c:v>Respect fundamental ethical principles – Responsible Research and Innovation.</c:v>
                </c:pt>
              </c:strCache>
            </c:strRef>
          </c:cat>
          <c:val>
            <c:numRef>
              <c:f>FullPercentage!$C$89:$I$89</c:f>
              <c:numCache>
                <c:formatCode>0.000%</c:formatCode>
                <c:ptCount val="7"/>
                <c:pt idx="0">
                  <c:v>0</c:v>
                </c:pt>
                <c:pt idx="1">
                  <c:v>0</c:v>
                </c:pt>
                <c:pt idx="2">
                  <c:v>0.15384615384615385</c:v>
                </c:pt>
                <c:pt idx="3">
                  <c:v>0.10256410256410256</c:v>
                </c:pt>
                <c:pt idx="4">
                  <c:v>7.6923076923076927E-2</c:v>
                </c:pt>
                <c:pt idx="5">
                  <c:v>0.15384615384615385</c:v>
                </c:pt>
                <c:pt idx="6">
                  <c:v>0.10256410256410256</c:v>
                </c:pt>
              </c:numCache>
            </c:numRef>
          </c:val>
          <c:extLst>
            <c:ext xmlns:c16="http://schemas.microsoft.com/office/drawing/2014/chart" uri="{C3380CC4-5D6E-409C-BE32-E72D297353CC}">
              <c16:uniqueId val="{00000004-94C9-4DD0-9B66-334102A3D3E5}"/>
            </c:ext>
          </c:extLst>
        </c:ser>
        <c:dLbls>
          <c:showLegendKey val="0"/>
          <c:showVal val="0"/>
          <c:showCatName val="0"/>
          <c:showSerName val="0"/>
          <c:showPercent val="0"/>
          <c:showBubbleSize val="0"/>
        </c:dLbls>
        <c:gapWidth val="150"/>
        <c:overlap val="100"/>
        <c:axId val="738960944"/>
        <c:axId val="738958976"/>
      </c:barChart>
      <c:catAx>
        <c:axId val="738960944"/>
        <c:scaling>
          <c:orientation val="minMax"/>
        </c:scaling>
        <c:delete val="0"/>
        <c:axPos val="b"/>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5400000" spcFirstLastPara="1" vertOverflow="ellipsis" wrap="square" anchor="t" anchorCtr="0"/>
          <a:lstStyle/>
          <a:p>
            <a:pPr>
              <a:defRPr sz="900" b="0" i="0" u="none" strike="noStrike" kern="1200" baseline="0">
                <a:solidFill>
                  <a:schemeClr val="tx1">
                    <a:lumMod val="65000"/>
                    <a:lumOff val="35000"/>
                  </a:schemeClr>
                </a:solidFill>
                <a:latin typeface="+mn-lt"/>
                <a:ea typeface="+mn-ea"/>
                <a:cs typeface="+mn-cs"/>
              </a:defRPr>
            </a:pPr>
            <a:endParaRPr lang="fi-FI"/>
          </a:p>
        </c:txPr>
        <c:crossAx val="738958976"/>
        <c:crosses val="autoZero"/>
        <c:auto val="1"/>
        <c:lblAlgn val="ctr"/>
        <c:lblOffset val="100"/>
        <c:noMultiLvlLbl val="0"/>
      </c:catAx>
      <c:valAx>
        <c:axId val="7389589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738960944"/>
        <c:crosses val="autoZero"/>
        <c:crossBetween val="between"/>
      </c:valAx>
      <c:spPr>
        <a:noFill/>
        <a:ln>
          <a:noFill/>
        </a:ln>
        <a:effectLst/>
      </c:spPr>
    </c:plotArea>
    <c:legend>
      <c:legendPos val="b"/>
      <c:layout>
        <c:manualLayout>
          <c:xMode val="edge"/>
          <c:yMode val="edge"/>
          <c:x val="5.30454491857403E-2"/>
          <c:y val="0.95352487438657063"/>
          <c:w val="0.89390892694153667"/>
          <c:h val="4.647512561342941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fi-FI"/>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i-FI" sz="1100"/>
              <a:t>Horizon 2020 supported supplementary programmes involving the participation of certain Member States only (e.g. Joint Undertakings). Do you agree such supplementary programmes were identified and implemented in an open, transparent and efficient way?</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fi-FI"/>
        </a:p>
      </c:txPr>
    </c:title>
    <c:autoTitleDeleted val="0"/>
    <c:plotArea>
      <c:layout>
        <c:manualLayout>
          <c:layoutTarget val="inner"/>
          <c:xMode val="edge"/>
          <c:yMode val="edge"/>
          <c:x val="0.25389157302378773"/>
          <c:y val="0.4490592800100035"/>
          <c:w val="0.3989848129428879"/>
          <c:h val="0.54821402242946704"/>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6E4-488E-8F2E-5FA932227A7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6E4-488E-8F2E-5FA932227A7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6E4-488E-8F2E-5FA932227A7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6E4-488E-8F2E-5FA932227A70}"/>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6E4-488E-8F2E-5FA932227A70}"/>
              </c:ext>
            </c:extLst>
          </c:dPt>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FullPercentage!$A$148:$A$152</c:f>
              <c:strCache>
                <c:ptCount val="5"/>
                <c:pt idx="0">
                  <c:v>Fully agree</c:v>
                </c:pt>
                <c:pt idx="1">
                  <c:v>Partially agree</c:v>
                </c:pt>
                <c:pt idx="2">
                  <c:v>Partially disagree</c:v>
                </c:pt>
                <c:pt idx="3">
                  <c:v>Fully disagree</c:v>
                </c:pt>
                <c:pt idx="4">
                  <c:v>Unsure</c:v>
                </c:pt>
              </c:strCache>
            </c:strRef>
          </c:cat>
          <c:val>
            <c:numRef>
              <c:f>FullPercentage!$C$148:$C$152</c:f>
              <c:numCache>
                <c:formatCode>0.000%</c:formatCode>
                <c:ptCount val="5"/>
                <c:pt idx="0">
                  <c:v>0.20512820512820512</c:v>
                </c:pt>
                <c:pt idx="1">
                  <c:v>0.41025641025641024</c:v>
                </c:pt>
                <c:pt idx="2">
                  <c:v>7.6923076923076927E-2</c:v>
                </c:pt>
                <c:pt idx="3">
                  <c:v>5.128205128205128E-2</c:v>
                </c:pt>
                <c:pt idx="4">
                  <c:v>0.25641025641025639</c:v>
                </c:pt>
              </c:numCache>
            </c:numRef>
          </c:val>
          <c:extLst>
            <c:ext xmlns:c16="http://schemas.microsoft.com/office/drawing/2014/chart" uri="{C3380CC4-5D6E-409C-BE32-E72D297353CC}">
              <c16:uniqueId val="{0000000A-86E4-488E-8F2E-5FA932227A70}"/>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legend>
    <c:plotVisOnly val="1"/>
    <c:dispBlanksAs val="gap"/>
    <c:showDLblsOverMax val="0"/>
  </c:chart>
  <c:spPr>
    <a:solidFill>
      <a:schemeClr val="bg1"/>
    </a:solidFill>
    <a:ln w="9525" cap="flat" cmpd="sng" algn="ctr">
      <a:noFill/>
      <a:round/>
    </a:ln>
    <a:effectLst/>
  </c:spPr>
  <c:txPr>
    <a:bodyPr/>
    <a:lstStyle/>
    <a:p>
      <a:pPr>
        <a:defRPr/>
      </a:pPr>
      <a:endParaRPr lang="fi-FI"/>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i-FI" sz="1100"/>
              <a:t>The balance between small and large projects – particularly in the industry leadership and societal challenges was:</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fi-FI"/>
        </a:p>
      </c:txPr>
    </c:title>
    <c:autoTitleDeleted val="0"/>
    <c:plotArea>
      <c:layout>
        <c:manualLayout>
          <c:layoutTarget val="inner"/>
          <c:xMode val="edge"/>
          <c:yMode val="edge"/>
          <c:x val="3.6386111076774745E-2"/>
          <c:y val="0.30335164747408605"/>
          <c:w val="0.51963281375542347"/>
          <c:h val="0.67141197233712935"/>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25C-40CC-A689-7484C176839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25C-40CC-A689-7484C176839F}"/>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325C-40CC-A689-7484C176839F}"/>
              </c:ext>
            </c:extLst>
          </c:dPt>
          <c:dPt>
            <c:idx val="3"/>
            <c:bubble3D val="0"/>
            <c:spPr>
              <a:solidFill>
                <a:schemeClr val="accent5"/>
              </a:solidFill>
              <a:ln w="19050">
                <a:solidFill>
                  <a:schemeClr val="lt1"/>
                </a:solidFill>
              </a:ln>
              <a:effectLst/>
            </c:spPr>
            <c:extLst>
              <c:ext xmlns:c16="http://schemas.microsoft.com/office/drawing/2014/chart" uri="{C3380CC4-5D6E-409C-BE32-E72D297353CC}">
                <c16:uniqueId val="{00000007-325C-40CC-A689-7484C176839F}"/>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325C-40CC-A689-7484C176839F}"/>
              </c:ext>
            </c:extLst>
          </c:dPt>
          <c:dLbls>
            <c:dLbl>
              <c:idx val="2"/>
              <c:delete val="1"/>
              <c:extLst>
                <c:ext xmlns:c15="http://schemas.microsoft.com/office/drawing/2012/chart" uri="{CE6537A1-D6FC-4f65-9D91-7224C49458BB}"/>
                <c:ext xmlns:c16="http://schemas.microsoft.com/office/drawing/2014/chart" uri="{C3380CC4-5D6E-409C-BE32-E72D297353CC}">
                  <c16:uniqueId val="{00000005-325C-40CC-A689-7484C176839F}"/>
                </c:ext>
              </c:extLst>
            </c:dLbl>
            <c:dLbl>
              <c:idx val="4"/>
              <c:delete val="1"/>
              <c:extLst>
                <c:ext xmlns:c15="http://schemas.microsoft.com/office/drawing/2012/chart" uri="{CE6537A1-D6FC-4f65-9D91-7224C49458BB}"/>
                <c:ext xmlns:c16="http://schemas.microsoft.com/office/drawing/2014/chart" uri="{C3380CC4-5D6E-409C-BE32-E72D297353CC}">
                  <c16:uniqueId val="{00000009-325C-40CC-A689-7484C176839F}"/>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FullPercentage!$A$157:$A$160</c:f>
              <c:strCache>
                <c:ptCount val="4"/>
                <c:pt idx="0">
                  <c:v>Appropriate</c:v>
                </c:pt>
                <c:pt idx="1">
                  <c:v>Excessively biased towards bigger projects</c:v>
                </c:pt>
                <c:pt idx="2">
                  <c:v>Excessively biased towards smaller projects</c:v>
                </c:pt>
                <c:pt idx="3">
                  <c:v>Unsure</c:v>
                </c:pt>
              </c:strCache>
            </c:strRef>
          </c:cat>
          <c:val>
            <c:numRef>
              <c:f>FullPercentage!$C$157:$C$160</c:f>
              <c:numCache>
                <c:formatCode>0.000%</c:formatCode>
                <c:ptCount val="4"/>
                <c:pt idx="0">
                  <c:v>0.28205128205128205</c:v>
                </c:pt>
                <c:pt idx="1">
                  <c:v>0.53846153846153844</c:v>
                </c:pt>
                <c:pt idx="2">
                  <c:v>0</c:v>
                </c:pt>
                <c:pt idx="3">
                  <c:v>0.17948717948717949</c:v>
                </c:pt>
              </c:numCache>
            </c:numRef>
          </c:val>
          <c:extLst>
            <c:ext xmlns:c16="http://schemas.microsoft.com/office/drawing/2014/chart" uri="{C3380CC4-5D6E-409C-BE32-E72D297353CC}">
              <c16:uniqueId val="{0000000A-325C-40CC-A689-7484C176839F}"/>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51559925175099"/>
          <c:y val="0.39658528630666723"/>
          <c:w val="0.40473646151373943"/>
          <c:h val="0.4732371989004333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legend>
    <c:plotVisOnly val="1"/>
    <c:dispBlanksAs val="gap"/>
    <c:showDLblsOverMax val="0"/>
  </c:chart>
  <c:spPr>
    <a:solidFill>
      <a:schemeClr val="bg1"/>
    </a:solidFill>
    <a:ln w="9525" cap="flat" cmpd="sng" algn="ctr">
      <a:noFill/>
      <a:round/>
    </a:ln>
    <a:effectLst/>
  </c:spPr>
  <c:txPr>
    <a:bodyPr/>
    <a:lstStyle/>
    <a:p>
      <a:pPr>
        <a:defRPr/>
      </a:pPr>
      <a:endParaRPr lang="fi-FI"/>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i-FI" sz="1100"/>
              <a:t>In your opinion, how effective was the H2020 programme in its support to Micro, Small and Medium companies in terms of:</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fi-FI"/>
        </a:p>
      </c:txPr>
    </c:title>
    <c:autoTitleDeleted val="0"/>
    <c:plotArea>
      <c:layout/>
      <c:barChart>
        <c:barDir val="col"/>
        <c:grouping val="percentStacked"/>
        <c:varyColors val="0"/>
        <c:ser>
          <c:idx val="0"/>
          <c:order val="0"/>
          <c:tx>
            <c:strRef>
              <c:f>FullPercentage!$A$165</c:f>
              <c:strCache>
                <c:ptCount val="1"/>
                <c:pt idx="0">
                  <c:v>Very effective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FullPercentage!$C$164:$F$164</c:f>
              <c:strCache>
                <c:ptCount val="4"/>
                <c:pt idx="0">
                  <c:v>Ease of participation (admin effort)</c:v>
                </c:pt>
                <c:pt idx="1">
                  <c:v> Appropriate funding instruments</c:v>
                </c:pt>
                <c:pt idx="2">
                  <c:v>Appropriate evaluation framework</c:v>
                </c:pt>
                <c:pt idx="3">
                  <c:v>Covering different innovation needs over the whole innovation cycle in a single funding instrument</c:v>
                </c:pt>
              </c:strCache>
            </c:strRef>
          </c:cat>
          <c:val>
            <c:numRef>
              <c:f>FullPercentage!$C$165:$F$165</c:f>
              <c:numCache>
                <c:formatCode>0%</c:formatCode>
                <c:ptCount val="4"/>
                <c:pt idx="0">
                  <c:v>0.23076923076923075</c:v>
                </c:pt>
                <c:pt idx="1">
                  <c:v>0.20512820512820512</c:v>
                </c:pt>
                <c:pt idx="2">
                  <c:v>0.12820512820512819</c:v>
                </c:pt>
                <c:pt idx="3">
                  <c:v>0.12820512820512819</c:v>
                </c:pt>
              </c:numCache>
            </c:numRef>
          </c:val>
          <c:extLst>
            <c:ext xmlns:c16="http://schemas.microsoft.com/office/drawing/2014/chart" uri="{C3380CC4-5D6E-409C-BE32-E72D297353CC}">
              <c16:uniqueId val="{00000000-9448-4D3B-A5FF-A43299892924}"/>
            </c:ext>
          </c:extLst>
        </c:ser>
        <c:ser>
          <c:idx val="1"/>
          <c:order val="1"/>
          <c:tx>
            <c:strRef>
              <c:f>FullPercentage!$A$166</c:f>
              <c:strCache>
                <c:ptCount val="1"/>
                <c:pt idx="0">
                  <c:v>Moderately effective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FullPercentage!$C$164:$F$164</c:f>
              <c:strCache>
                <c:ptCount val="4"/>
                <c:pt idx="0">
                  <c:v>Ease of participation (admin effort)</c:v>
                </c:pt>
                <c:pt idx="1">
                  <c:v> Appropriate funding instruments</c:v>
                </c:pt>
                <c:pt idx="2">
                  <c:v>Appropriate evaluation framework</c:v>
                </c:pt>
                <c:pt idx="3">
                  <c:v>Covering different innovation needs over the whole innovation cycle in a single funding instrument</c:v>
                </c:pt>
              </c:strCache>
            </c:strRef>
          </c:cat>
          <c:val>
            <c:numRef>
              <c:f>FullPercentage!$C$166:$F$166</c:f>
              <c:numCache>
                <c:formatCode>0%</c:formatCode>
                <c:ptCount val="4"/>
                <c:pt idx="0">
                  <c:v>0.10256410256410256</c:v>
                </c:pt>
                <c:pt idx="1">
                  <c:v>0.30769230769230771</c:v>
                </c:pt>
                <c:pt idx="2">
                  <c:v>0.38461538461538469</c:v>
                </c:pt>
                <c:pt idx="3">
                  <c:v>0.38461538461538469</c:v>
                </c:pt>
              </c:numCache>
            </c:numRef>
          </c:val>
          <c:extLst>
            <c:ext xmlns:c16="http://schemas.microsoft.com/office/drawing/2014/chart" uri="{C3380CC4-5D6E-409C-BE32-E72D297353CC}">
              <c16:uniqueId val="{00000001-9448-4D3B-A5FF-A43299892924}"/>
            </c:ext>
          </c:extLst>
        </c:ser>
        <c:ser>
          <c:idx val="2"/>
          <c:order val="2"/>
          <c:tx>
            <c:strRef>
              <c:f>FullPercentage!$A$167</c:f>
              <c:strCache>
                <c:ptCount val="1"/>
                <c:pt idx="0">
                  <c:v>Not very effective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FullPercentage!$C$164:$F$164</c:f>
              <c:strCache>
                <c:ptCount val="4"/>
                <c:pt idx="0">
                  <c:v>Ease of participation (admin effort)</c:v>
                </c:pt>
                <c:pt idx="1">
                  <c:v> Appropriate funding instruments</c:v>
                </c:pt>
                <c:pt idx="2">
                  <c:v>Appropriate evaluation framework</c:v>
                </c:pt>
                <c:pt idx="3">
                  <c:v>Covering different innovation needs over the whole innovation cycle in a single funding instrument</c:v>
                </c:pt>
              </c:strCache>
            </c:strRef>
          </c:cat>
          <c:val>
            <c:numRef>
              <c:f>FullPercentage!$C$167:$F$167</c:f>
              <c:numCache>
                <c:formatCode>0%</c:formatCode>
                <c:ptCount val="4"/>
                <c:pt idx="0">
                  <c:v>0.28205128205128205</c:v>
                </c:pt>
                <c:pt idx="1">
                  <c:v>0.17948717948717949</c:v>
                </c:pt>
                <c:pt idx="2">
                  <c:v>0.15384615384615385</c:v>
                </c:pt>
                <c:pt idx="3">
                  <c:v>0.12820512820512819</c:v>
                </c:pt>
              </c:numCache>
            </c:numRef>
          </c:val>
          <c:extLst>
            <c:ext xmlns:c16="http://schemas.microsoft.com/office/drawing/2014/chart" uri="{C3380CC4-5D6E-409C-BE32-E72D297353CC}">
              <c16:uniqueId val="{00000002-9448-4D3B-A5FF-A43299892924}"/>
            </c:ext>
          </c:extLst>
        </c:ser>
        <c:ser>
          <c:idx val="3"/>
          <c:order val="3"/>
          <c:tx>
            <c:strRef>
              <c:f>FullPercentage!$A$168</c:f>
              <c:strCache>
                <c:ptCount val="1"/>
                <c:pt idx="0">
                  <c:v>Not at all effective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FullPercentage!$C$164:$F$164</c:f>
              <c:strCache>
                <c:ptCount val="4"/>
                <c:pt idx="0">
                  <c:v>Ease of participation (admin effort)</c:v>
                </c:pt>
                <c:pt idx="1">
                  <c:v> Appropriate funding instruments</c:v>
                </c:pt>
                <c:pt idx="2">
                  <c:v>Appropriate evaluation framework</c:v>
                </c:pt>
                <c:pt idx="3">
                  <c:v>Covering different innovation needs over the whole innovation cycle in a single funding instrument</c:v>
                </c:pt>
              </c:strCache>
            </c:strRef>
          </c:cat>
          <c:val>
            <c:numRef>
              <c:f>FullPercentage!$C$168:$F$168</c:f>
              <c:numCache>
                <c:formatCode>0%</c:formatCode>
                <c:ptCount val="4"/>
                <c:pt idx="0">
                  <c:v>0.12820512820512819</c:v>
                </c:pt>
                <c:pt idx="1">
                  <c:v>2.564102564102564E-2</c:v>
                </c:pt>
                <c:pt idx="2">
                  <c:v>2.564102564102564E-2</c:v>
                </c:pt>
                <c:pt idx="3">
                  <c:v>5.128205128205128E-2</c:v>
                </c:pt>
              </c:numCache>
            </c:numRef>
          </c:val>
          <c:extLst>
            <c:ext xmlns:c16="http://schemas.microsoft.com/office/drawing/2014/chart" uri="{C3380CC4-5D6E-409C-BE32-E72D297353CC}">
              <c16:uniqueId val="{00000003-9448-4D3B-A5FF-A43299892924}"/>
            </c:ext>
          </c:extLst>
        </c:ser>
        <c:ser>
          <c:idx val="4"/>
          <c:order val="4"/>
          <c:tx>
            <c:strRef>
              <c:f>FullPercentage!$A$169</c:f>
              <c:strCache>
                <c:ptCount val="1"/>
                <c:pt idx="0">
                  <c:v>Unsure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FullPercentage!$C$164:$F$164</c:f>
              <c:strCache>
                <c:ptCount val="4"/>
                <c:pt idx="0">
                  <c:v>Ease of participation (admin effort)</c:v>
                </c:pt>
                <c:pt idx="1">
                  <c:v> Appropriate funding instruments</c:v>
                </c:pt>
                <c:pt idx="2">
                  <c:v>Appropriate evaluation framework</c:v>
                </c:pt>
                <c:pt idx="3">
                  <c:v>Covering different innovation needs over the whole innovation cycle in a single funding instrument</c:v>
                </c:pt>
              </c:strCache>
            </c:strRef>
          </c:cat>
          <c:val>
            <c:numRef>
              <c:f>FullPercentage!$C$169:$F$169</c:f>
              <c:numCache>
                <c:formatCode>0%</c:formatCode>
                <c:ptCount val="4"/>
                <c:pt idx="0">
                  <c:v>0.25641025641025639</c:v>
                </c:pt>
                <c:pt idx="1">
                  <c:v>0.28205128205128205</c:v>
                </c:pt>
                <c:pt idx="2">
                  <c:v>0.30769230769230771</c:v>
                </c:pt>
                <c:pt idx="3">
                  <c:v>0.30769230769230771</c:v>
                </c:pt>
              </c:numCache>
            </c:numRef>
          </c:val>
          <c:extLst>
            <c:ext xmlns:c16="http://schemas.microsoft.com/office/drawing/2014/chart" uri="{C3380CC4-5D6E-409C-BE32-E72D297353CC}">
              <c16:uniqueId val="{00000004-9448-4D3B-A5FF-A43299892924}"/>
            </c:ext>
          </c:extLst>
        </c:ser>
        <c:dLbls>
          <c:dLblPos val="ctr"/>
          <c:showLegendKey val="0"/>
          <c:showVal val="1"/>
          <c:showCatName val="0"/>
          <c:showSerName val="0"/>
          <c:showPercent val="0"/>
          <c:showBubbleSize val="0"/>
        </c:dLbls>
        <c:gapWidth val="150"/>
        <c:overlap val="100"/>
        <c:axId val="706765280"/>
        <c:axId val="706768560"/>
      </c:barChart>
      <c:catAx>
        <c:axId val="706765280"/>
        <c:scaling>
          <c:orientation val="minMax"/>
        </c:scaling>
        <c:delete val="0"/>
        <c:axPos val="b"/>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706768560"/>
        <c:crosses val="autoZero"/>
        <c:auto val="1"/>
        <c:lblAlgn val="ctr"/>
        <c:lblOffset val="100"/>
        <c:noMultiLvlLbl val="0"/>
      </c:catAx>
      <c:valAx>
        <c:axId val="7067685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706765280"/>
        <c:crosses val="autoZero"/>
        <c:crossBetween val="between"/>
        <c:majorUnit val="0.2"/>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legend>
    <c:plotVisOnly val="1"/>
    <c:dispBlanksAs val="gap"/>
    <c:showDLblsOverMax val="0"/>
  </c:chart>
  <c:spPr>
    <a:solidFill>
      <a:schemeClr val="bg1"/>
    </a:solidFill>
    <a:ln w="9525" cap="flat" cmpd="sng" algn="ctr">
      <a:noFill/>
      <a:round/>
    </a:ln>
    <a:effectLst/>
  </c:spPr>
  <c:txPr>
    <a:bodyPr/>
    <a:lstStyle/>
    <a:p>
      <a:pPr>
        <a:defRPr/>
      </a:pPr>
      <a:endParaRPr lang="fi-FI"/>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i-FI" sz="1100"/>
              <a:t>In your opinion, on which priority of the Horizon2020 has your Member State focused the most?</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fi-FI"/>
        </a:p>
      </c:txPr>
    </c:title>
    <c:autoTitleDeleted val="0"/>
    <c:plotArea>
      <c:layout/>
      <c:barChart>
        <c:barDir val="col"/>
        <c:grouping val="percentStacked"/>
        <c:varyColors val="0"/>
        <c:ser>
          <c:idx val="0"/>
          <c:order val="0"/>
          <c:tx>
            <c:strRef>
              <c:f>HR!$A$201</c:f>
              <c:strCache>
                <c:ptCount val="1"/>
                <c:pt idx="0">
                  <c:v>Excellent Science</c:v>
                </c:pt>
              </c:strCache>
            </c:strRef>
          </c:tx>
          <c:spPr>
            <a:solidFill>
              <a:schemeClr val="accent1"/>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0-50EA-40B7-BC32-83ADD187558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HR!$C$200:$F$200</c:f>
              <c:strCache>
                <c:ptCount val="4"/>
                <c:pt idx="0">
                  <c:v>Croatia</c:v>
                </c:pt>
                <c:pt idx="1">
                  <c:v>Latvia</c:v>
                </c:pt>
                <c:pt idx="2">
                  <c:v>Netherlands</c:v>
                </c:pt>
                <c:pt idx="3">
                  <c:v>Portugal</c:v>
                </c:pt>
              </c:strCache>
            </c:strRef>
          </c:cat>
          <c:val>
            <c:numRef>
              <c:f>HR!$C$201:$F$201</c:f>
              <c:numCache>
                <c:formatCode>0%</c:formatCode>
                <c:ptCount val="4"/>
                <c:pt idx="0">
                  <c:v>0.53846153846153844</c:v>
                </c:pt>
                <c:pt idx="1">
                  <c:v>0</c:v>
                </c:pt>
                <c:pt idx="2">
                  <c:v>0.55555555555555558</c:v>
                </c:pt>
                <c:pt idx="3">
                  <c:v>0.90909090909090906</c:v>
                </c:pt>
              </c:numCache>
            </c:numRef>
          </c:val>
          <c:extLst>
            <c:ext xmlns:c16="http://schemas.microsoft.com/office/drawing/2014/chart" uri="{C3380CC4-5D6E-409C-BE32-E72D297353CC}">
              <c16:uniqueId val="{00000001-50EA-40B7-BC32-83ADD187558B}"/>
            </c:ext>
          </c:extLst>
        </c:ser>
        <c:ser>
          <c:idx val="1"/>
          <c:order val="1"/>
          <c:tx>
            <c:strRef>
              <c:f>HR!$A$202</c:f>
              <c:strCache>
                <c:ptCount val="1"/>
                <c:pt idx="0">
                  <c:v>Industrial Leadership</c:v>
                </c:pt>
              </c:strCache>
            </c:strRef>
          </c:tx>
          <c:spPr>
            <a:solidFill>
              <a:schemeClr val="accent2"/>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2-50EA-40B7-BC32-83ADD187558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HR!$C$200:$F$200</c:f>
              <c:strCache>
                <c:ptCount val="4"/>
                <c:pt idx="0">
                  <c:v>Croatia</c:v>
                </c:pt>
                <c:pt idx="1">
                  <c:v>Latvia</c:v>
                </c:pt>
                <c:pt idx="2">
                  <c:v>Netherlands</c:v>
                </c:pt>
                <c:pt idx="3">
                  <c:v>Portugal</c:v>
                </c:pt>
              </c:strCache>
            </c:strRef>
          </c:cat>
          <c:val>
            <c:numRef>
              <c:f>HR!$C$202:$F$202</c:f>
              <c:numCache>
                <c:formatCode>0%</c:formatCode>
                <c:ptCount val="4"/>
                <c:pt idx="0">
                  <c:v>0</c:v>
                </c:pt>
                <c:pt idx="1">
                  <c:v>0.16666666666666663</c:v>
                </c:pt>
                <c:pt idx="2">
                  <c:v>0.33333333333333326</c:v>
                </c:pt>
                <c:pt idx="3">
                  <c:v>9.0909090909090912E-2</c:v>
                </c:pt>
              </c:numCache>
            </c:numRef>
          </c:val>
          <c:extLst>
            <c:ext xmlns:c16="http://schemas.microsoft.com/office/drawing/2014/chart" uri="{C3380CC4-5D6E-409C-BE32-E72D297353CC}">
              <c16:uniqueId val="{00000003-50EA-40B7-BC32-83ADD187558B}"/>
            </c:ext>
          </c:extLst>
        </c:ser>
        <c:ser>
          <c:idx val="2"/>
          <c:order val="2"/>
          <c:tx>
            <c:strRef>
              <c:f>HR!$A$203</c:f>
              <c:strCache>
                <c:ptCount val="1"/>
                <c:pt idx="0">
                  <c:v>Societal Challenges</c:v>
                </c:pt>
              </c:strCache>
            </c:strRef>
          </c:tx>
          <c:spPr>
            <a:solidFill>
              <a:schemeClr val="accent4"/>
            </a:solidFill>
            <a:ln>
              <a:noFill/>
            </a:ln>
            <a:effectLst/>
          </c:spPr>
          <c:invertIfNegative val="0"/>
          <c:dLbls>
            <c:dLbl>
              <c:idx val="3"/>
              <c:delete val="1"/>
              <c:extLst>
                <c:ext xmlns:c15="http://schemas.microsoft.com/office/drawing/2012/chart" uri="{CE6537A1-D6FC-4f65-9D91-7224C49458BB}"/>
                <c:ext xmlns:c16="http://schemas.microsoft.com/office/drawing/2014/chart" uri="{C3380CC4-5D6E-409C-BE32-E72D297353CC}">
                  <c16:uniqueId val="{00000004-50EA-40B7-BC32-83ADD187558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HR!$C$200:$F$200</c:f>
              <c:strCache>
                <c:ptCount val="4"/>
                <c:pt idx="0">
                  <c:v>Croatia</c:v>
                </c:pt>
                <c:pt idx="1">
                  <c:v>Latvia</c:v>
                </c:pt>
                <c:pt idx="2">
                  <c:v>Netherlands</c:v>
                </c:pt>
                <c:pt idx="3">
                  <c:v>Portugal</c:v>
                </c:pt>
              </c:strCache>
            </c:strRef>
          </c:cat>
          <c:val>
            <c:numRef>
              <c:f>HR!$C$203:$F$203</c:f>
              <c:numCache>
                <c:formatCode>0%</c:formatCode>
                <c:ptCount val="4"/>
                <c:pt idx="0">
                  <c:v>0.46153846153846151</c:v>
                </c:pt>
                <c:pt idx="1">
                  <c:v>0.83333333333333348</c:v>
                </c:pt>
                <c:pt idx="2">
                  <c:v>0.1111111111111111</c:v>
                </c:pt>
                <c:pt idx="3">
                  <c:v>0</c:v>
                </c:pt>
              </c:numCache>
            </c:numRef>
          </c:val>
          <c:extLst>
            <c:ext xmlns:c16="http://schemas.microsoft.com/office/drawing/2014/chart" uri="{C3380CC4-5D6E-409C-BE32-E72D297353CC}">
              <c16:uniqueId val="{00000005-50EA-40B7-BC32-83ADD187558B}"/>
            </c:ext>
          </c:extLst>
        </c:ser>
        <c:dLbls>
          <c:dLblPos val="ctr"/>
          <c:showLegendKey val="0"/>
          <c:showVal val="1"/>
          <c:showCatName val="0"/>
          <c:showSerName val="0"/>
          <c:showPercent val="0"/>
          <c:showBubbleSize val="0"/>
        </c:dLbls>
        <c:gapWidth val="150"/>
        <c:overlap val="100"/>
        <c:axId val="749120056"/>
        <c:axId val="749119072"/>
      </c:barChart>
      <c:catAx>
        <c:axId val="749120056"/>
        <c:scaling>
          <c:orientation val="minMax"/>
        </c:scaling>
        <c:delete val="0"/>
        <c:axPos val="b"/>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749119072"/>
        <c:crosses val="autoZero"/>
        <c:auto val="1"/>
        <c:lblAlgn val="ctr"/>
        <c:lblOffset val="100"/>
        <c:noMultiLvlLbl val="0"/>
      </c:catAx>
      <c:valAx>
        <c:axId val="7491190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749120056"/>
        <c:crosses val="autoZero"/>
        <c:crossBetween val="between"/>
        <c:majorUnit val="0.2"/>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fi-FI"/>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i-FI" sz="1100"/>
              <a:t>What is your opinion of Horizon2020 funded actions in your country?</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fi-FI"/>
        </a:p>
      </c:txPr>
    </c:title>
    <c:autoTitleDeleted val="0"/>
    <c:plotArea>
      <c:layout/>
      <c:barChart>
        <c:barDir val="col"/>
        <c:grouping val="percentStacked"/>
        <c:varyColors val="0"/>
        <c:ser>
          <c:idx val="0"/>
          <c:order val="0"/>
          <c:tx>
            <c:strRef>
              <c:f>HR!$A$208</c:f>
              <c:strCache>
                <c:ptCount val="1"/>
                <c:pt idx="0">
                  <c:v>Very good, we use or monitor them regularly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HR!$C$200:$F$200</c:f>
              <c:strCache>
                <c:ptCount val="4"/>
                <c:pt idx="0">
                  <c:v>Croatia</c:v>
                </c:pt>
                <c:pt idx="1">
                  <c:v>Latvia</c:v>
                </c:pt>
                <c:pt idx="2">
                  <c:v>Netherlands</c:v>
                </c:pt>
                <c:pt idx="3">
                  <c:v>Portugal</c:v>
                </c:pt>
              </c:strCache>
            </c:strRef>
          </c:cat>
          <c:val>
            <c:numRef>
              <c:f>HR!$C$208:$F$208</c:f>
              <c:numCache>
                <c:formatCode>0%</c:formatCode>
                <c:ptCount val="4"/>
                <c:pt idx="0">
                  <c:v>0.30769230769230771</c:v>
                </c:pt>
                <c:pt idx="1">
                  <c:v>0.5</c:v>
                </c:pt>
                <c:pt idx="2">
                  <c:v>0.66666666666666652</c:v>
                </c:pt>
                <c:pt idx="3">
                  <c:v>9.0909090909090912E-2</c:v>
                </c:pt>
              </c:numCache>
            </c:numRef>
          </c:val>
          <c:extLst>
            <c:ext xmlns:c16="http://schemas.microsoft.com/office/drawing/2014/chart" uri="{C3380CC4-5D6E-409C-BE32-E72D297353CC}">
              <c16:uniqueId val="{00000000-00AD-4BC4-A20F-1D2060F4B703}"/>
            </c:ext>
          </c:extLst>
        </c:ser>
        <c:ser>
          <c:idx val="1"/>
          <c:order val="1"/>
          <c:tx>
            <c:strRef>
              <c:f>HR!$A$209</c:f>
              <c:strCache>
                <c:ptCount val="1"/>
                <c:pt idx="0">
                  <c:v>Adequate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HR!$C$200:$F$200</c:f>
              <c:strCache>
                <c:ptCount val="4"/>
                <c:pt idx="0">
                  <c:v>Croatia</c:v>
                </c:pt>
                <c:pt idx="1">
                  <c:v>Latvia</c:v>
                </c:pt>
                <c:pt idx="2">
                  <c:v>Netherlands</c:v>
                </c:pt>
                <c:pt idx="3">
                  <c:v>Portugal</c:v>
                </c:pt>
              </c:strCache>
            </c:strRef>
          </c:cat>
          <c:val>
            <c:numRef>
              <c:f>HR!$C$209:$F$209</c:f>
              <c:numCache>
                <c:formatCode>0%</c:formatCode>
                <c:ptCount val="4"/>
                <c:pt idx="0">
                  <c:v>0.30769230769230771</c:v>
                </c:pt>
                <c:pt idx="1">
                  <c:v>0.16666666666666663</c:v>
                </c:pt>
                <c:pt idx="2">
                  <c:v>0.33333333333333326</c:v>
                </c:pt>
                <c:pt idx="3">
                  <c:v>0.63636363636363635</c:v>
                </c:pt>
              </c:numCache>
            </c:numRef>
          </c:val>
          <c:extLst>
            <c:ext xmlns:c16="http://schemas.microsoft.com/office/drawing/2014/chart" uri="{C3380CC4-5D6E-409C-BE32-E72D297353CC}">
              <c16:uniqueId val="{00000001-00AD-4BC4-A20F-1D2060F4B703}"/>
            </c:ext>
          </c:extLst>
        </c:ser>
        <c:ser>
          <c:idx val="2"/>
          <c:order val="2"/>
          <c:tx>
            <c:strRef>
              <c:f>HR!$A$210</c:f>
              <c:strCache>
                <c:ptCount val="1"/>
                <c:pt idx="0">
                  <c:v>Poor</c:v>
                </c:pt>
              </c:strCache>
            </c:strRef>
          </c:tx>
          <c:spPr>
            <a:solidFill>
              <a:schemeClr val="accent4"/>
            </a:solidFill>
            <a:ln>
              <a:noFill/>
            </a:ln>
            <a:effectLst/>
          </c:spPr>
          <c:invertIfNegative val="0"/>
          <c:dLbls>
            <c:dLbl>
              <c:idx val="2"/>
              <c:delete val="1"/>
              <c:extLst>
                <c:ext xmlns:c15="http://schemas.microsoft.com/office/drawing/2012/chart" uri="{CE6537A1-D6FC-4f65-9D91-7224C49458BB}"/>
                <c:ext xmlns:c16="http://schemas.microsoft.com/office/drawing/2014/chart" uri="{C3380CC4-5D6E-409C-BE32-E72D297353CC}">
                  <c16:uniqueId val="{00000002-00AD-4BC4-A20F-1D2060F4B70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HR!$C$200:$F$200</c:f>
              <c:strCache>
                <c:ptCount val="4"/>
                <c:pt idx="0">
                  <c:v>Croatia</c:v>
                </c:pt>
                <c:pt idx="1">
                  <c:v>Latvia</c:v>
                </c:pt>
                <c:pt idx="2">
                  <c:v>Netherlands</c:v>
                </c:pt>
                <c:pt idx="3">
                  <c:v>Portugal</c:v>
                </c:pt>
              </c:strCache>
            </c:strRef>
          </c:cat>
          <c:val>
            <c:numRef>
              <c:f>HR!$C$210:$F$210</c:f>
              <c:numCache>
                <c:formatCode>0%</c:formatCode>
                <c:ptCount val="4"/>
                <c:pt idx="0">
                  <c:v>0.38461538461538469</c:v>
                </c:pt>
                <c:pt idx="1">
                  <c:v>0.16666666666666663</c:v>
                </c:pt>
                <c:pt idx="2">
                  <c:v>0</c:v>
                </c:pt>
                <c:pt idx="3">
                  <c:v>0.18181818181818182</c:v>
                </c:pt>
              </c:numCache>
            </c:numRef>
          </c:val>
          <c:extLst>
            <c:ext xmlns:c16="http://schemas.microsoft.com/office/drawing/2014/chart" uri="{C3380CC4-5D6E-409C-BE32-E72D297353CC}">
              <c16:uniqueId val="{00000003-00AD-4BC4-A20F-1D2060F4B703}"/>
            </c:ext>
          </c:extLst>
        </c:ser>
        <c:ser>
          <c:idx val="3"/>
          <c:order val="3"/>
          <c:tx>
            <c:strRef>
              <c:f>HR!$A$211</c:f>
              <c:strCache>
                <c:ptCount val="1"/>
                <c:pt idx="0">
                  <c:v>Unsure</c:v>
                </c:pt>
              </c:strCache>
            </c:strRef>
          </c:tx>
          <c:spPr>
            <a:solidFill>
              <a:schemeClr val="accent5"/>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4-00AD-4BC4-A20F-1D2060F4B703}"/>
                </c:ext>
              </c:extLst>
            </c:dLbl>
            <c:dLbl>
              <c:idx val="2"/>
              <c:delete val="1"/>
              <c:extLst>
                <c:ext xmlns:c15="http://schemas.microsoft.com/office/drawing/2012/chart" uri="{CE6537A1-D6FC-4f65-9D91-7224C49458BB}"/>
                <c:ext xmlns:c16="http://schemas.microsoft.com/office/drawing/2014/chart" uri="{C3380CC4-5D6E-409C-BE32-E72D297353CC}">
                  <c16:uniqueId val="{00000005-00AD-4BC4-A20F-1D2060F4B70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HR!$C$200:$F$200</c:f>
              <c:strCache>
                <c:ptCount val="4"/>
                <c:pt idx="0">
                  <c:v>Croatia</c:v>
                </c:pt>
                <c:pt idx="1">
                  <c:v>Latvia</c:v>
                </c:pt>
                <c:pt idx="2">
                  <c:v>Netherlands</c:v>
                </c:pt>
                <c:pt idx="3">
                  <c:v>Portugal</c:v>
                </c:pt>
              </c:strCache>
            </c:strRef>
          </c:cat>
          <c:val>
            <c:numRef>
              <c:f>HR!$C$211:$F$211</c:f>
              <c:numCache>
                <c:formatCode>0%</c:formatCode>
                <c:ptCount val="4"/>
                <c:pt idx="0">
                  <c:v>0</c:v>
                </c:pt>
                <c:pt idx="1">
                  <c:v>0.16666666666666663</c:v>
                </c:pt>
                <c:pt idx="2">
                  <c:v>0</c:v>
                </c:pt>
                <c:pt idx="3">
                  <c:v>9.0909090909090912E-2</c:v>
                </c:pt>
              </c:numCache>
            </c:numRef>
          </c:val>
          <c:extLst>
            <c:ext xmlns:c16="http://schemas.microsoft.com/office/drawing/2014/chart" uri="{C3380CC4-5D6E-409C-BE32-E72D297353CC}">
              <c16:uniqueId val="{00000006-00AD-4BC4-A20F-1D2060F4B703}"/>
            </c:ext>
          </c:extLst>
        </c:ser>
        <c:dLbls>
          <c:dLblPos val="ctr"/>
          <c:showLegendKey val="0"/>
          <c:showVal val="1"/>
          <c:showCatName val="0"/>
          <c:showSerName val="0"/>
          <c:showPercent val="0"/>
          <c:showBubbleSize val="0"/>
        </c:dLbls>
        <c:gapWidth val="150"/>
        <c:overlap val="100"/>
        <c:axId val="749120056"/>
        <c:axId val="749119072"/>
      </c:barChart>
      <c:catAx>
        <c:axId val="749120056"/>
        <c:scaling>
          <c:orientation val="minMax"/>
        </c:scaling>
        <c:delete val="0"/>
        <c:axPos val="b"/>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749119072"/>
        <c:crosses val="autoZero"/>
        <c:auto val="1"/>
        <c:lblAlgn val="ctr"/>
        <c:lblOffset val="100"/>
        <c:noMultiLvlLbl val="0"/>
      </c:catAx>
      <c:valAx>
        <c:axId val="7491190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749120056"/>
        <c:crosses val="autoZero"/>
        <c:crossBetween val="between"/>
        <c:majorUnit val="0.2"/>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fi-FI"/>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i-FI" sz="1100"/>
              <a:t>Do you think your country has devoted appropriate funding amounts to complementary programmes (e.g. Eureka and Eurostars)?</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fi-FI"/>
        </a:p>
      </c:txPr>
    </c:title>
    <c:autoTitleDeleted val="0"/>
    <c:plotArea>
      <c:layout/>
      <c:barChart>
        <c:barDir val="col"/>
        <c:grouping val="percentStacked"/>
        <c:varyColors val="0"/>
        <c:ser>
          <c:idx val="0"/>
          <c:order val="0"/>
          <c:tx>
            <c:strRef>
              <c:f>HR!$A$216</c:f>
              <c:strCache>
                <c:ptCount val="1"/>
                <c:pt idx="0">
                  <c:v>Appropriate</c:v>
                </c:pt>
              </c:strCache>
            </c:strRef>
          </c:tx>
          <c:spPr>
            <a:solidFill>
              <a:schemeClr val="accent1"/>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B1BE-43A8-9525-37B497FC133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HR!$C$200:$F$200</c:f>
              <c:strCache>
                <c:ptCount val="4"/>
                <c:pt idx="0">
                  <c:v>Croatia</c:v>
                </c:pt>
                <c:pt idx="1">
                  <c:v>Latvia</c:v>
                </c:pt>
                <c:pt idx="2">
                  <c:v>Netherlands</c:v>
                </c:pt>
                <c:pt idx="3">
                  <c:v>Portugal</c:v>
                </c:pt>
              </c:strCache>
            </c:strRef>
          </c:cat>
          <c:val>
            <c:numRef>
              <c:f>HR!$C$216:$F$216</c:f>
              <c:numCache>
                <c:formatCode>0%</c:formatCode>
                <c:ptCount val="4"/>
                <c:pt idx="0">
                  <c:v>0</c:v>
                </c:pt>
                <c:pt idx="1">
                  <c:v>0.16666666666666663</c:v>
                </c:pt>
                <c:pt idx="2">
                  <c:v>0.55555555555555558</c:v>
                </c:pt>
                <c:pt idx="3">
                  <c:v>0.18181818181818182</c:v>
                </c:pt>
              </c:numCache>
            </c:numRef>
          </c:val>
          <c:extLst>
            <c:ext xmlns:c16="http://schemas.microsoft.com/office/drawing/2014/chart" uri="{C3380CC4-5D6E-409C-BE32-E72D297353CC}">
              <c16:uniqueId val="{00000001-B1BE-43A8-9525-37B497FC1339}"/>
            </c:ext>
          </c:extLst>
        </c:ser>
        <c:ser>
          <c:idx val="1"/>
          <c:order val="1"/>
          <c:tx>
            <c:strRef>
              <c:f>HR!$A$217</c:f>
              <c:strCache>
                <c:ptCount val="1"/>
                <c:pt idx="0">
                  <c:v>Insufficient</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HR!$C$200:$F$200</c:f>
              <c:strCache>
                <c:ptCount val="4"/>
                <c:pt idx="0">
                  <c:v>Croatia</c:v>
                </c:pt>
                <c:pt idx="1">
                  <c:v>Latvia</c:v>
                </c:pt>
                <c:pt idx="2">
                  <c:v>Netherlands</c:v>
                </c:pt>
                <c:pt idx="3">
                  <c:v>Portugal</c:v>
                </c:pt>
              </c:strCache>
            </c:strRef>
          </c:cat>
          <c:val>
            <c:numRef>
              <c:f>HR!$C$217:$F$217</c:f>
              <c:numCache>
                <c:formatCode>0%</c:formatCode>
                <c:ptCount val="4"/>
                <c:pt idx="0">
                  <c:v>0.53846153846153844</c:v>
                </c:pt>
                <c:pt idx="1">
                  <c:v>0.5</c:v>
                </c:pt>
                <c:pt idx="2">
                  <c:v>0.1111111111111111</c:v>
                </c:pt>
                <c:pt idx="3">
                  <c:v>0.54545454545454541</c:v>
                </c:pt>
              </c:numCache>
            </c:numRef>
          </c:val>
          <c:extLst>
            <c:ext xmlns:c16="http://schemas.microsoft.com/office/drawing/2014/chart" uri="{C3380CC4-5D6E-409C-BE32-E72D297353CC}">
              <c16:uniqueId val="{00000002-B1BE-43A8-9525-37B497FC1339}"/>
            </c:ext>
          </c:extLst>
        </c:ser>
        <c:ser>
          <c:idx val="2"/>
          <c:order val="2"/>
          <c:tx>
            <c:strRef>
              <c:f>HR!$A$218</c:f>
              <c:strCache>
                <c:ptCount val="1"/>
                <c:pt idx="0">
                  <c:v>Unsure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HR!$C$200:$F$200</c:f>
              <c:strCache>
                <c:ptCount val="4"/>
                <c:pt idx="0">
                  <c:v>Croatia</c:v>
                </c:pt>
                <c:pt idx="1">
                  <c:v>Latvia</c:v>
                </c:pt>
                <c:pt idx="2">
                  <c:v>Netherlands</c:v>
                </c:pt>
                <c:pt idx="3">
                  <c:v>Portugal</c:v>
                </c:pt>
              </c:strCache>
            </c:strRef>
          </c:cat>
          <c:val>
            <c:numRef>
              <c:f>HR!$C$218:$F$218</c:f>
              <c:numCache>
                <c:formatCode>0%</c:formatCode>
                <c:ptCount val="4"/>
                <c:pt idx="0">
                  <c:v>0.46153846153846151</c:v>
                </c:pt>
                <c:pt idx="1">
                  <c:v>0.33333333333333326</c:v>
                </c:pt>
                <c:pt idx="2">
                  <c:v>0.33333333333333326</c:v>
                </c:pt>
                <c:pt idx="3">
                  <c:v>0.27272727272727271</c:v>
                </c:pt>
              </c:numCache>
            </c:numRef>
          </c:val>
          <c:extLst>
            <c:ext xmlns:c16="http://schemas.microsoft.com/office/drawing/2014/chart" uri="{C3380CC4-5D6E-409C-BE32-E72D297353CC}">
              <c16:uniqueId val="{00000003-B1BE-43A8-9525-37B497FC1339}"/>
            </c:ext>
          </c:extLst>
        </c:ser>
        <c:dLbls>
          <c:dLblPos val="ctr"/>
          <c:showLegendKey val="0"/>
          <c:showVal val="1"/>
          <c:showCatName val="0"/>
          <c:showSerName val="0"/>
          <c:showPercent val="0"/>
          <c:showBubbleSize val="0"/>
        </c:dLbls>
        <c:gapWidth val="150"/>
        <c:overlap val="100"/>
        <c:axId val="749120056"/>
        <c:axId val="749119072"/>
      </c:barChart>
      <c:catAx>
        <c:axId val="749120056"/>
        <c:scaling>
          <c:orientation val="minMax"/>
        </c:scaling>
        <c:delete val="0"/>
        <c:axPos val="b"/>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749119072"/>
        <c:crosses val="autoZero"/>
        <c:auto val="1"/>
        <c:lblAlgn val="ctr"/>
        <c:lblOffset val="100"/>
        <c:noMultiLvlLbl val="0"/>
      </c:catAx>
      <c:valAx>
        <c:axId val="7491190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749120056"/>
        <c:crosses val="autoZero"/>
        <c:crossBetween val="between"/>
        <c:majorUnit val="0.2"/>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fi-FI"/>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i-FI" sz="1100"/>
              <a:t>How do you rate Horizon 2020 NCP service in your country regarding:</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fi-FI"/>
        </a:p>
      </c:txPr>
    </c:title>
    <c:autoTitleDeleted val="0"/>
    <c:plotArea>
      <c:layout>
        <c:manualLayout>
          <c:layoutTarget val="inner"/>
          <c:xMode val="edge"/>
          <c:yMode val="edge"/>
          <c:x val="6.4026011171680469E-2"/>
          <c:y val="8.929472981422408E-2"/>
          <c:w val="0.9359739888283195"/>
          <c:h val="0.34015938788270578"/>
        </c:manualLayout>
      </c:layout>
      <c:barChart>
        <c:barDir val="col"/>
        <c:grouping val="percentStacked"/>
        <c:varyColors val="0"/>
        <c:ser>
          <c:idx val="0"/>
          <c:order val="0"/>
          <c:tx>
            <c:strRef>
              <c:f>FullPercentage!$A$223</c:f>
              <c:strCache>
                <c:ptCount val="1"/>
                <c:pt idx="0">
                  <c:v>Very effective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FullPercentage!$C$222:$I$222</c:f>
              <c:strCache>
                <c:ptCount val="7"/>
                <c:pt idx="0">
                  <c:v>Awareness raising about Horizon 2020 and associated programmes.</c:v>
                </c:pt>
                <c:pt idx="1">
                  <c:v> Disseminate general and specific information about Horizon 2020 and associated programmes, including open calls, rules of participation, and proposal submission.</c:v>
                </c:pt>
                <c:pt idx="2">
                  <c:v>Provide specific assistance to participants: call identification and topic framing, action types, partner search, rules of participation, role and responsibilities of consortium members, ethical aspects, etc..</c:v>
                </c:pt>
                <c:pt idx="3">
                  <c:v>Organize promotional events (infodays, seminars, conferences, newsletters, workshops).</c:v>
                </c:pt>
                <c:pt idx="4">
                  <c:v>Organize training events (e.g. proposal writing).</c:v>
                </c:pt>
                <c:pt idx="5">
                  <c:v>Inform about other European research and innovation pro-grammes (e.g. European Health Programme, COSNIE, Eureka, future Digital Europe, etc.) and establish collaboration networks with their support services.</c:v>
                </c:pt>
                <c:pt idx="6">
                  <c:v> Inform and support participants about available funding synergies between Horizon 2020 and ERDF programs in your country</c:v>
                </c:pt>
              </c:strCache>
            </c:strRef>
          </c:cat>
          <c:val>
            <c:numRef>
              <c:f>FullPercentage!$C$223:$I$223</c:f>
              <c:numCache>
                <c:formatCode>0%</c:formatCode>
                <c:ptCount val="7"/>
                <c:pt idx="0">
                  <c:v>0.4358974358974359</c:v>
                </c:pt>
                <c:pt idx="1">
                  <c:v>0.41025641025641024</c:v>
                </c:pt>
                <c:pt idx="2">
                  <c:v>0.35897435897435898</c:v>
                </c:pt>
                <c:pt idx="3">
                  <c:v>0.35897435897435898</c:v>
                </c:pt>
                <c:pt idx="4">
                  <c:v>0.15384615384615385</c:v>
                </c:pt>
                <c:pt idx="5">
                  <c:v>0.23076923076923075</c:v>
                </c:pt>
                <c:pt idx="6">
                  <c:v>0.17948717948717949</c:v>
                </c:pt>
              </c:numCache>
            </c:numRef>
          </c:val>
          <c:extLst>
            <c:ext xmlns:c16="http://schemas.microsoft.com/office/drawing/2014/chart" uri="{C3380CC4-5D6E-409C-BE32-E72D297353CC}">
              <c16:uniqueId val="{00000000-E9D3-4ED3-A5AC-831CDA43A5DC}"/>
            </c:ext>
          </c:extLst>
        </c:ser>
        <c:ser>
          <c:idx val="1"/>
          <c:order val="1"/>
          <c:tx>
            <c:strRef>
              <c:f>FullPercentage!$A$224</c:f>
              <c:strCache>
                <c:ptCount val="1"/>
                <c:pt idx="0">
                  <c:v>Moderately effective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FullPercentage!$C$222:$I$222</c:f>
              <c:strCache>
                <c:ptCount val="7"/>
                <c:pt idx="0">
                  <c:v>Awareness raising about Horizon 2020 and associated programmes.</c:v>
                </c:pt>
                <c:pt idx="1">
                  <c:v> Disseminate general and specific information about Horizon 2020 and associated programmes, including open calls, rules of participation, and proposal submission.</c:v>
                </c:pt>
                <c:pt idx="2">
                  <c:v>Provide specific assistance to participants: call identification and topic framing, action types, partner search, rules of participation, role and responsibilities of consortium members, ethical aspects, etc..</c:v>
                </c:pt>
                <c:pt idx="3">
                  <c:v>Organize promotional events (infodays, seminars, conferences, newsletters, workshops).</c:v>
                </c:pt>
                <c:pt idx="4">
                  <c:v>Organize training events (e.g. proposal writing).</c:v>
                </c:pt>
                <c:pt idx="5">
                  <c:v>Inform about other European research and innovation pro-grammes (e.g. European Health Programme, COSNIE, Eureka, future Digital Europe, etc.) and establish collaboration networks with their support services.</c:v>
                </c:pt>
                <c:pt idx="6">
                  <c:v> Inform and support participants about available funding synergies between Horizon 2020 and ERDF programs in your country</c:v>
                </c:pt>
              </c:strCache>
            </c:strRef>
          </c:cat>
          <c:val>
            <c:numRef>
              <c:f>FullPercentage!$C$224:$I$224</c:f>
              <c:numCache>
                <c:formatCode>0%</c:formatCode>
                <c:ptCount val="7"/>
                <c:pt idx="0">
                  <c:v>0.33333333333333326</c:v>
                </c:pt>
                <c:pt idx="1">
                  <c:v>0.41025641025641024</c:v>
                </c:pt>
                <c:pt idx="2">
                  <c:v>0.25641025641025639</c:v>
                </c:pt>
                <c:pt idx="3">
                  <c:v>0.30769230769230771</c:v>
                </c:pt>
                <c:pt idx="4">
                  <c:v>0.30769230769230771</c:v>
                </c:pt>
                <c:pt idx="5">
                  <c:v>0.35897435897435898</c:v>
                </c:pt>
                <c:pt idx="6">
                  <c:v>0.28205128205128205</c:v>
                </c:pt>
              </c:numCache>
            </c:numRef>
          </c:val>
          <c:extLst>
            <c:ext xmlns:c16="http://schemas.microsoft.com/office/drawing/2014/chart" uri="{C3380CC4-5D6E-409C-BE32-E72D297353CC}">
              <c16:uniqueId val="{00000001-E9D3-4ED3-A5AC-831CDA43A5DC}"/>
            </c:ext>
          </c:extLst>
        </c:ser>
        <c:ser>
          <c:idx val="2"/>
          <c:order val="2"/>
          <c:tx>
            <c:strRef>
              <c:f>FullPercentage!$A$225</c:f>
              <c:strCache>
                <c:ptCount val="1"/>
                <c:pt idx="0">
                  <c:v>Not very effective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FullPercentage!$C$222:$I$222</c:f>
              <c:strCache>
                <c:ptCount val="7"/>
                <c:pt idx="0">
                  <c:v>Awareness raising about Horizon 2020 and associated programmes.</c:v>
                </c:pt>
                <c:pt idx="1">
                  <c:v> Disseminate general and specific information about Horizon 2020 and associated programmes, including open calls, rules of participation, and proposal submission.</c:v>
                </c:pt>
                <c:pt idx="2">
                  <c:v>Provide specific assistance to participants: call identification and topic framing, action types, partner search, rules of participation, role and responsibilities of consortium members, ethical aspects, etc..</c:v>
                </c:pt>
                <c:pt idx="3">
                  <c:v>Organize promotional events (infodays, seminars, conferences, newsletters, workshops).</c:v>
                </c:pt>
                <c:pt idx="4">
                  <c:v>Organize training events (e.g. proposal writing).</c:v>
                </c:pt>
                <c:pt idx="5">
                  <c:v>Inform about other European research and innovation pro-grammes (e.g. European Health Programme, COSNIE, Eureka, future Digital Europe, etc.) and establish collaboration networks with their support services.</c:v>
                </c:pt>
                <c:pt idx="6">
                  <c:v> Inform and support participants about available funding synergies between Horizon 2020 and ERDF programs in your country</c:v>
                </c:pt>
              </c:strCache>
            </c:strRef>
          </c:cat>
          <c:val>
            <c:numRef>
              <c:f>FullPercentage!$C$225:$I$225</c:f>
              <c:numCache>
                <c:formatCode>0%</c:formatCode>
                <c:ptCount val="7"/>
                <c:pt idx="0">
                  <c:v>0.17948717948717949</c:v>
                </c:pt>
                <c:pt idx="1">
                  <c:v>0.15384615384615385</c:v>
                </c:pt>
                <c:pt idx="2">
                  <c:v>0.23076923076923075</c:v>
                </c:pt>
                <c:pt idx="3">
                  <c:v>0.25641025641025639</c:v>
                </c:pt>
                <c:pt idx="4">
                  <c:v>0.33333333333333326</c:v>
                </c:pt>
                <c:pt idx="5">
                  <c:v>0.17948717948717949</c:v>
                </c:pt>
                <c:pt idx="6">
                  <c:v>0.23076923076923075</c:v>
                </c:pt>
              </c:numCache>
            </c:numRef>
          </c:val>
          <c:extLst>
            <c:ext xmlns:c16="http://schemas.microsoft.com/office/drawing/2014/chart" uri="{C3380CC4-5D6E-409C-BE32-E72D297353CC}">
              <c16:uniqueId val="{00000002-E9D3-4ED3-A5AC-831CDA43A5DC}"/>
            </c:ext>
          </c:extLst>
        </c:ser>
        <c:ser>
          <c:idx val="3"/>
          <c:order val="3"/>
          <c:tx>
            <c:strRef>
              <c:f>FullPercentage!$A$226</c:f>
              <c:strCache>
                <c:ptCount val="1"/>
                <c:pt idx="0">
                  <c:v>Not at all effective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FullPercentage!$C$222:$I$222</c:f>
              <c:strCache>
                <c:ptCount val="7"/>
                <c:pt idx="0">
                  <c:v>Awareness raising about Horizon 2020 and associated programmes.</c:v>
                </c:pt>
                <c:pt idx="1">
                  <c:v> Disseminate general and specific information about Horizon 2020 and associated programmes, including open calls, rules of participation, and proposal submission.</c:v>
                </c:pt>
                <c:pt idx="2">
                  <c:v>Provide specific assistance to participants: call identification and topic framing, action types, partner search, rules of participation, role and responsibilities of consortium members, ethical aspects, etc..</c:v>
                </c:pt>
                <c:pt idx="3">
                  <c:v>Organize promotional events (infodays, seminars, conferences, newsletters, workshops).</c:v>
                </c:pt>
                <c:pt idx="4">
                  <c:v>Organize training events (e.g. proposal writing).</c:v>
                </c:pt>
                <c:pt idx="5">
                  <c:v>Inform about other European research and innovation pro-grammes (e.g. European Health Programme, COSNIE, Eureka, future Digital Europe, etc.) and establish collaboration networks with their support services.</c:v>
                </c:pt>
                <c:pt idx="6">
                  <c:v> Inform and support participants about available funding synergies between Horizon 2020 and ERDF programs in your country</c:v>
                </c:pt>
              </c:strCache>
            </c:strRef>
          </c:cat>
          <c:val>
            <c:numRef>
              <c:f>FullPercentage!$C$226:$I$226</c:f>
              <c:numCache>
                <c:formatCode>0%</c:formatCode>
                <c:ptCount val="7"/>
                <c:pt idx="0">
                  <c:v>5.128205128205128E-2</c:v>
                </c:pt>
                <c:pt idx="1">
                  <c:v>2.564102564102564E-2</c:v>
                </c:pt>
                <c:pt idx="2">
                  <c:v>0.15384615384615385</c:v>
                </c:pt>
                <c:pt idx="3">
                  <c:v>7.6923076923076927E-2</c:v>
                </c:pt>
                <c:pt idx="4">
                  <c:v>0.17948717948717949</c:v>
                </c:pt>
                <c:pt idx="5">
                  <c:v>0.23076923076923075</c:v>
                </c:pt>
                <c:pt idx="6">
                  <c:v>0.23076923076923075</c:v>
                </c:pt>
              </c:numCache>
            </c:numRef>
          </c:val>
          <c:extLst>
            <c:ext xmlns:c16="http://schemas.microsoft.com/office/drawing/2014/chart" uri="{C3380CC4-5D6E-409C-BE32-E72D297353CC}">
              <c16:uniqueId val="{00000003-E9D3-4ED3-A5AC-831CDA43A5DC}"/>
            </c:ext>
          </c:extLst>
        </c:ser>
        <c:ser>
          <c:idx val="4"/>
          <c:order val="4"/>
          <c:tx>
            <c:strRef>
              <c:f>FullPercentage!$A$227</c:f>
              <c:strCache>
                <c:ptCount val="1"/>
                <c:pt idx="0">
                  <c:v>Unsure</c:v>
                </c:pt>
              </c:strCache>
            </c:strRef>
          </c:tx>
          <c:spPr>
            <a:solidFill>
              <a:schemeClr val="accent5"/>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4-E9D3-4ED3-A5AC-831CDA43A5DC}"/>
                </c:ext>
              </c:extLst>
            </c:dLbl>
            <c:dLbl>
              <c:idx val="1"/>
              <c:delete val="1"/>
              <c:extLst>
                <c:ext xmlns:c15="http://schemas.microsoft.com/office/drawing/2012/chart" uri="{CE6537A1-D6FC-4f65-9D91-7224C49458BB}"/>
                <c:ext xmlns:c16="http://schemas.microsoft.com/office/drawing/2014/chart" uri="{C3380CC4-5D6E-409C-BE32-E72D297353CC}">
                  <c16:uniqueId val="{00000005-E9D3-4ED3-A5AC-831CDA43A5DC}"/>
                </c:ext>
              </c:extLst>
            </c:dLbl>
            <c:dLbl>
              <c:idx val="2"/>
              <c:delete val="1"/>
              <c:extLst>
                <c:ext xmlns:c15="http://schemas.microsoft.com/office/drawing/2012/chart" uri="{CE6537A1-D6FC-4f65-9D91-7224C49458BB}"/>
                <c:ext xmlns:c16="http://schemas.microsoft.com/office/drawing/2014/chart" uri="{C3380CC4-5D6E-409C-BE32-E72D297353CC}">
                  <c16:uniqueId val="{00000006-E9D3-4ED3-A5AC-831CDA43A5DC}"/>
                </c:ext>
              </c:extLst>
            </c:dLbl>
            <c:dLbl>
              <c:idx val="3"/>
              <c:delete val="1"/>
              <c:extLst>
                <c:ext xmlns:c15="http://schemas.microsoft.com/office/drawing/2012/chart" uri="{CE6537A1-D6FC-4f65-9D91-7224C49458BB}"/>
                <c:ext xmlns:c16="http://schemas.microsoft.com/office/drawing/2014/chart" uri="{C3380CC4-5D6E-409C-BE32-E72D297353CC}">
                  <c16:uniqueId val="{00000007-E9D3-4ED3-A5AC-831CDA43A5DC}"/>
                </c:ext>
              </c:extLst>
            </c:dLbl>
            <c:dLbl>
              <c:idx val="5"/>
              <c:delete val="1"/>
              <c:extLst>
                <c:ext xmlns:c15="http://schemas.microsoft.com/office/drawing/2012/chart" uri="{CE6537A1-D6FC-4f65-9D91-7224C49458BB}"/>
                <c:ext xmlns:c16="http://schemas.microsoft.com/office/drawing/2014/chart" uri="{C3380CC4-5D6E-409C-BE32-E72D297353CC}">
                  <c16:uniqueId val="{00000008-E9D3-4ED3-A5AC-831CDA43A5D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FullPercentage!$C$222:$I$222</c:f>
              <c:strCache>
                <c:ptCount val="7"/>
                <c:pt idx="0">
                  <c:v>Awareness raising about Horizon 2020 and associated programmes.</c:v>
                </c:pt>
                <c:pt idx="1">
                  <c:v> Disseminate general and specific information about Horizon 2020 and associated programmes, including open calls, rules of participation, and proposal submission.</c:v>
                </c:pt>
                <c:pt idx="2">
                  <c:v>Provide specific assistance to participants: call identification and topic framing, action types, partner search, rules of participation, role and responsibilities of consortium members, ethical aspects, etc..</c:v>
                </c:pt>
                <c:pt idx="3">
                  <c:v>Organize promotional events (infodays, seminars, conferences, newsletters, workshops).</c:v>
                </c:pt>
                <c:pt idx="4">
                  <c:v>Organize training events (e.g. proposal writing).</c:v>
                </c:pt>
                <c:pt idx="5">
                  <c:v>Inform about other European research and innovation pro-grammes (e.g. European Health Programme, COSNIE, Eureka, future Digital Europe, etc.) and establish collaboration networks with their support services.</c:v>
                </c:pt>
                <c:pt idx="6">
                  <c:v> Inform and support participants about available funding synergies between Horizon 2020 and ERDF programs in your country</c:v>
                </c:pt>
              </c:strCache>
            </c:strRef>
          </c:cat>
          <c:val>
            <c:numRef>
              <c:f>FullPercentage!$C$227:$I$227</c:f>
              <c:numCache>
                <c:formatCode>0%</c:formatCode>
                <c:ptCount val="7"/>
                <c:pt idx="0">
                  <c:v>0</c:v>
                </c:pt>
                <c:pt idx="1">
                  <c:v>0</c:v>
                </c:pt>
                <c:pt idx="2">
                  <c:v>0</c:v>
                </c:pt>
                <c:pt idx="3">
                  <c:v>0</c:v>
                </c:pt>
                <c:pt idx="4">
                  <c:v>2.564102564102564E-2</c:v>
                </c:pt>
                <c:pt idx="5">
                  <c:v>0</c:v>
                </c:pt>
                <c:pt idx="6">
                  <c:v>7.6923076923076927E-2</c:v>
                </c:pt>
              </c:numCache>
            </c:numRef>
          </c:val>
          <c:extLst>
            <c:ext xmlns:c16="http://schemas.microsoft.com/office/drawing/2014/chart" uri="{C3380CC4-5D6E-409C-BE32-E72D297353CC}">
              <c16:uniqueId val="{00000009-E9D3-4ED3-A5AC-831CDA43A5DC}"/>
            </c:ext>
          </c:extLst>
        </c:ser>
        <c:dLbls>
          <c:dLblPos val="ctr"/>
          <c:showLegendKey val="0"/>
          <c:showVal val="1"/>
          <c:showCatName val="0"/>
          <c:showSerName val="0"/>
          <c:showPercent val="0"/>
          <c:showBubbleSize val="0"/>
        </c:dLbls>
        <c:gapWidth val="99"/>
        <c:overlap val="100"/>
        <c:axId val="758732656"/>
        <c:axId val="758739872"/>
      </c:barChart>
      <c:catAx>
        <c:axId val="758732656"/>
        <c:scaling>
          <c:orientation val="minMax"/>
        </c:scaling>
        <c:delete val="0"/>
        <c:axPos val="b"/>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758739872"/>
        <c:crosses val="autoZero"/>
        <c:auto val="1"/>
        <c:lblAlgn val="ctr"/>
        <c:lblOffset val="100"/>
        <c:noMultiLvlLbl val="0"/>
      </c:catAx>
      <c:valAx>
        <c:axId val="7587398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758732656"/>
        <c:crosses val="autoZero"/>
        <c:crossBetween val="between"/>
        <c:majorUnit val="0.2"/>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fi-FI"/>
    </a:p>
  </c:txPr>
  <c:externalData r:id="rId4">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i-FI" sz="1100"/>
              <a:t>In your opinion, have the actions of the Horizon2020 programme been adapted to the change brought about by the pandemic?</a:t>
            </a:r>
          </a:p>
        </c:rich>
      </c:tx>
      <c:layout>
        <c:manualLayout>
          <c:xMode val="edge"/>
          <c:yMode val="edge"/>
          <c:x val="0.13470577942463074"/>
          <c:y val="2.2662889518413599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fi-FI"/>
        </a:p>
      </c:txPr>
    </c:title>
    <c:autoTitleDeleted val="0"/>
    <c:plotArea>
      <c:layout>
        <c:manualLayout>
          <c:layoutTarget val="inner"/>
          <c:xMode val="edge"/>
          <c:yMode val="edge"/>
          <c:x val="0.17799015748031494"/>
          <c:y val="0.26738224294201191"/>
          <c:w val="0.47024013174823737"/>
          <c:h val="0.6793837597495781"/>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A34-48D7-A45C-076CEA1DE0D9}"/>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EA34-48D7-A45C-076CEA1DE0D9}"/>
              </c:ext>
            </c:extLst>
          </c:dPt>
          <c:dPt>
            <c:idx val="2"/>
            <c:bubble3D val="0"/>
            <c:spPr>
              <a:solidFill>
                <a:schemeClr val="tx1">
                  <a:lumMod val="50000"/>
                  <a:lumOff val="50000"/>
                </a:schemeClr>
              </a:solidFill>
              <a:ln w="19050">
                <a:solidFill>
                  <a:schemeClr val="lt1"/>
                </a:solidFill>
              </a:ln>
              <a:effectLst/>
            </c:spPr>
            <c:extLst>
              <c:ext xmlns:c16="http://schemas.microsoft.com/office/drawing/2014/chart" uri="{C3380CC4-5D6E-409C-BE32-E72D297353CC}">
                <c16:uniqueId val="{00000005-EA34-48D7-A45C-076CEA1DE0D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A34-48D7-A45C-076CEA1DE0D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EA34-48D7-A45C-076CEA1DE0D9}"/>
              </c:ext>
            </c:extLst>
          </c:dPt>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FullPercentage!$A$286:$A$288</c:f>
              <c:strCache>
                <c:ptCount val="3"/>
                <c:pt idx="0">
                  <c:v>Yes</c:v>
                </c:pt>
                <c:pt idx="1">
                  <c:v>No</c:v>
                </c:pt>
                <c:pt idx="2">
                  <c:v>Unsure</c:v>
                </c:pt>
              </c:strCache>
            </c:strRef>
          </c:cat>
          <c:val>
            <c:numRef>
              <c:f>FullPercentage!$C$286:$C$288</c:f>
              <c:numCache>
                <c:formatCode>0.000%</c:formatCode>
                <c:ptCount val="3"/>
                <c:pt idx="0">
                  <c:v>0.48717948717948717</c:v>
                </c:pt>
                <c:pt idx="1">
                  <c:v>2.564102564102564E-2</c:v>
                </c:pt>
                <c:pt idx="2">
                  <c:v>0.48717948717948717</c:v>
                </c:pt>
              </c:numCache>
            </c:numRef>
          </c:val>
          <c:extLst>
            <c:ext xmlns:c16="http://schemas.microsoft.com/office/drawing/2014/chart" uri="{C3380CC4-5D6E-409C-BE32-E72D297353CC}">
              <c16:uniqueId val="{0000000A-EA34-48D7-A45C-076CEA1DE0D9}"/>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legend>
    <c:plotVisOnly val="1"/>
    <c:dispBlanksAs val="gap"/>
    <c:showDLblsOverMax val="0"/>
  </c:chart>
  <c:spPr>
    <a:solidFill>
      <a:schemeClr val="bg1"/>
    </a:solidFill>
    <a:ln w="9525" cap="flat" cmpd="sng" algn="ctr">
      <a:noFill/>
      <a:round/>
    </a:ln>
    <a:effectLst/>
  </c:spPr>
  <c:txPr>
    <a:bodyPr/>
    <a:lstStyle/>
    <a:p>
      <a:pPr>
        <a:defRPr/>
      </a:pPr>
      <a:endParaRPr lang="fi-FI"/>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i-FI" sz="1100"/>
              <a:t>How relevant was H2020 in the evolution of R&amp;D spending of your country?</a:t>
            </a:r>
          </a:p>
        </c:rich>
      </c:tx>
      <c:layout>
        <c:manualLayout>
          <c:xMode val="edge"/>
          <c:yMode val="edge"/>
          <c:x val="0.13470577942463074"/>
          <c:y val="2.2662889518413599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fi-FI"/>
        </a:p>
      </c:txPr>
    </c:title>
    <c:autoTitleDeleted val="0"/>
    <c:plotArea>
      <c:layout>
        <c:manualLayout>
          <c:layoutTarget val="inner"/>
          <c:xMode val="edge"/>
          <c:yMode val="edge"/>
          <c:x val="7.2892780152349582E-2"/>
          <c:y val="0.29894814284578064"/>
          <c:w val="0.55957274258216405"/>
          <c:h val="0.67226447546329438"/>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145-4BE6-A778-3753D41778F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145-4BE6-A778-3753D41778F2}"/>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F145-4BE6-A778-3753D41778F2}"/>
              </c:ext>
            </c:extLst>
          </c:dPt>
          <c:dPt>
            <c:idx val="3"/>
            <c:bubble3D val="0"/>
            <c:spPr>
              <a:solidFill>
                <a:schemeClr val="tx1">
                  <a:lumMod val="50000"/>
                  <a:lumOff val="50000"/>
                </a:schemeClr>
              </a:solidFill>
              <a:ln w="19050">
                <a:solidFill>
                  <a:schemeClr val="lt1"/>
                </a:solidFill>
              </a:ln>
              <a:effectLst/>
            </c:spPr>
            <c:extLst>
              <c:ext xmlns:c16="http://schemas.microsoft.com/office/drawing/2014/chart" uri="{C3380CC4-5D6E-409C-BE32-E72D297353CC}">
                <c16:uniqueId val="{00000007-F145-4BE6-A778-3753D41778F2}"/>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F145-4BE6-A778-3753D41778F2}"/>
              </c:ext>
            </c:extLst>
          </c:dPt>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FullPercentage!$A$293:$A$296</c:f>
              <c:strCache>
                <c:ptCount val="4"/>
                <c:pt idx="0">
                  <c:v>Very relevant</c:v>
                </c:pt>
                <c:pt idx="1">
                  <c:v>Adequate</c:v>
                </c:pt>
                <c:pt idx="2">
                  <c:v>Poor</c:v>
                </c:pt>
                <c:pt idx="3">
                  <c:v>Unsure</c:v>
                </c:pt>
              </c:strCache>
            </c:strRef>
          </c:cat>
          <c:val>
            <c:numRef>
              <c:f>FullPercentage!$C$293:$C$296</c:f>
              <c:numCache>
                <c:formatCode>0.000%</c:formatCode>
                <c:ptCount val="4"/>
                <c:pt idx="0">
                  <c:v>0.41025641025641024</c:v>
                </c:pt>
                <c:pt idx="1">
                  <c:v>0.28205128205128205</c:v>
                </c:pt>
                <c:pt idx="2">
                  <c:v>0.15384615384615385</c:v>
                </c:pt>
                <c:pt idx="3">
                  <c:v>0.15384615384615385</c:v>
                </c:pt>
              </c:numCache>
            </c:numRef>
          </c:val>
          <c:extLst>
            <c:ext xmlns:c16="http://schemas.microsoft.com/office/drawing/2014/chart" uri="{C3380CC4-5D6E-409C-BE32-E72D297353CC}">
              <c16:uniqueId val="{0000000A-F145-4BE6-A778-3753D41778F2}"/>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legend>
    <c:plotVisOnly val="1"/>
    <c:dispBlanksAs val="gap"/>
    <c:showDLblsOverMax val="0"/>
  </c:chart>
  <c:spPr>
    <a:solidFill>
      <a:schemeClr val="bg1"/>
    </a:solidFill>
    <a:ln w="9525" cap="flat" cmpd="sng" algn="ctr">
      <a:noFill/>
      <a:round/>
    </a:ln>
    <a:effectLst/>
  </c:spPr>
  <c:txPr>
    <a:bodyPr/>
    <a:lstStyle/>
    <a:p>
      <a:pPr>
        <a:defRPr/>
      </a:pPr>
      <a:endParaRPr lang="fi-FI"/>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i-FI" sz="1100"/>
              <a:t>Country</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fi-FI"/>
        </a:p>
      </c:txPr>
    </c:title>
    <c:autoTitleDeleted val="0"/>
    <c:plotArea>
      <c:layout/>
      <c:barChart>
        <c:barDir val="col"/>
        <c:grouping val="clustered"/>
        <c:varyColors val="0"/>
        <c:ser>
          <c:idx val="1"/>
          <c:order val="1"/>
          <c:spPr>
            <a:solidFill>
              <a:schemeClr val="accent1">
                <a:tint val="77000"/>
              </a:schemeClr>
            </a:solidFill>
            <a:ln>
              <a:noFill/>
            </a:ln>
            <a:effectLst/>
          </c:spPr>
          <c:invertIfNegative val="0"/>
          <c:cat>
            <c:strRef>
              <c:f>FullPercentage!$A$12:$A$15</c:f>
              <c:strCache>
                <c:ptCount val="4"/>
                <c:pt idx="0">
                  <c:v>Croatia</c:v>
                </c:pt>
                <c:pt idx="1">
                  <c:v>Latvia</c:v>
                </c:pt>
                <c:pt idx="2">
                  <c:v>Netherlands</c:v>
                </c:pt>
                <c:pt idx="3">
                  <c:v>Portugal</c:v>
                </c:pt>
              </c:strCache>
            </c:strRef>
          </c:cat>
          <c:val>
            <c:numRef>
              <c:f>FullPercentage!$C$12:$C$15</c:f>
              <c:numCache>
                <c:formatCode>General</c:formatCode>
                <c:ptCount val="4"/>
                <c:pt idx="0">
                  <c:v>13</c:v>
                </c:pt>
                <c:pt idx="1">
                  <c:v>6</c:v>
                </c:pt>
                <c:pt idx="2">
                  <c:v>9</c:v>
                </c:pt>
                <c:pt idx="3">
                  <c:v>11</c:v>
                </c:pt>
              </c:numCache>
            </c:numRef>
          </c:val>
          <c:extLst>
            <c:ext xmlns:c16="http://schemas.microsoft.com/office/drawing/2014/chart" uri="{C3380CC4-5D6E-409C-BE32-E72D297353CC}">
              <c16:uniqueId val="{00000000-F815-4847-9AFE-950F872FD49D}"/>
            </c:ext>
          </c:extLst>
        </c:ser>
        <c:dLbls>
          <c:showLegendKey val="0"/>
          <c:showVal val="0"/>
          <c:showCatName val="0"/>
          <c:showSerName val="0"/>
          <c:showPercent val="0"/>
          <c:showBubbleSize val="0"/>
        </c:dLbls>
        <c:gapWidth val="219"/>
        <c:overlap val="-27"/>
        <c:axId val="722467304"/>
        <c:axId val="722467632"/>
        <c:extLst>
          <c:ext xmlns:c15="http://schemas.microsoft.com/office/drawing/2012/chart" uri="{02D57815-91ED-43cb-92C2-25804820EDAC}">
            <c15:filteredBarSeries>
              <c15:ser>
                <c:idx val="0"/>
                <c:order val="0"/>
                <c:spPr>
                  <a:solidFill>
                    <a:schemeClr val="accent1">
                      <a:shade val="76000"/>
                    </a:schemeClr>
                  </a:solidFill>
                  <a:ln>
                    <a:noFill/>
                  </a:ln>
                  <a:effectLst/>
                </c:spPr>
                <c:invertIfNegative val="0"/>
                <c:cat>
                  <c:strRef>
                    <c:extLst>
                      <c:ext uri="{02D57815-91ED-43cb-92C2-25804820EDAC}">
                        <c15:formulaRef>
                          <c15:sqref>FullPercentage!$A$12:$A$15</c15:sqref>
                        </c15:formulaRef>
                      </c:ext>
                    </c:extLst>
                    <c:strCache>
                      <c:ptCount val="4"/>
                      <c:pt idx="0">
                        <c:v>Croatia</c:v>
                      </c:pt>
                      <c:pt idx="1">
                        <c:v>Latvia</c:v>
                      </c:pt>
                      <c:pt idx="2">
                        <c:v>Netherlands</c:v>
                      </c:pt>
                      <c:pt idx="3">
                        <c:v>Portugal</c:v>
                      </c:pt>
                    </c:strCache>
                  </c:strRef>
                </c:cat>
                <c:val>
                  <c:numRef>
                    <c:extLst>
                      <c:ext uri="{02D57815-91ED-43cb-92C2-25804820EDAC}">
                        <c15:formulaRef>
                          <c15:sqref>FullPercentage!$B$12:$B$15</c15:sqref>
                        </c15:formulaRef>
                      </c:ext>
                    </c:extLst>
                    <c:numCache>
                      <c:formatCode>General</c:formatCode>
                      <c:ptCount val="4"/>
                    </c:numCache>
                  </c:numRef>
                </c:val>
                <c:extLst>
                  <c:ext xmlns:c16="http://schemas.microsoft.com/office/drawing/2014/chart" uri="{C3380CC4-5D6E-409C-BE32-E72D297353CC}">
                    <c16:uniqueId val="{00000001-F815-4847-9AFE-950F872FD49D}"/>
                  </c:ext>
                </c:extLst>
              </c15:ser>
            </c15:filteredBarSeries>
          </c:ext>
        </c:extLst>
      </c:barChart>
      <c:catAx>
        <c:axId val="722467304"/>
        <c:scaling>
          <c:orientation val="minMax"/>
        </c:scaling>
        <c:delete val="0"/>
        <c:axPos val="b"/>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722467632"/>
        <c:crosses val="autoZero"/>
        <c:auto val="1"/>
        <c:lblAlgn val="ctr"/>
        <c:lblOffset val="100"/>
        <c:noMultiLvlLbl val="0"/>
      </c:catAx>
      <c:valAx>
        <c:axId val="7224676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72246730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fi-FI"/>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i-FI" sz="1100"/>
              <a:t>Croatia</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fi-FI"/>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445-4689-887B-F81F9BDD40E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445-4689-887B-F81F9BDD40E7}"/>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2445-4689-887B-F81F9BDD40E7}"/>
              </c:ext>
            </c:extLst>
          </c:dPt>
          <c:dPt>
            <c:idx val="3"/>
            <c:bubble3D val="0"/>
            <c:spPr>
              <a:solidFill>
                <a:schemeClr val="accent5"/>
              </a:solidFill>
              <a:ln w="19050">
                <a:solidFill>
                  <a:schemeClr val="lt1"/>
                </a:solidFill>
              </a:ln>
              <a:effectLst/>
            </c:spPr>
            <c:extLst>
              <c:ext xmlns:c16="http://schemas.microsoft.com/office/drawing/2014/chart" uri="{C3380CC4-5D6E-409C-BE32-E72D297353CC}">
                <c16:uniqueId val="{00000007-2445-4689-887B-F81F9BDD40E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HR!$A$293:$A$296</c:f>
              <c:strCache>
                <c:ptCount val="4"/>
                <c:pt idx="0">
                  <c:v>Very relevant</c:v>
                </c:pt>
                <c:pt idx="1">
                  <c:v>Adequate</c:v>
                </c:pt>
                <c:pt idx="2">
                  <c:v>Poor</c:v>
                </c:pt>
                <c:pt idx="3">
                  <c:v>Unsure</c:v>
                </c:pt>
              </c:strCache>
            </c:strRef>
          </c:cat>
          <c:val>
            <c:numRef>
              <c:f>HR!$C$293:$C$296</c:f>
              <c:numCache>
                <c:formatCode>0%</c:formatCode>
                <c:ptCount val="4"/>
                <c:pt idx="0">
                  <c:v>0.23076923076923075</c:v>
                </c:pt>
                <c:pt idx="1">
                  <c:v>0.23076923076923075</c:v>
                </c:pt>
                <c:pt idx="2">
                  <c:v>0.23076923076923075</c:v>
                </c:pt>
                <c:pt idx="3">
                  <c:v>0.30769230769230771</c:v>
                </c:pt>
              </c:numCache>
            </c:numRef>
          </c:val>
          <c:extLst>
            <c:ext xmlns:c16="http://schemas.microsoft.com/office/drawing/2014/chart" uri="{C3380CC4-5D6E-409C-BE32-E72D297353CC}">
              <c16:uniqueId val="{00000008-2445-4689-887B-F81F9BDD40E7}"/>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fi-FI"/>
    </a:p>
  </c:txPr>
  <c:externalData r:id="rId4">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i-FI" sz="1100"/>
              <a:t>Netherlands</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fi-FI"/>
        </a:p>
      </c:txPr>
    </c:title>
    <c:autoTitleDeleted val="0"/>
    <c:plotArea>
      <c:layout>
        <c:manualLayout>
          <c:layoutTarget val="inner"/>
          <c:xMode val="edge"/>
          <c:yMode val="edge"/>
          <c:x val="0.26556212234330118"/>
          <c:y val="0.25334722952115563"/>
          <c:w val="0.4969004108022228"/>
          <c:h val="0.59667065593245039"/>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04C-49F5-8BE9-75D33EFEFB7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04C-49F5-8BE9-75D33EFEFB7A}"/>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204C-49F5-8BE9-75D33EFEFB7A}"/>
              </c:ext>
            </c:extLst>
          </c:dPt>
          <c:dPt>
            <c:idx val="3"/>
            <c:bubble3D val="0"/>
            <c:spPr>
              <a:solidFill>
                <a:schemeClr val="accent5"/>
              </a:solidFill>
              <a:ln w="19050">
                <a:solidFill>
                  <a:schemeClr val="lt1"/>
                </a:solidFill>
              </a:ln>
              <a:effectLst/>
            </c:spPr>
            <c:extLst>
              <c:ext xmlns:c16="http://schemas.microsoft.com/office/drawing/2014/chart" uri="{C3380CC4-5D6E-409C-BE32-E72D297353CC}">
                <c16:uniqueId val="{00000007-204C-49F5-8BE9-75D33EFEFB7A}"/>
              </c:ext>
            </c:extLst>
          </c:dPt>
          <c:dLbls>
            <c:dLbl>
              <c:idx val="2"/>
              <c:delete val="1"/>
              <c:extLst>
                <c:ext xmlns:c15="http://schemas.microsoft.com/office/drawing/2012/chart" uri="{CE6537A1-D6FC-4f65-9D91-7224C49458BB}"/>
                <c:ext xmlns:c16="http://schemas.microsoft.com/office/drawing/2014/chart" uri="{C3380CC4-5D6E-409C-BE32-E72D297353CC}">
                  <c16:uniqueId val="{00000005-204C-49F5-8BE9-75D33EFEFB7A}"/>
                </c:ext>
              </c:extLst>
            </c:dLbl>
            <c:dLbl>
              <c:idx val="3"/>
              <c:delete val="1"/>
              <c:extLst>
                <c:ext xmlns:c15="http://schemas.microsoft.com/office/drawing/2012/chart" uri="{CE6537A1-D6FC-4f65-9D91-7224C49458BB}"/>
                <c:ext xmlns:c16="http://schemas.microsoft.com/office/drawing/2014/chart" uri="{C3380CC4-5D6E-409C-BE32-E72D297353CC}">
                  <c16:uniqueId val="{00000007-204C-49F5-8BE9-75D33EFEFB7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NL!$A$293:$A$296</c:f>
              <c:strCache>
                <c:ptCount val="4"/>
                <c:pt idx="0">
                  <c:v>Very relevant</c:v>
                </c:pt>
                <c:pt idx="1">
                  <c:v>Adequate</c:v>
                </c:pt>
                <c:pt idx="2">
                  <c:v>Poor</c:v>
                </c:pt>
                <c:pt idx="3">
                  <c:v>Unsure</c:v>
                </c:pt>
              </c:strCache>
            </c:strRef>
          </c:cat>
          <c:val>
            <c:numRef>
              <c:f>NL!$C$293:$C$296</c:f>
              <c:numCache>
                <c:formatCode>0%</c:formatCode>
                <c:ptCount val="4"/>
                <c:pt idx="0">
                  <c:v>0.7777777777777779</c:v>
                </c:pt>
                <c:pt idx="1">
                  <c:v>0.22222222222222221</c:v>
                </c:pt>
                <c:pt idx="2">
                  <c:v>0</c:v>
                </c:pt>
                <c:pt idx="3">
                  <c:v>0</c:v>
                </c:pt>
              </c:numCache>
            </c:numRef>
          </c:val>
          <c:extLst>
            <c:ext xmlns:c16="http://schemas.microsoft.com/office/drawing/2014/chart" uri="{C3380CC4-5D6E-409C-BE32-E72D297353CC}">
              <c16:uniqueId val="{00000008-204C-49F5-8BE9-75D33EFEFB7A}"/>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fi-FI"/>
    </a:p>
  </c:txPr>
  <c:externalData r:id="rId4">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i-FI" sz="1100"/>
              <a:t>How do you rate Horizon 2020 in terms of programme design?</a:t>
            </a:r>
          </a:p>
        </c:rich>
      </c:tx>
      <c:layout>
        <c:manualLayout>
          <c:xMode val="edge"/>
          <c:yMode val="edge"/>
          <c:x val="0.13470577942463074"/>
          <c:y val="2.2662889518413599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fi-FI"/>
        </a:p>
      </c:txPr>
    </c:title>
    <c:autoTitleDeleted val="0"/>
    <c:plotArea>
      <c:layout>
        <c:manualLayout>
          <c:layoutTarget val="inner"/>
          <c:xMode val="edge"/>
          <c:yMode val="edge"/>
          <c:x val="4.6158870244047266E-2"/>
          <c:y val="0.25272277051341435"/>
          <c:w val="0.53586705260814127"/>
          <c:h val="0.70741725157658464"/>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847-41FC-B94B-7738DC8C037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847-41FC-B94B-7738DC8C037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847-41FC-B94B-7738DC8C037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847-41FC-B94B-7738DC8C037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6847-41FC-B94B-7738DC8C0375}"/>
              </c:ext>
            </c:extLst>
          </c:dPt>
          <c:dLbls>
            <c:dLbl>
              <c:idx val="4"/>
              <c:delete val="1"/>
              <c:extLst>
                <c:ext xmlns:c15="http://schemas.microsoft.com/office/drawing/2012/chart" uri="{CE6537A1-D6FC-4f65-9D91-7224C49458BB}"/>
                <c:ext xmlns:c16="http://schemas.microsoft.com/office/drawing/2014/chart" uri="{C3380CC4-5D6E-409C-BE32-E72D297353CC}">
                  <c16:uniqueId val="{00000009-6847-41FC-B94B-7738DC8C0375}"/>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FullPercentage!$A$301:$A$305</c:f>
              <c:strCache>
                <c:ptCount val="5"/>
                <c:pt idx="0">
                  <c:v>Adequate variety of instruments and simple to navigate</c:v>
                </c:pt>
                <c:pt idx="1">
                  <c:v>Somewhat adequate</c:v>
                </c:pt>
                <c:pt idx="2">
                  <c:v>Challenging</c:v>
                </c:pt>
                <c:pt idx="3">
                  <c:v>Excessive complexity and profusion of activities</c:v>
                </c:pt>
                <c:pt idx="4">
                  <c:v>Unsure</c:v>
                </c:pt>
              </c:strCache>
            </c:strRef>
          </c:cat>
          <c:val>
            <c:numRef>
              <c:f>FullPercentage!$C$301:$C$305</c:f>
              <c:numCache>
                <c:formatCode>0.000%</c:formatCode>
                <c:ptCount val="5"/>
                <c:pt idx="0">
                  <c:v>0.30769230769230771</c:v>
                </c:pt>
                <c:pt idx="1">
                  <c:v>0.46153846153846151</c:v>
                </c:pt>
                <c:pt idx="2">
                  <c:v>0.20512820512820512</c:v>
                </c:pt>
                <c:pt idx="3">
                  <c:v>2.564102564102564E-2</c:v>
                </c:pt>
                <c:pt idx="4">
                  <c:v>0</c:v>
                </c:pt>
              </c:numCache>
            </c:numRef>
          </c:val>
          <c:extLst>
            <c:ext xmlns:c16="http://schemas.microsoft.com/office/drawing/2014/chart" uri="{C3380CC4-5D6E-409C-BE32-E72D297353CC}">
              <c16:uniqueId val="{0000000A-6847-41FC-B94B-7738DC8C0375}"/>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46837240717370826"/>
          <c:y val="0.34922756261802118"/>
          <c:w val="0.51106201453937894"/>
          <c:h val="0.4864317525920118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legend>
    <c:plotVisOnly val="1"/>
    <c:dispBlanksAs val="gap"/>
    <c:showDLblsOverMax val="0"/>
  </c:chart>
  <c:spPr>
    <a:solidFill>
      <a:schemeClr val="bg1"/>
    </a:solidFill>
    <a:ln w="9525" cap="flat" cmpd="sng" algn="ctr">
      <a:noFill/>
      <a:round/>
    </a:ln>
    <a:effectLst/>
  </c:spPr>
  <c:txPr>
    <a:bodyPr/>
    <a:lstStyle/>
    <a:p>
      <a:pPr>
        <a:defRPr/>
      </a:pPr>
      <a:endParaRPr lang="fi-FI"/>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i-FI" sz="1100"/>
              <a:t> In your opinion, should the system of access to financial resources and technical assistance, and to the financial programmes and instruments available, be simplified?</a:t>
            </a:r>
          </a:p>
        </c:rich>
      </c:tx>
      <c:layout>
        <c:manualLayout>
          <c:xMode val="edge"/>
          <c:yMode val="edge"/>
          <c:x val="0.13470573198863983"/>
          <c:y val="2.6928111769353841E-3"/>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fi-FI"/>
        </a:p>
      </c:txPr>
    </c:title>
    <c:autoTitleDeleted val="0"/>
    <c:plotArea>
      <c:layout>
        <c:manualLayout>
          <c:layoutTarget val="inner"/>
          <c:xMode val="edge"/>
          <c:yMode val="edge"/>
          <c:x val="0.19588813597065552"/>
          <c:y val="0.3656157496039405"/>
          <c:w val="0.53397243388790705"/>
          <c:h val="0.6343842503960595"/>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FC8-41F6-9E31-DF90F6C11F09}"/>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8FC8-41F6-9E31-DF90F6C11F09}"/>
              </c:ext>
            </c:extLst>
          </c:dPt>
          <c:dPt>
            <c:idx val="2"/>
            <c:bubble3D val="0"/>
            <c:spPr>
              <a:solidFill>
                <a:schemeClr val="tx1">
                  <a:lumMod val="50000"/>
                  <a:lumOff val="50000"/>
                </a:schemeClr>
              </a:solidFill>
              <a:ln w="19050">
                <a:solidFill>
                  <a:schemeClr val="lt1"/>
                </a:solidFill>
              </a:ln>
              <a:effectLst/>
            </c:spPr>
            <c:extLst>
              <c:ext xmlns:c16="http://schemas.microsoft.com/office/drawing/2014/chart" uri="{C3380CC4-5D6E-409C-BE32-E72D297353CC}">
                <c16:uniqueId val="{00000005-8FC8-41F6-9E31-DF90F6C11F0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FC8-41F6-9E31-DF90F6C11F0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FC8-41F6-9E31-DF90F6C11F09}"/>
              </c:ext>
            </c:extLst>
          </c:dPt>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FullPercentage!$A$310:$A$312</c:f>
              <c:strCache>
                <c:ptCount val="3"/>
                <c:pt idx="0">
                  <c:v>Yes</c:v>
                </c:pt>
                <c:pt idx="1">
                  <c:v>No</c:v>
                </c:pt>
                <c:pt idx="2">
                  <c:v>Unsure</c:v>
                </c:pt>
              </c:strCache>
            </c:strRef>
          </c:cat>
          <c:val>
            <c:numRef>
              <c:f>FullPercentage!$C$310:$C$312</c:f>
              <c:numCache>
                <c:formatCode>0.000%</c:formatCode>
                <c:ptCount val="3"/>
                <c:pt idx="0">
                  <c:v>0.71794871794871795</c:v>
                </c:pt>
                <c:pt idx="1">
                  <c:v>0.17948717948717949</c:v>
                </c:pt>
                <c:pt idx="2">
                  <c:v>0.10256410256410256</c:v>
                </c:pt>
              </c:numCache>
            </c:numRef>
          </c:val>
          <c:extLst>
            <c:ext xmlns:c16="http://schemas.microsoft.com/office/drawing/2014/chart" uri="{C3380CC4-5D6E-409C-BE32-E72D297353CC}">
              <c16:uniqueId val="{0000000A-8FC8-41F6-9E31-DF90F6C11F09}"/>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70602110906349469"/>
          <c:y val="0.4953791243222625"/>
          <c:w val="0.1192868416643888"/>
          <c:h val="0.3503484728768765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legend>
    <c:plotVisOnly val="1"/>
    <c:dispBlanksAs val="gap"/>
    <c:showDLblsOverMax val="0"/>
  </c:chart>
  <c:spPr>
    <a:solidFill>
      <a:schemeClr val="bg1"/>
    </a:solidFill>
    <a:ln w="9525" cap="flat" cmpd="sng" algn="ctr">
      <a:noFill/>
      <a:round/>
    </a:ln>
    <a:effectLst/>
  </c:spPr>
  <c:txPr>
    <a:bodyPr/>
    <a:lstStyle/>
    <a:p>
      <a:pPr>
        <a:defRPr/>
      </a:pPr>
      <a:endParaRPr lang="fi-FI"/>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i-FI" sz="1100"/>
              <a:t>To what extent has the Horizon2020 programme been consistent with and complementary to the European Structural and Investment Funds (ESI funds) and in particular the ERDF?</a:t>
            </a:r>
          </a:p>
        </c:rich>
      </c:tx>
      <c:layout>
        <c:manualLayout>
          <c:xMode val="edge"/>
          <c:yMode val="edge"/>
          <c:x val="0.13470577942463074"/>
          <c:y val="2.2662889518413599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fi-FI"/>
        </a:p>
      </c:txPr>
    </c:title>
    <c:autoTitleDeleted val="0"/>
    <c:plotArea>
      <c:layout>
        <c:manualLayout>
          <c:layoutTarget val="inner"/>
          <c:xMode val="edge"/>
          <c:yMode val="edge"/>
          <c:x val="8.2067007811073969E-2"/>
          <c:y val="0.31154646953534476"/>
          <c:w val="0.50860955330224011"/>
          <c:h val="0.64859383402762727"/>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ABE-4015-A130-DCCC7C27643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ABE-4015-A130-DCCC7C27643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ABE-4015-A130-DCCC7C27643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ABE-4015-A130-DCCC7C27643B}"/>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7ABE-4015-A130-DCCC7C27643B}"/>
              </c:ext>
            </c:extLst>
          </c:dPt>
          <c:dLbls>
            <c:dLbl>
              <c:idx val="0"/>
              <c:delete val="1"/>
              <c:extLst>
                <c:ext xmlns:c15="http://schemas.microsoft.com/office/drawing/2012/chart" uri="{CE6537A1-D6FC-4f65-9D91-7224C49458BB}"/>
                <c:ext xmlns:c16="http://schemas.microsoft.com/office/drawing/2014/chart" uri="{C3380CC4-5D6E-409C-BE32-E72D297353CC}">
                  <c16:uniqueId val="{00000001-7ABE-4015-A130-DCCC7C27643B}"/>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FullPercentage!$A$317:$A$321</c:f>
              <c:strCache>
                <c:ptCount val="5"/>
                <c:pt idx="0">
                  <c:v>Very much</c:v>
                </c:pt>
                <c:pt idx="1">
                  <c:v>Quite a lot</c:v>
                </c:pt>
                <c:pt idx="2">
                  <c:v>Not very much</c:v>
                </c:pt>
                <c:pt idx="3">
                  <c:v>Not at all</c:v>
                </c:pt>
                <c:pt idx="4">
                  <c:v>Unsure</c:v>
                </c:pt>
              </c:strCache>
            </c:strRef>
          </c:cat>
          <c:val>
            <c:numRef>
              <c:f>FullPercentage!$C$317:$C$321</c:f>
              <c:numCache>
                <c:formatCode>0.000%</c:formatCode>
                <c:ptCount val="5"/>
                <c:pt idx="0">
                  <c:v>0</c:v>
                </c:pt>
                <c:pt idx="1">
                  <c:v>0.25641025641025639</c:v>
                </c:pt>
                <c:pt idx="2">
                  <c:v>0.41025641025641024</c:v>
                </c:pt>
                <c:pt idx="3">
                  <c:v>7.6923076923076927E-2</c:v>
                </c:pt>
                <c:pt idx="4">
                  <c:v>0.25641025641025639</c:v>
                </c:pt>
              </c:numCache>
            </c:numRef>
          </c:val>
          <c:extLst>
            <c:ext xmlns:c16="http://schemas.microsoft.com/office/drawing/2014/chart" uri="{C3380CC4-5D6E-409C-BE32-E72D297353CC}">
              <c16:uniqueId val="{0000000A-7ABE-4015-A130-DCCC7C27643B}"/>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legend>
    <c:plotVisOnly val="1"/>
    <c:dispBlanksAs val="gap"/>
    <c:showDLblsOverMax val="0"/>
  </c:chart>
  <c:spPr>
    <a:solidFill>
      <a:schemeClr val="bg1"/>
    </a:solidFill>
    <a:ln w="9525" cap="flat" cmpd="sng" algn="ctr">
      <a:noFill/>
      <a:round/>
    </a:ln>
    <a:effectLst/>
  </c:spPr>
  <c:txPr>
    <a:bodyPr/>
    <a:lstStyle/>
    <a:p>
      <a:pPr>
        <a:defRPr/>
      </a:pPr>
      <a:endParaRPr lang="fi-FI"/>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i-FI" sz="1100"/>
              <a:t>How important has it been, for the success of the actions of the Horizon 2020 programme, to seek synergies with the ERDF and for actions to complement other funds and programmes?</a:t>
            </a:r>
          </a:p>
        </c:rich>
      </c:tx>
      <c:layout>
        <c:manualLayout>
          <c:xMode val="edge"/>
          <c:yMode val="edge"/>
          <c:x val="0.13470577942463074"/>
          <c:y val="2.2662889518413599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fi-FI"/>
        </a:p>
      </c:txPr>
    </c:title>
    <c:autoTitleDeleted val="0"/>
    <c:plotArea>
      <c:layout>
        <c:manualLayout>
          <c:layoutTarget val="inner"/>
          <c:xMode val="edge"/>
          <c:yMode val="edge"/>
          <c:x val="8.2067007811073969E-2"/>
          <c:y val="0.31154646953534476"/>
          <c:w val="0.50860955330224011"/>
          <c:h val="0.64859383402762727"/>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2CA-41C3-A654-EB9BB4C25E2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2CA-41C3-A654-EB9BB4C25E2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2CA-41C3-A654-EB9BB4C25E2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2CA-41C3-A654-EB9BB4C25E26}"/>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22CA-41C3-A654-EB9BB4C25E26}"/>
              </c:ext>
            </c:extLst>
          </c:dPt>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FullPercentage!$A$326:$A$330</c:f>
              <c:strCache>
                <c:ptCount val="5"/>
                <c:pt idx="0">
                  <c:v>Very important</c:v>
                </c:pt>
                <c:pt idx="1">
                  <c:v>Important</c:v>
                </c:pt>
                <c:pt idx="2">
                  <c:v>Not very important</c:v>
                </c:pt>
                <c:pt idx="3">
                  <c:v>Not at all important</c:v>
                </c:pt>
                <c:pt idx="4">
                  <c:v>Unsure</c:v>
                </c:pt>
              </c:strCache>
            </c:strRef>
          </c:cat>
          <c:val>
            <c:numRef>
              <c:f>FullPercentage!$C$326:$C$330</c:f>
              <c:numCache>
                <c:formatCode>0.000%</c:formatCode>
                <c:ptCount val="5"/>
                <c:pt idx="0">
                  <c:v>0.12820512820512819</c:v>
                </c:pt>
                <c:pt idx="1">
                  <c:v>0.35897435897435898</c:v>
                </c:pt>
                <c:pt idx="2">
                  <c:v>0.20512820512820512</c:v>
                </c:pt>
                <c:pt idx="3">
                  <c:v>0.10256410256410256</c:v>
                </c:pt>
                <c:pt idx="4">
                  <c:v>0.20512820512820512</c:v>
                </c:pt>
              </c:numCache>
            </c:numRef>
          </c:val>
          <c:extLst>
            <c:ext xmlns:c16="http://schemas.microsoft.com/office/drawing/2014/chart" uri="{C3380CC4-5D6E-409C-BE32-E72D297353CC}">
              <c16:uniqueId val="{0000000A-22CA-41C3-A654-EB9BB4C25E26}"/>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4145054929075696"/>
          <c:y val="0.48945716647804355"/>
          <c:w val="0.33084861968431234"/>
          <c:h val="0.4230425325274707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legend>
    <c:plotVisOnly val="1"/>
    <c:dispBlanksAs val="gap"/>
    <c:showDLblsOverMax val="0"/>
  </c:chart>
  <c:spPr>
    <a:solidFill>
      <a:schemeClr val="bg1"/>
    </a:solidFill>
    <a:ln w="9525" cap="flat" cmpd="sng" algn="ctr">
      <a:noFill/>
      <a:round/>
    </a:ln>
    <a:effectLst/>
  </c:spPr>
  <c:txPr>
    <a:bodyPr/>
    <a:lstStyle/>
    <a:p>
      <a:pPr>
        <a:defRPr/>
      </a:pPr>
      <a:endParaRPr lang="fi-FI"/>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i-FI" sz="1100"/>
              <a:t>Synergies at member state level: has your country implemented efficient synergies between Horizon 2020 and ERDF funding programs (e.g. fast-track to funding through ERDF programmes to Horizon 2020 applications awarded the “Seal of Excellence”?</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fi-FI"/>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816-4855-BA98-7D3205D38FF6}"/>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1816-4855-BA98-7D3205D38FF6}"/>
              </c:ext>
            </c:extLst>
          </c:dPt>
          <c:dPt>
            <c:idx val="2"/>
            <c:bubble3D val="0"/>
            <c:spPr>
              <a:solidFill>
                <a:schemeClr val="tx1">
                  <a:lumMod val="50000"/>
                  <a:lumOff val="50000"/>
                </a:schemeClr>
              </a:solidFill>
              <a:ln w="19050">
                <a:solidFill>
                  <a:schemeClr val="lt1"/>
                </a:solidFill>
              </a:ln>
              <a:effectLst/>
            </c:spPr>
            <c:extLst>
              <c:ext xmlns:c16="http://schemas.microsoft.com/office/drawing/2014/chart" uri="{C3380CC4-5D6E-409C-BE32-E72D297353CC}">
                <c16:uniqueId val="{00000005-1816-4855-BA98-7D3205D38FF6}"/>
              </c:ext>
            </c:extLst>
          </c:dPt>
          <c:dLbls>
            <c:dLbl>
              <c:idx val="0"/>
              <c:delete val="1"/>
              <c:extLst>
                <c:ext xmlns:c15="http://schemas.microsoft.com/office/drawing/2012/chart" uri="{CE6537A1-D6FC-4f65-9D91-7224C49458BB}"/>
                <c:ext xmlns:c16="http://schemas.microsoft.com/office/drawing/2014/chart" uri="{C3380CC4-5D6E-409C-BE32-E72D297353CC}">
                  <c16:uniqueId val="{00000001-1816-4855-BA98-7D3205D38FF6}"/>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FullPercentage!$A$349:$A$351</c:f>
              <c:strCache>
                <c:ptCount val="3"/>
                <c:pt idx="0">
                  <c:v>Yes</c:v>
                </c:pt>
                <c:pt idx="1">
                  <c:v>No</c:v>
                </c:pt>
                <c:pt idx="2">
                  <c:v>Unsure</c:v>
                </c:pt>
              </c:strCache>
            </c:strRef>
          </c:cat>
          <c:val>
            <c:numRef>
              <c:f>FullPercentage!$C$349:$C$351</c:f>
              <c:numCache>
                <c:formatCode>0.000%</c:formatCode>
                <c:ptCount val="3"/>
                <c:pt idx="0">
                  <c:v>0</c:v>
                </c:pt>
                <c:pt idx="1">
                  <c:v>0.48717948717948717</c:v>
                </c:pt>
                <c:pt idx="2">
                  <c:v>0.51282051282051277</c:v>
                </c:pt>
              </c:numCache>
            </c:numRef>
          </c:val>
          <c:extLst>
            <c:ext xmlns:c16="http://schemas.microsoft.com/office/drawing/2014/chart" uri="{C3380CC4-5D6E-409C-BE32-E72D297353CC}">
              <c16:uniqueId val="{00000006-1816-4855-BA98-7D3205D38FF6}"/>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70354564590317303"/>
          <c:y val="0.43297593411470747"/>
          <c:w val="0.14517104111985998"/>
          <c:h val="0.4056729367162438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fi-FI"/>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i-FI" sz="1100"/>
              <a:t> Is the Horizon 2020 programme consistent with and complementary to other programmes and funds?</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fi-FI"/>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969-4D04-A07B-B731FA56968F}"/>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C969-4D04-A07B-B731FA56968F}"/>
              </c:ext>
            </c:extLst>
          </c:dPt>
          <c:dPt>
            <c:idx val="2"/>
            <c:bubble3D val="0"/>
            <c:spPr>
              <a:solidFill>
                <a:schemeClr val="tx1">
                  <a:lumMod val="50000"/>
                  <a:lumOff val="50000"/>
                </a:schemeClr>
              </a:solidFill>
              <a:ln w="19050">
                <a:solidFill>
                  <a:schemeClr val="lt1"/>
                </a:solidFill>
              </a:ln>
              <a:effectLst/>
            </c:spPr>
            <c:extLst>
              <c:ext xmlns:c16="http://schemas.microsoft.com/office/drawing/2014/chart" uri="{C3380CC4-5D6E-409C-BE32-E72D297353CC}">
                <c16:uniqueId val="{00000005-C969-4D04-A07B-B731FA56968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FullPercentage!$A$335:$A$337</c:f>
              <c:strCache>
                <c:ptCount val="3"/>
                <c:pt idx="0">
                  <c:v>Yes</c:v>
                </c:pt>
                <c:pt idx="1">
                  <c:v>No</c:v>
                </c:pt>
                <c:pt idx="2">
                  <c:v>Unsure</c:v>
                </c:pt>
              </c:strCache>
            </c:strRef>
          </c:cat>
          <c:val>
            <c:numRef>
              <c:f>FullPercentage!$C$335:$C$337</c:f>
              <c:numCache>
                <c:formatCode>0%</c:formatCode>
                <c:ptCount val="3"/>
                <c:pt idx="0">
                  <c:v>0.48717948717948717</c:v>
                </c:pt>
                <c:pt idx="1">
                  <c:v>0.10256410256410256</c:v>
                </c:pt>
                <c:pt idx="2">
                  <c:v>0.41025641025641024</c:v>
                </c:pt>
              </c:numCache>
            </c:numRef>
          </c:val>
          <c:extLst>
            <c:ext xmlns:c16="http://schemas.microsoft.com/office/drawing/2014/chart" uri="{C3380CC4-5D6E-409C-BE32-E72D297353CC}">
              <c16:uniqueId val="{00000006-C969-4D04-A07B-B731FA56968F}"/>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77149577136191327"/>
          <c:y val="0.41211346962859718"/>
          <c:w val="0.14517104111985998"/>
          <c:h val="0.4056729367162438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fi-FI"/>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i-FI" sz="1100"/>
              <a:t>In your opinion, are there any overlaps or duplication of actions between Horizon 2020 and other programmes and funds?</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fi-FI"/>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493-46B5-B2E1-2F9DE97FB6D4}"/>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4493-46B5-B2E1-2F9DE97FB6D4}"/>
              </c:ext>
            </c:extLst>
          </c:dPt>
          <c:dPt>
            <c:idx val="2"/>
            <c:bubble3D val="0"/>
            <c:spPr>
              <a:solidFill>
                <a:schemeClr val="tx1">
                  <a:lumMod val="50000"/>
                  <a:lumOff val="50000"/>
                </a:schemeClr>
              </a:solidFill>
              <a:ln w="19050">
                <a:solidFill>
                  <a:schemeClr val="lt1"/>
                </a:solidFill>
              </a:ln>
              <a:effectLst/>
            </c:spPr>
            <c:extLst>
              <c:ext xmlns:c16="http://schemas.microsoft.com/office/drawing/2014/chart" uri="{C3380CC4-5D6E-409C-BE32-E72D297353CC}">
                <c16:uniqueId val="{00000005-4493-46B5-B2E1-2F9DE97FB6D4}"/>
              </c:ext>
            </c:extLst>
          </c:dPt>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FullPercentage!$A$342:$A$344</c:f>
              <c:strCache>
                <c:ptCount val="3"/>
                <c:pt idx="0">
                  <c:v>Yes</c:v>
                </c:pt>
                <c:pt idx="1">
                  <c:v>No</c:v>
                </c:pt>
                <c:pt idx="2">
                  <c:v>Unsure</c:v>
                </c:pt>
              </c:strCache>
            </c:strRef>
          </c:cat>
          <c:val>
            <c:numRef>
              <c:f>FullPercentage!$C$342:$C$344</c:f>
              <c:numCache>
                <c:formatCode>0.000%</c:formatCode>
                <c:ptCount val="3"/>
                <c:pt idx="0">
                  <c:v>0.28205128205128205</c:v>
                </c:pt>
                <c:pt idx="1">
                  <c:v>0.48717948717948717</c:v>
                </c:pt>
                <c:pt idx="2">
                  <c:v>0.23076923076923075</c:v>
                </c:pt>
              </c:numCache>
            </c:numRef>
          </c:val>
          <c:extLst>
            <c:ext xmlns:c16="http://schemas.microsoft.com/office/drawing/2014/chart" uri="{C3380CC4-5D6E-409C-BE32-E72D297353CC}">
              <c16:uniqueId val="{00000006-4493-46B5-B2E1-2F9DE97FB6D4}"/>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77149577136191327"/>
          <c:y val="0.41211346962859718"/>
          <c:w val="0.14517104111985998"/>
          <c:h val="0.4056729367162438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fi-FI"/>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i-FI" sz="1100"/>
              <a:t> Do public authorities in your Member State include the social partners and civil society organisations in the promotion of the Horizon 2020 programme?</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fi-FI"/>
        </a:p>
      </c:txPr>
    </c:title>
    <c:autoTitleDeleted val="0"/>
    <c:plotArea>
      <c:layout/>
      <c:barChart>
        <c:barDir val="col"/>
        <c:grouping val="stacked"/>
        <c:varyColors val="0"/>
        <c:ser>
          <c:idx val="0"/>
          <c:order val="0"/>
          <c:tx>
            <c:strRef>
              <c:f>HR!$A$356</c:f>
              <c:strCache>
                <c:ptCount val="1"/>
                <c:pt idx="0">
                  <c:v>Yes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HR!$C$355:$F$355</c:f>
              <c:strCache>
                <c:ptCount val="4"/>
                <c:pt idx="0">
                  <c:v>Croatia</c:v>
                </c:pt>
                <c:pt idx="1">
                  <c:v>Latvia</c:v>
                </c:pt>
                <c:pt idx="2">
                  <c:v>Netherlands</c:v>
                </c:pt>
                <c:pt idx="3">
                  <c:v>Portugal</c:v>
                </c:pt>
              </c:strCache>
            </c:strRef>
          </c:cat>
          <c:val>
            <c:numRef>
              <c:f>HR!$C$356:$F$356</c:f>
              <c:numCache>
                <c:formatCode>0%</c:formatCode>
                <c:ptCount val="4"/>
                <c:pt idx="0">
                  <c:v>0.30769230769230771</c:v>
                </c:pt>
                <c:pt idx="1">
                  <c:v>0.66666666666666652</c:v>
                </c:pt>
                <c:pt idx="2">
                  <c:v>0.66666666666666652</c:v>
                </c:pt>
                <c:pt idx="3">
                  <c:v>0.27272727272727271</c:v>
                </c:pt>
              </c:numCache>
            </c:numRef>
          </c:val>
          <c:extLst>
            <c:ext xmlns:c16="http://schemas.microsoft.com/office/drawing/2014/chart" uri="{C3380CC4-5D6E-409C-BE32-E72D297353CC}">
              <c16:uniqueId val="{00000000-A6EA-4A37-B67A-771B5CD76140}"/>
            </c:ext>
          </c:extLst>
        </c:ser>
        <c:ser>
          <c:idx val="1"/>
          <c:order val="1"/>
          <c:tx>
            <c:strRef>
              <c:f>HR!$A$357</c:f>
              <c:strCache>
                <c:ptCount val="1"/>
                <c:pt idx="0">
                  <c:v>No</c:v>
                </c:pt>
              </c:strCache>
            </c:strRef>
          </c:tx>
          <c:spPr>
            <a:solidFill>
              <a:schemeClr val="accent4"/>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1-A6EA-4A37-B67A-771B5CD7614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HR!$C$355:$F$355</c:f>
              <c:strCache>
                <c:ptCount val="4"/>
                <c:pt idx="0">
                  <c:v>Croatia</c:v>
                </c:pt>
                <c:pt idx="1">
                  <c:v>Latvia</c:v>
                </c:pt>
                <c:pt idx="2">
                  <c:v>Netherlands</c:v>
                </c:pt>
                <c:pt idx="3">
                  <c:v>Portugal</c:v>
                </c:pt>
              </c:strCache>
            </c:strRef>
          </c:cat>
          <c:val>
            <c:numRef>
              <c:f>HR!$C$357:$F$357</c:f>
              <c:numCache>
                <c:formatCode>0%</c:formatCode>
                <c:ptCount val="4"/>
                <c:pt idx="0">
                  <c:v>0.46153846153846151</c:v>
                </c:pt>
                <c:pt idx="1">
                  <c:v>0</c:v>
                </c:pt>
                <c:pt idx="2">
                  <c:v>0.22222222222222221</c:v>
                </c:pt>
                <c:pt idx="3">
                  <c:v>0.27272727272727271</c:v>
                </c:pt>
              </c:numCache>
            </c:numRef>
          </c:val>
          <c:extLst>
            <c:ext xmlns:c16="http://schemas.microsoft.com/office/drawing/2014/chart" uri="{C3380CC4-5D6E-409C-BE32-E72D297353CC}">
              <c16:uniqueId val="{00000002-A6EA-4A37-B67A-771B5CD76140}"/>
            </c:ext>
          </c:extLst>
        </c:ser>
        <c:ser>
          <c:idx val="2"/>
          <c:order val="2"/>
          <c:tx>
            <c:strRef>
              <c:f>HR!$A$358</c:f>
              <c:strCache>
                <c:ptCount val="1"/>
                <c:pt idx="0">
                  <c:v>Unsure</c:v>
                </c:pt>
              </c:strCache>
            </c:strRef>
          </c:tx>
          <c:spPr>
            <a:solidFill>
              <a:schemeClr val="tx1">
                <a:lumMod val="50000"/>
                <a:lumOff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HR!$C$355:$F$355</c:f>
              <c:strCache>
                <c:ptCount val="4"/>
                <c:pt idx="0">
                  <c:v>Croatia</c:v>
                </c:pt>
                <c:pt idx="1">
                  <c:v>Latvia</c:v>
                </c:pt>
                <c:pt idx="2">
                  <c:v>Netherlands</c:v>
                </c:pt>
                <c:pt idx="3">
                  <c:v>Portugal</c:v>
                </c:pt>
              </c:strCache>
            </c:strRef>
          </c:cat>
          <c:val>
            <c:numRef>
              <c:f>HR!$C$358:$F$358</c:f>
              <c:numCache>
                <c:formatCode>0%</c:formatCode>
                <c:ptCount val="4"/>
                <c:pt idx="0">
                  <c:v>0.23076923076923075</c:v>
                </c:pt>
                <c:pt idx="1">
                  <c:v>0.33333333333333326</c:v>
                </c:pt>
                <c:pt idx="2">
                  <c:v>0.1111111111111111</c:v>
                </c:pt>
                <c:pt idx="3">
                  <c:v>0.45454545454545453</c:v>
                </c:pt>
              </c:numCache>
            </c:numRef>
          </c:val>
          <c:extLst>
            <c:ext xmlns:c16="http://schemas.microsoft.com/office/drawing/2014/chart" uri="{C3380CC4-5D6E-409C-BE32-E72D297353CC}">
              <c16:uniqueId val="{00000003-A6EA-4A37-B67A-771B5CD76140}"/>
            </c:ext>
          </c:extLst>
        </c:ser>
        <c:dLbls>
          <c:dLblPos val="ctr"/>
          <c:showLegendKey val="0"/>
          <c:showVal val="1"/>
          <c:showCatName val="0"/>
          <c:showSerName val="0"/>
          <c:showPercent val="0"/>
          <c:showBubbleSize val="0"/>
        </c:dLbls>
        <c:gapWidth val="150"/>
        <c:overlap val="100"/>
        <c:axId val="786121200"/>
        <c:axId val="786119232"/>
      </c:barChart>
      <c:catAx>
        <c:axId val="786121200"/>
        <c:scaling>
          <c:orientation val="minMax"/>
        </c:scaling>
        <c:delete val="0"/>
        <c:axPos val="b"/>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786119232"/>
        <c:crosses val="autoZero"/>
        <c:auto val="1"/>
        <c:lblAlgn val="ctr"/>
        <c:lblOffset val="100"/>
        <c:noMultiLvlLbl val="0"/>
      </c:catAx>
      <c:valAx>
        <c:axId val="786119232"/>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786121200"/>
        <c:crosses val="autoZero"/>
        <c:crossBetween val="between"/>
        <c:majorUnit val="0.2"/>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legend>
    <c:plotVisOnly val="1"/>
    <c:dispBlanksAs val="gap"/>
    <c:showDLblsOverMax val="0"/>
  </c:chart>
  <c:spPr>
    <a:solidFill>
      <a:schemeClr val="bg1"/>
    </a:solidFill>
    <a:ln w="9525" cap="flat" cmpd="sng" algn="ctr">
      <a:noFill/>
      <a:round/>
    </a:ln>
    <a:effectLst/>
  </c:spPr>
  <c:txPr>
    <a:bodyPr/>
    <a:lstStyle/>
    <a:p>
      <a:pPr>
        <a:defRPr/>
      </a:pPr>
      <a:endParaRPr lang="fi-FI"/>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i-FI" sz="1100"/>
              <a:t>In your opinion, were the Horizon2020 actions effective in supporting the implementation of the European Research Area and the flagship initiative "Innovation Union"?</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fi-FI"/>
        </a:p>
      </c:txPr>
    </c:title>
    <c:autoTitleDeleted val="0"/>
    <c:plotArea>
      <c:layout>
        <c:manualLayout>
          <c:layoutTarget val="inner"/>
          <c:xMode val="edge"/>
          <c:yMode val="edge"/>
          <c:x val="0.20378710866830924"/>
          <c:y val="0.35413119679519278"/>
          <c:w val="0.40318849640512666"/>
          <c:h val="0.64586880320480733"/>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C48-4D58-962A-555692BE32F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C48-4D58-962A-555692BE32F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C48-4D58-962A-555692BE32F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C48-4D58-962A-555692BE32F7}"/>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2C48-4D58-962A-555692BE32F7}"/>
              </c:ext>
            </c:extLst>
          </c:dPt>
          <c:dLbls>
            <c:dLbl>
              <c:idx val="2"/>
              <c:delete val="1"/>
              <c:extLst>
                <c:ext xmlns:c15="http://schemas.microsoft.com/office/drawing/2012/chart" uri="{CE6537A1-D6FC-4f65-9D91-7224C49458BB}"/>
                <c:ext xmlns:c16="http://schemas.microsoft.com/office/drawing/2014/chart" uri="{C3380CC4-5D6E-409C-BE32-E72D297353CC}">
                  <c16:uniqueId val="{00000005-2C48-4D58-962A-555692BE32F7}"/>
                </c:ext>
              </c:extLst>
            </c:dLbl>
            <c:dLbl>
              <c:idx val="3"/>
              <c:delete val="1"/>
              <c:extLst>
                <c:ext xmlns:c15="http://schemas.microsoft.com/office/drawing/2012/chart" uri="{CE6537A1-D6FC-4f65-9D91-7224C49458BB}"/>
                <c:ext xmlns:c16="http://schemas.microsoft.com/office/drawing/2014/chart" uri="{C3380CC4-5D6E-409C-BE32-E72D297353CC}">
                  <c16:uniqueId val="{00000007-2C48-4D58-962A-555692BE32F7}"/>
                </c:ext>
              </c:extLst>
            </c:dLbl>
            <c:dLbl>
              <c:idx val="4"/>
              <c:delete val="1"/>
              <c:extLst>
                <c:ext xmlns:c15="http://schemas.microsoft.com/office/drawing/2012/chart" uri="{CE6537A1-D6FC-4f65-9D91-7224C49458BB}"/>
                <c:ext xmlns:c16="http://schemas.microsoft.com/office/drawing/2014/chart" uri="{C3380CC4-5D6E-409C-BE32-E72D297353CC}">
                  <c16:uniqueId val="{00000009-2C48-4D58-962A-555692BE32F7}"/>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FullPercentage!$A$21:$A$25</c:f>
              <c:strCache>
                <c:ptCount val="5"/>
                <c:pt idx="0">
                  <c:v>Very effective</c:v>
                </c:pt>
                <c:pt idx="1">
                  <c:v>Moderately effective</c:v>
                </c:pt>
                <c:pt idx="2">
                  <c:v>Not very effective</c:v>
                </c:pt>
                <c:pt idx="3">
                  <c:v>Not effective at all</c:v>
                </c:pt>
                <c:pt idx="4">
                  <c:v>Unsure</c:v>
                </c:pt>
              </c:strCache>
            </c:strRef>
          </c:cat>
          <c:val>
            <c:numRef>
              <c:f>FullPercentage!$C$21:$C$25</c:f>
              <c:numCache>
                <c:formatCode>0.000%</c:formatCode>
                <c:ptCount val="5"/>
                <c:pt idx="0">
                  <c:v>0.46153846153846151</c:v>
                </c:pt>
                <c:pt idx="1">
                  <c:v>0.51282051282051277</c:v>
                </c:pt>
                <c:pt idx="2">
                  <c:v>0</c:v>
                </c:pt>
                <c:pt idx="3">
                  <c:v>0</c:v>
                </c:pt>
                <c:pt idx="4">
                  <c:v>2.564102564102564E-2</c:v>
                </c:pt>
              </c:numCache>
            </c:numRef>
          </c:val>
          <c:extLst>
            <c:ext xmlns:c16="http://schemas.microsoft.com/office/drawing/2014/chart" uri="{C3380CC4-5D6E-409C-BE32-E72D297353CC}">
              <c16:uniqueId val="{0000000A-2C48-4D58-962A-555692BE32F7}"/>
            </c:ext>
          </c:extLst>
        </c:ser>
        <c:dLbls>
          <c:dLblPos val="inEnd"/>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legend>
    <c:plotVisOnly val="1"/>
    <c:dispBlanksAs val="gap"/>
    <c:showDLblsOverMax val="0"/>
  </c:chart>
  <c:spPr>
    <a:solidFill>
      <a:schemeClr val="bg1"/>
    </a:solidFill>
    <a:ln w="9525" cap="flat" cmpd="sng" algn="ctr">
      <a:noFill/>
      <a:round/>
    </a:ln>
    <a:effectLst/>
  </c:spPr>
  <c:txPr>
    <a:bodyPr/>
    <a:lstStyle/>
    <a:p>
      <a:pPr>
        <a:defRPr/>
      </a:pPr>
      <a:endParaRPr lang="fi-FI"/>
    </a:p>
  </c:txPr>
  <c:externalData r:id="rId4">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i-FI" sz="1100"/>
              <a:t> Do public authorities in your Member State include the social partners and civil society organisations in the promotion of the Horizon 2020 programme?</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fi-FI"/>
        </a:p>
      </c:txPr>
    </c:title>
    <c:autoTitleDeleted val="0"/>
    <c:plotArea>
      <c:layout/>
      <c:barChart>
        <c:barDir val="col"/>
        <c:grouping val="percentStacked"/>
        <c:varyColors val="0"/>
        <c:ser>
          <c:idx val="0"/>
          <c:order val="0"/>
          <c:tx>
            <c:strRef>
              <c:f>Research!$A$356</c:f>
              <c:strCache>
                <c:ptCount val="1"/>
                <c:pt idx="0">
                  <c:v>Yes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Research!$C$355:$G$355</c:f>
              <c:strCache>
                <c:ptCount val="5"/>
                <c:pt idx="0">
                  <c:v>Research Institutes</c:v>
                </c:pt>
                <c:pt idx="1">
                  <c:v>Public Authorities</c:v>
                </c:pt>
                <c:pt idx="2">
                  <c:v>Business</c:v>
                </c:pt>
                <c:pt idx="3">
                  <c:v>Civil Society</c:v>
                </c:pt>
                <c:pt idx="4">
                  <c:v>Other</c:v>
                </c:pt>
              </c:strCache>
            </c:strRef>
          </c:cat>
          <c:val>
            <c:numRef>
              <c:f>Research!$C$356:$G$356</c:f>
              <c:numCache>
                <c:formatCode>0%</c:formatCode>
                <c:ptCount val="5"/>
                <c:pt idx="0">
                  <c:v>0.40909090909090912</c:v>
                </c:pt>
                <c:pt idx="1">
                  <c:v>1</c:v>
                </c:pt>
                <c:pt idx="2">
                  <c:v>0.25</c:v>
                </c:pt>
                <c:pt idx="3">
                  <c:v>0.25</c:v>
                </c:pt>
                <c:pt idx="4">
                  <c:v>0.4</c:v>
                </c:pt>
              </c:numCache>
            </c:numRef>
          </c:val>
          <c:extLst>
            <c:ext xmlns:c16="http://schemas.microsoft.com/office/drawing/2014/chart" uri="{C3380CC4-5D6E-409C-BE32-E72D297353CC}">
              <c16:uniqueId val="{00000000-AD4F-4C0B-BF7D-F20A3BAFB1F3}"/>
            </c:ext>
          </c:extLst>
        </c:ser>
        <c:ser>
          <c:idx val="1"/>
          <c:order val="1"/>
          <c:tx>
            <c:strRef>
              <c:f>Research!$A$357</c:f>
              <c:strCache>
                <c:ptCount val="1"/>
                <c:pt idx="0">
                  <c:v>No</c:v>
                </c:pt>
              </c:strCache>
            </c:strRef>
          </c:tx>
          <c:spPr>
            <a:solidFill>
              <a:schemeClr val="accent4"/>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1-AD4F-4C0B-BF7D-F20A3BAFB1F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Research!$C$355:$G$355</c:f>
              <c:strCache>
                <c:ptCount val="5"/>
                <c:pt idx="0">
                  <c:v>Research Institutes</c:v>
                </c:pt>
                <c:pt idx="1">
                  <c:v>Public Authorities</c:v>
                </c:pt>
                <c:pt idx="2">
                  <c:v>Business</c:v>
                </c:pt>
                <c:pt idx="3">
                  <c:v>Civil Society</c:v>
                </c:pt>
                <c:pt idx="4">
                  <c:v>Other</c:v>
                </c:pt>
              </c:strCache>
            </c:strRef>
          </c:cat>
          <c:val>
            <c:numRef>
              <c:f>Research!$C$357:$G$357</c:f>
              <c:numCache>
                <c:formatCode>0%</c:formatCode>
                <c:ptCount val="5"/>
                <c:pt idx="0">
                  <c:v>0.27272727272727271</c:v>
                </c:pt>
                <c:pt idx="1">
                  <c:v>0</c:v>
                </c:pt>
                <c:pt idx="2">
                  <c:v>0.5</c:v>
                </c:pt>
                <c:pt idx="3">
                  <c:v>0.5</c:v>
                </c:pt>
                <c:pt idx="4">
                  <c:v>0.2</c:v>
                </c:pt>
              </c:numCache>
            </c:numRef>
          </c:val>
          <c:extLst>
            <c:ext xmlns:c16="http://schemas.microsoft.com/office/drawing/2014/chart" uri="{C3380CC4-5D6E-409C-BE32-E72D297353CC}">
              <c16:uniqueId val="{00000002-AD4F-4C0B-BF7D-F20A3BAFB1F3}"/>
            </c:ext>
          </c:extLst>
        </c:ser>
        <c:ser>
          <c:idx val="2"/>
          <c:order val="2"/>
          <c:tx>
            <c:strRef>
              <c:f>Research!$A$358</c:f>
              <c:strCache>
                <c:ptCount val="1"/>
                <c:pt idx="0">
                  <c:v>Unsure</c:v>
                </c:pt>
              </c:strCache>
            </c:strRef>
          </c:tx>
          <c:spPr>
            <a:solidFill>
              <a:schemeClr val="tx1">
                <a:lumMod val="50000"/>
                <a:lumOff val="50000"/>
              </a:schemeClr>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3-AD4F-4C0B-BF7D-F20A3BAFB1F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Research!$C$355:$G$355</c:f>
              <c:strCache>
                <c:ptCount val="5"/>
                <c:pt idx="0">
                  <c:v>Research Institutes</c:v>
                </c:pt>
                <c:pt idx="1">
                  <c:v>Public Authorities</c:v>
                </c:pt>
                <c:pt idx="2">
                  <c:v>Business</c:v>
                </c:pt>
                <c:pt idx="3">
                  <c:v>Civil Society</c:v>
                </c:pt>
                <c:pt idx="4">
                  <c:v>Other</c:v>
                </c:pt>
              </c:strCache>
            </c:strRef>
          </c:cat>
          <c:val>
            <c:numRef>
              <c:f>Research!$C$358:$G$358</c:f>
              <c:numCache>
                <c:formatCode>0%</c:formatCode>
                <c:ptCount val="5"/>
                <c:pt idx="0">
                  <c:v>0.31818181818181818</c:v>
                </c:pt>
                <c:pt idx="1">
                  <c:v>0</c:v>
                </c:pt>
                <c:pt idx="2">
                  <c:v>0.25</c:v>
                </c:pt>
                <c:pt idx="3">
                  <c:v>0.25</c:v>
                </c:pt>
                <c:pt idx="4">
                  <c:v>0.4</c:v>
                </c:pt>
              </c:numCache>
            </c:numRef>
          </c:val>
          <c:extLst>
            <c:ext xmlns:c16="http://schemas.microsoft.com/office/drawing/2014/chart" uri="{C3380CC4-5D6E-409C-BE32-E72D297353CC}">
              <c16:uniqueId val="{00000004-AD4F-4C0B-BF7D-F20A3BAFB1F3}"/>
            </c:ext>
          </c:extLst>
        </c:ser>
        <c:dLbls>
          <c:dLblPos val="ctr"/>
          <c:showLegendKey val="0"/>
          <c:showVal val="1"/>
          <c:showCatName val="0"/>
          <c:showSerName val="0"/>
          <c:showPercent val="0"/>
          <c:showBubbleSize val="0"/>
        </c:dLbls>
        <c:gapWidth val="150"/>
        <c:overlap val="100"/>
        <c:axId val="500079272"/>
        <c:axId val="500079928"/>
      </c:barChart>
      <c:catAx>
        <c:axId val="500079272"/>
        <c:scaling>
          <c:orientation val="minMax"/>
        </c:scaling>
        <c:delete val="0"/>
        <c:axPos val="b"/>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500079928"/>
        <c:crosses val="autoZero"/>
        <c:auto val="1"/>
        <c:lblAlgn val="ctr"/>
        <c:lblOffset val="100"/>
        <c:noMultiLvlLbl val="0"/>
      </c:catAx>
      <c:valAx>
        <c:axId val="5000799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500079272"/>
        <c:crosses val="autoZero"/>
        <c:crossBetween val="between"/>
        <c:majorUnit val="0.2"/>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fi-FI"/>
    </a:p>
  </c:txPr>
  <c:externalData r:id="rId4">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i-FI" sz="1100"/>
              <a:t>Was your organisation regularly consulted on the implementation of the Horizon 2020 programme?</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fi-FI"/>
        </a:p>
      </c:txPr>
    </c:title>
    <c:autoTitleDeleted val="0"/>
    <c:plotArea>
      <c:layout/>
      <c:barChart>
        <c:barDir val="col"/>
        <c:grouping val="percentStacked"/>
        <c:varyColors val="0"/>
        <c:ser>
          <c:idx val="0"/>
          <c:order val="0"/>
          <c:tx>
            <c:strRef>
              <c:f>Research!$A$363</c:f>
              <c:strCache>
                <c:ptCount val="1"/>
                <c:pt idx="0">
                  <c:v>Yes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Research!$C$355:$G$355</c:f>
              <c:strCache>
                <c:ptCount val="5"/>
                <c:pt idx="0">
                  <c:v>Research Institutes</c:v>
                </c:pt>
                <c:pt idx="1">
                  <c:v>Public Authorities</c:v>
                </c:pt>
                <c:pt idx="2">
                  <c:v>Business</c:v>
                </c:pt>
                <c:pt idx="3">
                  <c:v>Civil Society</c:v>
                </c:pt>
                <c:pt idx="4">
                  <c:v>Other</c:v>
                </c:pt>
              </c:strCache>
            </c:strRef>
          </c:cat>
          <c:val>
            <c:numRef>
              <c:f>Research!$C$363:$G$363</c:f>
              <c:numCache>
                <c:formatCode>0%</c:formatCode>
                <c:ptCount val="5"/>
                <c:pt idx="0">
                  <c:v>0.59090909090909094</c:v>
                </c:pt>
                <c:pt idx="1">
                  <c:v>1</c:v>
                </c:pt>
                <c:pt idx="2">
                  <c:v>0.25</c:v>
                </c:pt>
                <c:pt idx="3">
                  <c:v>0.25</c:v>
                </c:pt>
                <c:pt idx="4">
                  <c:v>0.4</c:v>
                </c:pt>
              </c:numCache>
            </c:numRef>
          </c:val>
          <c:extLst>
            <c:ext xmlns:c16="http://schemas.microsoft.com/office/drawing/2014/chart" uri="{C3380CC4-5D6E-409C-BE32-E72D297353CC}">
              <c16:uniqueId val="{00000000-41AA-4DB8-8CB2-7797695FB186}"/>
            </c:ext>
          </c:extLst>
        </c:ser>
        <c:ser>
          <c:idx val="1"/>
          <c:order val="1"/>
          <c:tx>
            <c:strRef>
              <c:f>Research!$A$364</c:f>
              <c:strCache>
                <c:ptCount val="1"/>
                <c:pt idx="0">
                  <c:v>No</c:v>
                </c:pt>
              </c:strCache>
            </c:strRef>
          </c:tx>
          <c:spPr>
            <a:solidFill>
              <a:schemeClr val="accent4"/>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1-41AA-4DB8-8CB2-7797695FB18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Research!$C$355:$G$355</c:f>
              <c:strCache>
                <c:ptCount val="5"/>
                <c:pt idx="0">
                  <c:v>Research Institutes</c:v>
                </c:pt>
                <c:pt idx="1">
                  <c:v>Public Authorities</c:v>
                </c:pt>
                <c:pt idx="2">
                  <c:v>Business</c:v>
                </c:pt>
                <c:pt idx="3">
                  <c:v>Civil Society</c:v>
                </c:pt>
                <c:pt idx="4">
                  <c:v>Other</c:v>
                </c:pt>
              </c:strCache>
            </c:strRef>
          </c:cat>
          <c:val>
            <c:numRef>
              <c:f>Research!$C$364:$G$364</c:f>
              <c:numCache>
                <c:formatCode>0%</c:formatCode>
                <c:ptCount val="5"/>
                <c:pt idx="0">
                  <c:v>0.22727272727272727</c:v>
                </c:pt>
                <c:pt idx="1">
                  <c:v>0</c:v>
                </c:pt>
                <c:pt idx="2">
                  <c:v>0.5</c:v>
                </c:pt>
                <c:pt idx="3">
                  <c:v>0.75</c:v>
                </c:pt>
                <c:pt idx="4">
                  <c:v>0.4</c:v>
                </c:pt>
              </c:numCache>
            </c:numRef>
          </c:val>
          <c:extLst>
            <c:ext xmlns:c16="http://schemas.microsoft.com/office/drawing/2014/chart" uri="{C3380CC4-5D6E-409C-BE32-E72D297353CC}">
              <c16:uniqueId val="{00000002-41AA-4DB8-8CB2-7797695FB186}"/>
            </c:ext>
          </c:extLst>
        </c:ser>
        <c:ser>
          <c:idx val="2"/>
          <c:order val="2"/>
          <c:tx>
            <c:strRef>
              <c:f>Research!$A$365</c:f>
              <c:strCache>
                <c:ptCount val="1"/>
                <c:pt idx="0">
                  <c:v>Unsure</c:v>
                </c:pt>
              </c:strCache>
            </c:strRef>
          </c:tx>
          <c:spPr>
            <a:solidFill>
              <a:schemeClr val="tx1">
                <a:lumMod val="50000"/>
                <a:lumOff val="50000"/>
              </a:schemeClr>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3-41AA-4DB8-8CB2-7797695FB186}"/>
                </c:ext>
              </c:extLst>
            </c:dLbl>
            <c:dLbl>
              <c:idx val="3"/>
              <c:delete val="1"/>
              <c:extLst>
                <c:ext xmlns:c15="http://schemas.microsoft.com/office/drawing/2012/chart" uri="{CE6537A1-D6FC-4f65-9D91-7224C49458BB}"/>
                <c:ext xmlns:c16="http://schemas.microsoft.com/office/drawing/2014/chart" uri="{C3380CC4-5D6E-409C-BE32-E72D297353CC}">
                  <c16:uniqueId val="{00000004-41AA-4DB8-8CB2-7797695FB18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Research!$C$355:$G$355</c:f>
              <c:strCache>
                <c:ptCount val="5"/>
                <c:pt idx="0">
                  <c:v>Research Institutes</c:v>
                </c:pt>
                <c:pt idx="1">
                  <c:v>Public Authorities</c:v>
                </c:pt>
                <c:pt idx="2">
                  <c:v>Business</c:v>
                </c:pt>
                <c:pt idx="3">
                  <c:v>Civil Society</c:v>
                </c:pt>
                <c:pt idx="4">
                  <c:v>Other</c:v>
                </c:pt>
              </c:strCache>
            </c:strRef>
          </c:cat>
          <c:val>
            <c:numRef>
              <c:f>Research!$C$365:$G$365</c:f>
              <c:numCache>
                <c:formatCode>0%</c:formatCode>
                <c:ptCount val="5"/>
                <c:pt idx="0">
                  <c:v>0.18181818181818182</c:v>
                </c:pt>
                <c:pt idx="1">
                  <c:v>0</c:v>
                </c:pt>
                <c:pt idx="2">
                  <c:v>0.25</c:v>
                </c:pt>
                <c:pt idx="3">
                  <c:v>0</c:v>
                </c:pt>
                <c:pt idx="4">
                  <c:v>0.2</c:v>
                </c:pt>
              </c:numCache>
            </c:numRef>
          </c:val>
          <c:extLst>
            <c:ext xmlns:c16="http://schemas.microsoft.com/office/drawing/2014/chart" uri="{C3380CC4-5D6E-409C-BE32-E72D297353CC}">
              <c16:uniqueId val="{00000005-41AA-4DB8-8CB2-7797695FB186}"/>
            </c:ext>
          </c:extLst>
        </c:ser>
        <c:dLbls>
          <c:dLblPos val="ctr"/>
          <c:showLegendKey val="0"/>
          <c:showVal val="1"/>
          <c:showCatName val="0"/>
          <c:showSerName val="0"/>
          <c:showPercent val="0"/>
          <c:showBubbleSize val="0"/>
        </c:dLbls>
        <c:gapWidth val="150"/>
        <c:overlap val="100"/>
        <c:axId val="500079272"/>
        <c:axId val="500079928"/>
      </c:barChart>
      <c:catAx>
        <c:axId val="500079272"/>
        <c:scaling>
          <c:orientation val="minMax"/>
        </c:scaling>
        <c:delete val="0"/>
        <c:axPos val="b"/>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500079928"/>
        <c:crosses val="autoZero"/>
        <c:auto val="1"/>
        <c:lblAlgn val="ctr"/>
        <c:lblOffset val="100"/>
        <c:noMultiLvlLbl val="0"/>
      </c:catAx>
      <c:valAx>
        <c:axId val="5000799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500079272"/>
        <c:crosses val="autoZero"/>
        <c:crossBetween val="between"/>
        <c:majorUnit val="0.2"/>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fi-FI"/>
    </a:p>
  </c:txPr>
  <c:externalData r:id="rId4">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i-FI" sz="1100"/>
              <a:t>Was your organisation regularly consulted on the implementation of the Horizon 2020 programme?</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fi-FI"/>
        </a:p>
      </c:txPr>
    </c:title>
    <c:autoTitleDeleted val="0"/>
    <c:plotArea>
      <c:layout/>
      <c:barChart>
        <c:barDir val="col"/>
        <c:grouping val="stacked"/>
        <c:varyColors val="0"/>
        <c:ser>
          <c:idx val="0"/>
          <c:order val="0"/>
          <c:tx>
            <c:strRef>
              <c:f>HR!$A$363</c:f>
              <c:strCache>
                <c:ptCount val="1"/>
                <c:pt idx="0">
                  <c:v>Yes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HR!$C$355:$F$355</c:f>
              <c:strCache>
                <c:ptCount val="4"/>
                <c:pt idx="0">
                  <c:v>Croatia</c:v>
                </c:pt>
                <c:pt idx="1">
                  <c:v>Latvia</c:v>
                </c:pt>
                <c:pt idx="2">
                  <c:v>Netherlands</c:v>
                </c:pt>
                <c:pt idx="3">
                  <c:v>Portugal</c:v>
                </c:pt>
              </c:strCache>
            </c:strRef>
          </c:cat>
          <c:val>
            <c:numRef>
              <c:f>HR!$C$363:$F$363</c:f>
              <c:numCache>
                <c:formatCode>0%</c:formatCode>
                <c:ptCount val="4"/>
                <c:pt idx="0">
                  <c:v>0.30769230769230771</c:v>
                </c:pt>
                <c:pt idx="1">
                  <c:v>0.66666666666666652</c:v>
                </c:pt>
                <c:pt idx="2">
                  <c:v>0.7777777777777779</c:v>
                </c:pt>
                <c:pt idx="3">
                  <c:v>0.54545454545454541</c:v>
                </c:pt>
              </c:numCache>
            </c:numRef>
          </c:val>
          <c:extLst>
            <c:ext xmlns:c16="http://schemas.microsoft.com/office/drawing/2014/chart" uri="{C3380CC4-5D6E-409C-BE32-E72D297353CC}">
              <c16:uniqueId val="{00000000-45ED-4C3F-A3FD-C10B901E59C0}"/>
            </c:ext>
          </c:extLst>
        </c:ser>
        <c:ser>
          <c:idx val="1"/>
          <c:order val="1"/>
          <c:tx>
            <c:strRef>
              <c:f>HR!$A$364</c:f>
              <c:strCache>
                <c:ptCount val="1"/>
                <c:pt idx="0">
                  <c:v>No</c:v>
                </c:pt>
              </c:strCache>
            </c:strRef>
          </c:tx>
          <c:spPr>
            <a:solidFill>
              <a:schemeClr val="accent4"/>
            </a:solidFill>
            <a:ln>
              <a:noFill/>
            </a:ln>
            <a:effectLst/>
          </c:spPr>
          <c:invertIfNegative val="0"/>
          <c:dLbls>
            <c:dLbl>
              <c:idx val="2"/>
              <c:delete val="1"/>
              <c:extLst>
                <c:ext xmlns:c15="http://schemas.microsoft.com/office/drawing/2012/chart" uri="{CE6537A1-D6FC-4f65-9D91-7224C49458BB}"/>
                <c:ext xmlns:c16="http://schemas.microsoft.com/office/drawing/2014/chart" uri="{C3380CC4-5D6E-409C-BE32-E72D297353CC}">
                  <c16:uniqueId val="{00000001-45ED-4C3F-A3FD-C10B901E59C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HR!$C$355:$F$355</c:f>
              <c:strCache>
                <c:ptCount val="4"/>
                <c:pt idx="0">
                  <c:v>Croatia</c:v>
                </c:pt>
                <c:pt idx="1">
                  <c:v>Latvia</c:v>
                </c:pt>
                <c:pt idx="2">
                  <c:v>Netherlands</c:v>
                </c:pt>
                <c:pt idx="3">
                  <c:v>Portugal</c:v>
                </c:pt>
              </c:strCache>
            </c:strRef>
          </c:cat>
          <c:val>
            <c:numRef>
              <c:f>HR!$C$364:$F$364</c:f>
              <c:numCache>
                <c:formatCode>0%</c:formatCode>
                <c:ptCount val="4"/>
                <c:pt idx="0">
                  <c:v>0.53846153846153844</c:v>
                </c:pt>
                <c:pt idx="1">
                  <c:v>0.33333333333333326</c:v>
                </c:pt>
                <c:pt idx="2">
                  <c:v>0</c:v>
                </c:pt>
                <c:pt idx="3">
                  <c:v>0.27272727272727271</c:v>
                </c:pt>
              </c:numCache>
            </c:numRef>
          </c:val>
          <c:extLst>
            <c:ext xmlns:c16="http://schemas.microsoft.com/office/drawing/2014/chart" uri="{C3380CC4-5D6E-409C-BE32-E72D297353CC}">
              <c16:uniqueId val="{00000002-45ED-4C3F-A3FD-C10B901E59C0}"/>
            </c:ext>
          </c:extLst>
        </c:ser>
        <c:ser>
          <c:idx val="2"/>
          <c:order val="2"/>
          <c:tx>
            <c:strRef>
              <c:f>HR!$A$365</c:f>
              <c:strCache>
                <c:ptCount val="1"/>
                <c:pt idx="0">
                  <c:v>Unsure</c:v>
                </c:pt>
              </c:strCache>
            </c:strRef>
          </c:tx>
          <c:spPr>
            <a:solidFill>
              <a:schemeClr val="tx1">
                <a:lumMod val="50000"/>
                <a:lumOff val="50000"/>
              </a:schemeClr>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3-45ED-4C3F-A3FD-C10B901E59C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HR!$C$355:$F$355</c:f>
              <c:strCache>
                <c:ptCount val="4"/>
                <c:pt idx="0">
                  <c:v>Croatia</c:v>
                </c:pt>
                <c:pt idx="1">
                  <c:v>Latvia</c:v>
                </c:pt>
                <c:pt idx="2">
                  <c:v>Netherlands</c:v>
                </c:pt>
                <c:pt idx="3">
                  <c:v>Portugal</c:v>
                </c:pt>
              </c:strCache>
            </c:strRef>
          </c:cat>
          <c:val>
            <c:numRef>
              <c:f>HR!$C$365:$F$365</c:f>
              <c:numCache>
                <c:formatCode>0%</c:formatCode>
                <c:ptCount val="4"/>
                <c:pt idx="0">
                  <c:v>0.15384615384615385</c:v>
                </c:pt>
                <c:pt idx="1">
                  <c:v>0</c:v>
                </c:pt>
                <c:pt idx="2">
                  <c:v>0.22222222222222221</c:v>
                </c:pt>
                <c:pt idx="3">
                  <c:v>0.18181818181818182</c:v>
                </c:pt>
              </c:numCache>
            </c:numRef>
          </c:val>
          <c:extLst>
            <c:ext xmlns:c16="http://schemas.microsoft.com/office/drawing/2014/chart" uri="{C3380CC4-5D6E-409C-BE32-E72D297353CC}">
              <c16:uniqueId val="{00000004-45ED-4C3F-A3FD-C10B901E59C0}"/>
            </c:ext>
          </c:extLst>
        </c:ser>
        <c:dLbls>
          <c:dLblPos val="ctr"/>
          <c:showLegendKey val="0"/>
          <c:showVal val="1"/>
          <c:showCatName val="0"/>
          <c:showSerName val="0"/>
          <c:showPercent val="0"/>
          <c:showBubbleSize val="0"/>
        </c:dLbls>
        <c:gapWidth val="150"/>
        <c:overlap val="100"/>
        <c:axId val="786121200"/>
        <c:axId val="786119232"/>
      </c:barChart>
      <c:catAx>
        <c:axId val="786121200"/>
        <c:scaling>
          <c:orientation val="minMax"/>
        </c:scaling>
        <c:delete val="0"/>
        <c:axPos val="b"/>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786119232"/>
        <c:crosses val="autoZero"/>
        <c:auto val="1"/>
        <c:lblAlgn val="ctr"/>
        <c:lblOffset val="100"/>
        <c:noMultiLvlLbl val="0"/>
      </c:catAx>
      <c:valAx>
        <c:axId val="786119232"/>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786121200"/>
        <c:crosses val="autoZero"/>
        <c:crossBetween val="between"/>
        <c:majorUnit val="0.2"/>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legend>
    <c:plotVisOnly val="1"/>
    <c:dispBlanksAs val="gap"/>
    <c:showDLblsOverMax val="0"/>
  </c:chart>
  <c:spPr>
    <a:solidFill>
      <a:schemeClr val="bg1"/>
    </a:solidFill>
    <a:ln w="9525" cap="flat" cmpd="sng" algn="ctr">
      <a:noFill/>
      <a:round/>
    </a:ln>
    <a:effectLst/>
  </c:spPr>
  <c:txPr>
    <a:bodyPr/>
    <a:lstStyle/>
    <a:p>
      <a:pPr>
        <a:defRPr/>
      </a:pPr>
      <a:endParaRPr lang="fi-FI"/>
    </a:p>
  </c:txPr>
  <c:externalData r:id="rId4">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i-FI" sz="1100"/>
              <a:t>Are the final beneficiaries of actions and operations aware of the origin of the resources and programmes?</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fi-FI"/>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27F-445F-A5ED-F01248C4B59E}"/>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E27F-445F-A5ED-F01248C4B59E}"/>
              </c:ext>
            </c:extLst>
          </c:dPt>
          <c:dPt>
            <c:idx val="2"/>
            <c:bubble3D val="0"/>
            <c:spPr>
              <a:solidFill>
                <a:schemeClr val="tx1">
                  <a:lumMod val="50000"/>
                  <a:lumOff val="50000"/>
                </a:schemeClr>
              </a:solidFill>
              <a:ln w="19050">
                <a:solidFill>
                  <a:schemeClr val="lt1"/>
                </a:solidFill>
              </a:ln>
              <a:effectLst/>
            </c:spPr>
            <c:extLst>
              <c:ext xmlns:c16="http://schemas.microsoft.com/office/drawing/2014/chart" uri="{C3380CC4-5D6E-409C-BE32-E72D297353CC}">
                <c16:uniqueId val="{00000005-E27F-445F-A5ED-F01248C4B59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27F-445F-A5ED-F01248C4B59E}"/>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E27F-445F-A5ED-F01248C4B59E}"/>
              </c:ext>
            </c:extLst>
          </c:dPt>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FullPercentage!$A$378:$A$380</c:f>
              <c:strCache>
                <c:ptCount val="3"/>
                <c:pt idx="0">
                  <c:v>Yes</c:v>
                </c:pt>
                <c:pt idx="1">
                  <c:v>No</c:v>
                </c:pt>
                <c:pt idx="2">
                  <c:v>Unsure</c:v>
                </c:pt>
              </c:strCache>
            </c:strRef>
          </c:cat>
          <c:val>
            <c:numRef>
              <c:f>FullPercentage!$C$378:$C$380</c:f>
              <c:numCache>
                <c:formatCode>0.000%</c:formatCode>
                <c:ptCount val="3"/>
                <c:pt idx="0">
                  <c:v>0.66666666666666652</c:v>
                </c:pt>
                <c:pt idx="1">
                  <c:v>0.12820512820512819</c:v>
                </c:pt>
                <c:pt idx="2">
                  <c:v>0.20512820512820512</c:v>
                </c:pt>
              </c:numCache>
            </c:numRef>
          </c:val>
          <c:extLst>
            <c:ext xmlns:c16="http://schemas.microsoft.com/office/drawing/2014/chart" uri="{C3380CC4-5D6E-409C-BE32-E72D297353CC}">
              <c16:uniqueId val="{0000000A-E27F-445F-A5ED-F01248C4B59E}"/>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70482910469524651"/>
          <c:y val="0.41211346962859718"/>
          <c:w val="0.21183756197142023"/>
          <c:h val="0.5465730729056663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fi-FI"/>
    </a:p>
  </c:txPr>
  <c:externalData r:id="rId4">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i-FI" sz="1100"/>
              <a:t>How do you rate the communication and information of the Horizon 2020 programme?</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fi-FI"/>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98E-492F-9CA7-71A7CA7A605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98E-492F-9CA7-71A7CA7A605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98E-492F-9CA7-71A7CA7A605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98E-492F-9CA7-71A7CA7A605E}"/>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98E-492F-9CA7-71A7CA7A605E}"/>
              </c:ext>
            </c:extLst>
          </c:dPt>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FullPercentage!$A$392:$A$395</c:f>
              <c:strCache>
                <c:ptCount val="4"/>
                <c:pt idx="0">
                  <c:v>Very Good</c:v>
                </c:pt>
                <c:pt idx="1">
                  <c:v>Good</c:v>
                </c:pt>
                <c:pt idx="2">
                  <c:v>Adequate</c:v>
                </c:pt>
                <c:pt idx="3">
                  <c:v>Poor</c:v>
                </c:pt>
              </c:strCache>
            </c:strRef>
          </c:cat>
          <c:val>
            <c:numRef>
              <c:f>FullPercentage!$C$392:$C$395</c:f>
              <c:numCache>
                <c:formatCode>0.000%</c:formatCode>
                <c:ptCount val="4"/>
                <c:pt idx="0">
                  <c:v>0.23076923076923075</c:v>
                </c:pt>
                <c:pt idx="1">
                  <c:v>0.41025641025641024</c:v>
                </c:pt>
                <c:pt idx="2">
                  <c:v>0.23076923076923075</c:v>
                </c:pt>
                <c:pt idx="3">
                  <c:v>0.12820512820512819</c:v>
                </c:pt>
              </c:numCache>
            </c:numRef>
          </c:val>
          <c:extLst>
            <c:ext xmlns:c16="http://schemas.microsoft.com/office/drawing/2014/chart" uri="{C3380CC4-5D6E-409C-BE32-E72D297353CC}">
              <c16:uniqueId val="{0000000A-898E-492F-9CA7-71A7CA7A605E}"/>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70482910469524651"/>
          <c:y val="0.41211346962859718"/>
          <c:w val="0.21183756197142023"/>
          <c:h val="0.3840728346456693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fi-FI"/>
    </a:p>
  </c:txPr>
  <c:externalData r:id="rId4">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i-FI" sz="1100"/>
              <a:t> How do you rate the communication and information of the Horizon 2020 programme?</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fi-FI"/>
        </a:p>
      </c:txPr>
    </c:title>
    <c:autoTitleDeleted val="0"/>
    <c:plotArea>
      <c:layout/>
      <c:barChart>
        <c:barDir val="col"/>
        <c:grouping val="stacked"/>
        <c:varyColors val="0"/>
        <c:ser>
          <c:idx val="0"/>
          <c:order val="0"/>
          <c:tx>
            <c:strRef>
              <c:f>HR!$A$392</c:f>
              <c:strCache>
                <c:ptCount val="1"/>
                <c:pt idx="0">
                  <c:v>Very Good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HR!$C$355:$F$355</c:f>
              <c:strCache>
                <c:ptCount val="4"/>
                <c:pt idx="0">
                  <c:v>Croatia</c:v>
                </c:pt>
                <c:pt idx="1">
                  <c:v>Latvia</c:v>
                </c:pt>
                <c:pt idx="2">
                  <c:v>Netherlands</c:v>
                </c:pt>
                <c:pt idx="3">
                  <c:v>Portugal</c:v>
                </c:pt>
              </c:strCache>
            </c:strRef>
          </c:cat>
          <c:val>
            <c:numRef>
              <c:f>HR!$C$392:$F$392</c:f>
              <c:numCache>
                <c:formatCode>0%</c:formatCode>
                <c:ptCount val="4"/>
                <c:pt idx="0">
                  <c:v>0.30769230769230771</c:v>
                </c:pt>
                <c:pt idx="1">
                  <c:v>0.33333333333333326</c:v>
                </c:pt>
                <c:pt idx="2">
                  <c:v>0.1111111111111111</c:v>
                </c:pt>
                <c:pt idx="3">
                  <c:v>0.18181818181818182</c:v>
                </c:pt>
              </c:numCache>
            </c:numRef>
          </c:val>
          <c:extLst>
            <c:ext xmlns:c16="http://schemas.microsoft.com/office/drawing/2014/chart" uri="{C3380CC4-5D6E-409C-BE32-E72D297353CC}">
              <c16:uniqueId val="{00000000-DB70-46EA-95B5-E6490A0B1B9D}"/>
            </c:ext>
          </c:extLst>
        </c:ser>
        <c:ser>
          <c:idx val="1"/>
          <c:order val="1"/>
          <c:tx>
            <c:strRef>
              <c:f>HR!$A$393</c:f>
              <c:strCache>
                <c:ptCount val="1"/>
                <c:pt idx="0">
                  <c:v>Good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HR!$C$355:$F$355</c:f>
              <c:strCache>
                <c:ptCount val="4"/>
                <c:pt idx="0">
                  <c:v>Croatia</c:v>
                </c:pt>
                <c:pt idx="1">
                  <c:v>Latvia</c:v>
                </c:pt>
                <c:pt idx="2">
                  <c:v>Netherlands</c:v>
                </c:pt>
                <c:pt idx="3">
                  <c:v>Portugal</c:v>
                </c:pt>
              </c:strCache>
            </c:strRef>
          </c:cat>
          <c:val>
            <c:numRef>
              <c:f>HR!$C$393:$F$393</c:f>
              <c:numCache>
                <c:formatCode>0%</c:formatCode>
                <c:ptCount val="4"/>
                <c:pt idx="0">
                  <c:v>0.30769230769230771</c:v>
                </c:pt>
                <c:pt idx="1">
                  <c:v>0.5</c:v>
                </c:pt>
                <c:pt idx="2">
                  <c:v>0.33333333333333326</c:v>
                </c:pt>
                <c:pt idx="3">
                  <c:v>0.54545454545454541</c:v>
                </c:pt>
              </c:numCache>
            </c:numRef>
          </c:val>
          <c:extLst>
            <c:ext xmlns:c16="http://schemas.microsoft.com/office/drawing/2014/chart" uri="{C3380CC4-5D6E-409C-BE32-E72D297353CC}">
              <c16:uniqueId val="{00000001-DB70-46EA-95B5-E6490A0B1B9D}"/>
            </c:ext>
          </c:extLst>
        </c:ser>
        <c:ser>
          <c:idx val="2"/>
          <c:order val="2"/>
          <c:tx>
            <c:strRef>
              <c:f>HR!$A$394</c:f>
              <c:strCache>
                <c:ptCount val="1"/>
                <c:pt idx="0">
                  <c:v>Adequate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HR!$C$355:$F$355</c:f>
              <c:strCache>
                <c:ptCount val="4"/>
                <c:pt idx="0">
                  <c:v>Croatia</c:v>
                </c:pt>
                <c:pt idx="1">
                  <c:v>Latvia</c:v>
                </c:pt>
                <c:pt idx="2">
                  <c:v>Netherlands</c:v>
                </c:pt>
                <c:pt idx="3">
                  <c:v>Portugal</c:v>
                </c:pt>
              </c:strCache>
            </c:strRef>
          </c:cat>
          <c:val>
            <c:numRef>
              <c:f>HR!$C$394:$F$394</c:f>
              <c:numCache>
                <c:formatCode>0%</c:formatCode>
                <c:ptCount val="4"/>
                <c:pt idx="0">
                  <c:v>0.15384615384615385</c:v>
                </c:pt>
                <c:pt idx="1">
                  <c:v>0.16666666666666663</c:v>
                </c:pt>
                <c:pt idx="2">
                  <c:v>0.44444444444444442</c:v>
                </c:pt>
                <c:pt idx="3">
                  <c:v>0.18181818181818182</c:v>
                </c:pt>
              </c:numCache>
            </c:numRef>
          </c:val>
          <c:extLst>
            <c:ext xmlns:c16="http://schemas.microsoft.com/office/drawing/2014/chart" uri="{C3380CC4-5D6E-409C-BE32-E72D297353CC}">
              <c16:uniqueId val="{00000002-DB70-46EA-95B5-E6490A0B1B9D}"/>
            </c:ext>
          </c:extLst>
        </c:ser>
        <c:ser>
          <c:idx val="3"/>
          <c:order val="3"/>
          <c:tx>
            <c:strRef>
              <c:f>HR!$A$395</c:f>
              <c:strCache>
                <c:ptCount val="1"/>
                <c:pt idx="0">
                  <c:v>Poor</c:v>
                </c:pt>
              </c:strCache>
            </c:strRef>
          </c:tx>
          <c:spPr>
            <a:solidFill>
              <a:schemeClr val="accent4"/>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3-DB70-46EA-95B5-E6490A0B1B9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HR!$C$355:$F$355</c:f>
              <c:strCache>
                <c:ptCount val="4"/>
                <c:pt idx="0">
                  <c:v>Croatia</c:v>
                </c:pt>
                <c:pt idx="1">
                  <c:v>Latvia</c:v>
                </c:pt>
                <c:pt idx="2">
                  <c:v>Netherlands</c:v>
                </c:pt>
                <c:pt idx="3">
                  <c:v>Portugal</c:v>
                </c:pt>
              </c:strCache>
            </c:strRef>
          </c:cat>
          <c:val>
            <c:numRef>
              <c:f>HR!$C$395:$F$395</c:f>
              <c:numCache>
                <c:formatCode>0%</c:formatCode>
                <c:ptCount val="4"/>
                <c:pt idx="0">
                  <c:v>0.23076923076923075</c:v>
                </c:pt>
                <c:pt idx="1">
                  <c:v>0</c:v>
                </c:pt>
                <c:pt idx="2">
                  <c:v>0.1111111111111111</c:v>
                </c:pt>
                <c:pt idx="3">
                  <c:v>9.0909090909090912E-2</c:v>
                </c:pt>
              </c:numCache>
            </c:numRef>
          </c:val>
          <c:extLst>
            <c:ext xmlns:c16="http://schemas.microsoft.com/office/drawing/2014/chart" uri="{C3380CC4-5D6E-409C-BE32-E72D297353CC}">
              <c16:uniqueId val="{00000004-DB70-46EA-95B5-E6490A0B1B9D}"/>
            </c:ext>
          </c:extLst>
        </c:ser>
        <c:dLbls>
          <c:dLblPos val="ctr"/>
          <c:showLegendKey val="0"/>
          <c:showVal val="1"/>
          <c:showCatName val="0"/>
          <c:showSerName val="0"/>
          <c:showPercent val="0"/>
          <c:showBubbleSize val="0"/>
        </c:dLbls>
        <c:gapWidth val="150"/>
        <c:overlap val="100"/>
        <c:axId val="786121200"/>
        <c:axId val="786119232"/>
      </c:barChart>
      <c:catAx>
        <c:axId val="786121200"/>
        <c:scaling>
          <c:orientation val="minMax"/>
        </c:scaling>
        <c:delete val="0"/>
        <c:axPos val="b"/>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786119232"/>
        <c:crosses val="autoZero"/>
        <c:auto val="1"/>
        <c:lblAlgn val="ctr"/>
        <c:lblOffset val="100"/>
        <c:noMultiLvlLbl val="0"/>
      </c:catAx>
      <c:valAx>
        <c:axId val="786119232"/>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786121200"/>
        <c:crosses val="autoZero"/>
        <c:crossBetween val="between"/>
        <c:majorUnit val="0.2"/>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legend>
    <c:plotVisOnly val="1"/>
    <c:dispBlanksAs val="gap"/>
    <c:showDLblsOverMax val="0"/>
  </c:chart>
  <c:spPr>
    <a:solidFill>
      <a:schemeClr val="bg1"/>
    </a:solidFill>
    <a:ln w="9525" cap="flat" cmpd="sng" algn="ctr">
      <a:noFill/>
      <a:round/>
    </a:ln>
    <a:effectLst/>
  </c:spPr>
  <c:txPr>
    <a:bodyPr/>
    <a:lstStyle/>
    <a:p>
      <a:pPr>
        <a:defRPr/>
      </a:pPr>
      <a:endParaRPr lang="fi-FI"/>
    </a:p>
  </c:txPr>
  <c:externalData r:id="rId4">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i-FI" sz="1100"/>
              <a:t>Do you think that the communication and information systems of Horizon 2020-funded actions need to be modified to ensure that the final beneficiaries are sufficiently informed?</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fi-FI"/>
        </a:p>
      </c:txPr>
    </c:title>
    <c:autoTitleDeleted val="0"/>
    <c:plotArea>
      <c:layout>
        <c:manualLayout>
          <c:layoutTarget val="inner"/>
          <c:xMode val="edge"/>
          <c:yMode val="edge"/>
          <c:x val="0.17514548542810948"/>
          <c:y val="0.37985096870342772"/>
          <c:w val="0.42635285396590067"/>
          <c:h val="0.62014903129657228"/>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F93-4D1B-AF06-11B1D68CEA29}"/>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9F93-4D1B-AF06-11B1D68CEA29}"/>
              </c:ext>
            </c:extLst>
          </c:dPt>
          <c:dPt>
            <c:idx val="2"/>
            <c:bubble3D val="0"/>
            <c:spPr>
              <a:solidFill>
                <a:schemeClr val="tx1">
                  <a:lumMod val="50000"/>
                  <a:lumOff val="50000"/>
                </a:schemeClr>
              </a:solidFill>
              <a:ln w="19050">
                <a:solidFill>
                  <a:schemeClr val="lt1"/>
                </a:solidFill>
              </a:ln>
              <a:effectLst/>
            </c:spPr>
            <c:extLst>
              <c:ext xmlns:c16="http://schemas.microsoft.com/office/drawing/2014/chart" uri="{C3380CC4-5D6E-409C-BE32-E72D297353CC}">
                <c16:uniqueId val="{00000005-9F93-4D1B-AF06-11B1D68CEA2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F93-4D1B-AF06-11B1D68CEA2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9F93-4D1B-AF06-11B1D68CEA29}"/>
              </c:ext>
            </c:extLst>
          </c:dPt>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FullPercentage!$A$385:$A$387</c:f>
              <c:strCache>
                <c:ptCount val="3"/>
                <c:pt idx="0">
                  <c:v>Yes</c:v>
                </c:pt>
                <c:pt idx="1">
                  <c:v>No</c:v>
                </c:pt>
                <c:pt idx="2">
                  <c:v>Unsure</c:v>
                </c:pt>
              </c:strCache>
            </c:strRef>
          </c:cat>
          <c:val>
            <c:numRef>
              <c:f>FullPercentage!$C$385:$C$387</c:f>
              <c:numCache>
                <c:formatCode>0.000%</c:formatCode>
                <c:ptCount val="3"/>
                <c:pt idx="0">
                  <c:v>0.46153846153846151</c:v>
                </c:pt>
                <c:pt idx="1">
                  <c:v>0.33333333333333326</c:v>
                </c:pt>
                <c:pt idx="2">
                  <c:v>0.20512820512820512</c:v>
                </c:pt>
              </c:numCache>
            </c:numRef>
          </c:val>
          <c:extLst>
            <c:ext xmlns:c16="http://schemas.microsoft.com/office/drawing/2014/chart" uri="{C3380CC4-5D6E-409C-BE32-E72D297353CC}">
              <c16:uniqueId val="{0000000A-9F93-4D1B-AF06-11B1D68CEA29}"/>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70482910469524651"/>
          <c:y val="0.41211346962859718"/>
          <c:w val="0.21183756197142023"/>
          <c:h val="0.5465730729056663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fi-FI"/>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i-FI" sz="1100"/>
              <a:t> In your opinion, were the Horizon2020 actions effective in supporting the implementation of the European Research Area and the flagship initiative "Innovation Union"?</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fi-FI"/>
        </a:p>
      </c:txPr>
    </c:title>
    <c:autoTitleDeleted val="0"/>
    <c:plotArea>
      <c:layout/>
      <c:barChart>
        <c:barDir val="col"/>
        <c:grouping val="percentStacked"/>
        <c:varyColors val="0"/>
        <c:ser>
          <c:idx val="0"/>
          <c:order val="0"/>
          <c:tx>
            <c:strRef>
              <c:f>HR!$A$21</c:f>
              <c:strCache>
                <c:ptCount val="1"/>
                <c:pt idx="0">
                  <c:v>Very effective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HR!$C$20:$F$20</c:f>
              <c:strCache>
                <c:ptCount val="4"/>
                <c:pt idx="0">
                  <c:v>Croatia</c:v>
                </c:pt>
                <c:pt idx="1">
                  <c:v>Latvia</c:v>
                </c:pt>
                <c:pt idx="2">
                  <c:v>Netherlands</c:v>
                </c:pt>
                <c:pt idx="3">
                  <c:v>Portugal</c:v>
                </c:pt>
              </c:strCache>
            </c:strRef>
          </c:cat>
          <c:val>
            <c:numRef>
              <c:f>HR!$C$21:$F$21</c:f>
              <c:numCache>
                <c:formatCode>0%</c:formatCode>
                <c:ptCount val="4"/>
                <c:pt idx="0">
                  <c:v>0.38461538461538469</c:v>
                </c:pt>
                <c:pt idx="1">
                  <c:v>0.66666666666666652</c:v>
                </c:pt>
                <c:pt idx="2">
                  <c:v>0.66666666666666652</c:v>
                </c:pt>
                <c:pt idx="3">
                  <c:v>0.27272727272727271</c:v>
                </c:pt>
              </c:numCache>
            </c:numRef>
          </c:val>
          <c:extLst>
            <c:ext xmlns:c16="http://schemas.microsoft.com/office/drawing/2014/chart" uri="{C3380CC4-5D6E-409C-BE32-E72D297353CC}">
              <c16:uniqueId val="{00000000-F9BD-4A4B-A608-BFBB04D2A62E}"/>
            </c:ext>
          </c:extLst>
        </c:ser>
        <c:ser>
          <c:idx val="1"/>
          <c:order val="1"/>
          <c:tx>
            <c:strRef>
              <c:f>HR!$A$22</c:f>
              <c:strCache>
                <c:ptCount val="1"/>
                <c:pt idx="0">
                  <c:v>Moderately effective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HR!$C$20:$F$20</c:f>
              <c:strCache>
                <c:ptCount val="4"/>
                <c:pt idx="0">
                  <c:v>Croatia</c:v>
                </c:pt>
                <c:pt idx="1">
                  <c:v>Latvia</c:v>
                </c:pt>
                <c:pt idx="2">
                  <c:v>Netherlands</c:v>
                </c:pt>
                <c:pt idx="3">
                  <c:v>Portugal</c:v>
                </c:pt>
              </c:strCache>
            </c:strRef>
          </c:cat>
          <c:val>
            <c:numRef>
              <c:f>HR!$C$22:$F$22</c:f>
              <c:numCache>
                <c:formatCode>0%</c:formatCode>
                <c:ptCount val="4"/>
                <c:pt idx="0">
                  <c:v>0.53846153846153844</c:v>
                </c:pt>
                <c:pt idx="1">
                  <c:v>0.33333333333333326</c:v>
                </c:pt>
                <c:pt idx="2">
                  <c:v>0.33333333333333326</c:v>
                </c:pt>
                <c:pt idx="3">
                  <c:v>0.72727272727272729</c:v>
                </c:pt>
              </c:numCache>
            </c:numRef>
          </c:val>
          <c:extLst>
            <c:ext xmlns:c16="http://schemas.microsoft.com/office/drawing/2014/chart" uri="{C3380CC4-5D6E-409C-BE32-E72D297353CC}">
              <c16:uniqueId val="{00000001-F9BD-4A4B-A608-BFBB04D2A62E}"/>
            </c:ext>
          </c:extLst>
        </c:ser>
        <c:ser>
          <c:idx val="2"/>
          <c:order val="2"/>
          <c:tx>
            <c:strRef>
              <c:f>HR!$A$23</c:f>
              <c:strCache>
                <c:ptCount val="1"/>
                <c:pt idx="0">
                  <c:v>Not very effective</c:v>
                </c:pt>
              </c:strCache>
            </c:strRef>
          </c:tx>
          <c:spPr>
            <a:solidFill>
              <a:schemeClr val="accent3"/>
            </a:solidFill>
            <a:ln>
              <a:noFill/>
            </a:ln>
            <a:effectLst/>
          </c:spPr>
          <c:invertIfNegative val="0"/>
          <c:dLbls>
            <c:delete val="1"/>
          </c:dLbls>
          <c:cat>
            <c:strRef>
              <c:f>HR!$C$20:$F$20</c:f>
              <c:strCache>
                <c:ptCount val="4"/>
                <c:pt idx="0">
                  <c:v>Croatia</c:v>
                </c:pt>
                <c:pt idx="1">
                  <c:v>Latvia</c:v>
                </c:pt>
                <c:pt idx="2">
                  <c:v>Netherlands</c:v>
                </c:pt>
                <c:pt idx="3">
                  <c:v>Portugal</c:v>
                </c:pt>
              </c:strCache>
            </c:strRef>
          </c:cat>
          <c:val>
            <c:numRef>
              <c:f>HR!$C$23:$F$23</c:f>
              <c:numCache>
                <c:formatCode>0%</c:formatCode>
                <c:ptCount val="4"/>
                <c:pt idx="0">
                  <c:v>0</c:v>
                </c:pt>
                <c:pt idx="1">
                  <c:v>0</c:v>
                </c:pt>
                <c:pt idx="2">
                  <c:v>0</c:v>
                </c:pt>
                <c:pt idx="3">
                  <c:v>0</c:v>
                </c:pt>
              </c:numCache>
            </c:numRef>
          </c:val>
          <c:extLst>
            <c:ext xmlns:c16="http://schemas.microsoft.com/office/drawing/2014/chart" uri="{C3380CC4-5D6E-409C-BE32-E72D297353CC}">
              <c16:uniqueId val="{00000002-F9BD-4A4B-A608-BFBB04D2A62E}"/>
            </c:ext>
          </c:extLst>
        </c:ser>
        <c:ser>
          <c:idx val="3"/>
          <c:order val="3"/>
          <c:tx>
            <c:strRef>
              <c:f>HR!$A$24</c:f>
              <c:strCache>
                <c:ptCount val="1"/>
                <c:pt idx="0">
                  <c:v>Not effective at all</c:v>
                </c:pt>
              </c:strCache>
            </c:strRef>
          </c:tx>
          <c:spPr>
            <a:solidFill>
              <a:schemeClr val="accent4"/>
            </a:solidFill>
            <a:ln>
              <a:noFill/>
            </a:ln>
            <a:effectLst/>
          </c:spPr>
          <c:invertIfNegative val="0"/>
          <c:dLbls>
            <c:delete val="1"/>
          </c:dLbls>
          <c:cat>
            <c:strRef>
              <c:f>HR!$C$20:$F$20</c:f>
              <c:strCache>
                <c:ptCount val="4"/>
                <c:pt idx="0">
                  <c:v>Croatia</c:v>
                </c:pt>
                <c:pt idx="1">
                  <c:v>Latvia</c:v>
                </c:pt>
                <c:pt idx="2">
                  <c:v>Netherlands</c:v>
                </c:pt>
                <c:pt idx="3">
                  <c:v>Portugal</c:v>
                </c:pt>
              </c:strCache>
            </c:strRef>
          </c:cat>
          <c:val>
            <c:numRef>
              <c:f>HR!$C$24:$F$24</c:f>
              <c:numCache>
                <c:formatCode>0%</c:formatCode>
                <c:ptCount val="4"/>
                <c:pt idx="0">
                  <c:v>0</c:v>
                </c:pt>
                <c:pt idx="1">
                  <c:v>0</c:v>
                </c:pt>
                <c:pt idx="2">
                  <c:v>0</c:v>
                </c:pt>
                <c:pt idx="3">
                  <c:v>0</c:v>
                </c:pt>
              </c:numCache>
            </c:numRef>
          </c:val>
          <c:extLst>
            <c:ext xmlns:c16="http://schemas.microsoft.com/office/drawing/2014/chart" uri="{C3380CC4-5D6E-409C-BE32-E72D297353CC}">
              <c16:uniqueId val="{00000003-F9BD-4A4B-A608-BFBB04D2A62E}"/>
            </c:ext>
          </c:extLst>
        </c:ser>
        <c:ser>
          <c:idx val="4"/>
          <c:order val="4"/>
          <c:tx>
            <c:strRef>
              <c:f>HR!$A$25</c:f>
              <c:strCache>
                <c:ptCount val="1"/>
                <c:pt idx="0">
                  <c:v>Unsure</c:v>
                </c:pt>
              </c:strCache>
            </c:strRef>
          </c:tx>
          <c:spPr>
            <a:solidFill>
              <a:schemeClr val="accent5"/>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4-F9BD-4A4B-A608-BFBB04D2A62E}"/>
                </c:ext>
              </c:extLst>
            </c:dLbl>
            <c:dLbl>
              <c:idx val="2"/>
              <c:delete val="1"/>
              <c:extLst>
                <c:ext xmlns:c15="http://schemas.microsoft.com/office/drawing/2012/chart" uri="{CE6537A1-D6FC-4f65-9D91-7224C49458BB}"/>
                <c:ext xmlns:c16="http://schemas.microsoft.com/office/drawing/2014/chart" uri="{C3380CC4-5D6E-409C-BE32-E72D297353CC}">
                  <c16:uniqueId val="{00000005-F9BD-4A4B-A608-BFBB04D2A62E}"/>
                </c:ext>
              </c:extLst>
            </c:dLbl>
            <c:dLbl>
              <c:idx val="3"/>
              <c:delete val="1"/>
              <c:extLst>
                <c:ext xmlns:c15="http://schemas.microsoft.com/office/drawing/2012/chart" uri="{CE6537A1-D6FC-4f65-9D91-7224C49458BB}"/>
                <c:ext xmlns:c16="http://schemas.microsoft.com/office/drawing/2014/chart" uri="{C3380CC4-5D6E-409C-BE32-E72D297353CC}">
                  <c16:uniqueId val="{00000006-F9BD-4A4B-A608-BFBB04D2A62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HR!$C$20:$F$20</c:f>
              <c:strCache>
                <c:ptCount val="4"/>
                <c:pt idx="0">
                  <c:v>Croatia</c:v>
                </c:pt>
                <c:pt idx="1">
                  <c:v>Latvia</c:v>
                </c:pt>
                <c:pt idx="2">
                  <c:v>Netherlands</c:v>
                </c:pt>
                <c:pt idx="3">
                  <c:v>Portugal</c:v>
                </c:pt>
              </c:strCache>
            </c:strRef>
          </c:cat>
          <c:val>
            <c:numRef>
              <c:f>HR!$C$25:$F$25</c:f>
              <c:numCache>
                <c:formatCode>0%</c:formatCode>
                <c:ptCount val="4"/>
                <c:pt idx="0">
                  <c:v>7.6923076923076927E-2</c:v>
                </c:pt>
                <c:pt idx="1">
                  <c:v>0</c:v>
                </c:pt>
                <c:pt idx="2">
                  <c:v>0</c:v>
                </c:pt>
                <c:pt idx="3">
                  <c:v>0</c:v>
                </c:pt>
              </c:numCache>
            </c:numRef>
          </c:val>
          <c:extLst>
            <c:ext xmlns:c16="http://schemas.microsoft.com/office/drawing/2014/chart" uri="{C3380CC4-5D6E-409C-BE32-E72D297353CC}">
              <c16:uniqueId val="{00000007-F9BD-4A4B-A608-BFBB04D2A62E}"/>
            </c:ext>
          </c:extLst>
        </c:ser>
        <c:dLbls>
          <c:dLblPos val="ctr"/>
          <c:showLegendKey val="0"/>
          <c:showVal val="1"/>
          <c:showCatName val="0"/>
          <c:showSerName val="0"/>
          <c:showPercent val="0"/>
          <c:showBubbleSize val="0"/>
        </c:dLbls>
        <c:gapWidth val="150"/>
        <c:overlap val="100"/>
        <c:axId val="655380776"/>
        <c:axId val="655382744"/>
      </c:barChart>
      <c:catAx>
        <c:axId val="655380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655382744"/>
        <c:crosses val="autoZero"/>
        <c:auto val="1"/>
        <c:lblAlgn val="ctr"/>
        <c:lblOffset val="100"/>
        <c:noMultiLvlLbl val="0"/>
      </c:catAx>
      <c:valAx>
        <c:axId val="6553827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655380776"/>
        <c:crosses val="autoZero"/>
        <c:crossBetween val="between"/>
      </c:valAx>
      <c:spPr>
        <a:noFill/>
        <a:ln>
          <a:noFill/>
        </a:ln>
        <a:effectLst/>
      </c:spPr>
    </c:plotArea>
    <c:legend>
      <c:legendPos val="b"/>
      <c:layout>
        <c:manualLayout>
          <c:xMode val="edge"/>
          <c:yMode val="edge"/>
          <c:x val="4.0363682271307537E-2"/>
          <c:y val="0.79143818854704229"/>
          <c:w val="0.9596363177286924"/>
          <c:h val="0.1758464352261310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legend>
    <c:plotVisOnly val="1"/>
    <c:dispBlanksAs val="gap"/>
    <c:showDLblsOverMax val="0"/>
  </c:chart>
  <c:spPr>
    <a:solidFill>
      <a:schemeClr val="bg1"/>
    </a:solidFill>
    <a:ln w="9525" cap="flat" cmpd="sng" algn="ctr">
      <a:noFill/>
      <a:round/>
    </a:ln>
    <a:effectLst/>
  </c:spPr>
  <c:txPr>
    <a:bodyPr/>
    <a:lstStyle/>
    <a:p>
      <a:pPr>
        <a:defRPr/>
      </a:pPr>
      <a:endParaRPr lang="fi-FI"/>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i-FI" sz="1100"/>
              <a:t> In your opinion, has the Horizon2020 programme helped the EU become a knowledge and innovation-based economy and society?</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fi-FI"/>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DEF-4D4F-A56F-B853992E3E9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DEF-4D4F-A56F-B853992E3E9D}"/>
              </c:ext>
            </c:extLst>
          </c:dPt>
          <c:dPt>
            <c:idx val="2"/>
            <c:bubble3D val="0"/>
            <c:spPr>
              <a:solidFill>
                <a:schemeClr val="bg1">
                  <a:lumMod val="75000"/>
                </a:schemeClr>
              </a:solidFill>
              <a:ln w="19050">
                <a:solidFill>
                  <a:schemeClr val="lt1"/>
                </a:solidFill>
              </a:ln>
              <a:effectLst/>
            </c:spPr>
            <c:extLst>
              <c:ext xmlns:c16="http://schemas.microsoft.com/office/drawing/2014/chart" uri="{C3380CC4-5D6E-409C-BE32-E72D297353CC}">
                <c16:uniqueId val="{00000005-EDEF-4D4F-A56F-B853992E3E9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DEF-4D4F-A56F-B853992E3E9D}"/>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EDEF-4D4F-A56F-B853992E3E9D}"/>
              </c:ext>
            </c:extLst>
          </c:dPt>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FullPercentage!$A$30:$A$32</c:f>
              <c:strCache>
                <c:ptCount val="3"/>
                <c:pt idx="0">
                  <c:v>Yes – The EU has solid advances in the right direction</c:v>
                </c:pt>
                <c:pt idx="1">
                  <c:v>No relevant progress during the 2014-2020 funding period</c:v>
                </c:pt>
                <c:pt idx="2">
                  <c:v>Unsure</c:v>
                </c:pt>
              </c:strCache>
            </c:strRef>
          </c:cat>
          <c:val>
            <c:numRef>
              <c:f>FullPercentage!$C$30:$C$32</c:f>
              <c:numCache>
                <c:formatCode>0.000%</c:formatCode>
                <c:ptCount val="3"/>
                <c:pt idx="0">
                  <c:v>0.87179487179487181</c:v>
                </c:pt>
                <c:pt idx="1">
                  <c:v>5.128205128205128E-2</c:v>
                </c:pt>
                <c:pt idx="2">
                  <c:v>7.6923076923076927E-2</c:v>
                </c:pt>
              </c:numCache>
            </c:numRef>
          </c:val>
          <c:extLst>
            <c:ext xmlns:c16="http://schemas.microsoft.com/office/drawing/2014/chart" uri="{C3380CC4-5D6E-409C-BE32-E72D297353CC}">
              <c16:uniqueId val="{0000000A-EDEF-4D4F-A56F-B853992E3E9D}"/>
            </c:ext>
          </c:extLst>
        </c:ser>
        <c:dLbls>
          <c:dLblPos val="inEnd"/>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legend>
    <c:plotVisOnly val="1"/>
    <c:dispBlanksAs val="gap"/>
    <c:showDLblsOverMax val="0"/>
  </c:chart>
  <c:spPr>
    <a:solidFill>
      <a:schemeClr val="bg1"/>
    </a:solidFill>
    <a:ln w="9525" cap="flat" cmpd="sng" algn="ctr">
      <a:noFill/>
      <a:round/>
    </a:ln>
    <a:effectLst/>
  </c:spPr>
  <c:txPr>
    <a:bodyPr/>
    <a:lstStyle/>
    <a:p>
      <a:pPr>
        <a:defRPr/>
      </a:pPr>
      <a:endParaRPr lang="fi-FI"/>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i-FI" sz="1100"/>
              <a:t> In your opinion, has the Horizon2020 programme helped the EU become a knowledge and innovation-based economy and society?</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fi-FI"/>
        </a:p>
      </c:txPr>
    </c:title>
    <c:autoTitleDeleted val="0"/>
    <c:plotArea>
      <c:layout/>
      <c:barChart>
        <c:barDir val="col"/>
        <c:grouping val="percentStacked"/>
        <c:varyColors val="0"/>
        <c:ser>
          <c:idx val="0"/>
          <c:order val="0"/>
          <c:tx>
            <c:strRef>
              <c:f>HR!$A$30</c:f>
              <c:strCache>
                <c:ptCount val="1"/>
                <c:pt idx="0">
                  <c:v>Yes – The EU has solid advances in the right direction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HR!$C$20:$F$20</c:f>
              <c:strCache>
                <c:ptCount val="4"/>
                <c:pt idx="0">
                  <c:v>Croatia</c:v>
                </c:pt>
                <c:pt idx="1">
                  <c:v>Latvia</c:v>
                </c:pt>
                <c:pt idx="2">
                  <c:v>Netherlands</c:v>
                </c:pt>
                <c:pt idx="3">
                  <c:v>Portugal</c:v>
                </c:pt>
              </c:strCache>
            </c:strRef>
          </c:cat>
          <c:val>
            <c:numRef>
              <c:f>HR!$C$30:$F$30</c:f>
              <c:numCache>
                <c:formatCode>0%</c:formatCode>
                <c:ptCount val="4"/>
                <c:pt idx="0">
                  <c:v>0.76923076923076938</c:v>
                </c:pt>
                <c:pt idx="1">
                  <c:v>0.66666666666666652</c:v>
                </c:pt>
                <c:pt idx="2">
                  <c:v>1</c:v>
                </c:pt>
                <c:pt idx="3">
                  <c:v>1</c:v>
                </c:pt>
              </c:numCache>
            </c:numRef>
          </c:val>
          <c:extLst>
            <c:ext xmlns:c16="http://schemas.microsoft.com/office/drawing/2014/chart" uri="{C3380CC4-5D6E-409C-BE32-E72D297353CC}">
              <c16:uniqueId val="{00000000-580D-41C8-A77B-22D1CF31F2BC}"/>
            </c:ext>
          </c:extLst>
        </c:ser>
        <c:ser>
          <c:idx val="1"/>
          <c:order val="1"/>
          <c:tx>
            <c:strRef>
              <c:f>HR!$A$31</c:f>
              <c:strCache>
                <c:ptCount val="1"/>
                <c:pt idx="0">
                  <c:v>No relevant progress during the 2014-2020 funding period</c:v>
                </c:pt>
              </c:strCache>
            </c:strRef>
          </c:tx>
          <c:spPr>
            <a:solidFill>
              <a:schemeClr val="accent4"/>
            </a:solidFill>
            <a:ln>
              <a:noFill/>
            </a:ln>
            <a:effectLst/>
          </c:spPr>
          <c:invertIfNegative val="0"/>
          <c:dLbls>
            <c:dLbl>
              <c:idx val="2"/>
              <c:delete val="1"/>
              <c:extLst>
                <c:ext xmlns:c15="http://schemas.microsoft.com/office/drawing/2012/chart" uri="{CE6537A1-D6FC-4f65-9D91-7224C49458BB}"/>
                <c:ext xmlns:c16="http://schemas.microsoft.com/office/drawing/2014/chart" uri="{C3380CC4-5D6E-409C-BE32-E72D297353CC}">
                  <c16:uniqueId val="{00000001-580D-41C8-A77B-22D1CF31F2BC}"/>
                </c:ext>
              </c:extLst>
            </c:dLbl>
            <c:dLbl>
              <c:idx val="3"/>
              <c:delete val="1"/>
              <c:extLst>
                <c:ext xmlns:c15="http://schemas.microsoft.com/office/drawing/2012/chart" uri="{CE6537A1-D6FC-4f65-9D91-7224C49458BB}"/>
                <c:ext xmlns:c16="http://schemas.microsoft.com/office/drawing/2014/chart" uri="{C3380CC4-5D6E-409C-BE32-E72D297353CC}">
                  <c16:uniqueId val="{00000002-580D-41C8-A77B-22D1CF31F2B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HR!$C$20:$F$20</c:f>
              <c:strCache>
                <c:ptCount val="4"/>
                <c:pt idx="0">
                  <c:v>Croatia</c:v>
                </c:pt>
                <c:pt idx="1">
                  <c:v>Latvia</c:v>
                </c:pt>
                <c:pt idx="2">
                  <c:v>Netherlands</c:v>
                </c:pt>
                <c:pt idx="3">
                  <c:v>Portugal</c:v>
                </c:pt>
              </c:strCache>
            </c:strRef>
          </c:cat>
          <c:val>
            <c:numRef>
              <c:f>HR!$C$31:$F$31</c:f>
              <c:numCache>
                <c:formatCode>0%</c:formatCode>
                <c:ptCount val="4"/>
                <c:pt idx="0">
                  <c:v>7.6923076923076927E-2</c:v>
                </c:pt>
                <c:pt idx="1">
                  <c:v>0.16666666666666663</c:v>
                </c:pt>
                <c:pt idx="2">
                  <c:v>0</c:v>
                </c:pt>
                <c:pt idx="3">
                  <c:v>0</c:v>
                </c:pt>
              </c:numCache>
            </c:numRef>
          </c:val>
          <c:extLst>
            <c:ext xmlns:c16="http://schemas.microsoft.com/office/drawing/2014/chart" uri="{C3380CC4-5D6E-409C-BE32-E72D297353CC}">
              <c16:uniqueId val="{00000003-580D-41C8-A77B-22D1CF31F2BC}"/>
            </c:ext>
          </c:extLst>
        </c:ser>
        <c:ser>
          <c:idx val="2"/>
          <c:order val="2"/>
          <c:tx>
            <c:strRef>
              <c:f>HR!$A$32</c:f>
              <c:strCache>
                <c:ptCount val="1"/>
                <c:pt idx="0">
                  <c:v>Unsure</c:v>
                </c:pt>
              </c:strCache>
            </c:strRef>
          </c:tx>
          <c:spPr>
            <a:solidFill>
              <a:schemeClr val="tx1">
                <a:lumMod val="50000"/>
                <a:lumOff val="50000"/>
              </a:schemeClr>
            </a:solidFill>
            <a:ln>
              <a:noFill/>
            </a:ln>
            <a:effectLst/>
          </c:spPr>
          <c:invertIfNegative val="0"/>
          <c:dLbls>
            <c:dLbl>
              <c:idx val="2"/>
              <c:delete val="1"/>
              <c:extLst>
                <c:ext xmlns:c15="http://schemas.microsoft.com/office/drawing/2012/chart" uri="{CE6537A1-D6FC-4f65-9D91-7224C49458BB}"/>
                <c:ext xmlns:c16="http://schemas.microsoft.com/office/drawing/2014/chart" uri="{C3380CC4-5D6E-409C-BE32-E72D297353CC}">
                  <c16:uniqueId val="{00000004-580D-41C8-A77B-22D1CF31F2BC}"/>
                </c:ext>
              </c:extLst>
            </c:dLbl>
            <c:dLbl>
              <c:idx val="3"/>
              <c:delete val="1"/>
              <c:extLst>
                <c:ext xmlns:c15="http://schemas.microsoft.com/office/drawing/2012/chart" uri="{CE6537A1-D6FC-4f65-9D91-7224C49458BB}"/>
                <c:ext xmlns:c16="http://schemas.microsoft.com/office/drawing/2014/chart" uri="{C3380CC4-5D6E-409C-BE32-E72D297353CC}">
                  <c16:uniqueId val="{00000005-580D-41C8-A77B-22D1CF31F2B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HR!$C$20:$F$20</c:f>
              <c:strCache>
                <c:ptCount val="4"/>
                <c:pt idx="0">
                  <c:v>Croatia</c:v>
                </c:pt>
                <c:pt idx="1">
                  <c:v>Latvia</c:v>
                </c:pt>
                <c:pt idx="2">
                  <c:v>Netherlands</c:v>
                </c:pt>
                <c:pt idx="3">
                  <c:v>Portugal</c:v>
                </c:pt>
              </c:strCache>
            </c:strRef>
          </c:cat>
          <c:val>
            <c:numRef>
              <c:f>HR!$C$32:$F$32</c:f>
              <c:numCache>
                <c:formatCode>0%</c:formatCode>
                <c:ptCount val="4"/>
                <c:pt idx="0">
                  <c:v>0.15384615384615385</c:v>
                </c:pt>
                <c:pt idx="1">
                  <c:v>0.16666666666666663</c:v>
                </c:pt>
                <c:pt idx="2">
                  <c:v>0</c:v>
                </c:pt>
                <c:pt idx="3">
                  <c:v>0</c:v>
                </c:pt>
              </c:numCache>
            </c:numRef>
          </c:val>
          <c:extLst>
            <c:ext xmlns:c16="http://schemas.microsoft.com/office/drawing/2014/chart" uri="{C3380CC4-5D6E-409C-BE32-E72D297353CC}">
              <c16:uniqueId val="{00000006-580D-41C8-A77B-22D1CF31F2BC}"/>
            </c:ext>
          </c:extLst>
        </c:ser>
        <c:dLbls>
          <c:dLblPos val="ctr"/>
          <c:showLegendKey val="0"/>
          <c:showVal val="1"/>
          <c:showCatName val="0"/>
          <c:showSerName val="0"/>
          <c:showPercent val="0"/>
          <c:showBubbleSize val="0"/>
        </c:dLbls>
        <c:gapWidth val="150"/>
        <c:overlap val="100"/>
        <c:axId val="655380776"/>
        <c:axId val="655382744"/>
      </c:barChart>
      <c:catAx>
        <c:axId val="655380776"/>
        <c:scaling>
          <c:orientation val="minMax"/>
        </c:scaling>
        <c:delete val="0"/>
        <c:axPos val="b"/>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655382744"/>
        <c:crosses val="autoZero"/>
        <c:auto val="1"/>
        <c:lblAlgn val="ctr"/>
        <c:lblOffset val="100"/>
        <c:noMultiLvlLbl val="0"/>
      </c:catAx>
      <c:valAx>
        <c:axId val="6553827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655380776"/>
        <c:crosses val="autoZero"/>
        <c:crossBetween val="between"/>
      </c:valAx>
      <c:spPr>
        <a:noFill/>
        <a:ln>
          <a:noFill/>
        </a:ln>
        <a:effectLst/>
      </c:spPr>
    </c:plotArea>
    <c:legend>
      <c:legendPos val="b"/>
      <c:layout>
        <c:manualLayout>
          <c:xMode val="edge"/>
          <c:yMode val="edge"/>
          <c:x val="1.3419748036003872E-2"/>
          <c:y val="0.79835264237096915"/>
          <c:w val="0.97065506356574471"/>
          <c:h val="0.1796994869901260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legend>
    <c:plotVisOnly val="1"/>
    <c:dispBlanksAs val="gap"/>
    <c:showDLblsOverMax val="0"/>
  </c:chart>
  <c:spPr>
    <a:solidFill>
      <a:schemeClr val="bg1"/>
    </a:solidFill>
    <a:ln w="9525" cap="flat" cmpd="sng" algn="ctr">
      <a:noFill/>
      <a:round/>
    </a:ln>
    <a:effectLst/>
  </c:spPr>
  <c:txPr>
    <a:bodyPr/>
    <a:lstStyle/>
    <a:p>
      <a:pPr>
        <a:defRPr/>
      </a:pPr>
      <a:endParaRPr lang="fi-FI"/>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i-FI" sz="1100"/>
              <a:t> In your opinion, has the Horizon2020 programme helped the EU become a knowledge and innovation-based economy and society?</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fi-FI"/>
        </a:p>
      </c:txPr>
    </c:title>
    <c:autoTitleDeleted val="0"/>
    <c:plotArea>
      <c:layout/>
      <c:barChart>
        <c:barDir val="col"/>
        <c:grouping val="percentStacked"/>
        <c:varyColors val="0"/>
        <c:ser>
          <c:idx val="0"/>
          <c:order val="0"/>
          <c:tx>
            <c:strRef>
              <c:f>Research!$A$30</c:f>
              <c:strCache>
                <c:ptCount val="1"/>
                <c:pt idx="0">
                  <c:v>Yes – The EU has solid advances in the right direction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Research!$C$29:$G$29</c:f>
              <c:strCache>
                <c:ptCount val="5"/>
                <c:pt idx="0">
                  <c:v>Research Institutes</c:v>
                </c:pt>
                <c:pt idx="1">
                  <c:v>Public Authorities</c:v>
                </c:pt>
                <c:pt idx="2">
                  <c:v>Business</c:v>
                </c:pt>
                <c:pt idx="3">
                  <c:v>Civil Society</c:v>
                </c:pt>
                <c:pt idx="4">
                  <c:v>Other</c:v>
                </c:pt>
              </c:strCache>
            </c:strRef>
          </c:cat>
          <c:val>
            <c:numRef>
              <c:f>Research!$C$30:$G$30</c:f>
              <c:numCache>
                <c:formatCode>0%</c:formatCode>
                <c:ptCount val="5"/>
                <c:pt idx="0">
                  <c:v>0.95454545454545459</c:v>
                </c:pt>
                <c:pt idx="1">
                  <c:v>1</c:v>
                </c:pt>
                <c:pt idx="2">
                  <c:v>0.5</c:v>
                </c:pt>
                <c:pt idx="3">
                  <c:v>0.75</c:v>
                </c:pt>
                <c:pt idx="4">
                  <c:v>0.8</c:v>
                </c:pt>
              </c:numCache>
            </c:numRef>
          </c:val>
          <c:extLst>
            <c:ext xmlns:c16="http://schemas.microsoft.com/office/drawing/2014/chart" uri="{C3380CC4-5D6E-409C-BE32-E72D297353CC}">
              <c16:uniqueId val="{00000000-7864-4A78-9DF2-D986FCF3D66D}"/>
            </c:ext>
          </c:extLst>
        </c:ser>
        <c:ser>
          <c:idx val="1"/>
          <c:order val="1"/>
          <c:tx>
            <c:strRef>
              <c:f>Research!$A$31</c:f>
              <c:strCache>
                <c:ptCount val="1"/>
                <c:pt idx="0">
                  <c:v>No relevant progress during the 2014-2020 funding period</c:v>
                </c:pt>
              </c:strCache>
            </c:strRef>
          </c:tx>
          <c:spPr>
            <a:solidFill>
              <a:schemeClr val="accent4"/>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1-7864-4A78-9DF2-D986FCF3D66D}"/>
                </c:ext>
              </c:extLst>
            </c:dLbl>
            <c:dLbl>
              <c:idx val="1"/>
              <c:delete val="1"/>
              <c:extLst>
                <c:ext xmlns:c15="http://schemas.microsoft.com/office/drawing/2012/chart" uri="{CE6537A1-D6FC-4f65-9D91-7224C49458BB}"/>
                <c:ext xmlns:c16="http://schemas.microsoft.com/office/drawing/2014/chart" uri="{C3380CC4-5D6E-409C-BE32-E72D297353CC}">
                  <c16:uniqueId val="{00000002-7864-4A78-9DF2-D986FCF3D66D}"/>
                </c:ext>
              </c:extLst>
            </c:dLbl>
            <c:dLbl>
              <c:idx val="4"/>
              <c:delete val="1"/>
              <c:extLst>
                <c:ext xmlns:c15="http://schemas.microsoft.com/office/drawing/2012/chart" uri="{CE6537A1-D6FC-4f65-9D91-7224C49458BB}"/>
                <c:ext xmlns:c16="http://schemas.microsoft.com/office/drawing/2014/chart" uri="{C3380CC4-5D6E-409C-BE32-E72D297353CC}">
                  <c16:uniqueId val="{00000003-7864-4A78-9DF2-D986FCF3D66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Research!$C$29:$G$29</c:f>
              <c:strCache>
                <c:ptCount val="5"/>
                <c:pt idx="0">
                  <c:v>Research Institutes</c:v>
                </c:pt>
                <c:pt idx="1">
                  <c:v>Public Authorities</c:v>
                </c:pt>
                <c:pt idx="2">
                  <c:v>Business</c:v>
                </c:pt>
                <c:pt idx="3">
                  <c:v>Civil Society</c:v>
                </c:pt>
                <c:pt idx="4">
                  <c:v>Other</c:v>
                </c:pt>
              </c:strCache>
            </c:strRef>
          </c:cat>
          <c:val>
            <c:numRef>
              <c:f>Research!$C$31:$G$31</c:f>
              <c:numCache>
                <c:formatCode>0%</c:formatCode>
                <c:ptCount val="5"/>
                <c:pt idx="0">
                  <c:v>0</c:v>
                </c:pt>
                <c:pt idx="1">
                  <c:v>0</c:v>
                </c:pt>
                <c:pt idx="2">
                  <c:v>0.25</c:v>
                </c:pt>
                <c:pt idx="3">
                  <c:v>0.25</c:v>
                </c:pt>
                <c:pt idx="4">
                  <c:v>0</c:v>
                </c:pt>
              </c:numCache>
            </c:numRef>
          </c:val>
          <c:extLst>
            <c:ext xmlns:c16="http://schemas.microsoft.com/office/drawing/2014/chart" uri="{C3380CC4-5D6E-409C-BE32-E72D297353CC}">
              <c16:uniqueId val="{00000004-7864-4A78-9DF2-D986FCF3D66D}"/>
            </c:ext>
          </c:extLst>
        </c:ser>
        <c:ser>
          <c:idx val="2"/>
          <c:order val="2"/>
          <c:tx>
            <c:strRef>
              <c:f>Research!$A$32</c:f>
              <c:strCache>
                <c:ptCount val="1"/>
                <c:pt idx="0">
                  <c:v>Unsure</c:v>
                </c:pt>
              </c:strCache>
            </c:strRef>
          </c:tx>
          <c:spPr>
            <a:solidFill>
              <a:schemeClr val="tx1">
                <a:lumMod val="50000"/>
                <a:lumOff val="50000"/>
              </a:schemeClr>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5-7864-4A78-9DF2-D986FCF3D66D}"/>
                </c:ext>
              </c:extLst>
            </c:dLbl>
            <c:dLbl>
              <c:idx val="3"/>
              <c:delete val="1"/>
              <c:extLst>
                <c:ext xmlns:c15="http://schemas.microsoft.com/office/drawing/2012/chart" uri="{CE6537A1-D6FC-4f65-9D91-7224C49458BB}"/>
                <c:ext xmlns:c16="http://schemas.microsoft.com/office/drawing/2014/chart" uri="{C3380CC4-5D6E-409C-BE32-E72D297353CC}">
                  <c16:uniqueId val="{00000006-7864-4A78-9DF2-D986FCF3D66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Research!$C$29:$G$29</c:f>
              <c:strCache>
                <c:ptCount val="5"/>
                <c:pt idx="0">
                  <c:v>Research Institutes</c:v>
                </c:pt>
                <c:pt idx="1">
                  <c:v>Public Authorities</c:v>
                </c:pt>
                <c:pt idx="2">
                  <c:v>Business</c:v>
                </c:pt>
                <c:pt idx="3">
                  <c:v>Civil Society</c:v>
                </c:pt>
                <c:pt idx="4">
                  <c:v>Other</c:v>
                </c:pt>
              </c:strCache>
            </c:strRef>
          </c:cat>
          <c:val>
            <c:numRef>
              <c:f>Research!$C$32:$G$32</c:f>
              <c:numCache>
                <c:formatCode>0%</c:formatCode>
                <c:ptCount val="5"/>
                <c:pt idx="0">
                  <c:v>4.5454545454545456E-2</c:v>
                </c:pt>
                <c:pt idx="1">
                  <c:v>0</c:v>
                </c:pt>
                <c:pt idx="2">
                  <c:v>0.25</c:v>
                </c:pt>
                <c:pt idx="3">
                  <c:v>0</c:v>
                </c:pt>
                <c:pt idx="4">
                  <c:v>0.2</c:v>
                </c:pt>
              </c:numCache>
            </c:numRef>
          </c:val>
          <c:extLst>
            <c:ext xmlns:c16="http://schemas.microsoft.com/office/drawing/2014/chart" uri="{C3380CC4-5D6E-409C-BE32-E72D297353CC}">
              <c16:uniqueId val="{00000007-7864-4A78-9DF2-D986FCF3D66D}"/>
            </c:ext>
          </c:extLst>
        </c:ser>
        <c:dLbls>
          <c:dLblPos val="ctr"/>
          <c:showLegendKey val="0"/>
          <c:showVal val="1"/>
          <c:showCatName val="0"/>
          <c:showSerName val="0"/>
          <c:showPercent val="0"/>
          <c:showBubbleSize val="0"/>
        </c:dLbls>
        <c:gapWidth val="150"/>
        <c:overlap val="100"/>
        <c:axId val="714833992"/>
        <c:axId val="714829400"/>
      </c:barChart>
      <c:catAx>
        <c:axId val="714833992"/>
        <c:scaling>
          <c:orientation val="minMax"/>
        </c:scaling>
        <c:delete val="0"/>
        <c:axPos val="b"/>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714829400"/>
        <c:crosses val="autoZero"/>
        <c:auto val="1"/>
        <c:lblAlgn val="ctr"/>
        <c:lblOffset val="100"/>
        <c:noMultiLvlLbl val="0"/>
      </c:catAx>
      <c:valAx>
        <c:axId val="7148294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71483399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fi-FI"/>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i-FI" sz="1100"/>
              <a:t>In your opinion, has the Horizon2020 programme helped the EU:</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fi-FI"/>
        </a:p>
      </c:txPr>
    </c:title>
    <c:autoTitleDeleted val="0"/>
    <c:plotArea>
      <c:layout/>
      <c:barChart>
        <c:barDir val="col"/>
        <c:grouping val="stacked"/>
        <c:varyColors val="0"/>
        <c:ser>
          <c:idx val="0"/>
          <c:order val="0"/>
          <c:tx>
            <c:strRef>
              <c:f>FullPercentage!$A$37</c:f>
              <c:strCache>
                <c:ptCount val="1"/>
                <c:pt idx="0">
                  <c:v>Yes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FullPercentage!$C$36:$E$36</c:f>
              <c:strCache>
                <c:ptCount val="3"/>
                <c:pt idx="0">
                  <c:v>Strengthen the EU’s excellence in science</c:v>
                </c:pt>
                <c:pt idx="1">
                  <c:v>Support the technological leadership and innovation capability in the private sector</c:v>
                </c:pt>
                <c:pt idx="2">
                  <c:v>Tackle the societal challenges identified in the Europe 2020 strategy by supporting activities covering the entire spectrum from research to market</c:v>
                </c:pt>
              </c:strCache>
            </c:strRef>
          </c:cat>
          <c:val>
            <c:numRef>
              <c:f>FullPercentage!$C$37:$E$37</c:f>
              <c:numCache>
                <c:formatCode>0%</c:formatCode>
                <c:ptCount val="3"/>
                <c:pt idx="0">
                  <c:v>0.89743589743589747</c:v>
                </c:pt>
                <c:pt idx="1">
                  <c:v>0.53846153846153844</c:v>
                </c:pt>
                <c:pt idx="2">
                  <c:v>0.66666666666666652</c:v>
                </c:pt>
              </c:numCache>
            </c:numRef>
          </c:val>
          <c:extLst>
            <c:ext xmlns:c16="http://schemas.microsoft.com/office/drawing/2014/chart" uri="{C3380CC4-5D6E-409C-BE32-E72D297353CC}">
              <c16:uniqueId val="{00000000-3CB9-49D2-A280-8A28A7C6D08A}"/>
            </c:ext>
          </c:extLst>
        </c:ser>
        <c:ser>
          <c:idx val="1"/>
          <c:order val="1"/>
          <c:tx>
            <c:strRef>
              <c:f>FullPercentage!$A$38</c:f>
              <c:strCache>
                <c:ptCount val="1"/>
                <c:pt idx="0">
                  <c:v>No</c:v>
                </c:pt>
              </c:strCache>
            </c:strRef>
          </c:tx>
          <c:spPr>
            <a:solidFill>
              <a:schemeClr val="accent4"/>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1-3CB9-49D2-A280-8A28A7C6D08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FullPercentage!$C$36:$E$36</c:f>
              <c:strCache>
                <c:ptCount val="3"/>
                <c:pt idx="0">
                  <c:v>Strengthen the EU’s excellence in science</c:v>
                </c:pt>
                <c:pt idx="1">
                  <c:v>Support the technological leadership and innovation capability in the private sector</c:v>
                </c:pt>
                <c:pt idx="2">
                  <c:v>Tackle the societal challenges identified in the Europe 2020 strategy by supporting activities covering the entire spectrum from research to market</c:v>
                </c:pt>
              </c:strCache>
            </c:strRef>
          </c:cat>
          <c:val>
            <c:numRef>
              <c:f>FullPercentage!$C$38:$E$38</c:f>
              <c:numCache>
                <c:formatCode>0%</c:formatCode>
                <c:ptCount val="3"/>
                <c:pt idx="0">
                  <c:v>0</c:v>
                </c:pt>
                <c:pt idx="1">
                  <c:v>2.564102564102564E-2</c:v>
                </c:pt>
                <c:pt idx="2">
                  <c:v>5.128205128205128E-2</c:v>
                </c:pt>
              </c:numCache>
            </c:numRef>
          </c:val>
          <c:extLst>
            <c:ext xmlns:c16="http://schemas.microsoft.com/office/drawing/2014/chart" uri="{C3380CC4-5D6E-409C-BE32-E72D297353CC}">
              <c16:uniqueId val="{00000002-3CB9-49D2-A280-8A28A7C6D08A}"/>
            </c:ext>
          </c:extLst>
        </c:ser>
        <c:ser>
          <c:idx val="2"/>
          <c:order val="2"/>
          <c:tx>
            <c:strRef>
              <c:f>FullPercentage!$A$39</c:f>
              <c:strCache>
                <c:ptCount val="1"/>
                <c:pt idx="0">
                  <c:v>Unsure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FullPercentage!$C$36:$E$36</c:f>
              <c:strCache>
                <c:ptCount val="3"/>
                <c:pt idx="0">
                  <c:v>Strengthen the EU’s excellence in science</c:v>
                </c:pt>
                <c:pt idx="1">
                  <c:v>Support the technological leadership and innovation capability in the private sector</c:v>
                </c:pt>
                <c:pt idx="2">
                  <c:v>Tackle the societal challenges identified in the Europe 2020 strategy by supporting activities covering the entire spectrum from research to market</c:v>
                </c:pt>
              </c:strCache>
            </c:strRef>
          </c:cat>
          <c:val>
            <c:numRef>
              <c:f>FullPercentage!$C$39:$E$39</c:f>
              <c:numCache>
                <c:formatCode>0%</c:formatCode>
                <c:ptCount val="3"/>
                <c:pt idx="0">
                  <c:v>0.10256410256410256</c:v>
                </c:pt>
                <c:pt idx="1">
                  <c:v>0.4358974358974359</c:v>
                </c:pt>
                <c:pt idx="2">
                  <c:v>0.28205128205128205</c:v>
                </c:pt>
              </c:numCache>
            </c:numRef>
          </c:val>
          <c:extLst>
            <c:ext xmlns:c16="http://schemas.microsoft.com/office/drawing/2014/chart" uri="{C3380CC4-5D6E-409C-BE32-E72D297353CC}">
              <c16:uniqueId val="{00000003-3CB9-49D2-A280-8A28A7C6D08A}"/>
            </c:ext>
          </c:extLst>
        </c:ser>
        <c:dLbls>
          <c:dLblPos val="ctr"/>
          <c:showLegendKey val="0"/>
          <c:showVal val="1"/>
          <c:showCatName val="0"/>
          <c:showSerName val="0"/>
          <c:showPercent val="0"/>
          <c:showBubbleSize val="0"/>
        </c:dLbls>
        <c:gapWidth val="150"/>
        <c:overlap val="100"/>
        <c:axId val="660266736"/>
        <c:axId val="660267392"/>
      </c:barChart>
      <c:catAx>
        <c:axId val="660266736"/>
        <c:scaling>
          <c:orientation val="minMax"/>
        </c:scaling>
        <c:delete val="0"/>
        <c:axPos val="b"/>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660267392"/>
        <c:crosses val="autoZero"/>
        <c:auto val="1"/>
        <c:lblAlgn val="ctr"/>
        <c:lblOffset val="100"/>
        <c:noMultiLvlLbl val="0"/>
      </c:catAx>
      <c:valAx>
        <c:axId val="660267392"/>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660266736"/>
        <c:crosses val="autoZero"/>
        <c:crossBetween val="between"/>
        <c:majorUnit val="0.2"/>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fi-FI"/>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i-FI" sz="1100"/>
              <a:t> In your opinion, how effective have Horizon 2020 priorities been in contributing to the programme's objectives and expected results?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i-FI"/>
        </a:p>
      </c:txPr>
    </c:title>
    <c:autoTitleDeleted val="0"/>
    <c:plotArea>
      <c:layout/>
      <c:barChart>
        <c:barDir val="col"/>
        <c:grouping val="stacked"/>
        <c:varyColors val="0"/>
        <c:ser>
          <c:idx val="0"/>
          <c:order val="0"/>
          <c:tx>
            <c:strRef>
              <c:f>FullPercentage!$A$58</c:f>
              <c:strCache>
                <c:ptCount val="1"/>
                <c:pt idx="0">
                  <c:v>Very effective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FullPercentage!$C$57:$E$57</c:f>
              <c:strCache>
                <c:ptCount val="3"/>
                <c:pt idx="0">
                  <c:v>Excellent Science</c:v>
                </c:pt>
                <c:pt idx="1">
                  <c:v> Industrial Leadership</c:v>
                </c:pt>
                <c:pt idx="2">
                  <c:v>Societal Challenges</c:v>
                </c:pt>
              </c:strCache>
              <c:extLst/>
            </c:strRef>
          </c:cat>
          <c:val>
            <c:numRef>
              <c:f>FullPercentage!$C$58:$E$58</c:f>
              <c:numCache>
                <c:formatCode>0%</c:formatCode>
                <c:ptCount val="3"/>
                <c:pt idx="0">
                  <c:v>0.69230769230769229</c:v>
                </c:pt>
                <c:pt idx="1">
                  <c:v>0.10256410256410256</c:v>
                </c:pt>
                <c:pt idx="2">
                  <c:v>0.28205128205128205</c:v>
                </c:pt>
              </c:numCache>
              <c:extLst/>
            </c:numRef>
          </c:val>
          <c:extLst>
            <c:ext xmlns:c16="http://schemas.microsoft.com/office/drawing/2014/chart" uri="{C3380CC4-5D6E-409C-BE32-E72D297353CC}">
              <c16:uniqueId val="{00000000-AF76-43CB-BE81-45F4AF0C2BAD}"/>
            </c:ext>
          </c:extLst>
        </c:ser>
        <c:ser>
          <c:idx val="1"/>
          <c:order val="1"/>
          <c:tx>
            <c:strRef>
              <c:f>FullPercentage!$A$59</c:f>
              <c:strCache>
                <c:ptCount val="1"/>
                <c:pt idx="0">
                  <c:v>Moderately effective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FullPercentage!$C$57:$E$57</c:f>
              <c:strCache>
                <c:ptCount val="3"/>
                <c:pt idx="0">
                  <c:v>Excellent Science</c:v>
                </c:pt>
                <c:pt idx="1">
                  <c:v> Industrial Leadership</c:v>
                </c:pt>
                <c:pt idx="2">
                  <c:v>Societal Challenges</c:v>
                </c:pt>
              </c:strCache>
              <c:extLst/>
            </c:strRef>
          </c:cat>
          <c:val>
            <c:numRef>
              <c:f>FullPercentage!$C$59:$E$59</c:f>
              <c:numCache>
                <c:formatCode>0%</c:formatCode>
                <c:ptCount val="3"/>
                <c:pt idx="0">
                  <c:v>0.17948717948717949</c:v>
                </c:pt>
                <c:pt idx="1">
                  <c:v>0.58974358974358976</c:v>
                </c:pt>
                <c:pt idx="2">
                  <c:v>0.53846153846153844</c:v>
                </c:pt>
              </c:numCache>
              <c:extLst/>
            </c:numRef>
          </c:val>
          <c:extLst>
            <c:ext xmlns:c16="http://schemas.microsoft.com/office/drawing/2014/chart" uri="{C3380CC4-5D6E-409C-BE32-E72D297353CC}">
              <c16:uniqueId val="{00000001-AF76-43CB-BE81-45F4AF0C2BAD}"/>
            </c:ext>
          </c:extLst>
        </c:ser>
        <c:ser>
          <c:idx val="2"/>
          <c:order val="2"/>
          <c:tx>
            <c:strRef>
              <c:f>FullPercentage!$A$60</c:f>
              <c:strCache>
                <c:ptCount val="1"/>
                <c:pt idx="0">
                  <c:v>Not very effective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FullPercentage!$C$57:$E$57</c:f>
              <c:strCache>
                <c:ptCount val="3"/>
                <c:pt idx="0">
                  <c:v>Excellent Science</c:v>
                </c:pt>
                <c:pt idx="1">
                  <c:v> Industrial Leadership</c:v>
                </c:pt>
                <c:pt idx="2">
                  <c:v>Societal Challenges</c:v>
                </c:pt>
              </c:strCache>
              <c:extLst/>
            </c:strRef>
          </c:cat>
          <c:val>
            <c:numRef>
              <c:f>FullPercentage!$C$60:$E$60</c:f>
              <c:numCache>
                <c:formatCode>0%</c:formatCode>
                <c:ptCount val="3"/>
                <c:pt idx="0">
                  <c:v>5.128205128205128E-2</c:v>
                </c:pt>
                <c:pt idx="1">
                  <c:v>0.10256410256410256</c:v>
                </c:pt>
                <c:pt idx="2">
                  <c:v>5.128205128205128E-2</c:v>
                </c:pt>
              </c:numCache>
              <c:extLst/>
            </c:numRef>
          </c:val>
          <c:extLst>
            <c:ext xmlns:c16="http://schemas.microsoft.com/office/drawing/2014/chart" uri="{C3380CC4-5D6E-409C-BE32-E72D297353CC}">
              <c16:uniqueId val="{00000002-AF76-43CB-BE81-45F4AF0C2BAD}"/>
            </c:ext>
          </c:extLst>
        </c:ser>
        <c:ser>
          <c:idx val="3"/>
          <c:order val="3"/>
          <c:tx>
            <c:strRef>
              <c:f>FullPercentage!$A$61</c:f>
              <c:strCache>
                <c:ptCount val="1"/>
                <c:pt idx="0">
                  <c:v>Not at all effective</c:v>
                </c:pt>
              </c:strCache>
            </c:strRef>
          </c:tx>
          <c:spPr>
            <a:solidFill>
              <a:schemeClr val="accent4"/>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3-AF76-43CB-BE81-45F4AF0C2BAD}"/>
                </c:ext>
              </c:extLst>
            </c:dLbl>
            <c:dLbl>
              <c:idx val="1"/>
              <c:delete val="1"/>
              <c:extLst>
                <c:ext xmlns:c15="http://schemas.microsoft.com/office/drawing/2012/chart" uri="{CE6537A1-D6FC-4f65-9D91-7224C49458BB}"/>
                <c:ext xmlns:c16="http://schemas.microsoft.com/office/drawing/2014/chart" uri="{C3380CC4-5D6E-409C-BE32-E72D297353CC}">
                  <c16:uniqueId val="{00000004-AF76-43CB-BE81-45F4AF0C2BAD}"/>
                </c:ext>
              </c:extLst>
            </c:dLbl>
            <c:dLbl>
              <c:idx val="2"/>
              <c:layout>
                <c:manualLayout>
                  <c:x val="-8.5432639649507119E-2"/>
                  <c:y val="4.8778567313232189E-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ctr"/>
              <c:showLegendKey val="0"/>
              <c:showVal val="1"/>
              <c:showCatName val="0"/>
              <c:showSerName val="0"/>
              <c:showPercent val="0"/>
              <c:showBubbleSize val="0"/>
              <c:extLst>
                <c:ext xmlns:c15="http://schemas.microsoft.com/office/drawing/2012/chart" uri="{CE6537A1-D6FC-4f65-9D91-7224C49458BB}">
                  <c15:layout>
                    <c:manualLayout>
                      <c:w val="3.7229001905977527E-2"/>
                      <c:h val="0.11700019204916456"/>
                    </c:manualLayout>
                  </c15:layout>
                </c:ext>
                <c:ext xmlns:c16="http://schemas.microsoft.com/office/drawing/2014/chart" uri="{C3380CC4-5D6E-409C-BE32-E72D297353CC}">
                  <c16:uniqueId val="{00000005-AF76-43CB-BE81-45F4AF0C2BA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FullPercentage!$C$57:$E$57</c:f>
              <c:strCache>
                <c:ptCount val="3"/>
                <c:pt idx="0">
                  <c:v>Excellent Science</c:v>
                </c:pt>
                <c:pt idx="1">
                  <c:v> Industrial Leadership</c:v>
                </c:pt>
                <c:pt idx="2">
                  <c:v>Societal Challenges</c:v>
                </c:pt>
              </c:strCache>
              <c:extLst/>
            </c:strRef>
          </c:cat>
          <c:val>
            <c:numRef>
              <c:f>FullPercentage!$C$61:$E$61</c:f>
              <c:numCache>
                <c:formatCode>0%</c:formatCode>
                <c:ptCount val="3"/>
                <c:pt idx="0">
                  <c:v>0</c:v>
                </c:pt>
                <c:pt idx="1">
                  <c:v>0</c:v>
                </c:pt>
                <c:pt idx="2">
                  <c:v>2.564102564102564E-2</c:v>
                </c:pt>
              </c:numCache>
              <c:extLst/>
            </c:numRef>
          </c:val>
          <c:extLst>
            <c:ext xmlns:c16="http://schemas.microsoft.com/office/drawing/2014/chart" uri="{C3380CC4-5D6E-409C-BE32-E72D297353CC}">
              <c16:uniqueId val="{00000006-AF76-43CB-BE81-45F4AF0C2BAD}"/>
            </c:ext>
          </c:extLst>
        </c:ser>
        <c:ser>
          <c:idx val="4"/>
          <c:order val="4"/>
          <c:tx>
            <c:strRef>
              <c:f>FullPercentage!$A$62</c:f>
              <c:strCache>
                <c:ptCount val="1"/>
                <c:pt idx="0">
                  <c:v>Unsure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FullPercentage!$C$57:$E$57</c:f>
              <c:strCache>
                <c:ptCount val="3"/>
                <c:pt idx="0">
                  <c:v>Excellent Science</c:v>
                </c:pt>
                <c:pt idx="1">
                  <c:v> Industrial Leadership</c:v>
                </c:pt>
                <c:pt idx="2">
                  <c:v>Societal Challenges</c:v>
                </c:pt>
              </c:strCache>
              <c:extLst/>
            </c:strRef>
          </c:cat>
          <c:val>
            <c:numRef>
              <c:f>FullPercentage!$C$62:$E$62</c:f>
              <c:numCache>
                <c:formatCode>0%</c:formatCode>
                <c:ptCount val="3"/>
                <c:pt idx="0">
                  <c:v>7.6923076923076927E-2</c:v>
                </c:pt>
                <c:pt idx="1">
                  <c:v>0.20512820512820512</c:v>
                </c:pt>
                <c:pt idx="2">
                  <c:v>0.10256410256410256</c:v>
                </c:pt>
              </c:numCache>
              <c:extLst/>
            </c:numRef>
          </c:val>
          <c:extLst>
            <c:ext xmlns:c16="http://schemas.microsoft.com/office/drawing/2014/chart" uri="{C3380CC4-5D6E-409C-BE32-E72D297353CC}">
              <c16:uniqueId val="{00000007-AF76-43CB-BE81-45F4AF0C2BAD}"/>
            </c:ext>
          </c:extLst>
        </c:ser>
        <c:dLbls>
          <c:dLblPos val="ctr"/>
          <c:showLegendKey val="0"/>
          <c:showVal val="1"/>
          <c:showCatName val="0"/>
          <c:showSerName val="0"/>
          <c:showPercent val="0"/>
          <c:showBubbleSize val="0"/>
        </c:dLbls>
        <c:gapWidth val="150"/>
        <c:overlap val="100"/>
        <c:axId val="660266736"/>
        <c:axId val="660267392"/>
      </c:barChart>
      <c:catAx>
        <c:axId val="660266736"/>
        <c:scaling>
          <c:orientation val="minMax"/>
        </c:scaling>
        <c:delete val="0"/>
        <c:axPos val="b"/>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660267392"/>
        <c:crosses val="autoZero"/>
        <c:auto val="1"/>
        <c:lblAlgn val="ctr"/>
        <c:lblOffset val="100"/>
        <c:noMultiLvlLbl val="0"/>
      </c:catAx>
      <c:valAx>
        <c:axId val="660267392"/>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660266736"/>
        <c:crosses val="autoZero"/>
        <c:crossBetween val="between"/>
        <c:majorUnit val="0.2"/>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fi-FI"/>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4">
  <a:schemeClr val="accent1"/>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Custom 1">
    <a:dk1>
      <a:sysClr val="windowText" lastClr="000000"/>
    </a:dk1>
    <a:lt1>
      <a:sysClr val="window" lastClr="FFFFFF"/>
    </a:lt1>
    <a:dk2>
      <a:srgbClr val="1F497D"/>
    </a:dk2>
    <a:lt2>
      <a:srgbClr val="EEECE1"/>
    </a:lt2>
    <a:accent1>
      <a:srgbClr val="9BBB59"/>
    </a:accent1>
    <a:accent2>
      <a:srgbClr val="FFC000"/>
    </a:accent2>
    <a:accent3>
      <a:srgbClr val="F79646"/>
    </a:accent3>
    <a:accent4>
      <a:srgbClr val="C0504D"/>
    </a:accent4>
    <a:accent5>
      <a:srgbClr val="7F7F7F"/>
    </a:accent5>
    <a:accent6>
      <a:srgbClr val="C00000"/>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Custom 1">
    <a:dk1>
      <a:sysClr val="windowText" lastClr="000000"/>
    </a:dk1>
    <a:lt1>
      <a:sysClr val="window" lastClr="FFFFFF"/>
    </a:lt1>
    <a:dk2>
      <a:srgbClr val="1F497D"/>
    </a:dk2>
    <a:lt2>
      <a:srgbClr val="EEECE1"/>
    </a:lt2>
    <a:accent1>
      <a:srgbClr val="9BBB59"/>
    </a:accent1>
    <a:accent2>
      <a:srgbClr val="FFC000"/>
    </a:accent2>
    <a:accent3>
      <a:srgbClr val="F79646"/>
    </a:accent3>
    <a:accent4>
      <a:srgbClr val="C0504D"/>
    </a:accent4>
    <a:accent5>
      <a:srgbClr val="7F7F7F"/>
    </a:accent5>
    <a:accent6>
      <a:srgbClr val="C00000"/>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Custom 1">
    <a:dk1>
      <a:sysClr val="windowText" lastClr="000000"/>
    </a:dk1>
    <a:lt1>
      <a:sysClr val="window" lastClr="FFFFFF"/>
    </a:lt1>
    <a:dk2>
      <a:srgbClr val="1F497D"/>
    </a:dk2>
    <a:lt2>
      <a:srgbClr val="EEECE1"/>
    </a:lt2>
    <a:accent1>
      <a:srgbClr val="9BBB59"/>
    </a:accent1>
    <a:accent2>
      <a:srgbClr val="FFC000"/>
    </a:accent2>
    <a:accent3>
      <a:srgbClr val="F79646"/>
    </a:accent3>
    <a:accent4>
      <a:srgbClr val="C0504D"/>
    </a:accent4>
    <a:accent5>
      <a:srgbClr val="7F7F7F"/>
    </a:accent5>
    <a:accent6>
      <a:srgbClr val="C00000"/>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Custom 1">
    <a:dk1>
      <a:sysClr val="windowText" lastClr="000000"/>
    </a:dk1>
    <a:lt1>
      <a:sysClr val="window" lastClr="FFFFFF"/>
    </a:lt1>
    <a:dk2>
      <a:srgbClr val="1F497D"/>
    </a:dk2>
    <a:lt2>
      <a:srgbClr val="EEECE1"/>
    </a:lt2>
    <a:accent1>
      <a:srgbClr val="9BBB59"/>
    </a:accent1>
    <a:accent2>
      <a:srgbClr val="FFC000"/>
    </a:accent2>
    <a:accent3>
      <a:srgbClr val="F79646"/>
    </a:accent3>
    <a:accent4>
      <a:srgbClr val="C0504D"/>
    </a:accent4>
    <a:accent5>
      <a:srgbClr val="7F7F7F"/>
    </a:accent5>
    <a:accent6>
      <a:srgbClr val="C00000"/>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Custom 1">
    <a:dk1>
      <a:sysClr val="windowText" lastClr="000000"/>
    </a:dk1>
    <a:lt1>
      <a:sysClr val="window" lastClr="FFFFFF"/>
    </a:lt1>
    <a:dk2>
      <a:srgbClr val="1F497D"/>
    </a:dk2>
    <a:lt2>
      <a:srgbClr val="EEECE1"/>
    </a:lt2>
    <a:accent1>
      <a:srgbClr val="9BBB59"/>
    </a:accent1>
    <a:accent2>
      <a:srgbClr val="FFC000"/>
    </a:accent2>
    <a:accent3>
      <a:srgbClr val="F79646"/>
    </a:accent3>
    <a:accent4>
      <a:srgbClr val="C0504D"/>
    </a:accent4>
    <a:accent5>
      <a:srgbClr val="7F7F7F"/>
    </a:accent5>
    <a:accent6>
      <a:srgbClr val="C00000"/>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Custom 1">
    <a:dk1>
      <a:sysClr val="windowText" lastClr="000000"/>
    </a:dk1>
    <a:lt1>
      <a:sysClr val="window" lastClr="FFFFFF"/>
    </a:lt1>
    <a:dk2>
      <a:srgbClr val="1F497D"/>
    </a:dk2>
    <a:lt2>
      <a:srgbClr val="EEECE1"/>
    </a:lt2>
    <a:accent1>
      <a:srgbClr val="9BBB59"/>
    </a:accent1>
    <a:accent2>
      <a:srgbClr val="FFC000"/>
    </a:accent2>
    <a:accent3>
      <a:srgbClr val="F79646"/>
    </a:accent3>
    <a:accent4>
      <a:srgbClr val="C0504D"/>
    </a:accent4>
    <a:accent5>
      <a:srgbClr val="7F7F7F"/>
    </a:accent5>
    <a:accent6>
      <a:srgbClr val="C00000"/>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Custom 1">
    <a:dk1>
      <a:sysClr val="windowText" lastClr="000000"/>
    </a:dk1>
    <a:lt1>
      <a:sysClr val="window" lastClr="FFFFFF"/>
    </a:lt1>
    <a:dk2>
      <a:srgbClr val="1F497D"/>
    </a:dk2>
    <a:lt2>
      <a:srgbClr val="EEECE1"/>
    </a:lt2>
    <a:accent1>
      <a:srgbClr val="9BBB59"/>
    </a:accent1>
    <a:accent2>
      <a:srgbClr val="FFC000"/>
    </a:accent2>
    <a:accent3>
      <a:srgbClr val="F79646"/>
    </a:accent3>
    <a:accent4>
      <a:srgbClr val="C0504D"/>
    </a:accent4>
    <a:accent5>
      <a:srgbClr val="7F7F7F"/>
    </a:accent5>
    <a:accent6>
      <a:srgbClr val="C00000"/>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Custom 1">
    <a:dk1>
      <a:sysClr val="windowText" lastClr="000000"/>
    </a:dk1>
    <a:lt1>
      <a:sysClr val="window" lastClr="FFFFFF"/>
    </a:lt1>
    <a:dk2>
      <a:srgbClr val="1F497D"/>
    </a:dk2>
    <a:lt2>
      <a:srgbClr val="EEECE1"/>
    </a:lt2>
    <a:accent1>
      <a:srgbClr val="9BBB59"/>
    </a:accent1>
    <a:accent2>
      <a:srgbClr val="FFC000"/>
    </a:accent2>
    <a:accent3>
      <a:srgbClr val="F79646"/>
    </a:accent3>
    <a:accent4>
      <a:srgbClr val="C0504D"/>
    </a:accent4>
    <a:accent5>
      <a:srgbClr val="7F7F7F"/>
    </a:accent5>
    <a:accent6>
      <a:srgbClr val="C00000"/>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Custom 1">
    <a:dk1>
      <a:sysClr val="windowText" lastClr="000000"/>
    </a:dk1>
    <a:lt1>
      <a:sysClr val="window" lastClr="FFFFFF"/>
    </a:lt1>
    <a:dk2>
      <a:srgbClr val="1F497D"/>
    </a:dk2>
    <a:lt2>
      <a:srgbClr val="EEECE1"/>
    </a:lt2>
    <a:accent1>
      <a:srgbClr val="9BBB59"/>
    </a:accent1>
    <a:accent2>
      <a:srgbClr val="FFC000"/>
    </a:accent2>
    <a:accent3>
      <a:srgbClr val="F79646"/>
    </a:accent3>
    <a:accent4>
      <a:srgbClr val="C0504D"/>
    </a:accent4>
    <a:accent5>
      <a:srgbClr val="7F7F7F"/>
    </a:accent5>
    <a:accent6>
      <a:srgbClr val="C00000"/>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Custom 1">
    <a:dk1>
      <a:sysClr val="windowText" lastClr="000000"/>
    </a:dk1>
    <a:lt1>
      <a:sysClr val="window" lastClr="FFFFFF"/>
    </a:lt1>
    <a:dk2>
      <a:srgbClr val="1F497D"/>
    </a:dk2>
    <a:lt2>
      <a:srgbClr val="EEECE1"/>
    </a:lt2>
    <a:accent1>
      <a:srgbClr val="9BBB59"/>
    </a:accent1>
    <a:accent2>
      <a:srgbClr val="FFC000"/>
    </a:accent2>
    <a:accent3>
      <a:srgbClr val="F79646"/>
    </a:accent3>
    <a:accent4>
      <a:srgbClr val="C0504D"/>
    </a:accent4>
    <a:accent5>
      <a:srgbClr val="7F7F7F"/>
    </a:accent5>
    <a:accent6>
      <a:srgbClr val="C00000"/>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Custom 1">
    <a:dk1>
      <a:sysClr val="windowText" lastClr="000000"/>
    </a:dk1>
    <a:lt1>
      <a:sysClr val="window" lastClr="FFFFFF"/>
    </a:lt1>
    <a:dk2>
      <a:srgbClr val="1F497D"/>
    </a:dk2>
    <a:lt2>
      <a:srgbClr val="EEECE1"/>
    </a:lt2>
    <a:accent1>
      <a:srgbClr val="9BBB59"/>
    </a:accent1>
    <a:accent2>
      <a:srgbClr val="FFC000"/>
    </a:accent2>
    <a:accent3>
      <a:srgbClr val="F79646"/>
    </a:accent3>
    <a:accent4>
      <a:srgbClr val="C0504D"/>
    </a:accent4>
    <a:accent5>
      <a:srgbClr val="7F7F7F"/>
    </a:accent5>
    <a:accent6>
      <a:srgbClr val="C00000"/>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Custom 1">
    <a:dk1>
      <a:sysClr val="windowText" lastClr="000000"/>
    </a:dk1>
    <a:lt1>
      <a:sysClr val="window" lastClr="FFFFFF"/>
    </a:lt1>
    <a:dk2>
      <a:srgbClr val="1F497D"/>
    </a:dk2>
    <a:lt2>
      <a:srgbClr val="EEECE1"/>
    </a:lt2>
    <a:accent1>
      <a:srgbClr val="9BBB59"/>
    </a:accent1>
    <a:accent2>
      <a:srgbClr val="FFC000"/>
    </a:accent2>
    <a:accent3>
      <a:srgbClr val="F79646"/>
    </a:accent3>
    <a:accent4>
      <a:srgbClr val="C0504D"/>
    </a:accent4>
    <a:accent5>
      <a:srgbClr val="7F7F7F"/>
    </a:accent5>
    <a:accent6>
      <a:srgbClr val="C00000"/>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Custom 1">
    <a:dk1>
      <a:sysClr val="windowText" lastClr="000000"/>
    </a:dk1>
    <a:lt1>
      <a:sysClr val="window" lastClr="FFFFFF"/>
    </a:lt1>
    <a:dk2>
      <a:srgbClr val="1F497D"/>
    </a:dk2>
    <a:lt2>
      <a:srgbClr val="EEECE1"/>
    </a:lt2>
    <a:accent1>
      <a:srgbClr val="9BBB59"/>
    </a:accent1>
    <a:accent2>
      <a:srgbClr val="FFC000"/>
    </a:accent2>
    <a:accent3>
      <a:srgbClr val="F79646"/>
    </a:accent3>
    <a:accent4>
      <a:srgbClr val="C0504D"/>
    </a:accent4>
    <a:accent5>
      <a:srgbClr val="7F7F7F"/>
    </a:accent5>
    <a:accent6>
      <a:srgbClr val="C00000"/>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299d781-265f-4ceb-999e-e1eca3df2c90">P6FJPSUHKDC2-1050578159-10825</_dlc_DocId>
    <_dlc_DocIdUrl xmlns="1299d781-265f-4ceb-999e-e1eca3df2c90">
      <Url>http://dm/eesc/2022/_layouts/15/DocIdRedir.aspx?ID=P6FJPSUHKDC2-1050578159-10825</Url>
      <Description>P6FJPSUHKDC2-1050578159-10825</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RE</TermName>
          <TermId xmlns="http://schemas.microsoft.com/office/infopath/2007/PartnerControls">2e31ab9a-38d8-4b15-bf54-b076b749ef85</TermId>
        </TermInfo>
      </Terms>
    </DocumentType_0>
    <Procedure xmlns="1299d781-265f-4ceb-999e-e1eca3df2c90"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299d781-265f-4ceb-999e-e1eca3df2c90">2023-03-27T12:00:00+00:00</ProductionDate>
    <DocumentNumber xmlns="4e5ad790-8ffd-4f61-866f-51e1599a4efe">3850</DocumentNumber>
    <FicheYear xmlns="1299d781-265f-4ceb-999e-e1eca3df2c90" xsi:nil="true"/>
    <DossierNumber xmlns="1299d781-265f-4ceb-999e-e1eca3df2c90">974</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1299d781-265f-4ceb-999e-e1eca3df2c90">
      <Value>246</Value>
      <Value>63</Value>
      <Value>55</Value>
      <Value>54</Value>
      <Value>46</Value>
      <Value>45</Value>
      <Value>44</Value>
      <Value>43</Value>
      <Value>42</Value>
      <Value>41</Value>
      <Value>40</Value>
      <Value>38</Value>
      <Value>37</Value>
      <Value>36</Value>
      <Value>35</Value>
      <Value>34</Value>
      <Value>33</Value>
      <Value>32</Value>
      <Value>31</Value>
      <Value>30</Value>
      <Value>29</Value>
      <Value>28</Value>
      <Value>26</Value>
      <Value>22</Value>
      <Value>11</Value>
      <Value>9</Value>
      <Value>7</Value>
      <Value>6</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FI</TermName>
          <TermId xmlns="http://schemas.microsoft.com/office/infopath/2007/PartnerControls">87606a43-d45f-42d6-b8c9-e1a3457db5b7</TermId>
        </TermInfo>
      </Terms>
    </DocumentLanguage_0>
    <MeetingDate xmlns="1299d781-265f-4ceb-999e-e1eca3df2c90" xsi:nil="true"/>
    <Rapporteur xmlns="1299d781-265f-4ceb-999e-e1eca3df2c90">LOBO XAVIER</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299d781-265f-4ceb-999e-e1eca3df2c90">2022</DocumentYear>
    <FicheNumber xmlns="1299d781-265f-4ceb-999e-e1eca3df2c90">3749</FicheNumber>
    <OriginalSender xmlns="1299d781-265f-4ceb-999e-e1eca3df2c90">
      <UserInfo>
        <DisplayName>Eskelinen Juha</DisplayName>
        <AccountId>1670</AccountId>
        <AccountType/>
      </UserInfo>
    </OriginalSender>
    <DocumentPart xmlns="1299d781-265f-4ceb-999e-e1eca3df2c90">0</DocumentPart>
    <AdoptionDate xmlns="1299d781-265f-4ceb-999e-e1eca3df2c90">2023-03-23T12:00:00+00:00</AdoptionDate>
    <RequestingService xmlns="1299d781-265f-4ceb-999e-e1eca3df2c90">Marché unique, production, consommation</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4e5ad790-8ffd-4f61-866f-51e1599a4efe"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INT</TermName>
          <TermId xmlns="http://schemas.microsoft.com/office/infopath/2007/PartnerControls">e1edfecb-ed43-427b-bb02-d45fe6645386</TermId>
        </TermInfo>
      </Terms>
    </DossierName_0>
    <DocumentVersion xmlns="1299d781-265f-4ceb-999e-e1eca3df2c90">0</DocumentVersion>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626EADD26EE0CA468385E76F4CAC56BA" ma:contentTypeVersion="6" ma:contentTypeDescription="Defines the documents for Document Manager V2" ma:contentTypeScope="" ma:versionID="0706ea8d3b9a7e087b6b0325ec64b2af">
  <xsd:schema xmlns:xsd="http://www.w3.org/2001/XMLSchema" xmlns:xs="http://www.w3.org/2001/XMLSchema" xmlns:p="http://schemas.microsoft.com/office/2006/metadata/properties" xmlns:ns2="1299d781-265f-4ceb-999e-e1eca3df2c90" xmlns:ns3="http://schemas.microsoft.com/sharepoint/v3/fields" xmlns:ns4="4e5ad790-8ffd-4f61-866f-51e1599a4efe" targetNamespace="http://schemas.microsoft.com/office/2006/metadata/properties" ma:root="true" ma:fieldsID="37d26b06415ea66cb6502f4057d4db51" ns2:_="" ns3:_="" ns4:_="">
    <xsd:import namespace="1299d781-265f-4ceb-999e-e1eca3df2c90"/>
    <xsd:import namespace="http://schemas.microsoft.com/sharepoint/v3/fields"/>
    <xsd:import namespace="4e5ad790-8ffd-4f61-866f-51e1599a4efe"/>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9d781-265f-4ceb-999e-e1eca3df2c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7ea9cc77-7db7-4067-9972-efc9a75de26f}" ma:internalName="TaxCatchAll" ma:showField="CatchAllData"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7ea9cc77-7db7-4067-9972-efc9a75de26f}" ma:internalName="TaxCatchAllLabel" ma:readOnly="true" ma:showField="CatchAllDataLabel"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5ad790-8ffd-4f61-866f-51e1599a4efe"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2D9230-C419-407A-BFC5-E908E052F6CD}"/>
</file>

<file path=customXml/itemProps2.xml><?xml version="1.0" encoding="utf-8"?>
<ds:datastoreItem xmlns:ds="http://schemas.openxmlformats.org/officeDocument/2006/customXml" ds:itemID="{094F1CFD-7131-41B2-85B0-33D8CACABD84}"/>
</file>

<file path=customXml/itemProps3.xml><?xml version="1.0" encoding="utf-8"?>
<ds:datastoreItem xmlns:ds="http://schemas.openxmlformats.org/officeDocument/2006/customXml" ds:itemID="{E16FC905-1199-417D-88DC-0E6468CEEFA7}"/>
</file>

<file path=customXml/itemProps4.xml><?xml version="1.0" encoding="utf-8"?>
<ds:datastoreItem xmlns:ds="http://schemas.openxmlformats.org/officeDocument/2006/customXml" ds:itemID="{5BFA4F5B-7243-46C9-9387-62C7BFC0021C}"/>
</file>

<file path=docProps/app.xml><?xml version="1.0" encoding="utf-8"?>
<Properties xmlns="http://schemas.openxmlformats.org/officeDocument/2006/extended-properties" xmlns:vt="http://schemas.openxmlformats.org/officeDocument/2006/docPropsVTypes">
  <Template>Normal.dotm</Template>
  <TotalTime>1</TotalTime>
  <Pages>46</Pages>
  <Words>10717</Words>
  <Characters>86809</Characters>
  <Application>Microsoft Office Word</Application>
  <DocSecurity>0</DocSecurity>
  <Lines>723</Lines>
  <Paragraphs>194</Paragraphs>
  <ScaleCrop>false</ScaleCrop>
  <HeadingPairs>
    <vt:vector size="2" baseType="variant">
      <vt:variant>
        <vt:lpstr>Title</vt:lpstr>
      </vt:variant>
      <vt:variant>
        <vt:i4>1</vt:i4>
      </vt:variant>
    </vt:vector>
  </HeadingPairs>
  <TitlesOfParts>
    <vt:vector size="1" baseType="lpstr">
      <vt:lpstr>Ex-post evaluation of Horizon 2020</vt:lpstr>
    </vt:vector>
  </TitlesOfParts>
  <Company>CESE-CdR</Company>
  <LinksUpToDate>false</LinksUpToDate>
  <CharactersWithSpaces>97332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Horisontti 2020 -puiteohjelman jälkiarviointi</dc:title>
  <dc:subject>RE</dc:subject>
  <dc:creator>Tomas Vocasek</dc:creator>
  <cp:keywords>EESC-2022-03850-00-00-RE-TRA-EN</cp:keywords>
  <dc:description>Rapporteur: LOBO XAVIER - Original language: EN - Date of document: 27-03-2023 - Date of meeting:  - External documents:  - Administrator: Mme STAFFA Silvia</dc:description>
  <cp:lastModifiedBy>Eskelinen Juha</cp:lastModifiedBy>
  <cp:revision>8</cp:revision>
  <cp:lastPrinted>2016-01-26T08:31:00Z</cp:lastPrinted>
  <dcterms:created xsi:type="dcterms:W3CDTF">2023-03-23T16:34:00Z</dcterms:created>
  <dcterms:modified xsi:type="dcterms:W3CDTF">2023-03-27T08:57:00Z</dcterms:modified>
  <cp:category>INT/974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23/03/2023, 13/03/2023, 28/02/2023, 22/02/2023, 14/02/2023, 17/05/2022, 04/11/2015, 27/10/2015, 19/10/2015, 09/10/2015, 05/10/2015, 05/10/2015, 26/08/2015, 26/08/2015, 25/08/2015</vt:lpwstr>
  </property>
  <property fmtid="{D5CDD505-2E9C-101B-9397-08002B2CF9AE}" pid="4" name="Pref_Time">
    <vt:lpwstr>16:18:12, 08:45:42, 11:01:45, 15:48:58, 15:24:25, 13:11:39, 12/10/07, 14:44:02, 16/04/16, 14:09:30, 16:24:55, 16:04:02, 08:56:14, 07:27:56, 17:31:53</vt:lpwstr>
  </property>
  <property fmtid="{D5CDD505-2E9C-101B-9397-08002B2CF9AE}" pid="5" name="Pref_User">
    <vt:lpwstr>enied, pacup, jhvi, amett, amett, enied, ssex, enied, amett, tvoc, mreg, mreg, amett, enied, ssex</vt:lpwstr>
  </property>
  <property fmtid="{D5CDD505-2E9C-101B-9397-08002B2CF9AE}" pid="6" name="Pref_FileName">
    <vt:lpwstr>EESC-2022-03850-00-00-RE-TRA-EN-CRR.docx, EESC-2022-03850-00-00-RESE-TRA-EN-CRR.docx, EESC-2022-03850-00-01-PRE-ORI.docx, EESC-2022-03850-00-00-PRE-ORI.docx, EESC-2022-03850-00-00-APRE-TRA-EN-CRR.docx, COR-EESC-2022-02555-00-00-ADMIN-ORI.docx, EESC-2015-0</vt:lpwstr>
  </property>
  <property fmtid="{D5CDD505-2E9C-101B-9397-08002B2CF9AE}" pid="7" name="ContentTypeId">
    <vt:lpwstr>0x010100EA97B91038054C99906057A708A1480A00626EADD26EE0CA468385E76F4CAC56BA</vt:lpwstr>
  </property>
  <property fmtid="{D5CDD505-2E9C-101B-9397-08002B2CF9AE}" pid="8" name="_dlc_DocIdItemGuid">
    <vt:lpwstr>483d68be-d672-4697-b51b-03f3a727184d</vt:lpwstr>
  </property>
  <property fmtid="{D5CDD505-2E9C-101B-9397-08002B2CF9AE}" pid="9" name="AvailableTranslations">
    <vt:lpwstr>38;#FI|87606a43-d45f-42d6-b8c9-e1a3457db5b7;#33;#IT|0774613c-01ed-4e5d-a25d-11d2388de825;#46;#EL|6d4f4d51-af9b-4650-94b4-4276bee85c91;#30;#PL|1e03da61-4678-4e07-b136-b5024ca9197b;#11;#FR|d2afafd3-4c81-4f60-8f52-ee33f2f54ff3;#36;#HU|6b229040-c589-4408-b4c1-4285663d20a8;#45;#RO|feb747a2-64cd-4299-af12-4833ddc30497;#4;#EN|f2175f21-25d7-44a3-96da-d6a61b075e1b;#26;#LV|46f7e311-5d9f-4663-b433-18aeccb7ace7;#55;#HR|2f555653-ed1a-4fe6-8362-9082d95989e5;#32;#DA|5d49c027-8956-412b-aa16-e85a0f96ad0e;#34;#SK|46d9fce0-ef79-4f71-b89b-cd6aa82426b8;#29;#SV|c2ed69e7-a339-43d7-8f22-d93680a92aa0;#41;#CS|72f9705b-0217-4fd3-bea2-cbc7ed80e26e;#40;#BG|1a1b3951-7821-4e6a-85f5-5673fc08bd2c;#63;#GA|762d2456-c427-4ecb-b312-af3dad8e258c;#37;#PT|50ccc04a-eadd-42ae-a0cb-acaf45f812ba;#22;#DE|f6b31e5a-26fa-4935-b661-318e46daf27e;#35;#MT|7df99101-6854-4a26-b53a-b88c0da02c26;#43;#NL|55c6556c-b4f4-441d-9acf-c498d4f838bd;#54;#ET|ff6c3f4c-b02c-4c3c-ab07-2c37995a7a0a;#44;#LT|a7ff5ce7-6123-4f68-865a-a57c31810414;#42;#SL|98a412ae-eb01-49e9-ae3d-585a81724cfc;#31;#ES|e7a6b05b-ae16-40c8-add9-68b64b03aeba</vt:lpwstr>
  </property>
  <property fmtid="{D5CDD505-2E9C-101B-9397-08002B2CF9AE}" pid="10" name="DocumentType_0">
    <vt:lpwstr>RE|2e31ab9a-38d8-4b15-bf54-b076b749ef85</vt:lpwstr>
  </property>
  <property fmtid="{D5CDD505-2E9C-101B-9397-08002B2CF9AE}" pid="11" name="DossierName_0">
    <vt:lpwstr>INT|e1edfecb-ed43-427b-bb02-d45fe6645386</vt:lpwstr>
  </property>
  <property fmtid="{D5CDD505-2E9C-101B-9397-08002B2CF9AE}" pid="12" name="DocumentSource_0">
    <vt:lpwstr>EESC|422833ec-8d7e-4e65-8e4e-8bed07ffb729</vt:lpwstr>
  </property>
  <property fmtid="{D5CDD505-2E9C-101B-9397-08002B2CF9AE}" pid="13" name="DocumentNumber">
    <vt:i4>3850</vt:i4>
  </property>
  <property fmtid="{D5CDD505-2E9C-101B-9397-08002B2CF9AE}" pid="14" name="DocumentVersion">
    <vt:i4>0</vt:i4>
  </property>
  <property fmtid="{D5CDD505-2E9C-101B-9397-08002B2CF9AE}" pid="15" name="DossierNumber">
    <vt:i4>974</vt:i4>
  </property>
  <property fmtid="{D5CDD505-2E9C-101B-9397-08002B2CF9AE}" pid="16" name="DocumentStatus">
    <vt:lpwstr>7;#TRA|150d2a88-1431-44e6-a8ca-0bb753ab8672</vt:lpwstr>
  </property>
  <property fmtid="{D5CDD505-2E9C-101B-9397-08002B2CF9AE}" pid="17" name="DocumentPart">
    <vt:i4>0</vt:i4>
  </property>
  <property fmtid="{D5CDD505-2E9C-101B-9397-08002B2CF9AE}" pid="18" name="DossierName">
    <vt:lpwstr>28;#INT|e1edfecb-ed43-427b-bb02-d45fe6645386</vt:lpwstr>
  </property>
  <property fmtid="{D5CDD505-2E9C-101B-9397-08002B2CF9AE}" pid="19" name="DocumentSource">
    <vt:lpwstr>1;#EESC|422833ec-8d7e-4e65-8e4e-8bed07ffb729</vt:lpwstr>
  </property>
  <property fmtid="{D5CDD505-2E9C-101B-9397-08002B2CF9AE}" pid="20" name="AdoptionDate">
    <vt:filetime>2023-03-23T12:00:00Z</vt:filetime>
  </property>
  <property fmtid="{D5CDD505-2E9C-101B-9397-08002B2CF9AE}" pid="21" name="DocumentType">
    <vt:lpwstr>246;#RE|2e31ab9a-38d8-4b15-bf54-b076b749ef85</vt:lpwstr>
  </property>
  <property fmtid="{D5CDD505-2E9C-101B-9397-08002B2CF9AE}" pid="22" name="RequestingService">
    <vt:lpwstr>Marché unique, production, consommation</vt:lpwstr>
  </property>
  <property fmtid="{D5CDD505-2E9C-101B-9397-08002B2CF9AE}" pid="23" name="Confidentiality">
    <vt:lpwstr>9;#Unrestricted|826e22d7-d029-4ec0-a450-0c28ff673572</vt:lpwstr>
  </property>
  <property fmtid="{D5CDD505-2E9C-101B-9397-08002B2CF9AE}" pid="24" name="MeetingName_0">
    <vt:lpwstr/>
  </property>
  <property fmtid="{D5CDD505-2E9C-101B-9397-08002B2CF9AE}" pid="25" name="Confidentiality_0">
    <vt:lpwstr>Unrestricted|826e22d7-d029-4ec0-a450-0c28ff673572</vt:lpwstr>
  </property>
  <property fmtid="{D5CDD505-2E9C-101B-9397-08002B2CF9AE}" pid="26" name="OriginalLanguage">
    <vt:lpwstr>4;#EN|f2175f21-25d7-44a3-96da-d6a61b075e1b</vt:lpwstr>
  </property>
  <property fmtid="{D5CDD505-2E9C-101B-9397-08002B2CF9AE}" pid="27" name="MeetingName">
    <vt:lpwstr/>
  </property>
  <property fmtid="{D5CDD505-2E9C-101B-9397-08002B2CF9AE}" pid="29" name="AvailableTranslations_0">
    <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28;#INT|e1edfecb-ed43-427b-bb02-d45fe6645386;#9;#Unrestricted|826e22d7-d029-4ec0-a450-0c28ff673572;#246;#RE|2e31ab9a-38d8-4b15-bf54-b076b749ef85;#7;#TRA|150d2a88-1431-44e6-a8ca-0bb753ab8672;#6;#Final|ea5e6674-7b27-4bac-b091-73adbb394efe;#4;#EN|f2175f21-25d7-44a3-96da-d6a61b075e1b;#38;#FI|87606a43-d45f-42d6-b8c9-e1a3457db5b7;#1;#EESC|422833ec-8d7e-4e65-8e4e-8bed07ffb729</vt:lpwstr>
  </property>
  <property fmtid="{D5CDD505-2E9C-101B-9397-08002B2CF9AE}" pid="33" name="Rapporteur">
    <vt:lpwstr>LOBO XAVIER</vt:lpwstr>
  </property>
  <property fmtid="{D5CDD505-2E9C-101B-9397-08002B2CF9AE}" pid="34" name="VersionStatus_0">
    <vt:lpwstr>Final|ea5e6674-7b27-4bac-b091-73adbb394efe</vt:lpwstr>
  </property>
  <property fmtid="{D5CDD505-2E9C-101B-9397-08002B2CF9AE}" pid="35" name="VersionStatus">
    <vt:lpwstr>6;#Final|ea5e6674-7b27-4bac-b091-73adbb394efe</vt:lpwstr>
  </property>
  <property fmtid="{D5CDD505-2E9C-101B-9397-08002B2CF9AE}" pid="36" name="DocumentYear">
    <vt:i4>2022</vt:i4>
  </property>
  <property fmtid="{D5CDD505-2E9C-101B-9397-08002B2CF9AE}" pid="37" name="FicheNumber">
    <vt:i4>3749</vt:i4>
  </property>
  <property fmtid="{D5CDD505-2E9C-101B-9397-08002B2CF9AE}" pid="38" name="DocumentLanguage">
    <vt:lpwstr>38;#FI|87606a43-d45f-42d6-b8c9-e1a3457db5b7</vt:lpwstr>
  </property>
  <property fmtid="{D5CDD505-2E9C-101B-9397-08002B2CF9AE}" pid="39" name="DocumentLanguage_0">
    <vt:lpwstr>FI|87606a43-d45f-42d6-b8c9-e1a3457db5b7</vt:lpwstr>
  </property>
</Properties>
</file>