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253" w:rsidRDefault="00222AC3" w:rsidP="00222AC3">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CFF0089-59BA-4548-BAB3-48AA39B41930" style="width:455.25pt;height:369.75pt">
            <v:imagedata r:id="rId8" o:title=""/>
          </v:shape>
        </w:pict>
      </w:r>
    </w:p>
    <w:p w:rsidR="00DD1253" w:rsidRDefault="00DD1253" w:rsidP="00DD1253">
      <w:pPr>
        <w:rPr>
          <w:noProof/>
        </w:rPr>
        <w:sectPr w:rsidR="00DD1253" w:rsidSect="00222AC3">
          <w:footerReference w:type="even" r:id="rId9"/>
          <w:footerReference w:type="default" r:id="rId10"/>
          <w:pgSz w:w="11907" w:h="16839"/>
          <w:pgMar w:top="1134" w:right="1417" w:bottom="1134" w:left="1417" w:header="709" w:footer="709" w:gutter="0"/>
          <w:pgNumType w:start="0"/>
          <w:cols w:space="720"/>
          <w:docGrid w:linePitch="360"/>
        </w:sectPr>
      </w:pPr>
    </w:p>
    <w:p w:rsidR="00DD1253" w:rsidRDefault="00DD1253">
      <w:pPr>
        <w:pStyle w:val="Exposdesmotifstitre"/>
        <w:rPr>
          <w:noProof/>
        </w:rPr>
      </w:pPr>
      <w:bookmarkStart w:id="0" w:name="_GoBack"/>
      <w:bookmarkEnd w:id="0"/>
      <w:r w:rsidRPr="006F770D">
        <w:rPr>
          <w:noProof/>
        </w:rPr>
        <w:lastRenderedPageBreak/>
        <w:t>EXPLANATORY MEMORANDUM</w:t>
      </w:r>
    </w:p>
    <w:p w:rsidR="001E74DF" w:rsidRPr="0034330E" w:rsidRDefault="001E74DF" w:rsidP="001E74DF">
      <w:pPr>
        <w:widowControl w:val="0"/>
        <w:shd w:val="clear" w:color="auto" w:fill="FFFFFF" w:themeFill="background1"/>
        <w:autoSpaceDE w:val="0"/>
        <w:autoSpaceDN w:val="0"/>
        <w:adjustRightInd w:val="0"/>
        <w:spacing w:before="230" w:after="0" w:line="269" w:lineRule="exact"/>
        <w:ind w:right="86"/>
        <w:rPr>
          <w:noProof/>
          <w:color w:val="000000" w:themeColor="text1"/>
        </w:rPr>
      </w:pPr>
      <w:r w:rsidRPr="00C11E78">
        <w:rPr>
          <w:noProof/>
        </w:rPr>
        <w:t xml:space="preserve">The present proposal concerns the signature of an Agreement between the </w:t>
      </w:r>
      <w:r>
        <w:rPr>
          <w:noProof/>
        </w:rPr>
        <w:t>Canada and the European Union on the transfer and processing of Passenger Name Record (PNR) data</w:t>
      </w:r>
      <w:r w:rsidRPr="00C11E78">
        <w:rPr>
          <w:noProof/>
        </w:rPr>
        <w:t xml:space="preserve"> </w:t>
      </w:r>
      <w:r w:rsidRPr="181C8758">
        <w:rPr>
          <w:noProof/>
          <w:color w:val="000000" w:themeColor="text1"/>
        </w:rPr>
        <w:t>(hereafter “the Agreement”).</w:t>
      </w:r>
    </w:p>
    <w:p w:rsidR="00075B68" w:rsidRPr="006F770D" w:rsidRDefault="00075B68" w:rsidP="00075B68">
      <w:pPr>
        <w:pStyle w:val="ManualHeading1"/>
        <w:rPr>
          <w:noProof/>
        </w:rPr>
      </w:pPr>
      <w:r w:rsidRPr="00C567EE">
        <w:rPr>
          <w:noProof/>
        </w:rPr>
        <w:t>1.</w:t>
      </w:r>
      <w:r w:rsidRPr="00C567EE">
        <w:rPr>
          <w:noProof/>
        </w:rPr>
        <w:tab/>
      </w:r>
      <w:r w:rsidRPr="006F770D">
        <w:rPr>
          <w:noProof/>
        </w:rPr>
        <w:t>CONTEXT OF THE PROPOSAL</w:t>
      </w:r>
    </w:p>
    <w:p w:rsidR="00487301" w:rsidRPr="00AB7E76" w:rsidRDefault="00487301" w:rsidP="00487301">
      <w:pPr>
        <w:pBdr>
          <w:top w:val="nil"/>
          <w:left w:val="nil"/>
          <w:bottom w:val="nil"/>
          <w:right w:val="nil"/>
          <w:between w:val="nil"/>
          <w:bar w:val="nil"/>
        </w:pBdr>
        <w:rPr>
          <w:rFonts w:eastAsia="Arial Unicode MS"/>
          <w:noProof/>
        </w:rPr>
      </w:pPr>
      <w:r w:rsidRPr="00AB7E76">
        <w:rPr>
          <w:rFonts w:eastAsia="Arial Unicode MS"/>
          <w:noProof/>
        </w:rPr>
        <w:t>Passenger name record (PNR) data is information provided by passengers and collected by and held in the air carriers’ reservation and departure control systems for their own commercial purposes. The content of PNR data varies depending on the information given during the booking and check-in process and may include, for example, dates of travel and the complete travel itinerary of the passenger or group of passengers travelling together, contact details like address and phone number, payment information, seat number and baggage information.</w:t>
      </w:r>
    </w:p>
    <w:p w:rsidR="00487301" w:rsidRPr="00200ADF" w:rsidRDefault="00487301" w:rsidP="00487301">
      <w:pPr>
        <w:pBdr>
          <w:top w:val="nil"/>
          <w:left w:val="nil"/>
          <w:bottom w:val="nil"/>
          <w:right w:val="nil"/>
          <w:between w:val="nil"/>
          <w:bar w:val="nil"/>
        </w:pBdr>
        <w:rPr>
          <w:rFonts w:eastAsia="Arial Unicode MS"/>
          <w:noProof/>
          <w:color w:val="31849B" w:themeColor="accent5" w:themeShade="BF"/>
        </w:rPr>
      </w:pPr>
      <w:r w:rsidRPr="00AB7E76">
        <w:rPr>
          <w:rFonts w:eastAsia="Arial Unicode MS"/>
          <w:noProof/>
        </w:rPr>
        <w:t>The collection and analysis of PNR data can provide the authorities with important elements allowing them to detect suspicious travel patterns and identify associates of criminals and terrorists, in particular those previously unknown to law enforcement authorities. Accordingly, the processing of PNR data has become a widely used law enforcement tool, in the EU and beyond, to detect terrorism and other forms of serious crime, such as drug-related offences, human trafficking and child sexual exploitation, and to prevent such crime from being committed. It has also proven to constitute an important source of information to support the investigation and prosecution of cases where such illegal activities have been committed</w:t>
      </w:r>
      <w:r w:rsidRPr="00AB7E76">
        <w:rPr>
          <w:rStyle w:val="FootnoteReference"/>
          <w:rFonts w:eastAsia="Arial Unicode MS"/>
          <w:noProof/>
        </w:rPr>
        <w:footnoteReference w:id="1"/>
      </w:r>
      <w:r w:rsidRPr="00AB7E76">
        <w:rPr>
          <w:rFonts w:eastAsia="Arial Unicode MS"/>
          <w:noProof/>
        </w:rPr>
        <w:t>.</w:t>
      </w:r>
    </w:p>
    <w:p w:rsidR="00200ADF" w:rsidRDefault="00200ADF" w:rsidP="00200ADF">
      <w:pPr>
        <w:pBdr>
          <w:top w:val="nil"/>
          <w:left w:val="nil"/>
          <w:bottom w:val="nil"/>
          <w:right w:val="nil"/>
          <w:between w:val="nil"/>
          <w:bar w:val="nil"/>
        </w:pBdr>
        <w:rPr>
          <w:rFonts w:eastAsia="Arial Unicode MS"/>
          <w:noProof/>
        </w:rPr>
      </w:pPr>
      <w:r w:rsidRPr="00A5786C">
        <w:rPr>
          <w:rFonts w:eastAsia="Arial Unicode MS"/>
          <w:noProof/>
        </w:rPr>
        <w:t xml:space="preserve">Canadian legislation requires air carriers operating passenger flights </w:t>
      </w:r>
      <w:r w:rsidR="006D770F">
        <w:rPr>
          <w:rFonts w:eastAsia="Arial Unicode MS"/>
          <w:noProof/>
        </w:rPr>
        <w:t xml:space="preserve">to </w:t>
      </w:r>
      <w:r w:rsidRPr="00A5786C">
        <w:rPr>
          <w:rFonts w:eastAsia="Arial Unicode MS"/>
          <w:noProof/>
        </w:rPr>
        <w:t>Canada to provide the Canada Border Services Agency (CBSA) with PNR data</w:t>
      </w:r>
      <w:r w:rsidR="008525B3">
        <w:rPr>
          <w:rFonts w:eastAsia="Arial Unicode MS"/>
          <w:noProof/>
        </w:rPr>
        <w:t>,</w:t>
      </w:r>
      <w:r w:rsidRPr="00A5786C">
        <w:rPr>
          <w:rFonts w:eastAsia="Arial Unicode MS"/>
          <w:noProof/>
        </w:rPr>
        <w:t xml:space="preserve"> prior to the passenger arrival to Canada</w:t>
      </w:r>
      <w:r w:rsidR="006D770F">
        <w:rPr>
          <w:rFonts w:eastAsia="Arial Unicode MS"/>
          <w:noProof/>
        </w:rPr>
        <w:t xml:space="preserve"> </w:t>
      </w:r>
      <w:r w:rsidR="008525B3" w:rsidRPr="00A5786C">
        <w:rPr>
          <w:rFonts w:eastAsia="Arial Unicode MS"/>
          <w:noProof/>
        </w:rPr>
        <w:t xml:space="preserve">to the extent </w:t>
      </w:r>
      <w:r w:rsidR="006D770F">
        <w:rPr>
          <w:rFonts w:eastAsia="Arial Unicode MS"/>
          <w:noProof/>
        </w:rPr>
        <w:t xml:space="preserve">such data </w:t>
      </w:r>
      <w:r w:rsidR="008525B3" w:rsidRPr="00A5786C">
        <w:rPr>
          <w:rFonts w:eastAsia="Arial Unicode MS"/>
          <w:noProof/>
        </w:rPr>
        <w:t>is collected and contained in the air carriers' automated reservation and departure control systems</w:t>
      </w:r>
      <w:r w:rsidR="006D770F">
        <w:rPr>
          <w:rFonts w:eastAsia="Arial Unicode MS"/>
          <w:noProof/>
        </w:rPr>
        <w:t xml:space="preserve"> in the normal course of their business</w:t>
      </w:r>
      <w:r w:rsidR="008525B3" w:rsidRPr="00A5786C">
        <w:rPr>
          <w:rFonts w:eastAsia="Arial Unicode MS"/>
          <w:noProof/>
        </w:rPr>
        <w:t>.</w:t>
      </w:r>
      <w:r w:rsidR="008525B3">
        <w:rPr>
          <w:rFonts w:eastAsia="Arial Unicode MS"/>
          <w:noProof/>
        </w:rPr>
        <w:t xml:space="preserve"> </w:t>
      </w:r>
      <w:r w:rsidRPr="00A5786C">
        <w:rPr>
          <w:rFonts w:eastAsia="Arial Unicode MS"/>
          <w:noProof/>
        </w:rPr>
        <w:t xml:space="preserve">This legislation aims </w:t>
      </w:r>
      <w:r>
        <w:rPr>
          <w:rFonts w:eastAsia="Arial Unicode MS"/>
          <w:noProof/>
        </w:rPr>
        <w:t xml:space="preserve">to </w:t>
      </w:r>
      <w:r w:rsidRPr="00A5786C">
        <w:rPr>
          <w:rFonts w:eastAsia="Arial Unicode MS"/>
          <w:noProof/>
        </w:rPr>
        <w:t xml:space="preserve">significantly enhance CBSA's ability to conduct efficient and effective advance travel risk assessment of passengers and to facilitate bona fide travel, thereby enhancing the security of Canada in </w:t>
      </w:r>
      <w:r w:rsidR="00075B68">
        <w:rPr>
          <w:rFonts w:eastAsia="Arial Unicode MS"/>
          <w:noProof/>
        </w:rPr>
        <w:t xml:space="preserve">the </w:t>
      </w:r>
      <w:r w:rsidR="00075B68" w:rsidRPr="00200ADF">
        <w:rPr>
          <w:rFonts w:eastAsia="Arial Unicode MS"/>
          <w:noProof/>
        </w:rPr>
        <w:t>fight against terrorism and other serious transnational crime</w:t>
      </w:r>
      <w:r w:rsidRPr="00A5786C">
        <w:rPr>
          <w:rFonts w:eastAsia="Arial Unicode MS"/>
          <w:noProof/>
        </w:rPr>
        <w:t xml:space="preserve">. </w:t>
      </w:r>
    </w:p>
    <w:p w:rsidR="00200ADF" w:rsidRDefault="00200ADF" w:rsidP="00200ADF">
      <w:pPr>
        <w:pBdr>
          <w:top w:val="nil"/>
          <w:left w:val="nil"/>
          <w:bottom w:val="nil"/>
          <w:right w:val="nil"/>
          <w:between w:val="nil"/>
          <w:bar w:val="nil"/>
        </w:pBdr>
        <w:rPr>
          <w:rFonts w:eastAsia="Arial Unicode MS"/>
          <w:noProof/>
        </w:rPr>
      </w:pPr>
      <w:r w:rsidRPr="00200ADF">
        <w:rPr>
          <w:rFonts w:eastAsia="Arial Unicode MS"/>
          <w:noProof/>
        </w:rPr>
        <w:t>The EU cooperates with Canada in the fight against terrorism and other serious transnational crime and considers the transfer of PNR data to Canada as a means to foster international law enforcement cooperation.</w:t>
      </w:r>
    </w:p>
    <w:p w:rsidR="0084502D" w:rsidRDefault="008525B3" w:rsidP="006502BA">
      <w:pPr>
        <w:pBdr>
          <w:top w:val="nil"/>
          <w:left w:val="nil"/>
          <w:bottom w:val="nil"/>
          <w:right w:val="nil"/>
          <w:between w:val="nil"/>
          <w:bar w:val="nil"/>
        </w:pBdr>
        <w:rPr>
          <w:rFonts w:eastAsia="Arial Unicode MS"/>
          <w:noProof/>
        </w:rPr>
      </w:pPr>
      <w:r>
        <w:rPr>
          <w:rFonts w:eastAsia="Arial Unicode MS"/>
          <w:noProof/>
        </w:rPr>
        <w:t>For this purpose, t</w:t>
      </w:r>
      <w:r w:rsidR="006502BA" w:rsidRPr="00DD470A">
        <w:rPr>
          <w:rFonts w:eastAsia="Arial Unicode MS"/>
          <w:noProof/>
        </w:rPr>
        <w:t xml:space="preserve">he European Community signed an Agreement in 2005 with Canada on the transfer and processing of PNR </w:t>
      </w:r>
      <w:r w:rsidR="00246CB3">
        <w:rPr>
          <w:rFonts w:eastAsia="Arial Unicode MS"/>
          <w:noProof/>
        </w:rPr>
        <w:t>data</w:t>
      </w:r>
      <w:r w:rsidR="006502BA" w:rsidRPr="00DD470A">
        <w:rPr>
          <w:rFonts w:eastAsia="Arial Unicode MS"/>
          <w:noProof/>
        </w:rPr>
        <w:t>.</w:t>
      </w:r>
      <w:r w:rsidR="006502BA">
        <w:rPr>
          <w:rStyle w:val="FootnoteReference"/>
          <w:rFonts w:eastAsia="Arial Unicode MS"/>
          <w:noProof/>
        </w:rPr>
        <w:footnoteReference w:id="2"/>
      </w:r>
      <w:r w:rsidR="006502BA" w:rsidRPr="00DD470A">
        <w:rPr>
          <w:rFonts w:eastAsia="Arial Unicode MS"/>
          <w:noProof/>
        </w:rPr>
        <w:t xml:space="preserve"> The Agreement entered into force on 22 March 2006 and was based on (i) a series o</w:t>
      </w:r>
      <w:r w:rsidR="006502BA" w:rsidRPr="006D770F">
        <w:rPr>
          <w:rFonts w:eastAsia="Arial Unicode MS"/>
          <w:noProof/>
        </w:rPr>
        <w:t xml:space="preserve">f </w:t>
      </w:r>
      <w:r w:rsidR="006502BA" w:rsidRPr="0079659D">
        <w:rPr>
          <w:rFonts w:eastAsia="Arial Unicode MS"/>
          <w:noProof/>
        </w:rPr>
        <w:t>Commitments</w:t>
      </w:r>
      <w:r w:rsidR="006502BA" w:rsidRPr="00DD470A">
        <w:rPr>
          <w:rFonts w:eastAsia="Arial Unicode MS"/>
          <w:noProof/>
        </w:rPr>
        <w:t xml:space="preserve"> that the CBSA gave as to the way it would process PNR data and (ii) an adequacy decision issued by the European Commission that considered the Commitments of the CBSA to provide an adequate protection of personal data.</w:t>
      </w:r>
      <w:r w:rsidR="006502BA" w:rsidRPr="00A228BF">
        <w:rPr>
          <w:rStyle w:val="FootnoteReference"/>
          <w:rFonts w:eastAsia="Arial Unicode MS"/>
          <w:noProof/>
        </w:rPr>
        <w:footnoteReference w:id="3"/>
      </w:r>
      <w:r w:rsidR="006502BA" w:rsidRPr="00DD470A">
        <w:rPr>
          <w:rFonts w:eastAsia="Arial Unicode MS"/>
          <w:noProof/>
        </w:rPr>
        <w:t xml:space="preserve"> The Commitments of the CBSA and the adequacy decision expired on 22 September 2009. </w:t>
      </w:r>
    </w:p>
    <w:p w:rsidR="006502BA" w:rsidRPr="00DD470A" w:rsidRDefault="006502BA" w:rsidP="006502BA">
      <w:pPr>
        <w:pBdr>
          <w:top w:val="nil"/>
          <w:left w:val="nil"/>
          <w:bottom w:val="nil"/>
          <w:right w:val="nil"/>
          <w:between w:val="nil"/>
          <w:bar w:val="nil"/>
        </w:pBdr>
        <w:rPr>
          <w:rFonts w:eastAsia="Arial Unicode MS"/>
          <w:noProof/>
        </w:rPr>
      </w:pPr>
      <w:r w:rsidRPr="00DD470A">
        <w:rPr>
          <w:rFonts w:eastAsia="Arial Unicode MS"/>
          <w:noProof/>
        </w:rPr>
        <w:t xml:space="preserve">Since then, Member States assumed the responsibility for ensuring the continuation of transfers of PNR data to Canada during this interim period, while CBSA confirmed to the </w:t>
      </w:r>
      <w:r w:rsidRPr="00DD470A">
        <w:rPr>
          <w:rFonts w:eastAsia="Arial Unicode MS"/>
          <w:noProof/>
        </w:rPr>
        <w:lastRenderedPageBreak/>
        <w:t xml:space="preserve">Member States, the </w:t>
      </w:r>
      <w:r w:rsidR="00FE0D68">
        <w:rPr>
          <w:rFonts w:eastAsia="Arial Unicode MS"/>
          <w:noProof/>
        </w:rPr>
        <w:t xml:space="preserve">Council </w:t>
      </w:r>
      <w:r w:rsidRPr="00DD470A">
        <w:rPr>
          <w:rFonts w:eastAsia="Arial Unicode MS"/>
          <w:noProof/>
        </w:rPr>
        <w:t>Presidency and the Commission that it will continue implementing its Commitments for such an interim period as it is necessary to negotiate and conclude a long term agreement between the EU and Canada.</w:t>
      </w:r>
    </w:p>
    <w:p w:rsidR="006502BA" w:rsidRPr="00DD470A" w:rsidRDefault="00F95D25" w:rsidP="006502BA">
      <w:pPr>
        <w:pBdr>
          <w:top w:val="nil"/>
          <w:left w:val="nil"/>
          <w:bottom w:val="nil"/>
          <w:right w:val="nil"/>
          <w:between w:val="nil"/>
          <w:bar w:val="nil"/>
        </w:pBdr>
        <w:rPr>
          <w:rFonts w:eastAsia="Arial Unicode MS"/>
          <w:noProof/>
        </w:rPr>
      </w:pPr>
      <w:r>
        <w:rPr>
          <w:rFonts w:eastAsia="Arial Unicode MS"/>
          <w:noProof/>
        </w:rPr>
        <w:t>In 2010, t</w:t>
      </w:r>
      <w:r w:rsidR="006502BA" w:rsidRPr="00DD470A">
        <w:rPr>
          <w:rFonts w:eastAsia="Arial Unicode MS"/>
          <w:noProof/>
        </w:rPr>
        <w:t xml:space="preserve">he EU opened negotiations with Canada for the purpose of </w:t>
      </w:r>
      <w:r>
        <w:rPr>
          <w:rFonts w:eastAsia="Arial Unicode MS"/>
          <w:noProof/>
        </w:rPr>
        <w:t>concluding</w:t>
      </w:r>
      <w:r w:rsidRPr="00DD470A">
        <w:rPr>
          <w:rFonts w:eastAsia="Arial Unicode MS"/>
          <w:noProof/>
        </w:rPr>
        <w:t xml:space="preserve"> </w:t>
      </w:r>
      <w:r w:rsidR="006502BA" w:rsidRPr="00DD470A">
        <w:rPr>
          <w:rFonts w:eastAsia="Arial Unicode MS"/>
          <w:noProof/>
        </w:rPr>
        <w:t xml:space="preserve">a new Agreement laying down the conditions and the framework under which air carriers </w:t>
      </w:r>
      <w:r>
        <w:rPr>
          <w:rFonts w:eastAsia="Arial Unicode MS"/>
          <w:noProof/>
        </w:rPr>
        <w:t>could transfer to</w:t>
      </w:r>
      <w:r w:rsidR="006502BA" w:rsidRPr="00DD470A">
        <w:rPr>
          <w:rFonts w:eastAsia="Arial Unicode MS"/>
          <w:noProof/>
        </w:rPr>
        <w:t xml:space="preserve"> the CBSA the PNR data of passengers flying between the EU and Canada.</w:t>
      </w:r>
      <w:r>
        <w:rPr>
          <w:rFonts w:eastAsia="Arial Unicode MS"/>
          <w:noProof/>
        </w:rPr>
        <w:t xml:space="preserve"> </w:t>
      </w:r>
      <w:r w:rsidR="006502BA">
        <w:rPr>
          <w:rFonts w:eastAsia="Arial Unicode MS"/>
          <w:noProof/>
        </w:rPr>
        <w:t>T</w:t>
      </w:r>
      <w:r w:rsidR="006502BA" w:rsidRPr="00DD470A">
        <w:rPr>
          <w:rFonts w:eastAsia="Arial Unicode MS"/>
          <w:noProof/>
        </w:rPr>
        <w:t>he new draft Agreement with Canada was signed on 25 June 2014 and submitted by the Council to the European Parliament in July 2014 for consent. On 30 January 2015, the European Parliament requested the Opinion of the Court of Justice as to whether the envisaged PNR Agreement with Canada is compatible with the Treaties and the Charter of Fundamental Rights of the European Union.</w:t>
      </w:r>
    </w:p>
    <w:p w:rsidR="006502BA" w:rsidRPr="00DD470A" w:rsidRDefault="006502BA" w:rsidP="006502BA">
      <w:pPr>
        <w:pBdr>
          <w:top w:val="nil"/>
          <w:left w:val="nil"/>
          <w:bottom w:val="nil"/>
          <w:right w:val="nil"/>
          <w:between w:val="nil"/>
          <w:bar w:val="nil"/>
        </w:pBdr>
        <w:rPr>
          <w:rFonts w:eastAsia="Arial Unicode MS"/>
          <w:noProof/>
        </w:rPr>
      </w:pPr>
      <w:r>
        <w:rPr>
          <w:rFonts w:eastAsia="Arial Unicode MS"/>
          <w:noProof/>
        </w:rPr>
        <w:t>O</w:t>
      </w:r>
      <w:r w:rsidRPr="00DD470A">
        <w:rPr>
          <w:rFonts w:eastAsia="Arial Unicode MS"/>
          <w:noProof/>
        </w:rPr>
        <w:t>n 26 July 2017, the Court of Justice delivered Opinion</w:t>
      </w:r>
      <w:r w:rsidR="004155D4">
        <w:rPr>
          <w:rFonts w:eastAsia="Arial Unicode MS"/>
          <w:noProof/>
        </w:rPr>
        <w:t xml:space="preserve"> 1/15</w:t>
      </w:r>
      <w:r>
        <w:rPr>
          <w:rStyle w:val="FootnoteReference"/>
          <w:rFonts w:eastAsia="Arial Unicode MS"/>
          <w:noProof/>
        </w:rPr>
        <w:footnoteReference w:id="4"/>
      </w:r>
      <w:r w:rsidRPr="00DD470A">
        <w:rPr>
          <w:rFonts w:eastAsia="Arial Unicode MS"/>
          <w:noProof/>
        </w:rPr>
        <w:t xml:space="preserve"> and stated that the envisaged PNR Agreement between Canada and the EU could not be concluded in its form because several of its provisions were incompatible with the fundamental rights recognised by the EU, notably the right to data protection and respect for private life. The Court also held that the legal basis of such an Agreement should be the combination of Article 87(2)(a) TFEU and Article 16(2) TFEU.</w:t>
      </w:r>
    </w:p>
    <w:p w:rsidR="00F95D25" w:rsidRDefault="006502BA" w:rsidP="006502BA">
      <w:pPr>
        <w:pBdr>
          <w:top w:val="nil"/>
          <w:left w:val="nil"/>
          <w:bottom w:val="nil"/>
          <w:right w:val="nil"/>
          <w:between w:val="nil"/>
          <w:bar w:val="nil"/>
        </w:pBdr>
        <w:rPr>
          <w:rFonts w:eastAsia="Arial Unicode MS"/>
          <w:noProof/>
        </w:rPr>
      </w:pPr>
      <w:r w:rsidRPr="00DD470A">
        <w:rPr>
          <w:rFonts w:eastAsia="Arial Unicode MS"/>
          <w:noProof/>
        </w:rPr>
        <w:t xml:space="preserve">Following the issuance of this Opinion, the EU and Canada have opened new negotiations with the purpose of signing a new Agreement in a manner which is compliant with the Court’s requirements. </w:t>
      </w:r>
      <w:r>
        <w:rPr>
          <w:rFonts w:eastAsia="Arial Unicode MS"/>
          <w:noProof/>
        </w:rPr>
        <w:t>N</w:t>
      </w:r>
      <w:r w:rsidRPr="00DD470A">
        <w:rPr>
          <w:rFonts w:eastAsia="Arial Unicode MS"/>
          <w:noProof/>
        </w:rPr>
        <w:t xml:space="preserve">egotiations </w:t>
      </w:r>
      <w:r>
        <w:rPr>
          <w:rFonts w:eastAsia="Arial Unicode MS"/>
          <w:noProof/>
        </w:rPr>
        <w:t xml:space="preserve">with Canada </w:t>
      </w:r>
      <w:r w:rsidRPr="00DD470A">
        <w:rPr>
          <w:rFonts w:eastAsia="Arial Unicode MS"/>
          <w:noProof/>
        </w:rPr>
        <w:t>started on 20 June 2018 and</w:t>
      </w:r>
      <w:r>
        <w:rPr>
          <w:rFonts w:eastAsia="Arial Unicode MS"/>
          <w:noProof/>
        </w:rPr>
        <w:t>, i</w:t>
      </w:r>
      <w:r w:rsidRPr="00DD470A">
        <w:rPr>
          <w:rFonts w:eastAsia="Arial Unicode MS"/>
          <w:noProof/>
        </w:rPr>
        <w:t>n line with the negotiating directives, focussed</w:t>
      </w:r>
      <w:r w:rsidR="00F95D25">
        <w:rPr>
          <w:rFonts w:eastAsia="Arial Unicode MS"/>
          <w:noProof/>
        </w:rPr>
        <w:t xml:space="preserve"> </w:t>
      </w:r>
      <w:r w:rsidRPr="00DD470A">
        <w:rPr>
          <w:rFonts w:eastAsia="Arial Unicode MS"/>
          <w:noProof/>
        </w:rPr>
        <w:t xml:space="preserve">on the aspects necessary to draw the consequences from the </w:t>
      </w:r>
      <w:r>
        <w:rPr>
          <w:rFonts w:eastAsia="Arial Unicode MS"/>
          <w:noProof/>
        </w:rPr>
        <w:t xml:space="preserve">said </w:t>
      </w:r>
      <w:r w:rsidRPr="00DD470A">
        <w:rPr>
          <w:rFonts w:eastAsia="Arial Unicode MS"/>
          <w:noProof/>
        </w:rPr>
        <w:t>Opinion.</w:t>
      </w:r>
      <w:r>
        <w:rPr>
          <w:rFonts w:eastAsia="Arial Unicode MS"/>
          <w:noProof/>
        </w:rPr>
        <w:t xml:space="preserve"> </w:t>
      </w:r>
    </w:p>
    <w:p w:rsidR="006502BA" w:rsidRDefault="006502BA" w:rsidP="006502BA">
      <w:pPr>
        <w:pBdr>
          <w:top w:val="nil"/>
          <w:left w:val="nil"/>
          <w:bottom w:val="nil"/>
          <w:right w:val="nil"/>
          <w:between w:val="nil"/>
          <w:bar w:val="nil"/>
        </w:pBdr>
        <w:rPr>
          <w:rFonts w:eastAsia="Arial Unicode MS"/>
          <w:noProof/>
        </w:rPr>
      </w:pPr>
      <w:r>
        <w:rPr>
          <w:rFonts w:eastAsia="Arial Unicode MS"/>
          <w:noProof/>
        </w:rPr>
        <w:t xml:space="preserve">After a seventh and last round, which was held </w:t>
      </w:r>
      <w:r w:rsidR="0084502D">
        <w:rPr>
          <w:rFonts w:eastAsia="Arial Unicode MS"/>
          <w:noProof/>
        </w:rPr>
        <w:t>o</w:t>
      </w:r>
      <w:r>
        <w:rPr>
          <w:rFonts w:eastAsia="Arial Unicode MS"/>
          <w:noProof/>
        </w:rPr>
        <w:t xml:space="preserve">n </w:t>
      </w:r>
      <w:r w:rsidR="0084502D">
        <w:rPr>
          <w:rFonts w:eastAsia="Arial Unicode MS"/>
          <w:noProof/>
        </w:rPr>
        <w:t xml:space="preserve">4 </w:t>
      </w:r>
      <w:r>
        <w:rPr>
          <w:rFonts w:eastAsia="Arial Unicode MS"/>
          <w:noProof/>
        </w:rPr>
        <w:t>July 2023, the negotiators reached a preliminary agreement on 11 October 2023. The chief negotiators initialled the draft text of the Agreement on 27 November 2023.</w:t>
      </w:r>
    </w:p>
    <w:p w:rsidR="0084502D" w:rsidRDefault="0079659D" w:rsidP="006502BA">
      <w:pPr>
        <w:pBdr>
          <w:top w:val="nil"/>
          <w:left w:val="nil"/>
          <w:bottom w:val="nil"/>
          <w:right w:val="nil"/>
          <w:between w:val="nil"/>
          <w:bar w:val="nil"/>
        </w:pBdr>
        <w:rPr>
          <w:rFonts w:eastAsia="Arial Unicode MS"/>
          <w:noProof/>
        </w:rPr>
      </w:pPr>
      <w:r w:rsidRPr="00246CB3">
        <w:rPr>
          <w:rFonts w:eastAsia="Arial Unicode MS"/>
          <w:noProof/>
        </w:rPr>
        <w:t xml:space="preserve">The </w:t>
      </w:r>
      <w:r w:rsidR="00246CB3">
        <w:rPr>
          <w:rFonts w:eastAsia="Arial Unicode MS"/>
          <w:noProof/>
        </w:rPr>
        <w:t>co-legislators</w:t>
      </w:r>
      <w:r w:rsidRPr="00246CB3">
        <w:rPr>
          <w:rFonts w:eastAsia="Arial Unicode MS"/>
          <w:noProof/>
        </w:rPr>
        <w:t xml:space="preserve"> </w:t>
      </w:r>
      <w:r w:rsidR="0084502D" w:rsidRPr="00246CB3">
        <w:rPr>
          <w:rFonts w:eastAsia="Arial Unicode MS"/>
          <w:noProof/>
        </w:rPr>
        <w:t>have been regularly informed and consulted at all stages of the negotiations</w:t>
      </w:r>
      <w:r w:rsidRPr="00246CB3">
        <w:rPr>
          <w:rFonts w:eastAsia="Arial Unicode MS"/>
          <w:noProof/>
        </w:rPr>
        <w:t xml:space="preserve">, notably by reporting to the </w:t>
      </w:r>
      <w:r w:rsidR="00246CB3">
        <w:rPr>
          <w:rFonts w:eastAsia="Arial Unicode MS"/>
          <w:noProof/>
        </w:rPr>
        <w:t>Council’s responsible w</w:t>
      </w:r>
      <w:r w:rsidRPr="00246CB3">
        <w:rPr>
          <w:rFonts w:eastAsia="Arial Unicode MS"/>
          <w:noProof/>
        </w:rPr>
        <w:t xml:space="preserve">orking </w:t>
      </w:r>
      <w:r w:rsidR="00246CB3">
        <w:rPr>
          <w:rFonts w:eastAsia="Arial Unicode MS"/>
          <w:noProof/>
        </w:rPr>
        <w:t>g</w:t>
      </w:r>
      <w:r w:rsidRPr="00246CB3">
        <w:rPr>
          <w:rFonts w:eastAsia="Arial Unicode MS"/>
          <w:noProof/>
        </w:rPr>
        <w:t>roup</w:t>
      </w:r>
      <w:r w:rsidR="00246CB3" w:rsidRPr="00246CB3">
        <w:rPr>
          <w:rFonts w:eastAsia="Arial Unicode MS"/>
          <w:noProof/>
        </w:rPr>
        <w:t xml:space="preserve"> </w:t>
      </w:r>
      <w:r w:rsidRPr="00246CB3">
        <w:rPr>
          <w:rFonts w:eastAsia="Arial Unicode MS"/>
          <w:noProof/>
        </w:rPr>
        <w:t xml:space="preserve">and </w:t>
      </w:r>
      <w:r w:rsidR="00246CB3">
        <w:rPr>
          <w:rFonts w:eastAsia="Arial Unicode MS"/>
          <w:noProof/>
        </w:rPr>
        <w:t xml:space="preserve">European Parliament’s </w:t>
      </w:r>
      <w:r w:rsidR="00246CB3" w:rsidRPr="00246CB3">
        <w:rPr>
          <w:rFonts w:eastAsia="Arial Unicode MS"/>
          <w:noProof/>
        </w:rPr>
        <w:t xml:space="preserve">LIBE </w:t>
      </w:r>
      <w:r w:rsidRPr="00246CB3">
        <w:rPr>
          <w:rFonts w:eastAsia="Arial Unicode MS"/>
          <w:noProof/>
        </w:rPr>
        <w:t xml:space="preserve">Committee. </w:t>
      </w:r>
      <w:r w:rsidR="00246CB3" w:rsidRPr="00246CB3">
        <w:rPr>
          <w:rFonts w:eastAsia="Arial Unicode MS"/>
          <w:noProof/>
        </w:rPr>
        <w:t>Prior to its initialling, t</w:t>
      </w:r>
      <w:r w:rsidR="0084502D" w:rsidRPr="00246CB3">
        <w:rPr>
          <w:rFonts w:eastAsia="Arial Unicode MS"/>
          <w:noProof/>
        </w:rPr>
        <w:t xml:space="preserve">he final draft of the agreement text </w:t>
      </w:r>
      <w:r w:rsidR="00246CB3" w:rsidRPr="00246CB3">
        <w:rPr>
          <w:rFonts w:eastAsia="Arial Unicode MS"/>
          <w:noProof/>
        </w:rPr>
        <w:t>ha</w:t>
      </w:r>
      <w:r w:rsidR="00FE0D68">
        <w:rPr>
          <w:rFonts w:eastAsia="Arial Unicode MS"/>
          <w:noProof/>
        </w:rPr>
        <w:t>s</w:t>
      </w:r>
      <w:r w:rsidR="00246CB3" w:rsidRPr="00246CB3">
        <w:rPr>
          <w:rFonts w:eastAsia="Arial Unicode MS"/>
          <w:noProof/>
        </w:rPr>
        <w:t xml:space="preserve"> also been</w:t>
      </w:r>
      <w:r w:rsidR="0084502D" w:rsidRPr="00246CB3">
        <w:rPr>
          <w:rFonts w:eastAsia="Arial Unicode MS"/>
          <w:noProof/>
        </w:rPr>
        <w:t xml:space="preserve"> </w:t>
      </w:r>
      <w:r w:rsidR="00304563" w:rsidRPr="00246CB3">
        <w:rPr>
          <w:rFonts w:eastAsia="Arial Unicode MS"/>
          <w:noProof/>
        </w:rPr>
        <w:t>share</w:t>
      </w:r>
      <w:r w:rsidR="003A220C" w:rsidRPr="00246CB3">
        <w:rPr>
          <w:rFonts w:eastAsia="Arial Unicode MS"/>
          <w:noProof/>
        </w:rPr>
        <w:t>d</w:t>
      </w:r>
      <w:r w:rsidR="00246CB3" w:rsidRPr="00246CB3">
        <w:rPr>
          <w:rFonts w:eastAsia="Arial Unicode MS"/>
          <w:noProof/>
        </w:rPr>
        <w:t xml:space="preserve">. </w:t>
      </w:r>
    </w:p>
    <w:p w:rsidR="00DD1253" w:rsidRPr="002D5EE2" w:rsidRDefault="00DD1253">
      <w:pPr>
        <w:pStyle w:val="ManualHeading2"/>
        <w:rPr>
          <w:rFonts w:eastAsia="Arial Unicode MS"/>
          <w:noProof/>
          <w:color w:val="000000"/>
          <w:u w:color="000000"/>
          <w:bdr w:val="nil"/>
          <w:lang w:val="en-US" w:eastAsia="en-GB"/>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AB7E76">
        <w:rPr>
          <w:rFonts w:eastAsia="Arial Unicode MS"/>
          <w:noProof/>
          <w:color w:val="000000"/>
          <w:u w:color="000000"/>
          <w:bdr w:val="nil"/>
          <w:lang w:val="en-US" w:eastAsia="en-GB"/>
        </w:rPr>
        <w:t>Consistency with existing policy provisions in the policy area</w:t>
      </w:r>
    </w:p>
    <w:p w:rsidR="00A33394" w:rsidRDefault="001C64CE" w:rsidP="00A33394">
      <w:pPr>
        <w:pBdr>
          <w:top w:val="nil"/>
          <w:left w:val="nil"/>
          <w:bottom w:val="nil"/>
          <w:right w:val="nil"/>
          <w:between w:val="nil"/>
          <w:bar w:val="nil"/>
        </w:pBdr>
        <w:rPr>
          <w:rFonts w:eastAsia="Arial Unicode MS"/>
          <w:noProof/>
        </w:rPr>
      </w:pPr>
      <w:r w:rsidRPr="00AB7E76">
        <w:rPr>
          <w:rFonts w:eastAsia="Arial Unicode MS"/>
          <w:noProof/>
        </w:rPr>
        <w:t>T</w:t>
      </w:r>
      <w:r w:rsidR="00953F8F" w:rsidRPr="00AB7E76">
        <w:rPr>
          <w:rFonts w:eastAsia="Arial Unicode MS"/>
          <w:noProof/>
        </w:rPr>
        <w:t xml:space="preserve">he </w:t>
      </w:r>
      <w:r w:rsidR="007673B8" w:rsidRPr="00AB7E76">
        <w:rPr>
          <w:rFonts w:eastAsia="Arial Unicode MS"/>
          <w:noProof/>
        </w:rPr>
        <w:t xml:space="preserve">Commission has first set out </w:t>
      </w:r>
      <w:r w:rsidR="001239D2" w:rsidRPr="00AB7E76">
        <w:rPr>
          <w:rFonts w:eastAsia="Arial Unicode MS"/>
          <w:noProof/>
        </w:rPr>
        <w:t xml:space="preserve">the broad lines of it’s the </w:t>
      </w:r>
      <w:r w:rsidR="00953F8F" w:rsidRPr="00AB7E76">
        <w:rPr>
          <w:rFonts w:eastAsia="Arial Unicode MS"/>
          <w:noProof/>
        </w:rPr>
        <w:t>EU</w:t>
      </w:r>
      <w:r w:rsidR="001239D2" w:rsidRPr="00AB7E76">
        <w:rPr>
          <w:rFonts w:eastAsia="Arial Unicode MS"/>
          <w:noProof/>
        </w:rPr>
        <w:t>’s external PNR policy in a 2003 Communication on the EU approach towards transfers of PNR data from the EU to third countries</w:t>
      </w:r>
      <w:r w:rsidR="003A220C">
        <w:rPr>
          <w:rStyle w:val="FootnoteReference"/>
          <w:rFonts w:eastAsia="Arial Unicode MS"/>
          <w:noProof/>
        </w:rPr>
        <w:footnoteReference w:id="5"/>
      </w:r>
      <w:r w:rsidR="00953F8F" w:rsidRPr="00AB7E76">
        <w:rPr>
          <w:rFonts w:eastAsia="Arial Unicode MS"/>
          <w:noProof/>
        </w:rPr>
        <w:t>,</w:t>
      </w:r>
      <w:r w:rsidR="001239D2" w:rsidRPr="00AB7E76">
        <w:rPr>
          <w:rFonts w:eastAsia="Arial Unicode MS"/>
          <w:noProof/>
        </w:rPr>
        <w:t xml:space="preserve"> which were reviewed in a Communication adopted in 2010</w:t>
      </w:r>
      <w:r w:rsidR="00953F8F" w:rsidRPr="00AB7E76">
        <w:rPr>
          <w:rStyle w:val="FootnoteReference"/>
          <w:rFonts w:eastAsia="Arial Unicode MS"/>
          <w:noProof/>
        </w:rPr>
        <w:footnoteReference w:id="6"/>
      </w:r>
      <w:r w:rsidR="00953F8F" w:rsidRPr="00AB7E76">
        <w:rPr>
          <w:rFonts w:eastAsia="Arial Unicode MS"/>
          <w:noProof/>
        </w:rPr>
        <w:t xml:space="preserve">. </w:t>
      </w:r>
    </w:p>
    <w:p w:rsidR="00A33394" w:rsidRPr="00AD3905" w:rsidRDefault="0001458B" w:rsidP="00A33394">
      <w:pPr>
        <w:pBdr>
          <w:top w:val="nil"/>
          <w:left w:val="nil"/>
          <w:bottom w:val="nil"/>
          <w:right w:val="nil"/>
          <w:between w:val="nil"/>
          <w:bar w:val="nil"/>
        </w:pBdr>
        <w:rPr>
          <w:noProof/>
        </w:rPr>
      </w:pPr>
      <w:r w:rsidRPr="00B85D55">
        <w:rPr>
          <w:rFonts w:eastAsia="Arial Unicode MS"/>
          <w:noProof/>
        </w:rPr>
        <w:t>There are currently three international agreements in force between the EU and third countries namely Australia</w:t>
      </w:r>
      <w:r w:rsidRPr="00B85D55">
        <w:rPr>
          <w:rStyle w:val="FootnoteReference"/>
          <w:rFonts w:eastAsia="Arial Unicode MS"/>
          <w:noProof/>
        </w:rPr>
        <w:footnoteReference w:id="7"/>
      </w:r>
      <w:r w:rsidRPr="00B85D55">
        <w:rPr>
          <w:rFonts w:eastAsia="Arial Unicode MS"/>
          <w:noProof/>
        </w:rPr>
        <w:t>, the United States (2012)</w:t>
      </w:r>
      <w:r w:rsidRPr="00B85D55">
        <w:rPr>
          <w:rStyle w:val="FootnoteReference"/>
          <w:rFonts w:eastAsia="Arial Unicode MS"/>
          <w:noProof/>
        </w:rPr>
        <w:footnoteReference w:id="8"/>
      </w:r>
      <w:r w:rsidRPr="00B85D55">
        <w:rPr>
          <w:rFonts w:eastAsia="Arial Unicode MS"/>
          <w:noProof/>
        </w:rPr>
        <w:t xml:space="preserve"> and the United Kingdom (2020)</w:t>
      </w:r>
      <w:r w:rsidRPr="00B85D55">
        <w:rPr>
          <w:rStyle w:val="FootnoteReference"/>
          <w:rFonts w:eastAsia="Arial Unicode MS"/>
          <w:noProof/>
        </w:rPr>
        <w:footnoteReference w:id="9"/>
      </w:r>
      <w:r w:rsidRPr="00B85D55">
        <w:rPr>
          <w:rFonts w:eastAsia="Arial Unicode MS"/>
          <w:noProof/>
        </w:rPr>
        <w:t xml:space="preserve"> which cover the transfer and processing of PNR data from the EU.</w:t>
      </w:r>
      <w:r w:rsidR="00A33394">
        <w:rPr>
          <w:rFonts w:eastAsia="Arial Unicode MS"/>
          <w:noProof/>
        </w:rPr>
        <w:t xml:space="preserve"> </w:t>
      </w:r>
      <w:r w:rsidR="00A33394" w:rsidRPr="00AD3905">
        <w:rPr>
          <w:noProof/>
        </w:rPr>
        <w:t>In addition</w:t>
      </w:r>
      <w:r w:rsidR="00A33394">
        <w:rPr>
          <w:noProof/>
        </w:rPr>
        <w:t xml:space="preserve"> to negotiations with Canada</w:t>
      </w:r>
      <w:r w:rsidR="00A33394" w:rsidRPr="00AD3905">
        <w:rPr>
          <w:noProof/>
        </w:rPr>
        <w:t xml:space="preserve">, the Commission is authorised to negotiate PNR agreements with Mexico and Japan and, in </w:t>
      </w:r>
      <w:r w:rsidR="00A33394" w:rsidRPr="00AD3905">
        <w:rPr>
          <w:noProof/>
        </w:rPr>
        <w:lastRenderedPageBreak/>
        <w:t xml:space="preserve">September 2023, has </w:t>
      </w:r>
      <w:r w:rsidR="00A33394">
        <w:rPr>
          <w:noProof/>
        </w:rPr>
        <w:t xml:space="preserve">also </w:t>
      </w:r>
      <w:r w:rsidR="00A33394" w:rsidRPr="00AD3905">
        <w:rPr>
          <w:noProof/>
        </w:rPr>
        <w:t xml:space="preserve">recommended </w:t>
      </w:r>
      <w:r w:rsidR="00A33394">
        <w:rPr>
          <w:noProof/>
        </w:rPr>
        <w:t>the opening of negotiations</w:t>
      </w:r>
      <w:r w:rsidR="00A33394" w:rsidRPr="00AD3905">
        <w:rPr>
          <w:noProof/>
        </w:rPr>
        <w:t xml:space="preserve"> with Norway</w:t>
      </w:r>
      <w:r w:rsidR="00AB7E76">
        <w:rPr>
          <w:rStyle w:val="FootnoteReference"/>
          <w:noProof/>
        </w:rPr>
        <w:footnoteReference w:id="10"/>
      </w:r>
      <w:r w:rsidR="00A33394" w:rsidRPr="00AD3905">
        <w:rPr>
          <w:noProof/>
        </w:rPr>
        <w:t>, Iceland</w:t>
      </w:r>
      <w:r w:rsidR="00AB7E76">
        <w:rPr>
          <w:rStyle w:val="FootnoteReference"/>
          <w:noProof/>
        </w:rPr>
        <w:footnoteReference w:id="11"/>
      </w:r>
      <w:r w:rsidR="00A33394" w:rsidRPr="00AD3905">
        <w:rPr>
          <w:noProof/>
        </w:rPr>
        <w:t xml:space="preserve"> and Switzerland</w:t>
      </w:r>
      <w:r w:rsidR="00AB7E76">
        <w:rPr>
          <w:rStyle w:val="FootnoteReference"/>
          <w:noProof/>
        </w:rPr>
        <w:footnoteReference w:id="12"/>
      </w:r>
      <w:r w:rsidR="00A33394" w:rsidRPr="00AD3905">
        <w:rPr>
          <w:noProof/>
        </w:rPr>
        <w:t>.</w:t>
      </w:r>
    </w:p>
    <w:p w:rsidR="00953F8F" w:rsidRPr="00AB7E76" w:rsidRDefault="001C64CE" w:rsidP="00953F8F">
      <w:pPr>
        <w:pBdr>
          <w:top w:val="nil"/>
          <w:left w:val="nil"/>
          <w:bottom w:val="nil"/>
          <w:right w:val="nil"/>
          <w:between w:val="nil"/>
          <w:bar w:val="nil"/>
        </w:pBdr>
        <w:rPr>
          <w:rFonts w:eastAsia="Arial Unicode MS"/>
          <w:noProof/>
        </w:rPr>
      </w:pPr>
      <w:r w:rsidRPr="00AB7E76">
        <w:rPr>
          <w:rFonts w:eastAsia="Arial Unicode MS"/>
          <w:noProof/>
        </w:rPr>
        <w:t>I</w:t>
      </w:r>
      <w:r w:rsidR="00953F8F" w:rsidRPr="00AB7E76">
        <w:rPr>
          <w:rFonts w:eastAsia="Arial Unicode MS"/>
          <w:noProof/>
        </w:rPr>
        <w:t>n 2016, the European Parliament and the Council of the European Union adopted Directive (EU) 2016/681 on the use of PNR data for the prevention, detection, investigation and prosecution of terrorist offences and serious crime (‘PNR Directive’)</w:t>
      </w:r>
      <w:r w:rsidR="00953F8F" w:rsidRPr="00AB7E76">
        <w:rPr>
          <w:rStyle w:val="FootnoteReference"/>
          <w:rFonts w:eastAsia="Arial Unicode MS"/>
          <w:noProof/>
        </w:rPr>
        <w:footnoteReference w:id="13"/>
      </w:r>
      <w:r w:rsidR="00953F8F" w:rsidRPr="00AB7E76">
        <w:rPr>
          <w:rFonts w:eastAsia="Arial Unicode MS"/>
          <w:noProof/>
        </w:rPr>
        <w:t>. This Directive regulates the transfer and processing of PNR data in the European Union and lays down important safeguards for the protection of fundamental rights, in particular the rights to privacy and the protection of personal data. In</w:t>
      </w:r>
      <w:r w:rsidR="007012C4" w:rsidRPr="00AB7E76">
        <w:rPr>
          <w:rFonts w:eastAsia="Arial Unicode MS"/>
          <w:noProof/>
        </w:rPr>
        <w:t xml:space="preserve"> its judgment in Case C-817/19</w:t>
      </w:r>
      <w:r w:rsidR="007012C4">
        <w:rPr>
          <w:rFonts w:eastAsia="Arial Unicode MS"/>
          <w:noProof/>
        </w:rPr>
        <w:t xml:space="preserve"> of </w:t>
      </w:r>
      <w:r w:rsidR="00953F8F" w:rsidRPr="00AB7E76">
        <w:rPr>
          <w:rFonts w:eastAsia="Arial Unicode MS"/>
          <w:noProof/>
        </w:rPr>
        <w:t>June 2022, the Court of Justice of the EU confirmed the validity of this Directive with the Charter of Fundamental Rights of the EU and the Union Treaties,</w:t>
      </w:r>
      <w:r w:rsidR="00953F8F" w:rsidRPr="00AB7E76">
        <w:rPr>
          <w:rStyle w:val="FootnoteReference"/>
          <w:rFonts w:eastAsia="Arial Unicode MS"/>
          <w:noProof/>
        </w:rPr>
        <w:footnoteReference w:id="14"/>
      </w:r>
      <w:r w:rsidR="00953F8F" w:rsidRPr="00AB7E76">
        <w:rPr>
          <w:rFonts w:eastAsia="Arial Unicode MS"/>
          <w:noProof/>
        </w:rPr>
        <w:t>.</w:t>
      </w:r>
    </w:p>
    <w:p w:rsidR="00953F8F" w:rsidRPr="00AB7E76" w:rsidRDefault="00953F8F" w:rsidP="00953F8F">
      <w:pPr>
        <w:pBdr>
          <w:top w:val="nil"/>
          <w:left w:val="nil"/>
          <w:bottom w:val="nil"/>
          <w:right w:val="nil"/>
          <w:between w:val="nil"/>
          <w:bar w:val="nil"/>
        </w:pBdr>
        <w:rPr>
          <w:rFonts w:eastAsia="Arial Unicode MS"/>
          <w:noProof/>
        </w:rPr>
      </w:pPr>
      <w:r w:rsidRPr="00AB7E76">
        <w:rPr>
          <w:rFonts w:eastAsia="Arial Unicode MS"/>
          <w:noProof/>
        </w:rPr>
        <w:t>At international level, an increasing number of third countries have started developing their capabilities to collect PNR data from air carriers. This trend is further prompted by Resolutions adopted by United Nations Security Council (in 2017 and 2019), requiring all States to develop the capability to collect and use PNR data</w:t>
      </w:r>
      <w:r w:rsidRPr="00AB7E76">
        <w:rPr>
          <w:rStyle w:val="FootnoteReference"/>
          <w:rFonts w:eastAsia="Arial Unicode MS"/>
          <w:noProof/>
        </w:rPr>
        <w:footnoteReference w:id="15"/>
      </w:r>
      <w:r w:rsidRPr="00AB7E76">
        <w:rPr>
          <w:rFonts w:eastAsia="Arial Unicode MS"/>
          <w:noProof/>
        </w:rPr>
        <w:t>, based on which Standards and Recommended Practices on PNR (SARPs) were adopted by the International Civil Aviation Organization (ICAO) in 2020, by means of Amendment 28 to Annex 9 to the Chicago Convention which became applicable in February 2021.</w:t>
      </w:r>
      <w:r w:rsidRPr="00AB7E76">
        <w:rPr>
          <w:rStyle w:val="FootnoteReference"/>
          <w:rFonts w:eastAsia="Arial Unicode MS"/>
          <w:noProof/>
        </w:rPr>
        <w:footnoteReference w:id="16"/>
      </w:r>
      <w:r w:rsidRPr="00AB7E76">
        <w:rPr>
          <w:rFonts w:eastAsia="Arial Unicode MS"/>
          <w:noProof/>
        </w:rPr>
        <w:t xml:space="preserve"> </w:t>
      </w:r>
    </w:p>
    <w:p w:rsidR="00AB7E76" w:rsidRPr="0079659D" w:rsidRDefault="00953F8F" w:rsidP="00AB7E76">
      <w:pPr>
        <w:pBdr>
          <w:top w:val="nil"/>
          <w:left w:val="nil"/>
          <w:bottom w:val="nil"/>
          <w:right w:val="nil"/>
          <w:between w:val="nil"/>
          <w:bar w:val="nil"/>
        </w:pBdr>
        <w:rPr>
          <w:rFonts w:eastAsia="Arial Unicode MS"/>
          <w:noProof/>
        </w:rPr>
      </w:pPr>
      <w:r w:rsidRPr="00AB7E76">
        <w:rPr>
          <w:rFonts w:eastAsia="Arial Unicode MS"/>
          <w:noProof/>
        </w:rPr>
        <w:t>The Union position, as established by Council Decision (EU) 2021/121, welcomes the ICAO SARPs on PNR as laying down ambitious safeguards on data protection and therewith allowing significant progress to be made at international level. At the same time, this Council Decision considered, by means of requiring Member States to register a difference, that the requirements resulting from Union law (including relevant case-law), are more exacting than certain ICAO Standards, and that transfers from the EU to third countries require a legal basis establishing clear and precise rules and safeguards in relation to the use of PNR data by competent authorities of a third country</w:t>
      </w:r>
      <w:r w:rsidRPr="00AB7E76">
        <w:rPr>
          <w:rStyle w:val="FootnoteReference"/>
          <w:rFonts w:eastAsia="Arial Unicode MS"/>
          <w:noProof/>
        </w:rPr>
        <w:footnoteReference w:id="17"/>
      </w:r>
      <w:r w:rsidRPr="00AB7E76">
        <w:rPr>
          <w:rFonts w:eastAsia="Arial Unicode MS"/>
          <w:noProof/>
        </w:rPr>
        <w:t xml:space="preserve">. </w:t>
      </w:r>
      <w:r w:rsidR="00AB7E76">
        <w:rPr>
          <w:rFonts w:eastAsia="Arial Unicode MS"/>
          <w:noProof/>
        </w:rPr>
        <w:t xml:space="preserve">In </w:t>
      </w:r>
      <w:r w:rsidR="005F549D">
        <w:rPr>
          <w:rFonts w:eastAsia="Arial Unicode MS"/>
          <w:noProof/>
        </w:rPr>
        <w:t xml:space="preserve">I </w:t>
      </w:r>
      <w:r w:rsidR="00AB7E76">
        <w:rPr>
          <w:rFonts w:eastAsia="Arial Unicode MS"/>
          <w:noProof/>
        </w:rPr>
        <w:t>light of this</w:t>
      </w:r>
      <w:r w:rsidR="00AB7E76" w:rsidRPr="0079659D">
        <w:rPr>
          <w:rFonts w:eastAsia="Arial Unicode MS"/>
          <w:noProof/>
        </w:rPr>
        <w:t xml:space="preserve">, </w:t>
      </w:r>
      <w:r w:rsidR="005F549D" w:rsidRPr="0079659D">
        <w:rPr>
          <w:rFonts w:eastAsia="Arial Unicode MS"/>
          <w:noProof/>
        </w:rPr>
        <w:t>upon a call from the Council</w:t>
      </w:r>
      <w:r w:rsidR="005F549D" w:rsidRPr="0079659D">
        <w:rPr>
          <w:rStyle w:val="FootnoteReference"/>
          <w:rFonts w:eastAsia="Arial Unicode MS"/>
          <w:noProof/>
        </w:rPr>
        <w:footnoteReference w:id="18"/>
      </w:r>
      <w:r w:rsidR="005F549D" w:rsidRPr="0079659D">
        <w:rPr>
          <w:rFonts w:eastAsia="Arial Unicode MS"/>
          <w:noProof/>
        </w:rPr>
        <w:t xml:space="preserve">, </w:t>
      </w:r>
      <w:r w:rsidR="00AB7E76" w:rsidRPr="0079659D">
        <w:rPr>
          <w:rFonts w:eastAsia="Arial Unicode MS"/>
          <w:noProof/>
        </w:rPr>
        <w:t>t</w:t>
      </w:r>
      <w:r w:rsidRPr="0079659D">
        <w:rPr>
          <w:rFonts w:eastAsia="Arial Unicode MS"/>
          <w:noProof/>
        </w:rPr>
        <w:t xml:space="preserve">he Commission </w:t>
      </w:r>
      <w:r w:rsidR="005F549D" w:rsidRPr="0079659D">
        <w:rPr>
          <w:rFonts w:eastAsia="Arial Unicode MS"/>
          <w:noProof/>
        </w:rPr>
        <w:t xml:space="preserve">has started </w:t>
      </w:r>
      <w:r w:rsidRPr="0079659D">
        <w:rPr>
          <w:rFonts w:eastAsia="Arial Unicode MS"/>
          <w:noProof/>
        </w:rPr>
        <w:t>consider</w:t>
      </w:r>
      <w:r w:rsidR="005F549D" w:rsidRPr="0079659D">
        <w:rPr>
          <w:rFonts w:eastAsia="Arial Unicode MS"/>
          <w:noProof/>
        </w:rPr>
        <w:t>ing</w:t>
      </w:r>
      <w:r w:rsidRPr="0079659D">
        <w:rPr>
          <w:rFonts w:eastAsia="Arial Unicode MS"/>
          <w:noProof/>
        </w:rPr>
        <w:t xml:space="preserve"> the demonstration of compliance with ICAO PNR Standards </w:t>
      </w:r>
      <w:r w:rsidR="005F549D" w:rsidRPr="0079659D">
        <w:rPr>
          <w:rFonts w:eastAsia="Arial Unicode MS"/>
          <w:noProof/>
        </w:rPr>
        <w:t>a</w:t>
      </w:r>
      <w:r w:rsidRPr="0079659D">
        <w:rPr>
          <w:rFonts w:eastAsia="Arial Unicode MS"/>
          <w:noProof/>
        </w:rPr>
        <w:t>s an important element to take into account for entering into a PNR dialogue with any third country</w:t>
      </w:r>
      <w:r w:rsidR="00AB7E76" w:rsidRPr="0079659D">
        <w:rPr>
          <w:rFonts w:eastAsia="Arial Unicode MS"/>
          <w:noProof/>
        </w:rPr>
        <w:t>.</w:t>
      </w:r>
    </w:p>
    <w:p w:rsidR="006502BA" w:rsidRPr="002D5EE2" w:rsidRDefault="0084502D" w:rsidP="005F549D">
      <w:pPr>
        <w:pStyle w:val="ManualHeading1"/>
        <w:ind w:left="0" w:firstLine="0"/>
        <w:rPr>
          <w:noProof/>
        </w:rPr>
      </w:pPr>
      <w:r>
        <w:rPr>
          <w:noProof/>
        </w:rPr>
        <w:lastRenderedPageBreak/>
        <w:t>2.</w:t>
      </w:r>
      <w:r>
        <w:rPr>
          <w:noProof/>
        </w:rPr>
        <w:tab/>
      </w:r>
      <w:r w:rsidR="006502BA" w:rsidRPr="002D5EE2">
        <w:rPr>
          <w:noProof/>
        </w:rPr>
        <w:t>LEGAL BASIS AND PROPORTIONALITY</w:t>
      </w:r>
    </w:p>
    <w:p w:rsidR="006502BA" w:rsidRPr="002D5EE2" w:rsidRDefault="006502BA" w:rsidP="006502BA">
      <w:pPr>
        <w:pStyle w:val="ManualHeading2"/>
        <w:rPr>
          <w:rFonts w:eastAsia="Arial Unicode MS"/>
          <w:noProof/>
          <w:u w:color="000000"/>
          <w:bdr w:val="nil"/>
          <w:lang w:val="en-US" w:eastAsia="en-GB"/>
        </w:rPr>
      </w:pPr>
      <w:r w:rsidRPr="002D5EE2">
        <w:rPr>
          <w:rFonts w:eastAsia="Arial Unicode MS"/>
          <w:noProof/>
          <w:u w:color="000000"/>
          <w:bdr w:val="nil"/>
          <w:lang w:val="en-US" w:eastAsia="en-GB"/>
        </w:rPr>
        <w:t>•</w:t>
      </w:r>
      <w:r w:rsidRPr="002D5EE2">
        <w:rPr>
          <w:rFonts w:eastAsia="Arial Unicode MS"/>
          <w:noProof/>
          <w:u w:color="000000"/>
          <w:bdr w:val="nil"/>
          <w:lang w:val="en-US" w:eastAsia="en-GB"/>
        </w:rPr>
        <w:tab/>
        <w:t>Legal basis</w:t>
      </w:r>
    </w:p>
    <w:p w:rsidR="00487301" w:rsidRDefault="006502BA" w:rsidP="0079659D">
      <w:pPr>
        <w:rPr>
          <w:noProof/>
        </w:rPr>
      </w:pPr>
      <w:r w:rsidRPr="00E34F04">
        <w:rPr>
          <w:noProof/>
        </w:rPr>
        <w:t>Article 218(</w:t>
      </w:r>
      <w:r>
        <w:rPr>
          <w:noProof/>
        </w:rPr>
        <w:t>5</w:t>
      </w:r>
      <w:r w:rsidRPr="00E34F04">
        <w:rPr>
          <w:noProof/>
        </w:rPr>
        <w:t>) of the Treaty on the Functioning of the European Union (TFEU) provides for decisions ‘</w:t>
      </w:r>
      <w:r w:rsidRPr="009E5643">
        <w:rPr>
          <w:i/>
          <w:noProof/>
        </w:rPr>
        <w:t>authorising the signing of the agreement and, if necessary, its provisional application before entry into force.</w:t>
      </w:r>
      <w:r w:rsidRPr="00E34F04">
        <w:rPr>
          <w:noProof/>
        </w:rPr>
        <w:t>’</w:t>
      </w:r>
      <w:r>
        <w:rPr>
          <w:noProof/>
        </w:rPr>
        <w:t xml:space="preserve"> Since the proposal’s aim is to receive an authorisation to sign the Agreement, the procedural legal basis is Article 218(5) TFEU.</w:t>
      </w:r>
      <w:r w:rsidR="0079659D">
        <w:rPr>
          <w:noProof/>
        </w:rPr>
        <w:t xml:space="preserve"> </w:t>
      </w:r>
      <w:r w:rsidR="00080BB8" w:rsidRPr="005F549D">
        <w:rPr>
          <w:noProof/>
        </w:rPr>
        <w:t xml:space="preserve">The proposal has two main aims and components, </w:t>
      </w:r>
      <w:r w:rsidR="00C14A9A" w:rsidRPr="005F549D">
        <w:rPr>
          <w:noProof/>
        </w:rPr>
        <w:t xml:space="preserve">one relating to the necessity of </w:t>
      </w:r>
      <w:r w:rsidR="00B93DC3" w:rsidRPr="005F549D">
        <w:rPr>
          <w:noProof/>
        </w:rPr>
        <w:t xml:space="preserve">ensuring public security by means of the transfer of PNR data to Canada </w:t>
      </w:r>
      <w:r w:rsidR="00C14A9A" w:rsidRPr="005F549D">
        <w:rPr>
          <w:noProof/>
        </w:rPr>
        <w:t xml:space="preserve">and the other to the </w:t>
      </w:r>
      <w:r w:rsidR="00B93DC3" w:rsidRPr="005F549D">
        <w:rPr>
          <w:noProof/>
        </w:rPr>
        <w:t>protection of privacy and other fundamental rights and freedoms of individuals</w:t>
      </w:r>
      <w:r w:rsidR="00C14A9A" w:rsidRPr="005F549D">
        <w:rPr>
          <w:noProof/>
        </w:rPr>
        <w:t>.</w:t>
      </w:r>
      <w:r w:rsidR="00C14A9A">
        <w:rPr>
          <w:noProof/>
        </w:rPr>
        <w:t xml:space="preserve"> </w:t>
      </w:r>
      <w:r w:rsidR="00B93DC3">
        <w:rPr>
          <w:noProof/>
        </w:rPr>
        <w:t xml:space="preserve">Thus the substantive legal basis is </w:t>
      </w:r>
      <w:r w:rsidR="00487301">
        <w:rPr>
          <w:noProof/>
        </w:rPr>
        <w:t>Article 16(2) and Article 87(2)(a</w:t>
      </w:r>
      <w:r w:rsidR="00B93DC3">
        <w:rPr>
          <w:noProof/>
        </w:rPr>
        <w:t xml:space="preserve">) </w:t>
      </w:r>
      <w:r w:rsidR="00487301">
        <w:rPr>
          <w:noProof/>
        </w:rPr>
        <w:t>of the Treaty on the Functioning of the European Union.</w:t>
      </w:r>
    </w:p>
    <w:p w:rsidR="00DD1253" w:rsidRDefault="00DD1253">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Proportionality</w:t>
      </w:r>
    </w:p>
    <w:p w:rsidR="00953F8F" w:rsidRPr="00953F8F" w:rsidRDefault="00953F8F" w:rsidP="00953F8F">
      <w:pPr>
        <w:pBdr>
          <w:top w:val="nil"/>
          <w:left w:val="nil"/>
          <w:bottom w:val="nil"/>
          <w:right w:val="nil"/>
          <w:between w:val="nil"/>
          <w:bar w:val="nil"/>
        </w:pBdr>
        <w:rPr>
          <w:rFonts w:eastAsia="Arial Unicode MS"/>
          <w:noProof/>
        </w:rPr>
      </w:pPr>
      <w:r w:rsidRPr="00953F8F">
        <w:rPr>
          <w:rFonts w:eastAsia="Arial Unicode MS"/>
          <w:noProof/>
        </w:rPr>
        <w:t xml:space="preserve">The Union’s objectives with regard to this proposal as set out above can only be achieved by establishing a valid legal basis </w:t>
      </w:r>
      <w:r w:rsidR="00444C85">
        <w:rPr>
          <w:rFonts w:eastAsia="Arial Unicode MS"/>
          <w:noProof/>
        </w:rPr>
        <w:t xml:space="preserve">at Union level </w:t>
      </w:r>
      <w:r w:rsidRPr="00953F8F">
        <w:rPr>
          <w:rFonts w:eastAsia="Arial Unicode MS"/>
          <w:noProof/>
        </w:rPr>
        <w:t>to ensure that appropriate protection of fundamental rights is granted to personal data transfers from the Union. The provisions of the agreement are limited to what is necessary to achieve its main objectives an</w:t>
      </w:r>
      <w:r>
        <w:rPr>
          <w:rFonts w:eastAsia="Arial Unicode MS"/>
          <w:noProof/>
        </w:rPr>
        <w:t xml:space="preserve">d strike </w:t>
      </w:r>
      <w:r w:rsidRPr="00AB0806">
        <w:rPr>
          <w:rFonts w:eastAsia="Arial Unicode MS"/>
          <w:noProof/>
        </w:rPr>
        <w:t>a fair balance between the legitimate objective to maintain public security and the right of everyone to enjoy the protection of their personal data and private life.</w:t>
      </w:r>
    </w:p>
    <w:p w:rsidR="00953F8F" w:rsidRDefault="00DD1253" w:rsidP="00953F8F">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r>
      <w:r>
        <w:rPr>
          <w:rFonts w:eastAsia="Arial Unicode MS"/>
          <w:noProof/>
          <w:u w:color="000000"/>
          <w:bdr w:val="nil"/>
          <w:lang w:val="en-US" w:eastAsia="en-GB"/>
        </w:rPr>
        <w:t>Choice of the instrument</w:t>
      </w:r>
    </w:p>
    <w:p w:rsidR="00444C85" w:rsidRDefault="00444C85" w:rsidP="00953F8F">
      <w:pPr>
        <w:pBdr>
          <w:top w:val="nil"/>
          <w:left w:val="nil"/>
          <w:bottom w:val="nil"/>
          <w:right w:val="nil"/>
          <w:between w:val="nil"/>
          <w:bar w:val="nil"/>
        </w:pBdr>
        <w:rPr>
          <w:rFonts w:eastAsia="Arial Unicode MS"/>
          <w:noProof/>
        </w:rPr>
      </w:pPr>
      <w:r>
        <w:rPr>
          <w:rFonts w:eastAsia="Arial Unicode MS"/>
          <w:noProof/>
        </w:rPr>
        <w:t>Chapter V of Regulation 2016/679</w:t>
      </w:r>
      <w:r w:rsidR="005F549D">
        <w:rPr>
          <w:rStyle w:val="FootnoteReference"/>
          <w:rFonts w:eastAsia="Arial Unicode MS"/>
          <w:noProof/>
        </w:rPr>
        <w:footnoteReference w:id="19"/>
      </w:r>
      <w:r>
        <w:rPr>
          <w:rFonts w:eastAsia="Arial Unicode MS"/>
          <w:noProof/>
        </w:rPr>
        <w:t xml:space="preserve"> (‘GDPR’) requires that any transfer of personal data from the Union to a third countries be based on a valid instrument laying down appropriate safeguards. The present agreement constitutes one of those instruments, i.e. a</w:t>
      </w:r>
      <w:r w:rsidRPr="00A5786C">
        <w:rPr>
          <w:rFonts w:eastAsia="Arial Unicode MS"/>
          <w:noProof/>
        </w:rPr>
        <w:t xml:space="preserve"> legally binding and enforceable instrument between public authorities</w:t>
      </w:r>
      <w:r>
        <w:rPr>
          <w:rFonts w:eastAsia="Arial Unicode MS"/>
          <w:noProof/>
        </w:rPr>
        <w:t xml:space="preserve"> provided for in Article 46(2)(a) of that Regulation.</w:t>
      </w:r>
    </w:p>
    <w:p w:rsidR="00DD1253" w:rsidRDefault="00DD1253" w:rsidP="00B93DC3">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Fundamental rights</w:t>
      </w:r>
    </w:p>
    <w:p w:rsidR="00571B71" w:rsidRDefault="00571B71" w:rsidP="005F549D">
      <w:pPr>
        <w:rPr>
          <w:noProof/>
        </w:rPr>
      </w:pPr>
      <w:r w:rsidRPr="00571B71">
        <w:rPr>
          <w:rFonts w:eastAsia="Arial Unicode MS"/>
          <w:noProof/>
        </w:rPr>
        <w:t xml:space="preserve">The exchange of </w:t>
      </w:r>
      <w:r>
        <w:rPr>
          <w:rFonts w:eastAsia="Arial Unicode MS"/>
          <w:noProof/>
        </w:rPr>
        <w:t>PNR</w:t>
      </w:r>
      <w:r w:rsidRPr="00571B71">
        <w:rPr>
          <w:rFonts w:eastAsia="Arial Unicode MS"/>
          <w:noProof/>
        </w:rPr>
        <w:t xml:space="preserve"> data and its processing by the authorities of a third country constitutes an interference with the fundamental rights to privacy and data protection. However, the Agreement ensures the necessity and proportionality of any such interference </w:t>
      </w:r>
      <w:r w:rsidR="005F549D">
        <w:rPr>
          <w:rFonts w:eastAsia="Arial Unicode MS"/>
          <w:noProof/>
        </w:rPr>
        <w:t xml:space="preserve">in light of the legitimate purposes of the personal data processing, i.e. to prevent, detect, investigate and prosecute serious crime and terrorism. This is </w:t>
      </w:r>
      <w:r w:rsidRPr="00571B71">
        <w:rPr>
          <w:rFonts w:eastAsia="Arial Unicode MS"/>
          <w:noProof/>
        </w:rPr>
        <w:t>guarantee</w:t>
      </w:r>
      <w:r w:rsidR="005F549D">
        <w:rPr>
          <w:rFonts w:eastAsia="Arial Unicode MS"/>
          <w:noProof/>
        </w:rPr>
        <w:t>d</w:t>
      </w:r>
      <w:r w:rsidRPr="00571B71">
        <w:rPr>
          <w:rFonts w:eastAsia="Arial Unicode MS"/>
          <w:noProof/>
        </w:rPr>
        <w:t xml:space="preserve"> </w:t>
      </w:r>
      <w:r w:rsidR="005F549D">
        <w:rPr>
          <w:rFonts w:eastAsia="Arial Unicode MS"/>
          <w:noProof/>
        </w:rPr>
        <w:t xml:space="preserve">by </w:t>
      </w:r>
      <w:r w:rsidRPr="00571B71">
        <w:rPr>
          <w:rFonts w:eastAsia="Arial Unicode MS"/>
          <w:noProof/>
        </w:rPr>
        <w:t>the application of adequate data protection safeguards to the personal data transferred</w:t>
      </w:r>
      <w:r w:rsidR="005F549D">
        <w:rPr>
          <w:rFonts w:eastAsia="Arial Unicode MS"/>
          <w:noProof/>
        </w:rPr>
        <w:t xml:space="preserve"> and processed</w:t>
      </w:r>
      <w:r w:rsidRPr="00571B71">
        <w:rPr>
          <w:rFonts w:eastAsia="Arial Unicode MS"/>
          <w:noProof/>
        </w:rPr>
        <w:t>, in line with EU law</w:t>
      </w:r>
      <w:r w:rsidR="00FD6332">
        <w:rPr>
          <w:rFonts w:eastAsia="Arial Unicode MS"/>
          <w:noProof/>
        </w:rPr>
        <w:t>, notably</w:t>
      </w:r>
      <w:r>
        <w:rPr>
          <w:rFonts w:eastAsia="Arial Unicode MS"/>
          <w:noProof/>
        </w:rPr>
        <w:t xml:space="preserve"> </w:t>
      </w:r>
      <w:r w:rsidR="00FD6332" w:rsidRPr="00571B71">
        <w:rPr>
          <w:rFonts w:eastAsia="Arial Unicode MS"/>
          <w:noProof/>
        </w:rPr>
        <w:t>Articles 7, 8, 47 and 52</w:t>
      </w:r>
      <w:r w:rsidR="00FD6332">
        <w:rPr>
          <w:rFonts w:eastAsia="Arial Unicode MS"/>
          <w:noProof/>
        </w:rPr>
        <w:t xml:space="preserve"> of </w:t>
      </w:r>
      <w:r w:rsidR="00444C85" w:rsidRPr="00571B71">
        <w:rPr>
          <w:rFonts w:eastAsia="Arial Unicode MS"/>
          <w:noProof/>
        </w:rPr>
        <w:t>the Charter of Fundamental Rights of the EU</w:t>
      </w:r>
      <w:r w:rsidR="00DD1253" w:rsidRPr="00550536">
        <w:rPr>
          <w:noProof/>
        </w:rPr>
        <w:t>.</w:t>
      </w:r>
      <w:r w:rsidR="00DD1253" w:rsidRPr="00550536">
        <w:rPr>
          <w:noProof/>
        </w:rPr>
        <w:tab/>
      </w:r>
    </w:p>
    <w:p w:rsidR="00DD1253" w:rsidRDefault="00FD6332" w:rsidP="0079659D">
      <w:pPr>
        <w:pStyle w:val="ManualHeading1"/>
        <w:ind w:left="720" w:hanging="720"/>
        <w:rPr>
          <w:noProof/>
        </w:rPr>
      </w:pPr>
      <w:r>
        <w:rPr>
          <w:noProof/>
        </w:rPr>
        <w:t>3</w:t>
      </w:r>
      <w:r w:rsidRPr="00C567EE">
        <w:rPr>
          <w:noProof/>
        </w:rPr>
        <w:t>.</w:t>
      </w:r>
      <w:r w:rsidRPr="00C567EE">
        <w:rPr>
          <w:noProof/>
        </w:rPr>
        <w:tab/>
      </w:r>
      <w:r w:rsidR="00DD1253" w:rsidRPr="00550536">
        <w:rPr>
          <w:noProof/>
        </w:rPr>
        <w:t>BUDGETARY IMPLICATIONS</w:t>
      </w:r>
    </w:p>
    <w:p w:rsidR="00444C85" w:rsidRPr="00444C85" w:rsidRDefault="00444C85" w:rsidP="00444C85">
      <w:pPr>
        <w:pBdr>
          <w:top w:val="nil"/>
          <w:left w:val="nil"/>
          <w:bottom w:val="nil"/>
          <w:right w:val="nil"/>
          <w:between w:val="nil"/>
          <w:bar w:val="nil"/>
        </w:pBdr>
        <w:spacing w:before="0" w:after="240"/>
        <w:rPr>
          <w:rFonts w:eastAsia="Arial Unicode MS"/>
          <w:noProof/>
        </w:rPr>
      </w:pPr>
      <w:r w:rsidRPr="00444C85">
        <w:rPr>
          <w:rFonts w:eastAsia="Arial Unicode MS"/>
          <w:noProof/>
        </w:rPr>
        <w:t>Th</w:t>
      </w:r>
      <w:r w:rsidR="00571B71">
        <w:rPr>
          <w:rFonts w:eastAsia="Arial Unicode MS"/>
          <w:noProof/>
        </w:rPr>
        <w:t xml:space="preserve">ere are no budgetary implications for </w:t>
      </w:r>
      <w:r w:rsidRPr="00444C85">
        <w:rPr>
          <w:rFonts w:eastAsia="Arial Unicode MS"/>
          <w:noProof/>
        </w:rPr>
        <w:t>the Union budget.</w:t>
      </w:r>
    </w:p>
    <w:p w:rsidR="00DD1253" w:rsidRDefault="0079659D">
      <w:pPr>
        <w:pStyle w:val="ManualHeading1"/>
        <w:rPr>
          <w:noProof/>
        </w:rPr>
      </w:pPr>
      <w:r>
        <w:rPr>
          <w:noProof/>
        </w:rPr>
        <w:t>4</w:t>
      </w:r>
      <w:r w:rsidR="00DD1253" w:rsidRPr="00550536">
        <w:rPr>
          <w:noProof/>
        </w:rPr>
        <w:t>.</w:t>
      </w:r>
      <w:r w:rsidR="00DD1253" w:rsidRPr="00550536">
        <w:rPr>
          <w:noProof/>
        </w:rPr>
        <w:tab/>
        <w:t>OTHER ELEMENTS</w:t>
      </w:r>
    </w:p>
    <w:p w:rsidR="00B95810" w:rsidRDefault="00B95810" w:rsidP="00B95810">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r>
      <w:r w:rsidRPr="00B95810">
        <w:rPr>
          <w:rFonts w:eastAsia="Arial Unicode MS"/>
          <w:noProof/>
          <w:u w:color="000000"/>
          <w:bdr w:val="nil"/>
          <w:lang w:val="en-US" w:eastAsia="en-GB"/>
        </w:rPr>
        <w:t>Detailed explanation of the specific provisions of the proposal</w:t>
      </w:r>
    </w:p>
    <w:p w:rsidR="00444C85" w:rsidRDefault="00444C85" w:rsidP="00444C85">
      <w:pPr>
        <w:pBdr>
          <w:top w:val="nil"/>
          <w:left w:val="nil"/>
          <w:bottom w:val="nil"/>
          <w:right w:val="nil"/>
          <w:between w:val="nil"/>
          <w:bar w:val="nil"/>
        </w:pBdr>
        <w:spacing w:before="0" w:after="240"/>
        <w:rPr>
          <w:rFonts w:eastAsia="Arial Unicode MS"/>
          <w:noProof/>
        </w:rPr>
      </w:pPr>
      <w:r w:rsidRPr="00DD470A">
        <w:rPr>
          <w:rFonts w:eastAsia="Arial Unicode MS"/>
          <w:noProof/>
        </w:rPr>
        <w:t xml:space="preserve">The Agreement resulting from the negotiations contains several important safeguards for those persons whose data will be transferred </w:t>
      </w:r>
      <w:r w:rsidR="001C64CE">
        <w:rPr>
          <w:rFonts w:eastAsia="Arial Unicode MS"/>
          <w:noProof/>
        </w:rPr>
        <w:t xml:space="preserve">to </w:t>
      </w:r>
      <w:r w:rsidRPr="00DD470A">
        <w:rPr>
          <w:rFonts w:eastAsia="Arial Unicode MS"/>
          <w:noProof/>
        </w:rPr>
        <w:t>and processed in Canada</w:t>
      </w:r>
      <w:r w:rsidR="00961877">
        <w:rPr>
          <w:rFonts w:eastAsia="Arial Unicode MS"/>
          <w:noProof/>
        </w:rPr>
        <w:t>. I</w:t>
      </w:r>
      <w:r w:rsidRPr="00DD470A">
        <w:rPr>
          <w:rFonts w:eastAsia="Arial Unicode MS"/>
          <w:noProof/>
        </w:rPr>
        <w:t xml:space="preserve">n full alignment with the requirements of the </w:t>
      </w:r>
      <w:r w:rsidR="00961877">
        <w:rPr>
          <w:rFonts w:eastAsia="Arial Unicode MS"/>
          <w:noProof/>
        </w:rPr>
        <w:t xml:space="preserve">said </w:t>
      </w:r>
      <w:r w:rsidRPr="00DD470A">
        <w:rPr>
          <w:rFonts w:eastAsia="Arial Unicode MS"/>
          <w:noProof/>
        </w:rPr>
        <w:t>Court</w:t>
      </w:r>
      <w:r w:rsidR="001C64CE">
        <w:rPr>
          <w:rFonts w:eastAsia="Arial Unicode MS"/>
          <w:noProof/>
        </w:rPr>
        <w:t xml:space="preserve"> </w:t>
      </w:r>
      <w:r w:rsidR="00961877">
        <w:rPr>
          <w:rFonts w:eastAsia="Arial Unicode MS"/>
          <w:noProof/>
        </w:rPr>
        <w:t xml:space="preserve">Opinion </w:t>
      </w:r>
      <w:r w:rsidR="001C64CE">
        <w:rPr>
          <w:rFonts w:eastAsia="Arial Unicode MS"/>
          <w:noProof/>
        </w:rPr>
        <w:t>and the negotiating directives</w:t>
      </w:r>
      <w:r w:rsidR="00961877">
        <w:rPr>
          <w:rFonts w:eastAsia="Arial Unicode MS"/>
          <w:noProof/>
        </w:rPr>
        <w:t>, the provisions subject</w:t>
      </w:r>
      <w:r w:rsidR="00F95D25">
        <w:rPr>
          <w:rFonts w:eastAsia="Arial Unicode MS"/>
          <w:noProof/>
        </w:rPr>
        <w:t xml:space="preserve"> of the</w:t>
      </w:r>
      <w:r w:rsidR="00961877">
        <w:rPr>
          <w:rFonts w:eastAsia="Arial Unicode MS"/>
          <w:noProof/>
        </w:rPr>
        <w:t xml:space="preserve"> negotiation</w:t>
      </w:r>
      <w:r w:rsidR="00F95D25">
        <w:rPr>
          <w:rFonts w:eastAsia="Arial Unicode MS"/>
          <w:noProof/>
        </w:rPr>
        <w:t>s were notably</w:t>
      </w:r>
      <w:r w:rsidRPr="00DD470A">
        <w:rPr>
          <w:rFonts w:eastAsia="Arial Unicode MS"/>
          <w:noProof/>
        </w:rPr>
        <w:t xml:space="preserve">: </w:t>
      </w:r>
    </w:p>
    <w:p w:rsidR="00444C85" w:rsidRDefault="00444C85" w:rsidP="00444C85">
      <w:pPr>
        <w:pBdr>
          <w:top w:val="nil"/>
          <w:left w:val="nil"/>
          <w:bottom w:val="nil"/>
          <w:right w:val="nil"/>
          <w:between w:val="nil"/>
          <w:bar w:val="nil"/>
        </w:pBdr>
        <w:spacing w:before="0" w:after="240"/>
        <w:rPr>
          <w:noProof/>
        </w:rPr>
      </w:pPr>
      <w:r>
        <w:rPr>
          <w:rFonts w:eastAsia="Arial Unicode MS"/>
          <w:noProof/>
        </w:rPr>
        <w:t>Article 3:</w:t>
      </w:r>
      <w:r w:rsidRPr="00DD470A">
        <w:rPr>
          <w:rFonts w:eastAsia="Arial Unicode MS"/>
          <w:noProof/>
        </w:rPr>
        <w:t xml:space="preserve"> t</w:t>
      </w:r>
      <w:r w:rsidRPr="000E4C62">
        <w:rPr>
          <w:noProof/>
        </w:rPr>
        <w:t xml:space="preserve">he purposes for which PNR data are processed are </w:t>
      </w:r>
      <w:r>
        <w:rPr>
          <w:noProof/>
        </w:rPr>
        <w:t xml:space="preserve">spelt out clearly and precisely; </w:t>
      </w:r>
    </w:p>
    <w:p w:rsidR="00961877" w:rsidRDefault="00961877" w:rsidP="00A33394">
      <w:pPr>
        <w:pBdr>
          <w:top w:val="nil"/>
          <w:left w:val="nil"/>
          <w:bottom w:val="nil"/>
          <w:right w:val="nil"/>
          <w:between w:val="nil"/>
          <w:bar w:val="nil"/>
        </w:pBdr>
        <w:spacing w:before="0" w:after="240"/>
        <w:rPr>
          <w:noProof/>
        </w:rPr>
      </w:pPr>
      <w:r>
        <w:rPr>
          <w:noProof/>
        </w:rPr>
        <w:lastRenderedPageBreak/>
        <w:t xml:space="preserve">Article 8: </w:t>
      </w:r>
      <w:r w:rsidR="004D42B5">
        <w:rPr>
          <w:noProof/>
        </w:rPr>
        <w:t xml:space="preserve">the processing of </w:t>
      </w:r>
      <w:r>
        <w:rPr>
          <w:noProof/>
        </w:rPr>
        <w:t xml:space="preserve">sensitive data </w:t>
      </w:r>
      <w:r w:rsidR="004D42B5">
        <w:rPr>
          <w:noProof/>
        </w:rPr>
        <w:t xml:space="preserve">by Canada </w:t>
      </w:r>
      <w:r>
        <w:rPr>
          <w:noProof/>
        </w:rPr>
        <w:t xml:space="preserve">is prohibited </w:t>
      </w:r>
      <w:r w:rsidR="004D42B5">
        <w:rPr>
          <w:noProof/>
        </w:rPr>
        <w:t>under the Agreement. S</w:t>
      </w:r>
      <w:r>
        <w:rPr>
          <w:noProof/>
        </w:rPr>
        <w:t>hould Canada receive such information as part of PNR data</w:t>
      </w:r>
      <w:r w:rsidRPr="00961877">
        <w:rPr>
          <w:noProof/>
        </w:rPr>
        <w:t xml:space="preserve"> </w:t>
      </w:r>
      <w:r>
        <w:rPr>
          <w:noProof/>
        </w:rPr>
        <w:t xml:space="preserve">under the Agreement, deletion is </w:t>
      </w:r>
      <w:r w:rsidR="004D42B5">
        <w:rPr>
          <w:noProof/>
        </w:rPr>
        <w:t xml:space="preserve">also </w:t>
      </w:r>
      <w:r>
        <w:rPr>
          <w:noProof/>
        </w:rPr>
        <w:t>required</w:t>
      </w:r>
      <w:r w:rsidR="007012C4">
        <w:rPr>
          <w:noProof/>
        </w:rPr>
        <w:t>;</w:t>
      </w:r>
    </w:p>
    <w:p w:rsidR="00A33394" w:rsidRDefault="00A33394" w:rsidP="00A33394">
      <w:pPr>
        <w:pBdr>
          <w:top w:val="nil"/>
          <w:left w:val="nil"/>
          <w:bottom w:val="nil"/>
          <w:right w:val="nil"/>
          <w:between w:val="nil"/>
          <w:bar w:val="nil"/>
        </w:pBdr>
        <w:spacing w:before="0" w:after="240"/>
        <w:rPr>
          <w:noProof/>
        </w:rPr>
      </w:pPr>
      <w:r>
        <w:rPr>
          <w:noProof/>
        </w:rPr>
        <w:t>Article 10: o</w:t>
      </w:r>
      <w:r w:rsidRPr="006D3845">
        <w:rPr>
          <w:noProof/>
        </w:rPr>
        <w:t>versight of Canada's compliance with these rules shall be exercised by independent public authorities</w:t>
      </w:r>
      <w:r w:rsidR="007012C4">
        <w:rPr>
          <w:noProof/>
        </w:rPr>
        <w:t>;</w:t>
      </w:r>
    </w:p>
    <w:p w:rsidR="00A33394" w:rsidRDefault="00A33394" w:rsidP="00A33394">
      <w:pPr>
        <w:pBdr>
          <w:top w:val="nil"/>
          <w:left w:val="nil"/>
          <w:bottom w:val="nil"/>
          <w:right w:val="nil"/>
          <w:between w:val="nil"/>
          <w:bar w:val="nil"/>
        </w:pBdr>
        <w:spacing w:before="0" w:after="240"/>
        <w:rPr>
          <w:noProof/>
        </w:rPr>
      </w:pPr>
      <w:r>
        <w:rPr>
          <w:noProof/>
        </w:rPr>
        <w:t>Article 11: i</w:t>
      </w:r>
      <w:r w:rsidRPr="000E4C62">
        <w:rPr>
          <w:noProof/>
        </w:rPr>
        <w:t>ndividuals are n</w:t>
      </w:r>
      <w:r>
        <w:rPr>
          <w:noProof/>
        </w:rPr>
        <w:t>otified of the use of their PNR;</w:t>
      </w:r>
    </w:p>
    <w:p w:rsidR="00A33394" w:rsidRDefault="00A33394" w:rsidP="00A33394">
      <w:pPr>
        <w:pBdr>
          <w:top w:val="nil"/>
          <w:left w:val="nil"/>
          <w:bottom w:val="nil"/>
          <w:right w:val="nil"/>
          <w:between w:val="nil"/>
          <w:bar w:val="nil"/>
        </w:pBdr>
        <w:spacing w:before="0" w:after="240"/>
        <w:rPr>
          <w:noProof/>
        </w:rPr>
      </w:pPr>
      <w:r>
        <w:rPr>
          <w:noProof/>
        </w:rPr>
        <w:t>Article 12: i</w:t>
      </w:r>
      <w:r w:rsidRPr="000E4C62">
        <w:rPr>
          <w:noProof/>
        </w:rPr>
        <w:t>ndividuals may access (only) their own PNR data and are provided with the right to correction, redress and information</w:t>
      </w:r>
      <w:r>
        <w:rPr>
          <w:noProof/>
        </w:rPr>
        <w:t>;</w:t>
      </w:r>
    </w:p>
    <w:p w:rsidR="00A33394" w:rsidRDefault="00A33394" w:rsidP="00A33394">
      <w:pPr>
        <w:pBdr>
          <w:top w:val="nil"/>
          <w:left w:val="nil"/>
          <w:bottom w:val="nil"/>
          <w:right w:val="nil"/>
          <w:between w:val="nil"/>
          <w:bar w:val="nil"/>
        </w:pBdr>
        <w:spacing w:before="0" w:after="240"/>
        <w:rPr>
          <w:noProof/>
        </w:rPr>
      </w:pPr>
      <w:r>
        <w:rPr>
          <w:noProof/>
        </w:rPr>
        <w:t>Article 1</w:t>
      </w:r>
      <w:r w:rsidR="00A65743">
        <w:rPr>
          <w:noProof/>
        </w:rPr>
        <w:t>5</w:t>
      </w:r>
      <w:r>
        <w:rPr>
          <w:noProof/>
        </w:rPr>
        <w:t>: a</w:t>
      </w:r>
      <w:r w:rsidRPr="000E4C62">
        <w:rPr>
          <w:noProof/>
        </w:rPr>
        <w:t>utomated processing of PNR data will be based only on non-discr</w:t>
      </w:r>
      <w:r>
        <w:rPr>
          <w:noProof/>
        </w:rPr>
        <w:t>iminatory and reliable criteria;</w:t>
      </w:r>
    </w:p>
    <w:p w:rsidR="00444C85" w:rsidRDefault="00444C85" w:rsidP="00444C85">
      <w:pPr>
        <w:pBdr>
          <w:top w:val="nil"/>
          <w:left w:val="nil"/>
          <w:bottom w:val="nil"/>
          <w:right w:val="nil"/>
          <w:between w:val="nil"/>
          <w:bar w:val="nil"/>
        </w:pBdr>
        <w:spacing w:before="0" w:after="240"/>
        <w:rPr>
          <w:noProof/>
        </w:rPr>
      </w:pPr>
      <w:r>
        <w:rPr>
          <w:noProof/>
        </w:rPr>
        <w:t>Article 16: t</w:t>
      </w:r>
      <w:r w:rsidRPr="000E4C62">
        <w:rPr>
          <w:noProof/>
        </w:rPr>
        <w:t xml:space="preserve">he </w:t>
      </w:r>
      <w:r>
        <w:rPr>
          <w:noProof/>
        </w:rPr>
        <w:t xml:space="preserve">maximum </w:t>
      </w:r>
      <w:r w:rsidRPr="000E4C62">
        <w:rPr>
          <w:noProof/>
        </w:rPr>
        <w:t xml:space="preserve">retention period of five years will be combined with a requirement to delete the data after </w:t>
      </w:r>
      <w:r>
        <w:rPr>
          <w:noProof/>
        </w:rPr>
        <w:t xml:space="preserve">passengers’ date of </w:t>
      </w:r>
      <w:r w:rsidRPr="000E4C62">
        <w:rPr>
          <w:noProof/>
        </w:rPr>
        <w:t xml:space="preserve">departure, unless a risk assessment indicates that </w:t>
      </w:r>
      <w:r w:rsidRPr="0072678E">
        <w:rPr>
          <w:noProof/>
        </w:rPr>
        <w:t>there is a connection based on objective elements from which it may be inferred that the PNR data might make an effective contribution to address the purposes of the Agreement</w:t>
      </w:r>
      <w:r>
        <w:rPr>
          <w:noProof/>
        </w:rPr>
        <w:t>, in addition to the requirement for Canada to review its assessment every two years;</w:t>
      </w:r>
      <w:r w:rsidRPr="0072678E">
        <w:rPr>
          <w:noProof/>
        </w:rPr>
        <w:t xml:space="preserve"> </w:t>
      </w:r>
      <w:r>
        <w:rPr>
          <w:noProof/>
        </w:rPr>
        <w:t xml:space="preserve"> </w:t>
      </w:r>
    </w:p>
    <w:p w:rsidR="00444C85" w:rsidRDefault="00FD6332" w:rsidP="00444C85">
      <w:pPr>
        <w:pBdr>
          <w:top w:val="nil"/>
          <w:left w:val="nil"/>
          <w:bottom w:val="nil"/>
          <w:right w:val="nil"/>
          <w:between w:val="nil"/>
          <w:bar w:val="nil"/>
        </w:pBdr>
        <w:spacing w:before="0" w:after="240"/>
        <w:rPr>
          <w:noProof/>
        </w:rPr>
      </w:pPr>
      <w:r>
        <w:rPr>
          <w:noProof/>
        </w:rPr>
        <w:t>A</w:t>
      </w:r>
      <w:r w:rsidR="00444C85">
        <w:rPr>
          <w:noProof/>
        </w:rPr>
        <w:t>rticle 17: any</w:t>
      </w:r>
      <w:r w:rsidR="00444C85" w:rsidRPr="000E4C62">
        <w:rPr>
          <w:noProof/>
        </w:rPr>
        <w:t xml:space="preserve"> use of PNR data for other purposes than security and border control checks </w:t>
      </w:r>
      <w:r w:rsidR="00444C85">
        <w:rPr>
          <w:noProof/>
        </w:rPr>
        <w:t>will be subject to prior review by a court or an independent authority;</w:t>
      </w:r>
    </w:p>
    <w:p w:rsidR="00444C85" w:rsidRDefault="00444C85" w:rsidP="00444C85">
      <w:pPr>
        <w:pBdr>
          <w:top w:val="nil"/>
          <w:left w:val="nil"/>
          <w:bottom w:val="nil"/>
          <w:right w:val="nil"/>
          <w:between w:val="nil"/>
          <w:bar w:val="nil"/>
        </w:pBdr>
        <w:spacing w:before="0" w:after="240"/>
        <w:rPr>
          <w:noProof/>
        </w:rPr>
      </w:pPr>
      <w:r>
        <w:rPr>
          <w:noProof/>
        </w:rPr>
        <w:t>Article 20: t</w:t>
      </w:r>
      <w:r w:rsidRPr="006D3845">
        <w:rPr>
          <w:noProof/>
        </w:rPr>
        <w:t>he onward transfers of PNR data to other government authorities will be subject to appropriate safeguards and, in case of disclosure outside Canada, limited to countries which have concluded a comparable Agreement with the EU or are subject to an adeq</w:t>
      </w:r>
      <w:r>
        <w:rPr>
          <w:noProof/>
        </w:rPr>
        <w:t>uacy decision of the Commission;</w:t>
      </w:r>
    </w:p>
    <w:p w:rsidR="00961877" w:rsidRDefault="00961877" w:rsidP="00444C85">
      <w:pPr>
        <w:pBdr>
          <w:top w:val="nil"/>
          <w:left w:val="nil"/>
          <w:bottom w:val="nil"/>
          <w:right w:val="nil"/>
          <w:between w:val="nil"/>
          <w:bar w:val="nil"/>
        </w:pBdr>
        <w:spacing w:before="0" w:after="240"/>
        <w:rPr>
          <w:noProof/>
        </w:rPr>
      </w:pPr>
      <w:r>
        <w:rPr>
          <w:noProof/>
        </w:rPr>
        <w:t>Annex: t</w:t>
      </w:r>
      <w:r w:rsidRPr="000E4C62">
        <w:rPr>
          <w:noProof/>
        </w:rPr>
        <w:t>he PNR data elements to be transferred to Canada are determined in a clear and precise manner</w:t>
      </w:r>
      <w:r>
        <w:rPr>
          <w:noProof/>
        </w:rPr>
        <w:t>.</w:t>
      </w:r>
    </w:p>
    <w:p w:rsidR="00444C85" w:rsidRPr="00FD40BA" w:rsidRDefault="00444C85">
      <w:pPr>
        <w:rPr>
          <w:noProof/>
        </w:rPr>
        <w:sectPr w:rsidR="00444C85" w:rsidRPr="00FD40BA" w:rsidSect="00222AC3">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08"/>
          <w:docGrid w:linePitch="360"/>
        </w:sectPr>
      </w:pPr>
    </w:p>
    <w:p w:rsidR="00E646FA" w:rsidRDefault="00EE4EAA">
      <w:pPr>
        <w:pStyle w:val="Rfrenceinterinstitutionnelle"/>
        <w:rPr>
          <w:noProof/>
        </w:rPr>
      </w:pPr>
      <w:r>
        <w:rPr>
          <w:noProof/>
        </w:rPr>
        <w:lastRenderedPageBreak/>
        <w:t>2024/0050 (NLE)</w:t>
      </w:r>
    </w:p>
    <w:p w:rsidR="000546F5" w:rsidRDefault="00115D0C" w:rsidP="00115D0C">
      <w:pPr>
        <w:pStyle w:val="Statut"/>
        <w:rPr>
          <w:noProof/>
        </w:rPr>
      </w:pPr>
      <w:r w:rsidRPr="00115D0C">
        <w:rPr>
          <w:noProof/>
        </w:rPr>
        <w:t>Proposal for a</w:t>
      </w:r>
    </w:p>
    <w:p w:rsidR="000546F5" w:rsidRDefault="00115D0C" w:rsidP="00115D0C">
      <w:pPr>
        <w:pStyle w:val="Typedudocument"/>
        <w:rPr>
          <w:noProof/>
        </w:rPr>
      </w:pPr>
      <w:r w:rsidRPr="00115D0C">
        <w:rPr>
          <w:noProof/>
        </w:rPr>
        <w:t>COUNCIL DECISION</w:t>
      </w:r>
    </w:p>
    <w:p w:rsidR="0079659D" w:rsidRDefault="00115D0C" w:rsidP="00115D0C">
      <w:pPr>
        <w:pStyle w:val="Titreobjet"/>
        <w:rPr>
          <w:noProof/>
        </w:rPr>
      </w:pPr>
      <w:r w:rsidRPr="00115D0C">
        <w:rPr>
          <w:noProof/>
        </w:rPr>
        <w:t>on the signing, on behalf of the European Union, of an agreement between Canada and the European Union on the transfer and processing of Passenger Name Record (PNR) data</w:t>
      </w:r>
    </w:p>
    <w:p w:rsidR="000546F5" w:rsidRPr="00F06263" w:rsidRDefault="000546F5" w:rsidP="00F06263">
      <w:pPr>
        <w:pStyle w:val="Institutionquiagit"/>
        <w:rPr>
          <w:noProof/>
        </w:rPr>
      </w:pPr>
      <w:r>
        <w:rPr>
          <w:noProof/>
        </w:rPr>
        <w:t xml:space="preserve">THE COUNCIL OF THE EUROPEAN UNION, </w:t>
      </w:r>
    </w:p>
    <w:p w:rsidR="000546F5" w:rsidRPr="00F06263" w:rsidRDefault="000546F5" w:rsidP="00F06263">
      <w:pPr>
        <w:rPr>
          <w:noProof/>
        </w:rPr>
      </w:pPr>
      <w:r>
        <w:rPr>
          <w:noProof/>
        </w:rPr>
        <w:t>Having regard to the Treaty on the Functioning of the European Union, and in particular Article</w:t>
      </w:r>
      <w:r w:rsidR="008525B3">
        <w:rPr>
          <w:noProof/>
        </w:rPr>
        <w:t xml:space="preserve">s 16(2), </w:t>
      </w:r>
      <w:r w:rsidR="008E6E70">
        <w:rPr>
          <w:noProof/>
        </w:rPr>
        <w:t xml:space="preserve">and Article </w:t>
      </w:r>
      <w:r w:rsidR="008525B3">
        <w:rPr>
          <w:noProof/>
        </w:rPr>
        <w:t xml:space="preserve">87(2)(a) </w:t>
      </w:r>
      <w:r w:rsidR="008E6E70">
        <w:rPr>
          <w:noProof/>
        </w:rPr>
        <w:t xml:space="preserve">in conjunction with Article </w:t>
      </w:r>
      <w:r>
        <w:rPr>
          <w:noProof/>
        </w:rPr>
        <w:t>218(</w:t>
      </w:r>
      <w:r w:rsidR="008525B3">
        <w:rPr>
          <w:noProof/>
        </w:rPr>
        <w:t>5</w:t>
      </w:r>
      <w:r>
        <w:rPr>
          <w:noProof/>
        </w:rPr>
        <w:t xml:space="preserve">) thereof, </w:t>
      </w:r>
    </w:p>
    <w:p w:rsidR="000546F5" w:rsidRDefault="000546F5" w:rsidP="00F06263">
      <w:pPr>
        <w:rPr>
          <w:noProof/>
        </w:rPr>
      </w:pPr>
      <w:r>
        <w:rPr>
          <w:noProof/>
        </w:rPr>
        <w:t xml:space="preserve">Having regard to the </w:t>
      </w:r>
      <w:r w:rsidR="008E6E70">
        <w:rPr>
          <w:noProof/>
        </w:rPr>
        <w:t xml:space="preserve">proposal </w:t>
      </w:r>
      <w:r>
        <w:rPr>
          <w:noProof/>
        </w:rPr>
        <w:t xml:space="preserve">from the European Commission, </w:t>
      </w:r>
    </w:p>
    <w:p w:rsidR="000546F5" w:rsidRDefault="000546F5" w:rsidP="00F06263">
      <w:pPr>
        <w:rPr>
          <w:noProof/>
        </w:rPr>
      </w:pPr>
      <w:r>
        <w:rPr>
          <w:noProof/>
        </w:rPr>
        <w:t>Whereas:</w:t>
      </w:r>
    </w:p>
    <w:p w:rsidR="000546F5" w:rsidRDefault="000546F5" w:rsidP="008C6180">
      <w:pPr>
        <w:pStyle w:val="ManualConsidrant"/>
        <w:rPr>
          <w:noProof/>
        </w:rPr>
      </w:pPr>
      <w:r>
        <w:rPr>
          <w:noProof/>
        </w:rPr>
        <w:t>(1)</w:t>
      </w:r>
      <w:r>
        <w:rPr>
          <w:noProof/>
        </w:rPr>
        <w:tab/>
        <w:t>On 7 December 2017, the Council</w:t>
      </w:r>
      <w:r w:rsidR="00AA6047">
        <w:rPr>
          <w:noProof/>
        </w:rPr>
        <w:t xml:space="preserve"> </w:t>
      </w:r>
      <w:r>
        <w:rPr>
          <w:noProof/>
        </w:rPr>
        <w:t>authoris</w:t>
      </w:r>
      <w:r w:rsidR="008E6E70">
        <w:rPr>
          <w:noProof/>
        </w:rPr>
        <w:t>ed</w:t>
      </w:r>
      <w:r>
        <w:rPr>
          <w:noProof/>
        </w:rPr>
        <w:t xml:space="preserve"> the Commission to open negotiations with Canada for </w:t>
      </w:r>
      <w:r w:rsidR="008E6E70">
        <w:rPr>
          <w:noProof/>
        </w:rPr>
        <w:t xml:space="preserve">an agreement on </w:t>
      </w:r>
      <w:r>
        <w:rPr>
          <w:noProof/>
        </w:rPr>
        <w:t>the transfer and use of Passenger Name Record (PNR) data to prevent and combat terrorism and other serious transnational crime.</w:t>
      </w:r>
    </w:p>
    <w:p w:rsidR="0066372E" w:rsidRPr="003A220C" w:rsidRDefault="0066372E" w:rsidP="0066372E">
      <w:pPr>
        <w:pStyle w:val="ManualConsidrant"/>
        <w:rPr>
          <w:noProof/>
        </w:rPr>
      </w:pPr>
      <w:r>
        <w:rPr>
          <w:noProof/>
        </w:rPr>
        <w:t>(2)</w:t>
      </w:r>
      <w:r>
        <w:rPr>
          <w:noProof/>
        </w:rPr>
        <w:tab/>
      </w:r>
      <w:r w:rsidRPr="0066372E">
        <w:rPr>
          <w:noProof/>
        </w:rPr>
        <w:t xml:space="preserve">The negotiations </w:t>
      </w:r>
      <w:r w:rsidR="008525B3">
        <w:rPr>
          <w:noProof/>
        </w:rPr>
        <w:t>of an</w:t>
      </w:r>
      <w:r w:rsidRPr="0066372E">
        <w:rPr>
          <w:noProof/>
        </w:rPr>
        <w:t xml:space="preserve"> Agreement between </w:t>
      </w:r>
      <w:r w:rsidR="008525B3">
        <w:rPr>
          <w:noProof/>
        </w:rPr>
        <w:t>Canada and the</w:t>
      </w:r>
      <w:r w:rsidRPr="0066372E">
        <w:rPr>
          <w:noProof/>
        </w:rPr>
        <w:t xml:space="preserve"> European Union</w:t>
      </w:r>
      <w:r w:rsidR="003A220C">
        <w:rPr>
          <w:noProof/>
        </w:rPr>
        <w:t xml:space="preserve"> </w:t>
      </w:r>
      <w:r w:rsidRPr="003A220C">
        <w:rPr>
          <w:noProof/>
        </w:rPr>
        <w:t>on the transfer and processing of PNR data</w:t>
      </w:r>
      <w:r w:rsidRPr="0066372E">
        <w:rPr>
          <w:noProof/>
        </w:rPr>
        <w:t xml:space="preserve"> ('the Agreement') were </w:t>
      </w:r>
      <w:r w:rsidRPr="003A220C">
        <w:rPr>
          <w:noProof/>
        </w:rPr>
        <w:t>successfully finalised</w:t>
      </w:r>
      <w:r w:rsidR="006D770F" w:rsidRPr="003A220C">
        <w:rPr>
          <w:noProof/>
        </w:rPr>
        <w:t xml:space="preserve"> </w:t>
      </w:r>
      <w:r w:rsidRPr="003A220C">
        <w:rPr>
          <w:noProof/>
        </w:rPr>
        <w:t>in July 2023. The text of the Agreement was initialled on 27 November 2023.</w:t>
      </w:r>
    </w:p>
    <w:p w:rsidR="0066372E" w:rsidRPr="003A220C" w:rsidRDefault="0066372E" w:rsidP="0066372E">
      <w:pPr>
        <w:pStyle w:val="ManualConsidrant"/>
        <w:rPr>
          <w:noProof/>
        </w:rPr>
      </w:pPr>
      <w:r>
        <w:rPr>
          <w:noProof/>
        </w:rPr>
        <w:t>(3)</w:t>
      </w:r>
      <w:r>
        <w:rPr>
          <w:noProof/>
        </w:rPr>
        <w:tab/>
      </w:r>
      <w:r w:rsidRPr="003A220C">
        <w:rPr>
          <w:noProof/>
        </w:rPr>
        <w:t>The Agreement enables the transfer of PNR data to Canada</w:t>
      </w:r>
      <w:r w:rsidR="008525B3" w:rsidRPr="003A220C">
        <w:rPr>
          <w:noProof/>
        </w:rPr>
        <w:t xml:space="preserve"> for the purposes of preventing, detecting, investigating and prosecuting </w:t>
      </w:r>
      <w:r w:rsidRPr="003A220C">
        <w:rPr>
          <w:noProof/>
        </w:rPr>
        <w:t>serious crime and terrorism.</w:t>
      </w:r>
    </w:p>
    <w:p w:rsidR="000546F5" w:rsidRPr="003A220C" w:rsidRDefault="000546F5" w:rsidP="003A220C">
      <w:pPr>
        <w:pStyle w:val="ManualConsidrant"/>
        <w:rPr>
          <w:noProof/>
        </w:rPr>
      </w:pPr>
      <w:r>
        <w:rPr>
          <w:noProof/>
        </w:rPr>
        <w:t>(4)</w:t>
      </w:r>
      <w:r>
        <w:rPr>
          <w:noProof/>
        </w:rPr>
        <w:tab/>
      </w:r>
      <w:r w:rsidRPr="003A220C">
        <w:rPr>
          <w:noProof/>
        </w:rPr>
        <w:t xml:space="preserve">The Agreement </w:t>
      </w:r>
      <w:r w:rsidR="0066372E" w:rsidRPr="003A220C">
        <w:rPr>
          <w:noProof/>
        </w:rPr>
        <w:t xml:space="preserve">ensures full respect of the </w:t>
      </w:r>
      <w:r w:rsidRPr="003A220C">
        <w:rPr>
          <w:noProof/>
        </w:rPr>
        <w:t xml:space="preserve">Charter of Fundamental Rights of the Union, as interpreted by the Court of Justice of the European Union, in particular the right to private and family life recognised in Article 7 of the Charter, the right to the protection of personal data recognised in Article 8 of the Charter and the right to effective remedy and fair trial recognised in Article 47 of the Charter. </w:t>
      </w:r>
      <w:r w:rsidR="00BE7913" w:rsidRPr="003A220C">
        <w:rPr>
          <w:noProof/>
        </w:rPr>
        <w:t xml:space="preserve">In particular, the Agreement includes adequate safeguards for the protection of personal data transferred under the Agreement. </w:t>
      </w:r>
    </w:p>
    <w:p w:rsidR="000546F5" w:rsidRPr="008174F6" w:rsidRDefault="003517C9" w:rsidP="00687212">
      <w:pPr>
        <w:pStyle w:val="ManualConsidrant"/>
        <w:rPr>
          <w:noProof/>
        </w:rPr>
      </w:pPr>
      <w:r>
        <w:rPr>
          <w:noProof/>
        </w:rPr>
        <w:t>(5)</w:t>
      </w:r>
      <w:r>
        <w:rPr>
          <w:noProof/>
        </w:rPr>
        <w:tab/>
        <w:t>[</w:t>
      </w:r>
      <w:r w:rsidR="004E1038" w:rsidRPr="003A220C">
        <w:rPr>
          <w:noProof/>
        </w:rPr>
        <w:t>In accordance with Articles 1 and 2 of Protocol No 21 on the position of the United Kingdom and Ireland in respect</w:t>
      </w:r>
      <w:r w:rsidR="004E1038">
        <w:rPr>
          <w:noProof/>
        </w:rPr>
        <w:t xml:space="preserve"> of the area of freedom, security and justice, annexed to the Treaty on European Union and to the Treaty on the Functioning of the European Union, and without prejudice to Article 4 of that Protocol, Ireland is not taking part in the adoption of this Decision and is not bound by it or subject to its application.</w:t>
      </w:r>
      <w:r w:rsidR="008E6E70">
        <w:rPr>
          <w:noProof/>
        </w:rPr>
        <w:t>]</w:t>
      </w:r>
      <w:r w:rsidR="004E1038">
        <w:rPr>
          <w:noProof/>
        </w:rPr>
        <w:t xml:space="preserve"> OR </w:t>
      </w:r>
      <w:r w:rsidR="008E6E70">
        <w:rPr>
          <w:noProof/>
        </w:rPr>
        <w:t>[</w:t>
      </w:r>
      <w:r w:rsidR="004E1038">
        <w:rPr>
          <w:noProof/>
        </w:rPr>
        <w:t>In accordance with Article 3 of Protocol No 21 on the position of the United Kingdom and Ireland in respect of the area of freedom, security and justice, annexed to the Treaty on European Union and to the Treaty on the Functioning of the European Union, Ireland has notified [, by letter of …,] its wish to take part in the adoption and application of this Decision.].</w:t>
      </w:r>
    </w:p>
    <w:p w:rsidR="000546F5" w:rsidRPr="00CE1525" w:rsidRDefault="000546F5" w:rsidP="000546F5">
      <w:pPr>
        <w:pStyle w:val="ManualConsidrant"/>
        <w:rPr>
          <w:noProof/>
        </w:rPr>
      </w:pPr>
      <w:r>
        <w:rPr>
          <w:noProof/>
        </w:rPr>
        <w:t>(6)</w:t>
      </w:r>
      <w:r>
        <w:rPr>
          <w:noProof/>
        </w:rPr>
        <w:tab/>
      </w:r>
      <w:r w:rsidRPr="002239E8">
        <w:rPr>
          <w:noProof/>
        </w:rPr>
        <w:t xml:space="preserve">In accordance with Articles 1 and 2 of Protocol No 22 on the position of Denmark, annexed to the Treaty on European Union and to the Treaty on the Functioning of the European Union, Denmark is not taking part in the adoption of this Decision and is not bound by </w:t>
      </w:r>
      <w:r w:rsidRPr="00CE1525">
        <w:rPr>
          <w:noProof/>
        </w:rPr>
        <w:t>it or subject to its application,</w:t>
      </w:r>
    </w:p>
    <w:p w:rsidR="00A11E63" w:rsidRPr="00CE1525" w:rsidRDefault="00A11E63" w:rsidP="00A11E63">
      <w:pPr>
        <w:pStyle w:val="ManualConsidrant"/>
        <w:rPr>
          <w:noProof/>
        </w:rPr>
      </w:pPr>
      <w:r>
        <w:rPr>
          <w:noProof/>
        </w:rPr>
        <w:lastRenderedPageBreak/>
        <w:t>(7)</w:t>
      </w:r>
      <w:r>
        <w:rPr>
          <w:noProof/>
        </w:rPr>
        <w:tab/>
      </w:r>
      <w:r w:rsidRPr="00CE1525">
        <w:rPr>
          <w:noProof/>
        </w:rPr>
        <w:t xml:space="preserve">The European Data Protection Supervisor delivered its Opinion </w:t>
      </w:r>
      <w:r w:rsidRPr="00CE1525">
        <w:rPr>
          <w:i/>
          <w:iCs/>
          <w:noProof/>
        </w:rPr>
        <w:t>[xxx]</w:t>
      </w:r>
      <w:r w:rsidRPr="00CE1525">
        <w:rPr>
          <w:noProof/>
        </w:rPr>
        <w:t xml:space="preserve"> on </w:t>
      </w:r>
      <w:r w:rsidRPr="00CE1525">
        <w:rPr>
          <w:i/>
          <w:iCs/>
          <w:noProof/>
        </w:rPr>
        <w:t>[xx.xx.xxxx]</w:t>
      </w:r>
      <w:r w:rsidRPr="00CE1525">
        <w:rPr>
          <w:noProof/>
        </w:rPr>
        <w:t>.</w:t>
      </w:r>
    </w:p>
    <w:p w:rsidR="000546F5" w:rsidRDefault="00A11E63" w:rsidP="000546F5">
      <w:pPr>
        <w:pStyle w:val="ManualConsidrant"/>
        <w:rPr>
          <w:noProof/>
        </w:rPr>
      </w:pPr>
      <w:r>
        <w:rPr>
          <w:noProof/>
        </w:rPr>
        <w:t>(8)</w:t>
      </w:r>
      <w:r>
        <w:rPr>
          <w:noProof/>
        </w:rPr>
        <w:tab/>
        <w:t>Therefore, the Agreement should be signed on behalf of the Union, subject to its conclusion at a later date,</w:t>
      </w:r>
    </w:p>
    <w:p w:rsidR="000546F5" w:rsidRDefault="000546F5" w:rsidP="000546F5">
      <w:pPr>
        <w:pStyle w:val="Formuledadoption"/>
        <w:rPr>
          <w:noProof/>
        </w:rPr>
      </w:pPr>
      <w:r>
        <w:rPr>
          <w:noProof/>
        </w:rPr>
        <w:t>HAS ADOPTED THIS DECISION:</w:t>
      </w:r>
    </w:p>
    <w:p w:rsidR="000546F5" w:rsidRPr="00FD40BA" w:rsidRDefault="000546F5" w:rsidP="000546F5">
      <w:pPr>
        <w:pStyle w:val="Titrearticle"/>
        <w:rPr>
          <w:noProof/>
        </w:rPr>
      </w:pPr>
      <w:r w:rsidRPr="00FD40BA">
        <w:rPr>
          <w:noProof/>
        </w:rPr>
        <w:t>Article 1</w:t>
      </w:r>
    </w:p>
    <w:p w:rsidR="000546F5" w:rsidRDefault="000546F5" w:rsidP="000546F5">
      <w:pPr>
        <w:rPr>
          <w:noProof/>
        </w:rPr>
      </w:pPr>
      <w:r>
        <w:rPr>
          <w:noProof/>
        </w:rPr>
        <w:t xml:space="preserve">The signing of the </w:t>
      </w:r>
      <w:r w:rsidRPr="00825FF6">
        <w:rPr>
          <w:noProof/>
        </w:rPr>
        <w:t xml:space="preserve">Agreement between Canada and the European Union on the transfer and processing of Passenger Name Record </w:t>
      </w:r>
      <w:r w:rsidR="006D770F">
        <w:rPr>
          <w:noProof/>
        </w:rPr>
        <w:t xml:space="preserve">(PNR) </w:t>
      </w:r>
      <w:r w:rsidRPr="00825FF6">
        <w:rPr>
          <w:noProof/>
        </w:rPr>
        <w:t>data</w:t>
      </w:r>
      <w:r>
        <w:rPr>
          <w:noProof/>
        </w:rPr>
        <w:t xml:space="preserve"> is hereby approved</w:t>
      </w:r>
      <w:r w:rsidR="00A11E63">
        <w:rPr>
          <w:noProof/>
        </w:rPr>
        <w:t xml:space="preserve"> on behalf of the Union</w:t>
      </w:r>
      <w:r>
        <w:rPr>
          <w:noProof/>
        </w:rPr>
        <w:t xml:space="preserve">, subject to </w:t>
      </w:r>
      <w:r w:rsidR="00673BCD">
        <w:rPr>
          <w:noProof/>
        </w:rPr>
        <w:t xml:space="preserve">the </w:t>
      </w:r>
      <w:r>
        <w:rPr>
          <w:noProof/>
        </w:rPr>
        <w:t xml:space="preserve">conclusion </w:t>
      </w:r>
      <w:r w:rsidR="00673BCD">
        <w:rPr>
          <w:noProof/>
        </w:rPr>
        <w:t>of the said Agreement</w:t>
      </w:r>
      <w:r>
        <w:rPr>
          <w:noProof/>
        </w:rPr>
        <w:t>.</w:t>
      </w:r>
    </w:p>
    <w:p w:rsidR="003A220C" w:rsidRPr="00F06263" w:rsidRDefault="000546F5" w:rsidP="00F06263">
      <w:pPr>
        <w:rPr>
          <w:noProof/>
        </w:rPr>
      </w:pPr>
      <w:r>
        <w:rPr>
          <w:noProof/>
        </w:rPr>
        <w:t>The text of the Agreement to be signed is attached to this Decision.</w:t>
      </w:r>
    </w:p>
    <w:p w:rsidR="000546F5" w:rsidRPr="005D0CCF" w:rsidRDefault="000546F5" w:rsidP="00F06263">
      <w:pPr>
        <w:pStyle w:val="Titrearticle"/>
        <w:rPr>
          <w:noProof/>
        </w:rPr>
      </w:pPr>
      <w:r>
        <w:rPr>
          <w:noProof/>
        </w:rPr>
        <w:t xml:space="preserve">Article </w:t>
      </w:r>
      <w:r w:rsidR="00211B81">
        <w:rPr>
          <w:noProof/>
        </w:rPr>
        <w:t>2</w:t>
      </w:r>
    </w:p>
    <w:p w:rsidR="000546F5" w:rsidRPr="00FD40BA" w:rsidRDefault="000546F5" w:rsidP="000546F5">
      <w:pPr>
        <w:keepLines/>
        <w:rPr>
          <w:noProof/>
        </w:rPr>
      </w:pPr>
      <w:r w:rsidRPr="004E3CE8">
        <w:rPr>
          <w:noProof/>
        </w:rPr>
        <w:t xml:space="preserve">The Council Secretariat General shall establish the instrument of full powers to sign the Agreement, subject to its conclusion, for the person(s) indicated by the </w:t>
      </w:r>
      <w:r w:rsidR="00A11E63">
        <w:rPr>
          <w:noProof/>
        </w:rPr>
        <w:t>Commission</w:t>
      </w:r>
      <w:r w:rsidRPr="00FD40BA">
        <w:rPr>
          <w:noProof/>
        </w:rPr>
        <w:t>.</w:t>
      </w:r>
    </w:p>
    <w:p w:rsidR="00211B81" w:rsidRPr="00A33394" w:rsidRDefault="000546F5" w:rsidP="00F7795E">
      <w:pPr>
        <w:pStyle w:val="Titrearticle"/>
        <w:rPr>
          <w:noProof/>
        </w:rPr>
      </w:pPr>
      <w:r w:rsidRPr="00961877">
        <w:rPr>
          <w:noProof/>
        </w:rPr>
        <w:t xml:space="preserve">Article </w:t>
      </w:r>
      <w:r w:rsidR="00211B81" w:rsidRPr="00961877">
        <w:rPr>
          <w:noProof/>
        </w:rPr>
        <w:t>3</w:t>
      </w:r>
    </w:p>
    <w:p w:rsidR="000546F5" w:rsidRDefault="000546F5" w:rsidP="000546F5">
      <w:pPr>
        <w:keepLines/>
        <w:rPr>
          <w:noProof/>
        </w:rPr>
      </w:pPr>
      <w:r w:rsidRPr="00FD40BA">
        <w:rPr>
          <w:noProof/>
        </w:rPr>
        <w:t>This Decisio</w:t>
      </w:r>
      <w:r>
        <w:rPr>
          <w:noProof/>
        </w:rPr>
        <w:t xml:space="preserve">n shall enter into force on the </w:t>
      </w:r>
      <w:r w:rsidRPr="00FD40BA">
        <w:rPr>
          <w:noProof/>
        </w:rPr>
        <w:t>day</w:t>
      </w:r>
      <w:r>
        <w:rPr>
          <w:noProof/>
        </w:rPr>
        <w:t xml:space="preserve"> of its adoption</w:t>
      </w:r>
      <w:r w:rsidRPr="00FD40BA">
        <w:rPr>
          <w:noProof/>
        </w:rPr>
        <w:t>.</w:t>
      </w:r>
    </w:p>
    <w:p w:rsidR="000546F5" w:rsidRDefault="00115D0C" w:rsidP="00F7795E">
      <w:pPr>
        <w:pStyle w:val="Fait"/>
        <w:rPr>
          <w:noProof/>
        </w:rPr>
      </w:pPr>
      <w:r>
        <w:rPr>
          <w:noProof/>
        </w:rPr>
        <w:t>Done at Brussels,</w:t>
      </w:r>
    </w:p>
    <w:p w:rsidR="000546F5" w:rsidRDefault="000546F5" w:rsidP="00F7795E">
      <w:pPr>
        <w:pStyle w:val="Institutionquisigne"/>
        <w:rPr>
          <w:noProof/>
        </w:rPr>
      </w:pPr>
      <w:r w:rsidRPr="004E6117">
        <w:rPr>
          <w:noProof/>
        </w:rPr>
        <w:tab/>
        <w:t>For the Council</w:t>
      </w:r>
    </w:p>
    <w:p w:rsidR="000546F5" w:rsidRPr="00F06263" w:rsidRDefault="000546F5" w:rsidP="00F06263">
      <w:pPr>
        <w:pStyle w:val="Personnequisigne"/>
        <w:rPr>
          <w:noProof/>
        </w:rPr>
      </w:pPr>
      <w:r w:rsidRPr="004E6117">
        <w:rPr>
          <w:noProof/>
        </w:rPr>
        <w:tab/>
        <w:t>The President</w:t>
      </w:r>
    </w:p>
    <w:sectPr w:rsidR="000546F5" w:rsidRPr="00F06263" w:rsidSect="00222AC3">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085" w:rsidRDefault="00273085" w:rsidP="00DD1253">
      <w:pPr>
        <w:spacing w:before="0" w:after="0"/>
      </w:pPr>
      <w:r>
        <w:separator/>
      </w:r>
    </w:p>
  </w:endnote>
  <w:endnote w:type="continuationSeparator" w:id="0">
    <w:p w:rsidR="00273085" w:rsidRDefault="00273085" w:rsidP="00DD12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C3" w:rsidRPr="00222AC3" w:rsidRDefault="00222AC3" w:rsidP="00222AC3">
    <w:pPr>
      <w:pStyle w:val="Footer"/>
      <w:rPr>
        <w:rFonts w:ascii="Arial" w:hAnsi="Arial" w:cs="Arial"/>
        <w:b/>
        <w:sz w:val="48"/>
      </w:rPr>
    </w:pPr>
    <w:r w:rsidRPr="00222AC3">
      <w:rPr>
        <w:rFonts w:ascii="Arial" w:hAnsi="Arial" w:cs="Arial"/>
        <w:b/>
        <w:sz w:val="48"/>
      </w:rPr>
      <w:t>EN</w:t>
    </w:r>
    <w:r w:rsidRPr="00222AC3">
      <w:rPr>
        <w:rFonts w:ascii="Arial" w:hAnsi="Arial" w:cs="Arial"/>
        <w:b/>
        <w:sz w:val="48"/>
      </w:rPr>
      <w:tab/>
    </w:r>
    <w:r w:rsidRPr="00222AC3">
      <w:rPr>
        <w:rFonts w:ascii="Arial" w:hAnsi="Arial" w:cs="Arial"/>
        <w:b/>
        <w:sz w:val="48"/>
      </w:rPr>
      <w:tab/>
    </w:r>
    <w:r w:rsidRPr="00222AC3">
      <w:tab/>
    </w:r>
    <w:r w:rsidRPr="00222AC3">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C3" w:rsidRPr="00222AC3" w:rsidRDefault="00222AC3" w:rsidP="00222AC3">
    <w:pPr>
      <w:pStyle w:val="Footer"/>
      <w:rPr>
        <w:rFonts w:ascii="Arial" w:hAnsi="Arial" w:cs="Arial"/>
        <w:b/>
        <w:sz w:val="48"/>
      </w:rPr>
    </w:pPr>
    <w:r w:rsidRPr="00222AC3">
      <w:rPr>
        <w:rFonts w:ascii="Arial" w:hAnsi="Arial" w:cs="Arial"/>
        <w:b/>
        <w:sz w:val="48"/>
      </w:rPr>
      <w:t>EN</w:t>
    </w:r>
    <w:r w:rsidRPr="00222AC3">
      <w:rPr>
        <w:rFonts w:ascii="Arial" w:hAnsi="Arial" w:cs="Arial"/>
        <w:b/>
        <w:sz w:val="48"/>
      </w:rPr>
      <w:tab/>
    </w:r>
    <w:r w:rsidRPr="00222AC3">
      <w:rPr>
        <w:rFonts w:ascii="Arial" w:hAnsi="Arial" w:cs="Arial"/>
        <w:b/>
        <w:sz w:val="48"/>
      </w:rPr>
      <w:tab/>
    </w:r>
    <w:r w:rsidRPr="00222AC3">
      <w:tab/>
    </w:r>
    <w:r w:rsidRPr="00222AC3">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C3" w:rsidRDefault="00222A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C3" w:rsidRPr="00222AC3" w:rsidRDefault="00222AC3" w:rsidP="00222AC3">
    <w:pPr>
      <w:pStyle w:val="Footer"/>
      <w:rPr>
        <w:rFonts w:ascii="Arial" w:hAnsi="Arial" w:cs="Arial"/>
        <w:b/>
        <w:sz w:val="48"/>
      </w:rPr>
    </w:pPr>
    <w:r w:rsidRPr="00222AC3">
      <w:rPr>
        <w:rFonts w:ascii="Arial" w:hAnsi="Arial" w:cs="Arial"/>
        <w:b/>
        <w:sz w:val="48"/>
      </w:rPr>
      <w:t>EN</w:t>
    </w:r>
    <w:r w:rsidRPr="00222AC3">
      <w:rPr>
        <w:rFonts w:ascii="Arial" w:hAnsi="Arial" w:cs="Arial"/>
        <w:b/>
        <w:sz w:val="48"/>
      </w:rPr>
      <w:tab/>
    </w:r>
    <w:r>
      <w:fldChar w:fldCharType="begin"/>
    </w:r>
    <w:r>
      <w:instrText xml:space="preserve"> PAGE  \* MERGEFORMAT </w:instrText>
    </w:r>
    <w:r>
      <w:fldChar w:fldCharType="separate"/>
    </w:r>
    <w:r w:rsidR="00F7795E">
      <w:rPr>
        <w:noProof/>
      </w:rPr>
      <w:t>7</w:t>
    </w:r>
    <w:r>
      <w:fldChar w:fldCharType="end"/>
    </w:r>
    <w:r>
      <w:tab/>
    </w:r>
    <w:r w:rsidRPr="00222AC3">
      <w:tab/>
    </w:r>
    <w:r w:rsidRPr="00222AC3">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C3" w:rsidRDefault="00222AC3" w:rsidP="00222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085" w:rsidRDefault="00273085" w:rsidP="00DD1253">
      <w:pPr>
        <w:spacing w:before="0" w:after="0"/>
      </w:pPr>
      <w:r>
        <w:separator/>
      </w:r>
    </w:p>
  </w:footnote>
  <w:footnote w:type="continuationSeparator" w:id="0">
    <w:p w:rsidR="00273085" w:rsidRDefault="00273085" w:rsidP="00DD1253">
      <w:pPr>
        <w:spacing w:before="0" w:after="0"/>
      </w:pPr>
      <w:r>
        <w:continuationSeparator/>
      </w:r>
    </w:p>
  </w:footnote>
  <w:footnote w:id="1">
    <w:p w:rsidR="00487301" w:rsidRPr="00A82060" w:rsidRDefault="00487301" w:rsidP="00487301">
      <w:pPr>
        <w:pStyle w:val="FootnoteText"/>
        <w:ind w:left="0" w:firstLine="0"/>
        <w:rPr>
          <w:lang w:val="en-IE"/>
        </w:rPr>
      </w:pPr>
      <w:r w:rsidRPr="00B3198C">
        <w:rPr>
          <w:rStyle w:val="FootnoteReference"/>
        </w:rPr>
        <w:footnoteRef/>
      </w:r>
      <w:r w:rsidR="00B3198C">
        <w:tab/>
      </w:r>
      <w:r w:rsidRPr="00A82060">
        <w:t>See also Report from the Commission to the European Parliament and the Council on the review of Directive (EU) 2016/681 on the use of passenger name record (PNR) data for the prevention, detection, investigation and prosecution of terrorist offences and serious crime; COM(2020) 305 final (24.07.2020).</w:t>
      </w:r>
    </w:p>
  </w:footnote>
  <w:footnote w:id="2">
    <w:p w:rsidR="006502BA" w:rsidRPr="00A82060" w:rsidRDefault="006502BA" w:rsidP="006502BA">
      <w:pPr>
        <w:pStyle w:val="FootnoteText"/>
        <w:rPr>
          <w:lang w:val="pt-BR"/>
        </w:rPr>
      </w:pPr>
      <w:r w:rsidRPr="00B3198C">
        <w:rPr>
          <w:rStyle w:val="FootnoteReference"/>
        </w:rPr>
        <w:footnoteRef/>
      </w:r>
      <w:r w:rsidR="00B3198C">
        <w:rPr>
          <w:lang w:val="pt-BR"/>
        </w:rPr>
        <w:tab/>
      </w:r>
      <w:r w:rsidR="00A82060" w:rsidRPr="00A82060">
        <w:rPr>
          <w:lang w:val="pt-BR"/>
        </w:rPr>
        <w:t>OJ L 82, 21.3.2006, p. 15</w:t>
      </w:r>
      <w:r w:rsidR="00A82060">
        <w:rPr>
          <w:lang w:val="pt-BR"/>
        </w:rPr>
        <w:t>.</w:t>
      </w:r>
    </w:p>
  </w:footnote>
  <w:footnote w:id="3">
    <w:p w:rsidR="006502BA" w:rsidRPr="00A82060" w:rsidRDefault="006502BA" w:rsidP="00A82060">
      <w:pPr>
        <w:pStyle w:val="FootnoteText"/>
        <w:rPr>
          <w:lang w:val="pt-BR"/>
        </w:rPr>
      </w:pPr>
      <w:r w:rsidRPr="00B3198C">
        <w:rPr>
          <w:rStyle w:val="FootnoteReference"/>
        </w:rPr>
        <w:footnoteRef/>
      </w:r>
      <w:r w:rsidR="00B3198C">
        <w:rPr>
          <w:lang w:val="pt-BR"/>
        </w:rPr>
        <w:tab/>
      </w:r>
      <w:r w:rsidR="00A82060" w:rsidRPr="00A82060">
        <w:rPr>
          <w:lang w:val="pt-BR"/>
        </w:rPr>
        <w:t>OJ L 91, 29.3.2006, p. 49–60</w:t>
      </w:r>
      <w:r w:rsidR="00A82060">
        <w:rPr>
          <w:lang w:val="pt-BR"/>
        </w:rPr>
        <w:t>.</w:t>
      </w:r>
    </w:p>
  </w:footnote>
  <w:footnote w:id="4">
    <w:p w:rsidR="006502BA" w:rsidRPr="00CE1525" w:rsidRDefault="006502BA" w:rsidP="006502BA">
      <w:pPr>
        <w:pStyle w:val="FootnoteText"/>
        <w:rPr>
          <w:highlight w:val="yellow"/>
          <w:lang w:val="pt-BR"/>
        </w:rPr>
      </w:pPr>
      <w:r w:rsidRPr="00B3198C">
        <w:rPr>
          <w:rStyle w:val="FootnoteReference"/>
        </w:rPr>
        <w:footnoteRef/>
      </w:r>
      <w:r w:rsidR="00B3198C">
        <w:rPr>
          <w:lang w:val="pt-BR"/>
        </w:rPr>
        <w:tab/>
      </w:r>
      <w:r w:rsidR="003A220C" w:rsidRPr="00CE1525">
        <w:rPr>
          <w:color w:val="19151B"/>
          <w:lang w:val="pt-BR"/>
        </w:rPr>
        <w:t>ECLI:EU:C:2017:592</w:t>
      </w:r>
      <w:r w:rsidR="00A82060" w:rsidRPr="00CE1525">
        <w:rPr>
          <w:color w:val="19151B"/>
          <w:lang w:val="pt-BR"/>
        </w:rPr>
        <w:t>.</w:t>
      </w:r>
    </w:p>
  </w:footnote>
  <w:footnote w:id="5">
    <w:p w:rsidR="003A220C" w:rsidRPr="00B94A26" w:rsidRDefault="003A220C">
      <w:pPr>
        <w:pStyle w:val="FootnoteText"/>
        <w:rPr>
          <w:lang w:val="pt-BR"/>
        </w:rPr>
      </w:pPr>
      <w:r w:rsidRPr="00B3198C">
        <w:rPr>
          <w:rStyle w:val="FootnoteReference"/>
        </w:rPr>
        <w:footnoteRef/>
      </w:r>
      <w:r w:rsidR="00B3198C">
        <w:rPr>
          <w:lang w:val="pt-BR"/>
        </w:rPr>
        <w:tab/>
      </w:r>
      <w:r w:rsidRPr="00B94A26">
        <w:rPr>
          <w:lang w:val="pt-BR"/>
        </w:rPr>
        <w:t>COM(2003) 826 final.</w:t>
      </w:r>
    </w:p>
  </w:footnote>
  <w:footnote w:id="6">
    <w:p w:rsidR="00953F8F" w:rsidRPr="008525B3" w:rsidRDefault="00953F8F" w:rsidP="004155D4">
      <w:pPr>
        <w:pStyle w:val="FootnoteText"/>
        <w:ind w:left="0" w:firstLine="0"/>
        <w:rPr>
          <w:lang w:val="pt-BR"/>
        </w:rPr>
      </w:pPr>
      <w:r w:rsidRPr="00B3198C">
        <w:rPr>
          <w:rStyle w:val="FootnoteReference"/>
        </w:rPr>
        <w:footnoteRef/>
      </w:r>
      <w:r w:rsidR="00B3198C">
        <w:rPr>
          <w:lang w:val="pt-BR"/>
        </w:rPr>
        <w:tab/>
      </w:r>
      <w:r w:rsidRPr="008525B3">
        <w:rPr>
          <w:lang w:val="pt-BR"/>
        </w:rPr>
        <w:t>COM(2010) 492 final (21.09.2010).</w:t>
      </w:r>
    </w:p>
  </w:footnote>
  <w:footnote w:id="7">
    <w:p w:rsidR="0001458B" w:rsidRPr="003A220C" w:rsidRDefault="0001458B" w:rsidP="0001458B">
      <w:pPr>
        <w:pStyle w:val="FootnoteText"/>
        <w:rPr>
          <w:lang w:val="pt-BR"/>
        </w:rPr>
      </w:pPr>
      <w:r w:rsidRPr="00B3198C">
        <w:rPr>
          <w:rStyle w:val="FootnoteReference"/>
        </w:rPr>
        <w:footnoteRef/>
      </w:r>
      <w:r w:rsidR="00B3198C">
        <w:rPr>
          <w:lang w:val="pt-BR"/>
        </w:rPr>
        <w:tab/>
      </w:r>
      <w:r w:rsidRPr="003A220C">
        <w:rPr>
          <w:lang w:val="pt-BR"/>
        </w:rPr>
        <w:t>OJ L 186, 14.7.2012, p. 4–16.</w:t>
      </w:r>
    </w:p>
  </w:footnote>
  <w:footnote w:id="8">
    <w:p w:rsidR="0001458B" w:rsidRPr="00B94A26" w:rsidRDefault="0001458B" w:rsidP="0001458B">
      <w:pPr>
        <w:pStyle w:val="FootnoteText"/>
        <w:rPr>
          <w:lang w:val="pt-BR"/>
        </w:rPr>
      </w:pPr>
      <w:r w:rsidRPr="00B3198C">
        <w:rPr>
          <w:rStyle w:val="FootnoteReference"/>
        </w:rPr>
        <w:footnoteRef/>
      </w:r>
      <w:r w:rsidR="00B3198C">
        <w:rPr>
          <w:lang w:val="pt-BR"/>
        </w:rPr>
        <w:tab/>
      </w:r>
      <w:r w:rsidRPr="00B94A26">
        <w:rPr>
          <w:lang w:val="pt-BR"/>
        </w:rPr>
        <w:t>OJ L 215, 11.8.2012, p. 5–14.</w:t>
      </w:r>
    </w:p>
  </w:footnote>
  <w:footnote w:id="9">
    <w:p w:rsidR="0001458B" w:rsidRPr="00B94A26" w:rsidRDefault="0001458B" w:rsidP="0001458B">
      <w:pPr>
        <w:pStyle w:val="FootnoteText"/>
        <w:rPr>
          <w:lang w:val="pt-BR"/>
        </w:rPr>
      </w:pPr>
      <w:r w:rsidRPr="00B3198C">
        <w:rPr>
          <w:rStyle w:val="FootnoteReference"/>
        </w:rPr>
        <w:footnoteRef/>
      </w:r>
      <w:r w:rsidR="00B3198C">
        <w:rPr>
          <w:lang w:val="pt-BR"/>
        </w:rPr>
        <w:tab/>
      </w:r>
      <w:r w:rsidRPr="00B94A26">
        <w:rPr>
          <w:lang w:val="pt-BR"/>
        </w:rPr>
        <w:t>OJ L 149, 30.4.2021, p. 710 – 735.</w:t>
      </w:r>
    </w:p>
  </w:footnote>
  <w:footnote w:id="10">
    <w:p w:rsidR="00AB7E76" w:rsidRPr="004155D4" w:rsidRDefault="00AB7E76">
      <w:pPr>
        <w:pStyle w:val="FootnoteText"/>
        <w:rPr>
          <w:lang w:val="pt-BR"/>
        </w:rPr>
      </w:pPr>
      <w:r w:rsidRPr="00B3198C">
        <w:rPr>
          <w:rStyle w:val="FootnoteReference"/>
        </w:rPr>
        <w:footnoteRef/>
      </w:r>
      <w:r w:rsidR="00B3198C">
        <w:rPr>
          <w:lang w:val="pt-BR"/>
        </w:rPr>
        <w:tab/>
      </w:r>
      <w:r w:rsidR="004155D4" w:rsidRPr="004155D4">
        <w:rPr>
          <w:lang w:val="pt-BR"/>
        </w:rPr>
        <w:t>COM(2023) 50</w:t>
      </w:r>
      <w:r w:rsidR="004155D4">
        <w:rPr>
          <w:lang w:val="pt-BR"/>
        </w:rPr>
        <w:t>7</w:t>
      </w:r>
      <w:r w:rsidR="004155D4" w:rsidRPr="004155D4">
        <w:rPr>
          <w:lang w:val="pt-BR"/>
        </w:rPr>
        <w:t xml:space="preserve"> final</w:t>
      </w:r>
      <w:r w:rsidR="004155D4">
        <w:rPr>
          <w:lang w:val="pt-BR"/>
        </w:rPr>
        <w:t>.</w:t>
      </w:r>
    </w:p>
  </w:footnote>
  <w:footnote w:id="11">
    <w:p w:rsidR="00AB7E76" w:rsidRPr="00B94A26" w:rsidRDefault="00AB7E76">
      <w:pPr>
        <w:pStyle w:val="FootnoteText"/>
        <w:rPr>
          <w:lang w:val="en-IE"/>
        </w:rPr>
      </w:pPr>
      <w:r w:rsidRPr="00B3198C">
        <w:rPr>
          <w:rStyle w:val="FootnoteReference"/>
        </w:rPr>
        <w:footnoteRef/>
      </w:r>
      <w:r w:rsidR="00B3198C">
        <w:rPr>
          <w:lang w:val="en-IE"/>
        </w:rPr>
        <w:tab/>
      </w:r>
      <w:r w:rsidR="004155D4" w:rsidRPr="00B94A26">
        <w:rPr>
          <w:lang w:val="en-IE"/>
        </w:rPr>
        <w:t>COM(2023) 508 final.</w:t>
      </w:r>
    </w:p>
  </w:footnote>
  <w:footnote w:id="12">
    <w:p w:rsidR="00AB7E76" w:rsidRPr="00B94A26" w:rsidRDefault="00AB7E76">
      <w:pPr>
        <w:pStyle w:val="FootnoteText"/>
        <w:rPr>
          <w:lang w:val="en-IE"/>
        </w:rPr>
      </w:pPr>
      <w:r w:rsidRPr="00B3198C">
        <w:rPr>
          <w:rStyle w:val="FootnoteReference"/>
        </w:rPr>
        <w:footnoteRef/>
      </w:r>
      <w:r w:rsidR="00B3198C">
        <w:rPr>
          <w:lang w:val="en-IE"/>
        </w:rPr>
        <w:tab/>
      </w:r>
      <w:r w:rsidR="004155D4" w:rsidRPr="00B94A26">
        <w:rPr>
          <w:lang w:val="en-IE"/>
        </w:rPr>
        <w:t>COM(2023) 509 final.</w:t>
      </w:r>
    </w:p>
  </w:footnote>
  <w:footnote w:id="13">
    <w:p w:rsidR="00953F8F" w:rsidRPr="00BD530E" w:rsidRDefault="00953F8F" w:rsidP="00953F8F">
      <w:pPr>
        <w:pStyle w:val="FootnoteText"/>
        <w:ind w:left="0" w:firstLine="0"/>
        <w:rPr>
          <w:lang w:val="en-IE"/>
        </w:rPr>
      </w:pPr>
      <w:r w:rsidRPr="00B3198C">
        <w:rPr>
          <w:rStyle w:val="FootnoteReference"/>
        </w:rPr>
        <w:footnoteRef/>
      </w:r>
      <w:r w:rsidR="00B3198C">
        <w:tab/>
      </w:r>
      <w:r w:rsidRPr="00BD530E">
        <w:t>Directive (EU) 2016/681 of the European Parliament and of the Council of 27 April 2016 on the use of passenger name record (PNR) data for the prevention, detection, investigation and prosecution of terrorist offences and serious crime (OJ L 119, 4.5.2016, p. 132–149), ), hereinafter referred to as the ‘PNR Directive’ or ‘Directive (EU) 2016/681’.</w:t>
      </w:r>
    </w:p>
  </w:footnote>
  <w:footnote w:id="14">
    <w:p w:rsidR="00953F8F" w:rsidRPr="00BD530E" w:rsidRDefault="00953F8F" w:rsidP="00953F8F">
      <w:pPr>
        <w:pStyle w:val="FootnoteText"/>
        <w:ind w:left="0" w:firstLine="0"/>
        <w:rPr>
          <w:lang w:val="en-IE"/>
        </w:rPr>
      </w:pPr>
      <w:r w:rsidRPr="00B3198C">
        <w:rPr>
          <w:rStyle w:val="FootnoteReference"/>
        </w:rPr>
        <w:footnoteRef/>
      </w:r>
      <w:r w:rsidR="00B3198C">
        <w:tab/>
      </w:r>
      <w:r w:rsidRPr="00BD530E">
        <w:t>Judgment of the Court (Grand Chamber) of 21 June 2022 “Ligue des droits humains ASBL v Conseil des ministres”, C-817/19, EU:C:2022:491. The judgement concerned a request for a preliminary ruling from the Cour Constitutionnelle of Belgium.</w:t>
      </w:r>
    </w:p>
  </w:footnote>
  <w:footnote w:id="15">
    <w:p w:rsidR="00953F8F" w:rsidRPr="00BD530E" w:rsidRDefault="00953F8F" w:rsidP="00953F8F">
      <w:pPr>
        <w:pStyle w:val="FootnoteText"/>
        <w:ind w:left="0" w:firstLine="0"/>
        <w:rPr>
          <w:lang w:val="en-IE"/>
        </w:rPr>
      </w:pPr>
      <w:r w:rsidRPr="00B3198C">
        <w:rPr>
          <w:rStyle w:val="FootnoteReference"/>
        </w:rPr>
        <w:footnoteRef/>
      </w:r>
      <w:r w:rsidR="00B3198C">
        <w:tab/>
      </w:r>
      <w:r w:rsidRPr="00BD530E">
        <w:t>UNSCR 2396 (2017): “The Security Council: [..] 12. Decides that Member States shall develop the capability to collect, process and analyse, in furtherance of ICAO standards and recommended practices, passenger name record (PNR) data and to ensure PNR data is used by and shared with all their competent national authorities, with full respect for human rights and fundamental freedoms for the purpose of preventing, detecting and investigating terrorist offenses and related travel, [..]”. See also UNSCR 2482 (2019).</w:t>
      </w:r>
    </w:p>
  </w:footnote>
  <w:footnote w:id="16">
    <w:p w:rsidR="00953F8F" w:rsidRPr="00BD530E" w:rsidRDefault="00953F8F" w:rsidP="00953F8F">
      <w:pPr>
        <w:pStyle w:val="FootnoteText"/>
        <w:rPr>
          <w:lang w:val="en-IE"/>
        </w:rPr>
      </w:pPr>
      <w:r w:rsidRPr="00B3198C">
        <w:rPr>
          <w:rStyle w:val="FootnoteReference"/>
        </w:rPr>
        <w:footnoteRef/>
      </w:r>
      <w:r w:rsidR="00B3198C">
        <w:tab/>
      </w:r>
      <w:hyperlink r:id="rId1" w:history="1">
        <w:r w:rsidRPr="00932DCE">
          <w:rPr>
            <w:rStyle w:val="Hyperlink"/>
          </w:rPr>
          <w:t>https://www.icao.int/safety/airnavigation/nationalitymarks/annexes_booklet_en.pdf</w:t>
        </w:r>
      </w:hyperlink>
      <w:r>
        <w:t xml:space="preserve"> </w:t>
      </w:r>
    </w:p>
  </w:footnote>
  <w:footnote w:id="17">
    <w:p w:rsidR="00953F8F" w:rsidRPr="00BD530E" w:rsidRDefault="00953F8F" w:rsidP="00953F8F">
      <w:pPr>
        <w:pStyle w:val="FootnoteText"/>
        <w:ind w:left="0" w:firstLine="0"/>
        <w:rPr>
          <w:lang w:val="en-IE"/>
        </w:rPr>
      </w:pPr>
      <w:r w:rsidRPr="00B3198C">
        <w:rPr>
          <w:rStyle w:val="FootnoteReference"/>
        </w:rPr>
        <w:footnoteRef/>
      </w:r>
      <w:r w:rsidR="00B3198C">
        <w:tab/>
      </w:r>
      <w:r w:rsidRPr="00BD530E">
        <w:t xml:space="preserve">Council Decision (EU) 2021/121 of 28 January 2021 on the position to be taken on behalf of the European Union in reply to the State Letter sent by the International Civil Aviation Organization as regards Amendment 28 to Section D </w:t>
      </w:r>
      <w:r>
        <w:t>-</w:t>
      </w:r>
      <w:r w:rsidRPr="00BD530E">
        <w:t xml:space="preserve"> Chapter 9 </w:t>
      </w:r>
      <w:r>
        <w:t>-</w:t>
      </w:r>
      <w:r w:rsidRPr="00BD530E">
        <w:t xml:space="preserve"> Annex 9 to the Convention on International Civil Aviation (OJ L 37, 3.2.2021,</w:t>
      </w:r>
      <w:r>
        <w:t xml:space="preserve"> </w:t>
      </w:r>
      <w:r w:rsidRPr="00BD530E">
        <w:t>p.6-9).</w:t>
      </w:r>
    </w:p>
  </w:footnote>
  <w:footnote w:id="18">
    <w:p w:rsidR="005F549D" w:rsidRPr="004155D4" w:rsidRDefault="005F549D" w:rsidP="004155D4">
      <w:pPr>
        <w:pStyle w:val="FootnoteText"/>
        <w:ind w:left="0" w:firstLine="0"/>
        <w:rPr>
          <w:lang w:val="en-IE"/>
        </w:rPr>
      </w:pPr>
      <w:r w:rsidRPr="00B3198C">
        <w:rPr>
          <w:rStyle w:val="FootnoteReference"/>
        </w:rPr>
        <w:footnoteRef/>
      </w:r>
      <w:r w:rsidR="00B3198C">
        <w:tab/>
      </w:r>
      <w:r>
        <w:t>Council Conclusions of 7 June 2021 on the transfer of Passenger Name Record (PNR) data to third countries, in particular Australia and the United States, for the purpose of combating terrorism and serious crime</w:t>
      </w:r>
      <w:r w:rsidR="004155D4">
        <w:t>.</w:t>
      </w:r>
    </w:p>
  </w:footnote>
  <w:footnote w:id="19">
    <w:p w:rsidR="005F549D" w:rsidRPr="001B0A99" w:rsidRDefault="005F549D">
      <w:pPr>
        <w:pStyle w:val="FootnoteText"/>
        <w:rPr>
          <w:lang w:val="en-IE"/>
        </w:rPr>
      </w:pPr>
      <w:r w:rsidRPr="00B3198C">
        <w:rPr>
          <w:rStyle w:val="FootnoteReference"/>
        </w:rPr>
        <w:footnoteRef/>
      </w:r>
      <w:r w:rsidR="00B3198C">
        <w:tab/>
      </w:r>
      <w:r w:rsidR="001B0A99" w:rsidRPr="001B0A99">
        <w:t>OJ L 119, 4.5.2016, p. 1–88</w:t>
      </w:r>
      <w:r w:rsidR="001B0A9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C3" w:rsidRDefault="00222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AC3" w:rsidRDefault="00222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4E89F80"/>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13A58E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BFE368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8E4BB1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
  <w:docVars>
    <w:docVar w:name="CR_RefLast" w:val="0"/>
    <w:docVar w:name="DQCDateTime" w:val="2024-02-26 09:31:4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ECFF0089-59BA-4548-BAB3-48AA39B41930"/>
    <w:docVar w:name="LW_COVERPAGE_TYPE" w:val="1"/>
    <w:docVar w:name="LW_CROSSREFERENCE" w:val="&lt;UNUSED&gt;"/>
    <w:docVar w:name="LW_DocType" w:val="COM"/>
    <w:docVar w:name="LW_EMISSION" w:val="4.3.2024"/>
    <w:docVar w:name="LW_EMISSION_ISODATE" w:val="2024-03-04"/>
    <w:docVar w:name="LW_EMISSION_LOCATION" w:val="BRX"/>
    <w:docVar w:name="LW_EMISSION_PREFIX" w:val="Brussels, "/>
    <w:docVar w:name="LW_EMISSION_SUFFIX" w:val=" "/>
    <w:docVar w:name="LW_ID_DOCMODEL" w:val="SJ-019"/>
    <w:docVar w:name="LW_ID_DOCSIGNATURE" w:val="SJ-019"/>
    <w:docVar w:name="LW_ID_DOCSTRUCTURE" w:val="COM/PL/ORG"/>
    <w:docVar w:name="LW_ID_DOCTYPE" w:val="SJ-019"/>
    <w:docVar w:name="LW_ID_STATUT" w:val="SJ-019"/>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050"/>
    <w:docVar w:name="LW_REF.II.NEW.CP_YEAR" w:val="2024"/>
    <w:docVar w:name="LW_REF.INST.NEW" w:val="COM"/>
    <w:docVar w:name="LW_REF.INST.NEW_ADOPTED" w:val="final"/>
    <w:docVar w:name="LW_REF.INST.NEW_TEXT" w:val="(2024) 9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signing, on behalf of the European Union, of an agreement between Canada and the European Union on the transfer and processing of Passenger Name Record (PNR) data"/>
    <w:docVar w:name="LW_TYPE.DOC.CP" w:val="COUNCIL DECISION"/>
    <w:docVar w:name="LwApiVersions" w:val="LW4CoDe 1.24.4.0; LW 9.0, Build 20240125"/>
  </w:docVars>
  <w:rsids>
    <w:rsidRoot w:val="00DD1253"/>
    <w:rsid w:val="00002F44"/>
    <w:rsid w:val="0001458B"/>
    <w:rsid w:val="000546F5"/>
    <w:rsid w:val="00075B68"/>
    <w:rsid w:val="00080BB8"/>
    <w:rsid w:val="000B3AF9"/>
    <w:rsid w:val="000E26D4"/>
    <w:rsid w:val="001065F5"/>
    <w:rsid w:val="00115D0C"/>
    <w:rsid w:val="001238EF"/>
    <w:rsid w:val="001239D2"/>
    <w:rsid w:val="00134073"/>
    <w:rsid w:val="00143445"/>
    <w:rsid w:val="00197613"/>
    <w:rsid w:val="001B0A99"/>
    <w:rsid w:val="001C64CE"/>
    <w:rsid w:val="001D3170"/>
    <w:rsid w:val="001E74DF"/>
    <w:rsid w:val="00200ADF"/>
    <w:rsid w:val="00211B81"/>
    <w:rsid w:val="00222AC3"/>
    <w:rsid w:val="00233DC7"/>
    <w:rsid w:val="00242D81"/>
    <w:rsid w:val="00246CB3"/>
    <w:rsid w:val="00247779"/>
    <w:rsid w:val="002559C7"/>
    <w:rsid w:val="00273085"/>
    <w:rsid w:val="00285BEE"/>
    <w:rsid w:val="0029533F"/>
    <w:rsid w:val="002A2029"/>
    <w:rsid w:val="002B30AF"/>
    <w:rsid w:val="00304563"/>
    <w:rsid w:val="0033344A"/>
    <w:rsid w:val="003517C9"/>
    <w:rsid w:val="00383F40"/>
    <w:rsid w:val="003A133C"/>
    <w:rsid w:val="003A220C"/>
    <w:rsid w:val="004061E4"/>
    <w:rsid w:val="004141B9"/>
    <w:rsid w:val="004155D4"/>
    <w:rsid w:val="0042648E"/>
    <w:rsid w:val="004377EE"/>
    <w:rsid w:val="0044014D"/>
    <w:rsid w:val="00444C85"/>
    <w:rsid w:val="0046094D"/>
    <w:rsid w:val="004730C4"/>
    <w:rsid w:val="00487301"/>
    <w:rsid w:val="004936D2"/>
    <w:rsid w:val="004D42B5"/>
    <w:rsid w:val="004D7248"/>
    <w:rsid w:val="004E1038"/>
    <w:rsid w:val="005346F6"/>
    <w:rsid w:val="00571B71"/>
    <w:rsid w:val="005978A7"/>
    <w:rsid w:val="005B1EB6"/>
    <w:rsid w:val="005E100D"/>
    <w:rsid w:val="005F549D"/>
    <w:rsid w:val="006502BA"/>
    <w:rsid w:val="0066372E"/>
    <w:rsid w:val="00673BCD"/>
    <w:rsid w:val="00687212"/>
    <w:rsid w:val="0069012B"/>
    <w:rsid w:val="006D770F"/>
    <w:rsid w:val="007012C4"/>
    <w:rsid w:val="00702C86"/>
    <w:rsid w:val="007103C0"/>
    <w:rsid w:val="007673B8"/>
    <w:rsid w:val="00773331"/>
    <w:rsid w:val="007932EF"/>
    <w:rsid w:val="0079659D"/>
    <w:rsid w:val="007B515B"/>
    <w:rsid w:val="007C08EF"/>
    <w:rsid w:val="007D0C66"/>
    <w:rsid w:val="007E05B0"/>
    <w:rsid w:val="0084502D"/>
    <w:rsid w:val="008525B3"/>
    <w:rsid w:val="00874D22"/>
    <w:rsid w:val="008A2914"/>
    <w:rsid w:val="008B2003"/>
    <w:rsid w:val="008C6180"/>
    <w:rsid w:val="008D54D4"/>
    <w:rsid w:val="008E4D8E"/>
    <w:rsid w:val="008E6E70"/>
    <w:rsid w:val="00953F8F"/>
    <w:rsid w:val="00961877"/>
    <w:rsid w:val="00975CD3"/>
    <w:rsid w:val="009E335B"/>
    <w:rsid w:val="00A11E63"/>
    <w:rsid w:val="00A228BF"/>
    <w:rsid w:val="00A33394"/>
    <w:rsid w:val="00A5786C"/>
    <w:rsid w:val="00A65743"/>
    <w:rsid w:val="00A82060"/>
    <w:rsid w:val="00A97A0B"/>
    <w:rsid w:val="00AA6047"/>
    <w:rsid w:val="00AB7E76"/>
    <w:rsid w:val="00B13FF2"/>
    <w:rsid w:val="00B253ED"/>
    <w:rsid w:val="00B25F57"/>
    <w:rsid w:val="00B3198C"/>
    <w:rsid w:val="00B37A5D"/>
    <w:rsid w:val="00B53BB3"/>
    <w:rsid w:val="00B93DC3"/>
    <w:rsid w:val="00B94A26"/>
    <w:rsid w:val="00B95810"/>
    <w:rsid w:val="00BC7226"/>
    <w:rsid w:val="00BE7913"/>
    <w:rsid w:val="00C12301"/>
    <w:rsid w:val="00C14A9A"/>
    <w:rsid w:val="00C47936"/>
    <w:rsid w:val="00C82C3D"/>
    <w:rsid w:val="00CB671B"/>
    <w:rsid w:val="00CC558F"/>
    <w:rsid w:val="00CE1525"/>
    <w:rsid w:val="00D16049"/>
    <w:rsid w:val="00D20381"/>
    <w:rsid w:val="00D25876"/>
    <w:rsid w:val="00DC63ED"/>
    <w:rsid w:val="00DD1253"/>
    <w:rsid w:val="00DD470A"/>
    <w:rsid w:val="00DF0D61"/>
    <w:rsid w:val="00E646FA"/>
    <w:rsid w:val="00E85CC8"/>
    <w:rsid w:val="00EA1BD2"/>
    <w:rsid w:val="00F06263"/>
    <w:rsid w:val="00F33DFF"/>
    <w:rsid w:val="00F408F8"/>
    <w:rsid w:val="00F6001C"/>
    <w:rsid w:val="00F661FF"/>
    <w:rsid w:val="00F7795E"/>
    <w:rsid w:val="00F95D25"/>
    <w:rsid w:val="00FC38F8"/>
    <w:rsid w:val="00FD3A93"/>
    <w:rsid w:val="00FD5594"/>
    <w:rsid w:val="00FD6332"/>
    <w:rsid w:val="00FE0D6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BDF042BC-A9F0-4397-9849-74193A85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301"/>
    <w:rPr>
      <w:color w:val="0000FF" w:themeColor="hyperlink"/>
      <w:u w:val="single"/>
    </w:rPr>
  </w:style>
  <w:style w:type="character" w:styleId="CommentReference">
    <w:name w:val="annotation reference"/>
    <w:uiPriority w:val="99"/>
    <w:semiHidden/>
    <w:unhideWhenUsed/>
    <w:rsid w:val="00A5786C"/>
    <w:rPr>
      <w:sz w:val="16"/>
      <w:szCs w:val="16"/>
    </w:rPr>
  </w:style>
  <w:style w:type="paragraph" w:styleId="CommentText">
    <w:name w:val="annotation text"/>
    <w:basedOn w:val="Normal"/>
    <w:link w:val="CommentTextChar"/>
    <w:uiPriority w:val="99"/>
    <w:unhideWhenUsed/>
    <w:rsid w:val="00A5786C"/>
    <w:rPr>
      <w:rFonts w:eastAsia="Calibri"/>
      <w:sz w:val="20"/>
      <w:szCs w:val="20"/>
    </w:rPr>
  </w:style>
  <w:style w:type="character" w:customStyle="1" w:styleId="CommentTextChar">
    <w:name w:val="Comment Text Char"/>
    <w:basedOn w:val="DefaultParagraphFont"/>
    <w:link w:val="CommentText"/>
    <w:uiPriority w:val="99"/>
    <w:rsid w:val="00A5786C"/>
    <w:rPr>
      <w:rFonts w:ascii="Times New Roman" w:eastAsia="Calibri" w:hAnsi="Times New Roman" w:cs="Times New Roman"/>
      <w:sz w:val="20"/>
      <w:szCs w:val="20"/>
      <w:lang w:val="en-GB"/>
    </w:rPr>
  </w:style>
  <w:style w:type="paragraph" w:styleId="ListParagraph">
    <w:name w:val="List Paragraph"/>
    <w:basedOn w:val="Normal"/>
    <w:uiPriority w:val="34"/>
    <w:qFormat/>
    <w:rsid w:val="00A5786C"/>
    <w:pPr>
      <w:ind w:left="720"/>
      <w:contextualSpacing/>
    </w:pPr>
  </w:style>
  <w:style w:type="paragraph" w:styleId="Revision">
    <w:name w:val="Revision"/>
    <w:hidden/>
    <w:uiPriority w:val="99"/>
    <w:semiHidden/>
    <w:rsid w:val="00200ADF"/>
    <w:pPr>
      <w:spacing w:after="0" w:line="240" w:lineRule="auto"/>
    </w:pPr>
    <w:rPr>
      <w:rFonts w:ascii="Times New Roman" w:hAnsi="Times New Roman" w:cs="Times New Roman"/>
      <w:sz w:val="24"/>
      <w:lang w:val="en-GB"/>
    </w:rPr>
  </w:style>
  <w:style w:type="paragraph" w:styleId="CommentSubject">
    <w:name w:val="annotation subject"/>
    <w:basedOn w:val="CommentText"/>
    <w:next w:val="CommentText"/>
    <w:link w:val="CommentSubjectChar"/>
    <w:uiPriority w:val="99"/>
    <w:semiHidden/>
    <w:unhideWhenUsed/>
    <w:rsid w:val="00DD470A"/>
    <w:rPr>
      <w:rFonts w:eastAsiaTheme="minorHAnsi"/>
      <w:b/>
      <w:bCs/>
    </w:rPr>
  </w:style>
  <w:style w:type="character" w:customStyle="1" w:styleId="CommentSubjectChar">
    <w:name w:val="Comment Subject Char"/>
    <w:basedOn w:val="CommentTextChar"/>
    <w:link w:val="CommentSubject"/>
    <w:uiPriority w:val="99"/>
    <w:semiHidden/>
    <w:rsid w:val="00DD470A"/>
    <w:rPr>
      <w:rFonts w:ascii="Times New Roman" w:eastAsia="Calibri" w:hAnsi="Times New Roman" w:cs="Times New Roman"/>
      <w:b/>
      <w:bCs/>
      <w:sz w:val="20"/>
      <w:szCs w:val="20"/>
      <w:lang w:val="en-GB"/>
    </w:rPr>
  </w:style>
  <w:style w:type="paragraph" w:styleId="ListBullet">
    <w:name w:val="List Bullet"/>
    <w:basedOn w:val="Normal"/>
    <w:uiPriority w:val="99"/>
    <w:semiHidden/>
    <w:unhideWhenUsed/>
    <w:rsid w:val="008B2003"/>
    <w:pPr>
      <w:numPr>
        <w:numId w:val="1"/>
      </w:numPr>
      <w:contextualSpacing/>
    </w:pPr>
  </w:style>
  <w:style w:type="paragraph" w:styleId="ListBullet2">
    <w:name w:val="List Bullet 2"/>
    <w:basedOn w:val="Normal"/>
    <w:uiPriority w:val="99"/>
    <w:semiHidden/>
    <w:unhideWhenUsed/>
    <w:rsid w:val="008B2003"/>
    <w:pPr>
      <w:numPr>
        <w:numId w:val="2"/>
      </w:numPr>
      <w:contextualSpacing/>
    </w:pPr>
  </w:style>
  <w:style w:type="paragraph" w:styleId="ListBullet3">
    <w:name w:val="List Bullet 3"/>
    <w:basedOn w:val="Normal"/>
    <w:uiPriority w:val="99"/>
    <w:semiHidden/>
    <w:unhideWhenUsed/>
    <w:rsid w:val="008B2003"/>
    <w:pPr>
      <w:numPr>
        <w:numId w:val="3"/>
      </w:numPr>
      <w:contextualSpacing/>
    </w:pPr>
  </w:style>
  <w:style w:type="paragraph" w:styleId="ListBullet4">
    <w:name w:val="List Bullet 4"/>
    <w:basedOn w:val="Normal"/>
    <w:uiPriority w:val="99"/>
    <w:semiHidden/>
    <w:unhideWhenUsed/>
    <w:rsid w:val="008B2003"/>
    <w:pPr>
      <w:numPr>
        <w:numId w:val="4"/>
      </w:numPr>
      <w:contextualSpacing/>
    </w:pPr>
  </w:style>
  <w:style w:type="paragraph" w:customStyle="1" w:styleId="Default">
    <w:name w:val="Default"/>
    <w:rsid w:val="000546F5"/>
    <w:pPr>
      <w:autoSpaceDE w:val="0"/>
      <w:autoSpaceDN w:val="0"/>
      <w:adjustRightInd w:val="0"/>
      <w:spacing w:after="0" w:line="240" w:lineRule="auto"/>
    </w:pPr>
    <w:rPr>
      <w:rFonts w:ascii="Times New Roman" w:hAnsi="Times New Roman" w:cs="Times New Roman"/>
      <w:color w:val="000000"/>
      <w:sz w:val="24"/>
      <w:szCs w:val="24"/>
      <w:lang w:val="en-IE"/>
    </w:rPr>
  </w:style>
  <w:style w:type="character" w:customStyle="1" w:styleId="UnresolvedMention">
    <w:name w:val="Unresolved Mention"/>
    <w:basedOn w:val="DefaultParagraphFont"/>
    <w:uiPriority w:val="99"/>
    <w:semiHidden/>
    <w:unhideWhenUsed/>
    <w:rsid w:val="0084502D"/>
    <w:rPr>
      <w:color w:val="605E5C"/>
      <w:shd w:val="clear" w:color="auto" w:fill="E1DFDD"/>
    </w:rPr>
  </w:style>
  <w:style w:type="character" w:customStyle="1" w:styleId="HeaderChar">
    <w:name w:val="Header Char"/>
    <w:basedOn w:val="DefaultParagraphFont"/>
    <w:link w:val="Header"/>
    <w:uiPriority w:val="99"/>
    <w:rsid w:val="00222AC3"/>
    <w:rPr>
      <w:rFonts w:ascii="Times New Roman" w:hAnsi="Times New Roman" w:cs="Times New Roman"/>
      <w:sz w:val="24"/>
      <w:lang w:val="en-GB"/>
    </w:rPr>
  </w:style>
  <w:style w:type="character" w:customStyle="1" w:styleId="FooterChar">
    <w:name w:val="Footer Char"/>
    <w:basedOn w:val="DefaultParagraphFont"/>
    <w:link w:val="Footer"/>
    <w:uiPriority w:val="99"/>
    <w:rsid w:val="00222AC3"/>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22AC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22AC3"/>
    <w:pPr>
      <w:spacing w:before="0"/>
      <w:jc w:val="right"/>
    </w:pPr>
    <w:rPr>
      <w:sz w:val="28"/>
    </w:rPr>
  </w:style>
  <w:style w:type="paragraph" w:customStyle="1" w:styleId="FooterSensitivity">
    <w:name w:val="Footer Sensitivity"/>
    <w:basedOn w:val="Normal"/>
    <w:rsid w:val="00222AC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222AC3"/>
    <w:pPr>
      <w:tabs>
        <w:tab w:val="center" w:pos="4535"/>
        <w:tab w:val="right" w:pos="9071"/>
      </w:tabs>
      <w:spacing w:before="0"/>
    </w:pPr>
  </w:style>
  <w:style w:type="paragraph" w:customStyle="1" w:styleId="HeaderLandscape">
    <w:name w:val="HeaderLandscape"/>
    <w:basedOn w:val="Normal"/>
    <w:rsid w:val="00222AC3"/>
    <w:pPr>
      <w:tabs>
        <w:tab w:val="center" w:pos="7285"/>
        <w:tab w:val="right" w:pos="14003"/>
      </w:tabs>
      <w:spacing w:before="0"/>
    </w:pPr>
  </w:style>
  <w:style w:type="paragraph" w:styleId="Footer">
    <w:name w:val="footer"/>
    <w:basedOn w:val="Normal"/>
    <w:link w:val="FooterChar"/>
    <w:uiPriority w:val="99"/>
    <w:unhideWhenUsed/>
    <w:rsid w:val="00222AC3"/>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222AC3"/>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cao.int/safety/airnavigation/nationalitymarks/annexes_booklet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62C3C-C247-4020-8208-466FFF61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13</TotalTime>
  <Pages>8</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24</cp:revision>
  <dcterms:created xsi:type="dcterms:W3CDTF">2024-01-16T13:34:00Z</dcterms:created>
  <dcterms:modified xsi:type="dcterms:W3CDTF">2024-02-26T08:31:00Z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2023-11-23T09:22:26Z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72362d2f-df91-403f-8196-7368ec8e8250</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SJ-019</vt:lpwstr>
  </property>
  <property fmtid="{D5CDD505-2E9C-101B-9397-08002B2CF9AE}" pid="17" name="DQCStatus">
    <vt:lpwstr>Green (DQC version 03)</vt:lpwstr>
  </property>
</Properties>
</file>