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F773A8" w14:textId="6608B58B" w:rsidR="008E0ECC" w:rsidRPr="008E0ECC" w:rsidRDefault="00BB76D6" w:rsidP="00BB76D6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</w:rPr>
      </w:pPr>
      <w:bookmarkStart w:id="0" w:name="_GoBack"/>
      <w:r>
        <w:rPr>
          <w:noProof/>
        </w:rPr>
        <w:drawing>
          <wp:inline distT="0" distB="0" distL="0" distR="0" wp14:anchorId="77298835" wp14:editId="0F5B5CFB">
            <wp:extent cx="3971925" cy="847725"/>
            <wp:effectExtent l="0" t="0" r="9525" b="9525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148B8154" w14:textId="46ED38F9" w:rsidR="008E0ECC" w:rsidRDefault="008E0ECC" w:rsidP="008E0ECC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 forma</w:t>
      </w:r>
    </w:p>
    <w:p w14:paraId="022EE4DF" w14:textId="5C0EF4F5" w:rsidR="003E78F4" w:rsidRDefault="003E78F4" w:rsidP="008E0ECC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</w:rPr>
      </w:pPr>
      <w:r w:rsidRPr="008E0ECC">
        <w:rPr>
          <w:rFonts w:ascii="Arial" w:hAnsi="Arial" w:cs="Arial"/>
        </w:rPr>
        <w:t>Coy Jason Brent, MSNA, RN, NEA-BC</w:t>
      </w:r>
    </w:p>
    <w:p w14:paraId="7341B500" w14:textId="38B4DA8D" w:rsidR="00467957" w:rsidRPr="00D0011C" w:rsidRDefault="00FA15AE" w:rsidP="002F2175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467957" w:rsidRPr="00D0011C">
        <w:rPr>
          <w:rFonts w:ascii="Arial" w:hAnsi="Arial" w:cs="Arial"/>
          <w:b/>
        </w:rPr>
        <w:t>efinition </w:t>
      </w:r>
    </w:p>
    <w:p w14:paraId="66063C17" w14:textId="588067A3" w:rsidR="00467957" w:rsidRDefault="00D0011C" w:rsidP="002F2175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023CA">
        <w:rPr>
          <w:rFonts w:ascii="Arial" w:hAnsi="Arial" w:cs="Arial"/>
        </w:rPr>
        <w:t>A</w:t>
      </w:r>
      <w:r w:rsidR="0006276F">
        <w:rPr>
          <w:rFonts w:ascii="Arial" w:hAnsi="Arial" w:cs="Arial"/>
        </w:rPr>
        <w:t xml:space="preserve"> pro forma is a</w:t>
      </w:r>
      <w:r w:rsidR="00C03CEB">
        <w:rPr>
          <w:rFonts w:ascii="Arial" w:hAnsi="Arial" w:cs="Arial"/>
        </w:rPr>
        <w:t xml:space="preserve"> hypothetical</w:t>
      </w:r>
      <w:r w:rsidR="0006276F">
        <w:rPr>
          <w:rFonts w:ascii="Arial" w:hAnsi="Arial" w:cs="Arial"/>
        </w:rPr>
        <w:t xml:space="preserve"> financial statement</w:t>
      </w:r>
      <w:r w:rsidR="00C03CEB">
        <w:rPr>
          <w:rFonts w:ascii="Arial" w:hAnsi="Arial" w:cs="Arial"/>
        </w:rPr>
        <w:t xml:space="preserve"> </w:t>
      </w:r>
      <w:r w:rsidR="00E71AE0">
        <w:rPr>
          <w:rFonts w:ascii="Arial" w:hAnsi="Arial" w:cs="Arial"/>
        </w:rPr>
        <w:t>based on either anticipated future events or potentially changing b</w:t>
      </w:r>
      <w:r w:rsidR="00C03CEB">
        <w:rPr>
          <w:rFonts w:ascii="Arial" w:hAnsi="Arial" w:cs="Arial"/>
        </w:rPr>
        <w:t xml:space="preserve">usiness performance in futuristic accounting </w:t>
      </w:r>
      <w:r w:rsidR="00E71AE0">
        <w:rPr>
          <w:rFonts w:ascii="Arial" w:hAnsi="Arial" w:cs="Arial"/>
        </w:rPr>
        <w:t>periods</w:t>
      </w:r>
      <w:r w:rsidR="005E6D2B">
        <w:rPr>
          <w:rFonts w:ascii="Arial" w:hAnsi="Arial" w:cs="Arial"/>
        </w:rPr>
        <w:t>. The pro forma</w:t>
      </w:r>
      <w:r w:rsidR="002023CA">
        <w:rPr>
          <w:rFonts w:ascii="Arial" w:hAnsi="Arial" w:cs="Arial"/>
        </w:rPr>
        <w:t xml:space="preserve"> is in</w:t>
      </w:r>
      <w:r w:rsidR="00E71AE0">
        <w:rPr>
          <w:rFonts w:ascii="Arial" w:hAnsi="Arial" w:cs="Arial"/>
        </w:rPr>
        <w:t xml:space="preserve"> contrast to regular financial statements that are summaries on a business’s actual </w:t>
      </w:r>
      <w:r w:rsidR="007373B6">
        <w:rPr>
          <w:rFonts w:ascii="Arial" w:hAnsi="Arial" w:cs="Arial"/>
        </w:rPr>
        <w:t>past performance</w:t>
      </w:r>
      <w:r w:rsidR="002023CA">
        <w:rPr>
          <w:rFonts w:ascii="Arial" w:hAnsi="Arial" w:cs="Arial"/>
        </w:rPr>
        <w:t xml:space="preserve"> </w:t>
      </w:r>
      <w:r w:rsidR="004F2E2F">
        <w:rPr>
          <w:rFonts w:ascii="Arial" w:hAnsi="Arial" w:cs="Arial"/>
        </w:rPr>
        <w:t>(Way, 2015</w:t>
      </w:r>
      <w:r w:rsidR="005C0080">
        <w:rPr>
          <w:rFonts w:ascii="Arial" w:hAnsi="Arial" w:cs="Arial"/>
        </w:rPr>
        <w:t>).</w:t>
      </w:r>
    </w:p>
    <w:p w14:paraId="183C31E6" w14:textId="77777777" w:rsidR="00467957" w:rsidRPr="00D0011C" w:rsidRDefault="00467957" w:rsidP="002F2175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</w:rPr>
      </w:pPr>
      <w:r w:rsidRPr="00D0011C">
        <w:rPr>
          <w:rFonts w:ascii="Arial" w:hAnsi="Arial" w:cs="Arial"/>
          <w:b/>
        </w:rPr>
        <w:t>Use</w:t>
      </w:r>
    </w:p>
    <w:p w14:paraId="76B63A1F" w14:textId="08CFEDD5" w:rsidR="00467957" w:rsidRPr="00467957" w:rsidRDefault="00D0011C" w:rsidP="002F2175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A6266">
        <w:rPr>
          <w:rFonts w:ascii="Arial" w:hAnsi="Arial" w:cs="Arial"/>
        </w:rPr>
        <w:t xml:space="preserve">An organization typically uses a </w:t>
      </w:r>
      <w:r w:rsidR="006C2B9E">
        <w:rPr>
          <w:rFonts w:ascii="Arial" w:hAnsi="Arial" w:cs="Arial"/>
        </w:rPr>
        <w:t xml:space="preserve">pro </w:t>
      </w:r>
      <w:r w:rsidR="00AF1C77">
        <w:rPr>
          <w:rFonts w:ascii="Arial" w:hAnsi="Arial" w:cs="Arial"/>
        </w:rPr>
        <w:t>forma as</w:t>
      </w:r>
      <w:r w:rsidR="007373B6">
        <w:rPr>
          <w:rFonts w:ascii="Arial" w:hAnsi="Arial" w:cs="Arial"/>
        </w:rPr>
        <w:t xml:space="preserve"> part of </w:t>
      </w:r>
      <w:r w:rsidR="008B2695">
        <w:rPr>
          <w:rFonts w:ascii="Arial" w:hAnsi="Arial" w:cs="Arial"/>
        </w:rPr>
        <w:t xml:space="preserve">the </w:t>
      </w:r>
      <w:r w:rsidR="007373B6">
        <w:rPr>
          <w:rFonts w:ascii="Arial" w:hAnsi="Arial" w:cs="Arial"/>
        </w:rPr>
        <w:t xml:space="preserve">planning </w:t>
      </w:r>
      <w:r w:rsidR="008B2695">
        <w:rPr>
          <w:rFonts w:ascii="Arial" w:hAnsi="Arial" w:cs="Arial"/>
        </w:rPr>
        <w:t xml:space="preserve">process </w:t>
      </w:r>
      <w:r w:rsidR="00FA6266">
        <w:rPr>
          <w:rFonts w:ascii="Arial" w:hAnsi="Arial" w:cs="Arial"/>
        </w:rPr>
        <w:t>when attempting to model the expected future performance of the organization or the impact of major capital investments</w:t>
      </w:r>
      <w:r w:rsidR="00467957">
        <w:rPr>
          <w:rFonts w:ascii="Arial" w:hAnsi="Arial" w:cs="Arial"/>
        </w:rPr>
        <w:t>.</w:t>
      </w:r>
      <w:r w:rsidR="00FA6266">
        <w:rPr>
          <w:rFonts w:ascii="Arial" w:hAnsi="Arial" w:cs="Arial"/>
        </w:rPr>
        <w:t xml:space="preserve"> A </w:t>
      </w:r>
      <w:r w:rsidR="006C2B9E">
        <w:rPr>
          <w:rFonts w:ascii="Arial" w:hAnsi="Arial" w:cs="Arial"/>
        </w:rPr>
        <w:t>pro forma</w:t>
      </w:r>
      <w:r w:rsidR="00FA6266">
        <w:rPr>
          <w:rFonts w:ascii="Arial" w:hAnsi="Arial" w:cs="Arial"/>
        </w:rPr>
        <w:t xml:space="preserve"> should b</w:t>
      </w:r>
      <w:r w:rsidR="00605E74">
        <w:rPr>
          <w:rFonts w:ascii="Arial" w:hAnsi="Arial" w:cs="Arial"/>
        </w:rPr>
        <w:t xml:space="preserve">e used to answer the question, </w:t>
      </w:r>
      <w:r w:rsidR="00537F33">
        <w:rPr>
          <w:rFonts w:ascii="Arial" w:hAnsi="Arial" w:cs="Arial"/>
        </w:rPr>
        <w:t>“</w:t>
      </w:r>
      <w:r w:rsidR="00FA6266">
        <w:rPr>
          <w:rFonts w:ascii="Arial" w:hAnsi="Arial" w:cs="Arial"/>
        </w:rPr>
        <w:t>How might the financial future look if the investment is made?</w:t>
      </w:r>
      <w:r w:rsidR="00537F33">
        <w:rPr>
          <w:rFonts w:ascii="Arial" w:hAnsi="Arial" w:cs="Arial"/>
        </w:rPr>
        <w:t>”</w:t>
      </w:r>
      <w:r w:rsidR="00605E74">
        <w:rPr>
          <w:rFonts w:ascii="Arial" w:hAnsi="Arial" w:cs="Arial"/>
        </w:rPr>
        <w:t xml:space="preserve"> </w:t>
      </w:r>
      <w:proofErr w:type="gramStart"/>
      <w:r w:rsidR="00605E74">
        <w:rPr>
          <w:rFonts w:ascii="Arial" w:hAnsi="Arial" w:cs="Arial"/>
        </w:rPr>
        <w:t>(</w:t>
      </w:r>
      <w:proofErr w:type="spellStart"/>
      <w:r w:rsidR="00605E74">
        <w:rPr>
          <w:rFonts w:ascii="Arial" w:hAnsi="Arial" w:cs="Arial"/>
        </w:rPr>
        <w:t>Ittelson</w:t>
      </w:r>
      <w:proofErr w:type="spellEnd"/>
      <w:r w:rsidR="00605E74">
        <w:rPr>
          <w:rFonts w:ascii="Arial" w:hAnsi="Arial" w:cs="Arial"/>
        </w:rPr>
        <w:t>, 2009).</w:t>
      </w:r>
      <w:proofErr w:type="gramEnd"/>
      <w:r w:rsidR="00771E70">
        <w:rPr>
          <w:rFonts w:ascii="Arial" w:hAnsi="Arial" w:cs="Arial"/>
        </w:rPr>
        <w:t xml:space="preserve"> </w:t>
      </w:r>
      <w:r w:rsidR="0030159B">
        <w:rPr>
          <w:rFonts w:ascii="Arial" w:hAnsi="Arial" w:cs="Arial"/>
        </w:rPr>
        <w:t>The role of the pro forma is to present assumptions that permit investors or decision makers to understand the potential effect of the pro</w:t>
      </w:r>
      <w:r w:rsidR="007607B7">
        <w:rPr>
          <w:rFonts w:ascii="Arial" w:hAnsi="Arial" w:cs="Arial"/>
        </w:rPr>
        <w:t>posed venture (Cleverley,</w:t>
      </w:r>
      <w:r w:rsidR="009B0081">
        <w:rPr>
          <w:rFonts w:ascii="Arial" w:hAnsi="Arial" w:cs="Arial"/>
        </w:rPr>
        <w:t xml:space="preserve"> </w:t>
      </w:r>
      <w:r w:rsidR="0030159B">
        <w:rPr>
          <w:rFonts w:ascii="Arial" w:hAnsi="Arial" w:cs="Arial"/>
        </w:rPr>
        <w:t xml:space="preserve">Cleverley, </w:t>
      </w:r>
      <w:r w:rsidR="007607B7">
        <w:rPr>
          <w:rFonts w:ascii="Arial" w:hAnsi="Arial" w:cs="Arial"/>
        </w:rPr>
        <w:t xml:space="preserve">&amp; Song, </w:t>
      </w:r>
      <w:r w:rsidR="0030159B">
        <w:rPr>
          <w:rFonts w:ascii="Arial" w:hAnsi="Arial" w:cs="Arial"/>
        </w:rPr>
        <w:t>2011)</w:t>
      </w:r>
      <w:r w:rsidR="009B0081">
        <w:rPr>
          <w:rFonts w:ascii="Arial" w:hAnsi="Arial" w:cs="Arial"/>
        </w:rPr>
        <w:t>.</w:t>
      </w:r>
      <w:r w:rsidR="003015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Examples of when </w:t>
      </w:r>
      <w:r w:rsidR="006C2B9E">
        <w:rPr>
          <w:rFonts w:ascii="Arial" w:hAnsi="Arial" w:cs="Arial"/>
        </w:rPr>
        <w:t>organizations</w:t>
      </w:r>
      <w:r>
        <w:rPr>
          <w:rFonts w:ascii="Arial" w:hAnsi="Arial" w:cs="Arial"/>
        </w:rPr>
        <w:t xml:space="preserve"> use a </w:t>
      </w:r>
      <w:r w:rsidR="006C2B9E">
        <w:rPr>
          <w:rFonts w:ascii="Arial" w:hAnsi="Arial" w:cs="Arial"/>
        </w:rPr>
        <w:t>pro forma</w:t>
      </w:r>
      <w:r w:rsidR="00537F33">
        <w:rPr>
          <w:rFonts w:ascii="Arial" w:hAnsi="Arial" w:cs="Arial"/>
        </w:rPr>
        <w:t xml:space="preserve"> would include:</w:t>
      </w:r>
      <w:r>
        <w:rPr>
          <w:rFonts w:ascii="Arial" w:hAnsi="Arial" w:cs="Arial"/>
        </w:rPr>
        <w:t xml:space="preserve"> the planned purchase of new o</w:t>
      </w:r>
      <w:r w:rsidR="006C2B9E">
        <w:rPr>
          <w:rFonts w:ascii="Arial" w:hAnsi="Arial" w:cs="Arial"/>
        </w:rPr>
        <w:t>r updated capital equipment,</w:t>
      </w:r>
      <w:r>
        <w:rPr>
          <w:rFonts w:ascii="Arial" w:hAnsi="Arial" w:cs="Arial"/>
        </w:rPr>
        <w:t xml:space="preserve"> the future opening </w:t>
      </w:r>
      <w:r w:rsidR="006C2B9E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>a new service</w:t>
      </w:r>
      <w:r w:rsidR="006C2B9E">
        <w:rPr>
          <w:rFonts w:ascii="Arial" w:hAnsi="Arial" w:cs="Arial"/>
        </w:rPr>
        <w:t xml:space="preserve">, </w:t>
      </w:r>
      <w:r w:rsidR="00FA6D53">
        <w:rPr>
          <w:rFonts w:ascii="Arial" w:hAnsi="Arial" w:cs="Arial"/>
        </w:rPr>
        <w:t>or</w:t>
      </w:r>
      <w:r w:rsidR="006C2B9E">
        <w:rPr>
          <w:rFonts w:ascii="Arial" w:hAnsi="Arial" w:cs="Arial"/>
        </w:rPr>
        <w:t xml:space="preserve"> for mergers and acquisitions</w:t>
      </w:r>
      <w:r>
        <w:rPr>
          <w:rFonts w:ascii="Arial" w:hAnsi="Arial" w:cs="Arial"/>
        </w:rPr>
        <w:t>.</w:t>
      </w:r>
    </w:p>
    <w:p w14:paraId="47E0BD16" w14:textId="77777777" w:rsidR="00467957" w:rsidRPr="00D0011C" w:rsidRDefault="00467957" w:rsidP="002F2175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</w:rPr>
      </w:pPr>
      <w:r w:rsidRPr="00D0011C">
        <w:rPr>
          <w:rFonts w:ascii="Arial" w:hAnsi="Arial" w:cs="Arial"/>
          <w:b/>
        </w:rPr>
        <w:t>Content</w:t>
      </w:r>
    </w:p>
    <w:p w14:paraId="738AFFC2" w14:textId="647943BC" w:rsidR="007276F8" w:rsidRPr="00467957" w:rsidRDefault="00D0011C" w:rsidP="002F2175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A6266">
        <w:rPr>
          <w:rFonts w:ascii="Arial" w:hAnsi="Arial" w:cs="Arial"/>
        </w:rPr>
        <w:t xml:space="preserve">The content of a </w:t>
      </w:r>
      <w:r w:rsidR="006C2B9E">
        <w:rPr>
          <w:rFonts w:ascii="Arial" w:hAnsi="Arial" w:cs="Arial"/>
        </w:rPr>
        <w:t>pro forma</w:t>
      </w:r>
      <w:r w:rsidR="0096422B">
        <w:rPr>
          <w:rFonts w:ascii="Arial" w:hAnsi="Arial" w:cs="Arial"/>
        </w:rPr>
        <w:t xml:space="preserve"> financial statement</w:t>
      </w:r>
      <w:r w:rsidR="00FA6266">
        <w:rPr>
          <w:rFonts w:ascii="Arial" w:hAnsi="Arial" w:cs="Arial"/>
        </w:rPr>
        <w:t xml:space="preserve"> is </w:t>
      </w:r>
      <w:r w:rsidR="00710EB5">
        <w:rPr>
          <w:rFonts w:ascii="Arial" w:hAnsi="Arial" w:cs="Arial"/>
        </w:rPr>
        <w:t>typically</w:t>
      </w:r>
      <w:r w:rsidR="0096422B">
        <w:rPr>
          <w:rFonts w:ascii="Arial" w:hAnsi="Arial" w:cs="Arial"/>
        </w:rPr>
        <w:t xml:space="preserve"> </w:t>
      </w:r>
      <w:r w:rsidR="00FA6266">
        <w:rPr>
          <w:rFonts w:ascii="Arial" w:hAnsi="Arial" w:cs="Arial"/>
        </w:rPr>
        <w:t>the same as that of historical financial information</w:t>
      </w:r>
      <w:r w:rsidR="0096422B">
        <w:rPr>
          <w:rFonts w:ascii="Arial" w:hAnsi="Arial" w:cs="Arial"/>
        </w:rPr>
        <w:t xml:space="preserve"> or balance sheet</w:t>
      </w:r>
      <w:r w:rsidR="005F78F5">
        <w:rPr>
          <w:rFonts w:ascii="Arial" w:hAnsi="Arial" w:cs="Arial"/>
        </w:rPr>
        <w:t xml:space="preserve"> financials</w:t>
      </w:r>
      <w:r w:rsidR="00FA6266">
        <w:rPr>
          <w:rFonts w:ascii="Arial" w:hAnsi="Arial" w:cs="Arial"/>
        </w:rPr>
        <w:t>.</w:t>
      </w:r>
      <w:r w:rsidR="002E5666">
        <w:rPr>
          <w:rFonts w:ascii="Arial" w:hAnsi="Arial" w:cs="Arial"/>
        </w:rPr>
        <w:t xml:space="preserve"> </w:t>
      </w:r>
      <w:r w:rsidR="0096422B">
        <w:rPr>
          <w:rFonts w:ascii="Arial" w:hAnsi="Arial" w:cs="Arial"/>
        </w:rPr>
        <w:t>T</w:t>
      </w:r>
      <w:r w:rsidR="002E5666">
        <w:rPr>
          <w:rFonts w:ascii="Arial" w:hAnsi="Arial" w:cs="Arial"/>
        </w:rPr>
        <w:t xml:space="preserve">he key difference </w:t>
      </w:r>
      <w:r w:rsidR="002E5666">
        <w:rPr>
          <w:rFonts w:ascii="Arial" w:hAnsi="Arial" w:cs="Arial"/>
        </w:rPr>
        <w:lastRenderedPageBreak/>
        <w:t xml:space="preserve">is that historical financial </w:t>
      </w:r>
      <w:r w:rsidR="0096422B">
        <w:rPr>
          <w:rFonts w:ascii="Arial" w:hAnsi="Arial" w:cs="Arial"/>
        </w:rPr>
        <w:t xml:space="preserve">statements </w:t>
      </w:r>
      <w:r w:rsidR="0059015B">
        <w:rPr>
          <w:rFonts w:ascii="Arial" w:hAnsi="Arial" w:cs="Arial"/>
        </w:rPr>
        <w:t>display</w:t>
      </w:r>
      <w:r w:rsidR="002E5666">
        <w:rPr>
          <w:rFonts w:ascii="Arial" w:hAnsi="Arial" w:cs="Arial"/>
        </w:rPr>
        <w:t xml:space="preserve"> actual data, while the </w:t>
      </w:r>
      <w:r w:rsidR="006C2B9E">
        <w:rPr>
          <w:rFonts w:ascii="Arial" w:hAnsi="Arial" w:cs="Arial"/>
        </w:rPr>
        <w:t>pro forma</w:t>
      </w:r>
      <w:r w:rsidR="002E5666">
        <w:rPr>
          <w:rFonts w:ascii="Arial" w:hAnsi="Arial" w:cs="Arial"/>
        </w:rPr>
        <w:t xml:space="preserve"> financial </w:t>
      </w:r>
      <w:r w:rsidR="0006276F">
        <w:rPr>
          <w:rFonts w:ascii="Arial" w:hAnsi="Arial" w:cs="Arial"/>
        </w:rPr>
        <w:t xml:space="preserve">statement </w:t>
      </w:r>
      <w:r w:rsidR="002E5666">
        <w:rPr>
          <w:rFonts w:ascii="Arial" w:hAnsi="Arial" w:cs="Arial"/>
        </w:rPr>
        <w:t xml:space="preserve">is based on assumptions </w:t>
      </w:r>
      <w:r w:rsidR="0096422B">
        <w:rPr>
          <w:rFonts w:ascii="Arial" w:hAnsi="Arial" w:cs="Arial"/>
        </w:rPr>
        <w:t>that are expected</w:t>
      </w:r>
      <w:r w:rsidR="005F78F5">
        <w:rPr>
          <w:rFonts w:ascii="Arial" w:hAnsi="Arial" w:cs="Arial"/>
        </w:rPr>
        <w:t xml:space="preserve"> but not yet realized</w:t>
      </w:r>
      <w:r w:rsidR="002E5666">
        <w:rPr>
          <w:rFonts w:ascii="Arial" w:hAnsi="Arial" w:cs="Arial"/>
        </w:rPr>
        <w:t>.</w:t>
      </w:r>
      <w:r w:rsidR="00BB3AE2">
        <w:rPr>
          <w:rFonts w:ascii="Arial" w:hAnsi="Arial" w:cs="Arial"/>
        </w:rPr>
        <w:t xml:space="preserve"> </w:t>
      </w:r>
      <w:r w:rsidR="007276F8">
        <w:rPr>
          <w:rFonts w:ascii="Arial" w:hAnsi="Arial" w:cs="Arial"/>
        </w:rPr>
        <w:t xml:space="preserve">Most pro </w:t>
      </w:r>
      <w:proofErr w:type="spellStart"/>
      <w:r w:rsidR="007276F8">
        <w:rPr>
          <w:rFonts w:ascii="Arial" w:hAnsi="Arial" w:cs="Arial"/>
        </w:rPr>
        <w:t>formas</w:t>
      </w:r>
      <w:proofErr w:type="spellEnd"/>
      <w:r w:rsidR="007276F8">
        <w:rPr>
          <w:rFonts w:ascii="Arial" w:hAnsi="Arial" w:cs="Arial"/>
        </w:rPr>
        <w:t xml:space="preserve"> are built on three to five year projections.</w:t>
      </w:r>
    </w:p>
    <w:p w14:paraId="3396D247" w14:textId="736105A4" w:rsidR="00467957" w:rsidRPr="00467957" w:rsidRDefault="007276F8" w:rsidP="002F2175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When developing t</w:t>
      </w:r>
      <w:r w:rsidR="00FC6A4B">
        <w:rPr>
          <w:rFonts w:ascii="Arial" w:hAnsi="Arial" w:cs="Arial"/>
        </w:rPr>
        <w:t xml:space="preserve">he pro forma </w:t>
      </w:r>
      <w:r w:rsidR="001E7458">
        <w:rPr>
          <w:rFonts w:ascii="Arial" w:hAnsi="Arial" w:cs="Arial"/>
        </w:rPr>
        <w:t xml:space="preserve">consider </w:t>
      </w:r>
      <w:r>
        <w:rPr>
          <w:rFonts w:ascii="Arial" w:hAnsi="Arial" w:cs="Arial"/>
        </w:rPr>
        <w:t>all projected revenue and costs a</w:t>
      </w:r>
      <w:r w:rsidR="002644FE">
        <w:rPr>
          <w:rFonts w:ascii="Arial" w:hAnsi="Arial" w:cs="Arial"/>
        </w:rPr>
        <w:t xml:space="preserve">ssociated with the new venture over the specified period of time, taking into consideration year over year revenue and cost change assumptions. This will allow investors </w:t>
      </w:r>
      <w:r w:rsidR="001F31D8">
        <w:rPr>
          <w:rFonts w:ascii="Arial" w:hAnsi="Arial" w:cs="Arial"/>
        </w:rPr>
        <w:t xml:space="preserve">or decision makers </w:t>
      </w:r>
      <w:r w:rsidR="002644FE">
        <w:rPr>
          <w:rFonts w:ascii="Arial" w:hAnsi="Arial" w:cs="Arial"/>
        </w:rPr>
        <w:t>to see the net operating profit projected for the new venture.</w:t>
      </w:r>
    </w:p>
    <w:p w14:paraId="3C0DAE75" w14:textId="6DC21062" w:rsidR="00A40C1B" w:rsidRDefault="000C63F7" w:rsidP="002F2175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Reading</w:t>
      </w:r>
      <w:r w:rsidR="00D0011C" w:rsidRPr="00D0011C">
        <w:rPr>
          <w:rFonts w:ascii="Arial" w:hAnsi="Arial" w:cs="Arial"/>
          <w:b/>
        </w:rPr>
        <w:t xml:space="preserve"> a </w:t>
      </w:r>
      <w:r w:rsidR="006C2B9E">
        <w:rPr>
          <w:rFonts w:ascii="Arial" w:hAnsi="Arial" w:cs="Arial"/>
          <w:b/>
        </w:rPr>
        <w:t>pro forma</w:t>
      </w:r>
    </w:p>
    <w:p w14:paraId="5FDA7ADF" w14:textId="5CC74EFF" w:rsidR="00C450B8" w:rsidRDefault="00C450B8" w:rsidP="002F2175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123243">
        <w:rPr>
          <w:rFonts w:ascii="Arial" w:hAnsi="Arial" w:cs="Arial"/>
        </w:rPr>
        <w:t xml:space="preserve">Pro forma financial statements </w:t>
      </w:r>
      <w:r w:rsidR="000C63F7">
        <w:rPr>
          <w:rFonts w:ascii="Arial" w:hAnsi="Arial" w:cs="Arial"/>
        </w:rPr>
        <w:t xml:space="preserve">are read the same as historical financial statements as they </w:t>
      </w:r>
      <w:r w:rsidR="00123243">
        <w:rPr>
          <w:rFonts w:ascii="Arial" w:hAnsi="Arial" w:cs="Arial"/>
        </w:rPr>
        <w:t xml:space="preserve">are typically in </w:t>
      </w:r>
      <w:r w:rsidR="00537F33">
        <w:rPr>
          <w:rFonts w:ascii="Arial" w:hAnsi="Arial" w:cs="Arial"/>
        </w:rPr>
        <w:t xml:space="preserve">an </w:t>
      </w:r>
      <w:r w:rsidR="008362D8">
        <w:rPr>
          <w:rFonts w:ascii="Arial" w:hAnsi="Arial" w:cs="Arial"/>
        </w:rPr>
        <w:t>identical</w:t>
      </w:r>
      <w:r w:rsidR="00123243">
        <w:rPr>
          <w:rFonts w:ascii="Arial" w:hAnsi="Arial" w:cs="Arial"/>
        </w:rPr>
        <w:t xml:space="preserve"> format (</w:t>
      </w:r>
      <w:proofErr w:type="spellStart"/>
      <w:r w:rsidR="00123243">
        <w:rPr>
          <w:rFonts w:ascii="Arial" w:hAnsi="Arial" w:cs="Arial"/>
        </w:rPr>
        <w:t>Ittelson</w:t>
      </w:r>
      <w:proofErr w:type="spellEnd"/>
      <w:r w:rsidR="00123243">
        <w:rPr>
          <w:rFonts w:ascii="Arial" w:hAnsi="Arial" w:cs="Arial"/>
        </w:rPr>
        <w:t xml:space="preserve">, 2009). </w:t>
      </w:r>
      <w:r>
        <w:rPr>
          <w:rFonts w:ascii="Arial" w:hAnsi="Arial" w:cs="Arial"/>
        </w:rPr>
        <w:t xml:space="preserve"> </w:t>
      </w:r>
      <w:r w:rsidR="000C63F7">
        <w:rPr>
          <w:rFonts w:ascii="Arial" w:hAnsi="Arial" w:cs="Arial"/>
        </w:rPr>
        <w:t xml:space="preserve">The </w:t>
      </w:r>
      <w:r w:rsidR="00942F0B">
        <w:rPr>
          <w:rFonts w:ascii="Arial" w:hAnsi="Arial" w:cs="Arial"/>
        </w:rPr>
        <w:t>key contrast</w:t>
      </w:r>
      <w:r w:rsidR="000C63F7">
        <w:rPr>
          <w:rFonts w:ascii="Arial" w:hAnsi="Arial" w:cs="Arial"/>
        </w:rPr>
        <w:t xml:space="preserve"> being that pro forma data is hypothetical projected data and not actual historical data.</w:t>
      </w:r>
      <w:r w:rsidR="00C94508">
        <w:rPr>
          <w:rFonts w:ascii="Arial" w:hAnsi="Arial" w:cs="Arial"/>
        </w:rPr>
        <w:t xml:space="preserve"> The </w:t>
      </w:r>
      <w:r w:rsidR="0021170C">
        <w:rPr>
          <w:rFonts w:ascii="Arial" w:hAnsi="Arial" w:cs="Arial"/>
        </w:rPr>
        <w:t xml:space="preserve">developer and </w:t>
      </w:r>
      <w:r w:rsidR="00C94508">
        <w:rPr>
          <w:rFonts w:ascii="Arial" w:hAnsi="Arial" w:cs="Arial"/>
        </w:rPr>
        <w:t xml:space="preserve">reviewer of the pro forma should </w:t>
      </w:r>
      <w:r w:rsidR="0021170C">
        <w:rPr>
          <w:rFonts w:ascii="Arial" w:hAnsi="Arial" w:cs="Arial"/>
        </w:rPr>
        <w:t>confirm</w:t>
      </w:r>
      <w:r w:rsidR="00C94508">
        <w:rPr>
          <w:rFonts w:ascii="Arial" w:hAnsi="Arial" w:cs="Arial"/>
        </w:rPr>
        <w:t xml:space="preserve"> that </w:t>
      </w:r>
      <w:r w:rsidR="008F03A0">
        <w:rPr>
          <w:rFonts w:ascii="Arial" w:hAnsi="Arial" w:cs="Arial"/>
        </w:rPr>
        <w:t xml:space="preserve">all </w:t>
      </w:r>
      <w:r w:rsidR="00E73EAA">
        <w:rPr>
          <w:rFonts w:ascii="Arial" w:hAnsi="Arial" w:cs="Arial"/>
        </w:rPr>
        <w:t xml:space="preserve">relevant </w:t>
      </w:r>
      <w:r w:rsidR="00C94508">
        <w:rPr>
          <w:rFonts w:ascii="Arial" w:hAnsi="Arial" w:cs="Arial"/>
        </w:rPr>
        <w:t>data points related to revenue and costs are present</w:t>
      </w:r>
      <w:r w:rsidR="008F03A0">
        <w:rPr>
          <w:rFonts w:ascii="Arial" w:hAnsi="Arial" w:cs="Arial"/>
        </w:rPr>
        <w:t>ed</w:t>
      </w:r>
      <w:r w:rsidR="0021170C">
        <w:rPr>
          <w:rFonts w:ascii="Arial" w:hAnsi="Arial" w:cs="Arial"/>
        </w:rPr>
        <w:t>,</w:t>
      </w:r>
      <w:r w:rsidR="008F03A0">
        <w:rPr>
          <w:rFonts w:ascii="Arial" w:hAnsi="Arial" w:cs="Arial"/>
        </w:rPr>
        <w:t xml:space="preserve"> the net operating profit is calculated correctly</w:t>
      </w:r>
      <w:r w:rsidR="0021170C">
        <w:rPr>
          <w:rFonts w:ascii="Arial" w:hAnsi="Arial" w:cs="Arial"/>
        </w:rPr>
        <w:t>,</w:t>
      </w:r>
      <w:r w:rsidR="008F03A0">
        <w:rPr>
          <w:rFonts w:ascii="Arial" w:hAnsi="Arial" w:cs="Arial"/>
        </w:rPr>
        <w:t xml:space="preserve"> and </w:t>
      </w:r>
      <w:r w:rsidR="00E73EAA">
        <w:rPr>
          <w:rFonts w:ascii="Arial" w:hAnsi="Arial" w:cs="Arial"/>
        </w:rPr>
        <w:t xml:space="preserve">the overall pro forma </w:t>
      </w:r>
      <w:r w:rsidR="00787A2C">
        <w:rPr>
          <w:rFonts w:ascii="Arial" w:hAnsi="Arial" w:cs="Arial"/>
        </w:rPr>
        <w:t>is fiscally sensible.</w:t>
      </w:r>
    </w:p>
    <w:p w14:paraId="3EED6146" w14:textId="33B9891B" w:rsidR="00F70EA8" w:rsidRDefault="00F70EA8" w:rsidP="002F2175">
      <w:pPr>
        <w:spacing w:line="480" w:lineRule="auto"/>
        <w:rPr>
          <w:rFonts w:ascii="Arial" w:hAnsi="Arial" w:cs="Arial"/>
          <w:b/>
        </w:rPr>
      </w:pPr>
      <w:r w:rsidRPr="00F70EA8">
        <w:rPr>
          <w:rFonts w:ascii="Arial" w:hAnsi="Arial" w:cs="Arial"/>
          <w:b/>
        </w:rPr>
        <w:t>Evidence</w:t>
      </w:r>
    </w:p>
    <w:p w14:paraId="660856EB" w14:textId="4E9FFC41" w:rsidR="00027DBE" w:rsidRPr="004E7C59" w:rsidRDefault="00027DBE" w:rsidP="002F2175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When synthesizing the emerging evidence, genetics and genomics redefines the traditional approaches of health and wellness approaches. Genomics has become the central science for the 21</w:t>
      </w:r>
      <w:r w:rsidRPr="00027DBE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century health professionals (Jenkins and Calzone, 2007).  In a survey of 239 RNs, </w:t>
      </w:r>
      <w:r w:rsidR="00FA11F1">
        <w:rPr>
          <w:rFonts w:ascii="Arial" w:hAnsi="Arial" w:cs="Arial"/>
        </w:rPr>
        <w:t>published by Calzone, et al in 2012</w:t>
      </w:r>
      <w:r w:rsidR="00C74118">
        <w:rPr>
          <w:rFonts w:ascii="Arial" w:hAnsi="Arial" w:cs="Arial"/>
        </w:rPr>
        <w:t>, a</w:t>
      </w:r>
      <w:r>
        <w:rPr>
          <w:rFonts w:ascii="Arial" w:hAnsi="Arial" w:cs="Arial"/>
        </w:rPr>
        <w:t xml:space="preserve"> </w:t>
      </w:r>
      <w:r w:rsidR="001E497B">
        <w:rPr>
          <w:rFonts w:ascii="Arial" w:hAnsi="Arial" w:cs="Arial"/>
        </w:rPr>
        <w:t>startling</w:t>
      </w:r>
      <w:r>
        <w:rPr>
          <w:rFonts w:ascii="Arial" w:hAnsi="Arial" w:cs="Arial"/>
        </w:rPr>
        <w:t xml:space="preserve"> 81% of RNs surveyed reported that their understanding of genetics of common disease as fair or poor.</w:t>
      </w:r>
      <w:r w:rsidR="00537F33">
        <w:rPr>
          <w:rFonts w:ascii="Arial" w:hAnsi="Arial" w:cs="Arial"/>
        </w:rPr>
        <w:t xml:space="preserve"> </w:t>
      </w:r>
      <w:r w:rsidR="00FA11F1">
        <w:rPr>
          <w:rFonts w:ascii="Arial" w:hAnsi="Arial" w:cs="Arial"/>
        </w:rPr>
        <w:t xml:space="preserve">Advances in </w:t>
      </w:r>
      <w:r w:rsidR="00FA11F1">
        <w:rPr>
          <w:rFonts w:ascii="Arial" w:hAnsi="Arial" w:cs="Arial"/>
        </w:rPr>
        <w:lastRenderedPageBreak/>
        <w:t>science have resulted in the need for integration of new competencies into nursing practice. This will continue to ensure safe, responsible and accountable care</w:t>
      </w:r>
      <w:r w:rsidR="006B1FD1">
        <w:rPr>
          <w:rFonts w:ascii="Arial" w:hAnsi="Arial" w:cs="Arial"/>
        </w:rPr>
        <w:t>.</w:t>
      </w:r>
      <w:r w:rsidR="00FA11F1">
        <w:rPr>
          <w:rFonts w:ascii="Arial" w:hAnsi="Arial" w:cs="Arial"/>
        </w:rPr>
        <w:t xml:space="preserve"> The expansive application of genomics challenges the healthcare community to be knowledgeable in genomics, a science in which most have l</w:t>
      </w:r>
      <w:r w:rsidR="00086A28">
        <w:rPr>
          <w:rFonts w:ascii="Arial" w:hAnsi="Arial" w:cs="Arial"/>
        </w:rPr>
        <w:t>imited competency (Calzone, Jen</w:t>
      </w:r>
      <w:r w:rsidR="00D46F01">
        <w:rPr>
          <w:rFonts w:ascii="Arial" w:hAnsi="Arial" w:cs="Arial"/>
        </w:rPr>
        <w:t>kins, Culp, Caskey, &amp;</w:t>
      </w:r>
      <w:r w:rsidR="00086A28">
        <w:rPr>
          <w:rFonts w:ascii="Arial" w:hAnsi="Arial" w:cs="Arial"/>
        </w:rPr>
        <w:t xml:space="preserve"> Badzek</w:t>
      </w:r>
      <w:r w:rsidR="00FA11F1">
        <w:rPr>
          <w:rFonts w:ascii="Arial" w:hAnsi="Arial" w:cs="Arial"/>
        </w:rPr>
        <w:t>, 2014</w:t>
      </w:r>
      <w:r w:rsidR="00FA11F1" w:rsidRPr="0035664F">
        <w:rPr>
          <w:rFonts w:ascii="Arial" w:hAnsi="Arial" w:cs="Arial"/>
        </w:rPr>
        <w:t>).</w:t>
      </w:r>
      <w:r w:rsidR="00537F33" w:rsidRPr="0035664F">
        <w:rPr>
          <w:rFonts w:ascii="Arial" w:hAnsi="Arial" w:cs="Arial"/>
        </w:rPr>
        <w:t xml:space="preserve"> The use of the pro form tool by the administrator to anticipate costs associated with a </w:t>
      </w:r>
      <w:r w:rsidR="004E7C59" w:rsidRPr="0035664F">
        <w:rPr>
          <w:rFonts w:ascii="Arial" w:hAnsi="Arial" w:cs="Arial"/>
        </w:rPr>
        <w:t xml:space="preserve">new </w:t>
      </w:r>
      <w:r w:rsidR="00537F33" w:rsidRPr="0035664F">
        <w:rPr>
          <w:rFonts w:ascii="Arial" w:hAnsi="Arial" w:cs="Arial"/>
        </w:rPr>
        <w:t xml:space="preserve">competency initiative, and/or to consider resource costs of integrating new genetic/genomic services, and/or to consider costs of </w:t>
      </w:r>
      <w:r w:rsidR="004E7C59" w:rsidRPr="0035664F">
        <w:rPr>
          <w:rFonts w:ascii="Arial" w:hAnsi="Arial" w:cs="Arial"/>
        </w:rPr>
        <w:t xml:space="preserve">recommended </w:t>
      </w:r>
      <w:r w:rsidR="00537F33" w:rsidRPr="0035664F">
        <w:rPr>
          <w:rFonts w:ascii="Arial" w:hAnsi="Arial" w:cs="Arial"/>
        </w:rPr>
        <w:t xml:space="preserve">infrastructure support for </w:t>
      </w:r>
      <w:r w:rsidR="004E7C59" w:rsidRPr="0035664F">
        <w:rPr>
          <w:rFonts w:ascii="Arial" w:hAnsi="Arial" w:cs="Arial"/>
        </w:rPr>
        <w:t>int</w:t>
      </w:r>
      <w:r w:rsidR="00537F33" w:rsidRPr="0035664F">
        <w:rPr>
          <w:rFonts w:ascii="Arial" w:hAnsi="Arial" w:cs="Arial"/>
        </w:rPr>
        <w:t xml:space="preserve">egrating genomics into practice (i.e., EHR and/or policy revisions) will </w:t>
      </w:r>
      <w:r w:rsidR="004E7C59" w:rsidRPr="0035664F">
        <w:rPr>
          <w:rFonts w:ascii="Arial" w:hAnsi="Arial" w:cs="Arial"/>
        </w:rPr>
        <w:t>help the administrator consider financial implications of introducing genomics at their worksite.</w:t>
      </w:r>
    </w:p>
    <w:p w14:paraId="1B008862" w14:textId="77777777" w:rsidR="007607B7" w:rsidRDefault="007607B7" w:rsidP="002F2175">
      <w:pPr>
        <w:spacing w:line="480" w:lineRule="auto"/>
        <w:rPr>
          <w:rFonts w:ascii="Arial" w:hAnsi="Arial" w:cs="Arial"/>
        </w:rPr>
      </w:pPr>
    </w:p>
    <w:p w14:paraId="7E7CDC4F" w14:textId="77777777" w:rsidR="007607B7" w:rsidRDefault="007607B7" w:rsidP="002F2175">
      <w:pPr>
        <w:spacing w:line="480" w:lineRule="auto"/>
        <w:rPr>
          <w:rFonts w:ascii="Arial" w:hAnsi="Arial" w:cs="Arial"/>
        </w:rPr>
      </w:pPr>
    </w:p>
    <w:p w14:paraId="171CB232" w14:textId="77777777" w:rsidR="007607B7" w:rsidRDefault="007607B7" w:rsidP="002F2175">
      <w:pPr>
        <w:spacing w:line="480" w:lineRule="auto"/>
        <w:rPr>
          <w:rFonts w:ascii="Arial" w:hAnsi="Arial" w:cs="Arial"/>
        </w:rPr>
      </w:pPr>
    </w:p>
    <w:p w14:paraId="42ECE66E" w14:textId="77777777" w:rsidR="007607B7" w:rsidRDefault="007607B7" w:rsidP="002F2175">
      <w:pPr>
        <w:spacing w:line="480" w:lineRule="auto"/>
        <w:rPr>
          <w:rFonts w:ascii="Arial" w:hAnsi="Arial" w:cs="Arial"/>
        </w:rPr>
      </w:pPr>
    </w:p>
    <w:p w14:paraId="1550E1A1" w14:textId="77777777" w:rsidR="007607B7" w:rsidRDefault="007607B7" w:rsidP="002F2175">
      <w:pPr>
        <w:spacing w:line="480" w:lineRule="auto"/>
        <w:rPr>
          <w:rFonts w:ascii="Arial" w:hAnsi="Arial" w:cs="Arial"/>
        </w:rPr>
      </w:pPr>
    </w:p>
    <w:p w14:paraId="5AECA4E5" w14:textId="77777777" w:rsidR="007607B7" w:rsidRDefault="007607B7" w:rsidP="002F2175">
      <w:pPr>
        <w:spacing w:line="480" w:lineRule="auto"/>
        <w:rPr>
          <w:rFonts w:ascii="Arial" w:hAnsi="Arial" w:cs="Arial"/>
        </w:rPr>
      </w:pPr>
    </w:p>
    <w:p w14:paraId="437EC300" w14:textId="77777777" w:rsidR="007607B7" w:rsidRDefault="007607B7" w:rsidP="002F2175">
      <w:pPr>
        <w:spacing w:line="480" w:lineRule="auto"/>
        <w:rPr>
          <w:rFonts w:ascii="Arial" w:hAnsi="Arial" w:cs="Arial"/>
        </w:rPr>
      </w:pPr>
    </w:p>
    <w:p w14:paraId="710BC0B9" w14:textId="77777777" w:rsidR="007607B7" w:rsidRDefault="007607B7" w:rsidP="002F2175">
      <w:pPr>
        <w:spacing w:line="480" w:lineRule="auto"/>
        <w:rPr>
          <w:rFonts w:ascii="Arial" w:hAnsi="Arial" w:cs="Arial"/>
        </w:rPr>
      </w:pPr>
    </w:p>
    <w:p w14:paraId="6AED5E5C" w14:textId="77777777" w:rsidR="007607B7" w:rsidRDefault="007607B7" w:rsidP="002F2175">
      <w:pPr>
        <w:spacing w:line="480" w:lineRule="auto"/>
        <w:rPr>
          <w:rFonts w:ascii="Arial" w:hAnsi="Arial" w:cs="Arial"/>
        </w:rPr>
      </w:pPr>
    </w:p>
    <w:p w14:paraId="2F49D1A7" w14:textId="77777777" w:rsidR="007607B7" w:rsidRDefault="007607B7" w:rsidP="002F2175">
      <w:pPr>
        <w:spacing w:line="480" w:lineRule="auto"/>
        <w:rPr>
          <w:rFonts w:ascii="Arial" w:hAnsi="Arial" w:cs="Arial"/>
        </w:rPr>
      </w:pPr>
    </w:p>
    <w:p w14:paraId="741B5852" w14:textId="77777777" w:rsidR="005D5430" w:rsidRDefault="005D5430" w:rsidP="00B93C7E">
      <w:pPr>
        <w:spacing w:line="480" w:lineRule="auto"/>
        <w:jc w:val="center"/>
        <w:rPr>
          <w:rFonts w:ascii="Arial" w:hAnsi="Arial" w:cs="Arial"/>
          <w:b/>
        </w:rPr>
      </w:pPr>
    </w:p>
    <w:p w14:paraId="58182465" w14:textId="77777777" w:rsidR="005D5430" w:rsidRDefault="005D5430" w:rsidP="00B93C7E">
      <w:pPr>
        <w:spacing w:line="480" w:lineRule="auto"/>
        <w:jc w:val="center"/>
        <w:rPr>
          <w:rFonts w:ascii="Arial" w:hAnsi="Arial" w:cs="Arial"/>
          <w:b/>
        </w:rPr>
      </w:pPr>
    </w:p>
    <w:p w14:paraId="31391208" w14:textId="77777777" w:rsidR="005D5430" w:rsidRDefault="005D5430" w:rsidP="00B93C7E">
      <w:pPr>
        <w:spacing w:line="480" w:lineRule="auto"/>
        <w:jc w:val="center"/>
        <w:rPr>
          <w:rFonts w:ascii="Arial" w:hAnsi="Arial" w:cs="Arial"/>
          <w:b/>
        </w:rPr>
      </w:pPr>
    </w:p>
    <w:p w14:paraId="7575807D" w14:textId="77777777" w:rsidR="005D5430" w:rsidRDefault="005D5430" w:rsidP="00B93C7E">
      <w:pPr>
        <w:spacing w:line="480" w:lineRule="auto"/>
        <w:jc w:val="center"/>
        <w:rPr>
          <w:rFonts w:ascii="Arial" w:hAnsi="Arial" w:cs="Arial"/>
          <w:b/>
        </w:rPr>
      </w:pPr>
    </w:p>
    <w:p w14:paraId="37CF3578" w14:textId="77777777" w:rsidR="005D5430" w:rsidRDefault="005D5430" w:rsidP="00B93C7E">
      <w:pPr>
        <w:spacing w:line="480" w:lineRule="auto"/>
        <w:jc w:val="center"/>
        <w:rPr>
          <w:rFonts w:ascii="Arial" w:hAnsi="Arial" w:cs="Arial"/>
          <w:b/>
        </w:rPr>
      </w:pPr>
    </w:p>
    <w:p w14:paraId="23431264" w14:textId="77777777" w:rsidR="005D5430" w:rsidRDefault="005D5430" w:rsidP="00B93C7E">
      <w:pPr>
        <w:spacing w:line="480" w:lineRule="auto"/>
        <w:jc w:val="center"/>
        <w:rPr>
          <w:rFonts w:ascii="Arial" w:hAnsi="Arial" w:cs="Arial"/>
          <w:b/>
        </w:rPr>
      </w:pPr>
    </w:p>
    <w:p w14:paraId="5F2538FA" w14:textId="77777777" w:rsidR="005D5430" w:rsidRDefault="005D5430" w:rsidP="00B93C7E">
      <w:pPr>
        <w:spacing w:line="480" w:lineRule="auto"/>
        <w:jc w:val="center"/>
        <w:rPr>
          <w:rFonts w:ascii="Arial" w:hAnsi="Arial" w:cs="Arial"/>
          <w:b/>
        </w:rPr>
      </w:pPr>
    </w:p>
    <w:p w14:paraId="3207C6EE" w14:textId="77777777" w:rsidR="005D5430" w:rsidRDefault="005D5430" w:rsidP="00B93C7E">
      <w:pPr>
        <w:spacing w:line="480" w:lineRule="auto"/>
        <w:jc w:val="center"/>
        <w:rPr>
          <w:rFonts w:ascii="Arial" w:hAnsi="Arial" w:cs="Arial"/>
          <w:b/>
        </w:rPr>
      </w:pPr>
    </w:p>
    <w:p w14:paraId="6F6778D1" w14:textId="77777777" w:rsidR="005D5430" w:rsidRDefault="005D5430" w:rsidP="00B93C7E">
      <w:pPr>
        <w:spacing w:line="480" w:lineRule="auto"/>
        <w:jc w:val="center"/>
        <w:rPr>
          <w:rFonts w:ascii="Arial" w:hAnsi="Arial" w:cs="Arial"/>
          <w:b/>
        </w:rPr>
      </w:pPr>
    </w:p>
    <w:p w14:paraId="6FD120E4" w14:textId="77777777" w:rsidR="005D5430" w:rsidRDefault="005D5430" w:rsidP="00B93C7E">
      <w:pPr>
        <w:spacing w:line="480" w:lineRule="auto"/>
        <w:jc w:val="center"/>
        <w:rPr>
          <w:rFonts w:ascii="Arial" w:hAnsi="Arial" w:cs="Arial"/>
          <w:b/>
        </w:rPr>
      </w:pPr>
    </w:p>
    <w:p w14:paraId="3DFCD29A" w14:textId="67161CED" w:rsidR="007607B7" w:rsidRPr="00B93C7E" w:rsidRDefault="007607B7" w:rsidP="00B93C7E">
      <w:pPr>
        <w:spacing w:line="480" w:lineRule="auto"/>
        <w:jc w:val="center"/>
        <w:rPr>
          <w:rFonts w:ascii="Arial" w:hAnsi="Arial" w:cs="Arial"/>
          <w:b/>
        </w:rPr>
      </w:pPr>
      <w:r w:rsidRPr="00B93C7E">
        <w:rPr>
          <w:rFonts w:ascii="Arial" w:hAnsi="Arial" w:cs="Arial"/>
          <w:b/>
        </w:rPr>
        <w:t>References</w:t>
      </w:r>
    </w:p>
    <w:p w14:paraId="67FD91B0" w14:textId="69385D00" w:rsidR="00BD240D" w:rsidRPr="008A6461" w:rsidRDefault="00BD240D" w:rsidP="002F2175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Calzone</w:t>
      </w:r>
      <w:r w:rsidR="00461A24">
        <w:rPr>
          <w:rFonts w:ascii="Arial" w:hAnsi="Arial" w:cs="Arial"/>
        </w:rPr>
        <w:t xml:space="preserve">, K.A., Jenkins, J., Yates, J., Cusak, G., Wallen, G.R., Liewehr, D.J., </w:t>
      </w:r>
      <w:r w:rsidR="008A6461">
        <w:rPr>
          <w:rFonts w:ascii="Arial" w:hAnsi="Arial" w:cs="Arial"/>
        </w:rPr>
        <w:tab/>
      </w:r>
      <w:r w:rsidR="00461A24">
        <w:rPr>
          <w:rFonts w:ascii="Arial" w:hAnsi="Arial" w:cs="Arial"/>
        </w:rPr>
        <w:t>Steinberg, S.M., &amp; McBride, C.</w:t>
      </w:r>
      <w:r>
        <w:rPr>
          <w:rFonts w:ascii="Arial" w:hAnsi="Arial" w:cs="Arial"/>
        </w:rPr>
        <w:t xml:space="preserve"> (2012)</w:t>
      </w:r>
      <w:r w:rsidR="00461A24">
        <w:rPr>
          <w:rFonts w:ascii="Arial" w:hAnsi="Arial" w:cs="Arial"/>
        </w:rPr>
        <w:t xml:space="preserve">. Survey of nursing </w:t>
      </w:r>
      <w:r w:rsidR="008A6461">
        <w:rPr>
          <w:rFonts w:ascii="Arial" w:hAnsi="Arial" w:cs="Arial"/>
        </w:rPr>
        <w:t>integration</w:t>
      </w:r>
      <w:r w:rsidR="00461A24">
        <w:rPr>
          <w:rFonts w:ascii="Arial" w:hAnsi="Arial" w:cs="Arial"/>
        </w:rPr>
        <w:t xml:space="preserve"> of </w:t>
      </w:r>
      <w:r w:rsidR="008A6461">
        <w:rPr>
          <w:rFonts w:ascii="Arial" w:hAnsi="Arial" w:cs="Arial"/>
        </w:rPr>
        <w:tab/>
      </w:r>
      <w:r w:rsidR="00461A24">
        <w:rPr>
          <w:rFonts w:ascii="Arial" w:hAnsi="Arial" w:cs="Arial"/>
        </w:rPr>
        <w:t>genomics into nursing practice</w:t>
      </w:r>
      <w:r w:rsidR="008A6461">
        <w:rPr>
          <w:rFonts w:ascii="Arial" w:hAnsi="Arial" w:cs="Arial"/>
        </w:rPr>
        <w:t xml:space="preserve">. </w:t>
      </w:r>
      <w:r w:rsidR="008A6461">
        <w:rPr>
          <w:rFonts w:ascii="Arial" w:hAnsi="Arial" w:cs="Arial"/>
          <w:i/>
        </w:rPr>
        <w:t>Journal of Nursing Scholarship</w:t>
      </w:r>
      <w:r w:rsidR="00E670FA">
        <w:rPr>
          <w:rFonts w:ascii="Arial" w:hAnsi="Arial" w:cs="Arial"/>
        </w:rPr>
        <w:t>, 44</w:t>
      </w:r>
      <w:r w:rsidR="003A759A">
        <w:rPr>
          <w:rFonts w:ascii="Arial" w:hAnsi="Arial" w:cs="Arial"/>
        </w:rPr>
        <w:t>:4</w:t>
      </w:r>
      <w:r w:rsidR="00E670FA">
        <w:rPr>
          <w:rFonts w:ascii="Arial" w:hAnsi="Arial" w:cs="Arial"/>
        </w:rPr>
        <w:t>, 428-</w:t>
      </w:r>
      <w:r w:rsidR="00E670FA">
        <w:rPr>
          <w:rFonts w:ascii="Arial" w:hAnsi="Arial" w:cs="Arial"/>
        </w:rPr>
        <w:tab/>
        <w:t xml:space="preserve">436. </w:t>
      </w:r>
      <w:r w:rsidR="008A6461">
        <w:rPr>
          <w:rFonts w:ascii="Arial" w:hAnsi="Arial" w:cs="Arial"/>
        </w:rPr>
        <w:t xml:space="preserve"> </w:t>
      </w:r>
      <w:proofErr w:type="spellStart"/>
      <w:proofErr w:type="gramStart"/>
      <w:r w:rsidR="00E670FA">
        <w:rPr>
          <w:rFonts w:ascii="Arial" w:hAnsi="Arial" w:cs="Arial"/>
        </w:rPr>
        <w:t>d</w:t>
      </w:r>
      <w:r w:rsidR="008A6461">
        <w:rPr>
          <w:rFonts w:ascii="Arial" w:hAnsi="Arial" w:cs="Arial"/>
        </w:rPr>
        <w:t>oi</w:t>
      </w:r>
      <w:proofErr w:type="spellEnd"/>
      <w:proofErr w:type="gramEnd"/>
      <w:r w:rsidR="008A6461">
        <w:rPr>
          <w:rFonts w:ascii="Arial" w:hAnsi="Arial" w:cs="Arial"/>
        </w:rPr>
        <w:t>: 10.1111/j.1547-5069.201201475x</w:t>
      </w:r>
    </w:p>
    <w:p w14:paraId="593CD5D4" w14:textId="03F97192" w:rsidR="00BD240D" w:rsidRPr="00D46F01" w:rsidRDefault="00BD240D" w:rsidP="002F2175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Calzone</w:t>
      </w:r>
      <w:r w:rsidR="00D46F01">
        <w:rPr>
          <w:rFonts w:ascii="Arial" w:hAnsi="Arial" w:cs="Arial"/>
        </w:rPr>
        <w:t xml:space="preserve">, K.A., Jenkins, J., Culp, S., Caksey, S., &amp; Badzek, L. </w:t>
      </w:r>
      <w:r>
        <w:rPr>
          <w:rFonts w:ascii="Arial" w:hAnsi="Arial" w:cs="Arial"/>
        </w:rPr>
        <w:t xml:space="preserve"> (2014)</w:t>
      </w:r>
      <w:r w:rsidR="00D46F01">
        <w:rPr>
          <w:rFonts w:ascii="Arial" w:hAnsi="Arial" w:cs="Arial"/>
        </w:rPr>
        <w:t xml:space="preserve">. </w:t>
      </w:r>
      <w:r w:rsidR="000A3691">
        <w:rPr>
          <w:rFonts w:ascii="Arial" w:hAnsi="Arial" w:cs="Arial"/>
        </w:rPr>
        <w:tab/>
      </w:r>
      <w:r w:rsidR="00D46F01">
        <w:rPr>
          <w:rFonts w:ascii="Arial" w:hAnsi="Arial" w:cs="Arial"/>
        </w:rPr>
        <w:t xml:space="preserve">Introducing a new competency into nursing practice. </w:t>
      </w:r>
      <w:r w:rsidR="00D46F01">
        <w:rPr>
          <w:rFonts w:ascii="Arial" w:hAnsi="Arial" w:cs="Arial"/>
          <w:i/>
        </w:rPr>
        <w:t xml:space="preserve">Journal of Nursing </w:t>
      </w:r>
      <w:r w:rsidR="000A3691">
        <w:rPr>
          <w:rFonts w:ascii="Arial" w:hAnsi="Arial" w:cs="Arial"/>
          <w:i/>
        </w:rPr>
        <w:tab/>
      </w:r>
      <w:r w:rsidR="00D46F01">
        <w:rPr>
          <w:rFonts w:ascii="Arial" w:hAnsi="Arial" w:cs="Arial"/>
          <w:i/>
        </w:rPr>
        <w:t>Regulation</w:t>
      </w:r>
      <w:r w:rsidR="00D46F01">
        <w:rPr>
          <w:rFonts w:ascii="Arial" w:hAnsi="Arial" w:cs="Arial"/>
        </w:rPr>
        <w:t>. Vol. 5 (1).</w:t>
      </w:r>
    </w:p>
    <w:p w14:paraId="4A062359" w14:textId="77777777" w:rsidR="000E3071" w:rsidRDefault="007607B7" w:rsidP="002F2175">
      <w:pPr>
        <w:spacing w:line="480" w:lineRule="auto"/>
        <w:rPr>
          <w:rFonts w:ascii="Arial" w:hAnsi="Arial" w:cs="Arial"/>
          <w:b/>
        </w:rPr>
      </w:pPr>
      <w:r w:rsidRPr="007607B7">
        <w:rPr>
          <w:rFonts w:ascii="Arial" w:hAnsi="Arial" w:cs="Arial"/>
        </w:rPr>
        <w:t xml:space="preserve">Cleverley, W.O., Cleverley, J.O. &amp; </w:t>
      </w:r>
      <w:r>
        <w:rPr>
          <w:rFonts w:ascii="Arial" w:hAnsi="Arial" w:cs="Arial"/>
        </w:rPr>
        <w:t>So</w:t>
      </w:r>
      <w:r w:rsidRPr="007607B7">
        <w:rPr>
          <w:rFonts w:ascii="Arial" w:hAnsi="Arial" w:cs="Arial"/>
        </w:rPr>
        <w:t>ng, P.H. (2011</w:t>
      </w:r>
      <w:r w:rsidRPr="007607B7">
        <w:rPr>
          <w:rFonts w:ascii="Arial" w:hAnsi="Arial" w:cs="Arial"/>
          <w:i/>
        </w:rPr>
        <w:t xml:space="preserve">). </w:t>
      </w:r>
      <w:r w:rsidRPr="007607B7">
        <w:rPr>
          <w:rFonts w:ascii="Arial" w:hAnsi="Arial" w:cs="Arial"/>
          <w:bCs/>
          <w:i/>
          <w:color w:val="000000"/>
        </w:rPr>
        <w:t xml:space="preserve">Essentials of Health Care </w:t>
      </w:r>
      <w:r>
        <w:rPr>
          <w:rFonts w:ascii="Arial" w:hAnsi="Arial" w:cs="Arial"/>
          <w:bCs/>
          <w:i/>
          <w:color w:val="000000"/>
        </w:rPr>
        <w:tab/>
      </w:r>
      <w:r w:rsidRPr="007607B7">
        <w:rPr>
          <w:rFonts w:ascii="Arial" w:hAnsi="Arial" w:cs="Arial"/>
          <w:bCs/>
          <w:i/>
          <w:color w:val="000000"/>
        </w:rPr>
        <w:t>Finance 7</w:t>
      </w:r>
      <w:r w:rsidRPr="007607B7">
        <w:rPr>
          <w:rFonts w:ascii="Arial" w:hAnsi="Arial" w:cs="Arial"/>
          <w:bCs/>
          <w:i/>
          <w:color w:val="000000"/>
          <w:vertAlign w:val="superscript"/>
        </w:rPr>
        <w:t>th</w:t>
      </w:r>
      <w:r w:rsidRPr="007607B7">
        <w:rPr>
          <w:rFonts w:ascii="Arial" w:hAnsi="Arial" w:cs="Arial"/>
          <w:bCs/>
          <w:i/>
          <w:color w:val="000000"/>
        </w:rPr>
        <w:t xml:space="preserve"> Edition.</w:t>
      </w:r>
      <w:r w:rsidRPr="007607B7">
        <w:rPr>
          <w:rFonts w:ascii="Arial" w:hAnsi="Arial" w:cs="Arial"/>
        </w:rPr>
        <w:t xml:space="preserve"> Sudbury, MA: Jones &amp; Bartlett Learning, LLC</w:t>
      </w:r>
      <w:r w:rsidRPr="007607B7">
        <w:rPr>
          <w:rFonts w:ascii="Arial" w:hAnsi="Arial" w:cs="Arial"/>
          <w:b/>
        </w:rPr>
        <w:t>.</w:t>
      </w:r>
    </w:p>
    <w:p w14:paraId="4DBD0282" w14:textId="050C3E0C" w:rsidR="007607B7" w:rsidRPr="000E3071" w:rsidRDefault="000E3071" w:rsidP="002F2175">
      <w:pPr>
        <w:spacing w:line="480" w:lineRule="auto"/>
        <w:rPr>
          <w:rFonts w:ascii="Arial" w:hAnsi="Arial" w:cs="Arial"/>
        </w:rPr>
      </w:pPr>
      <w:r w:rsidRPr="000E3071">
        <w:rPr>
          <w:rFonts w:ascii="Arial" w:hAnsi="Arial" w:cs="Arial"/>
        </w:rPr>
        <w:t>Ittleson, T.R. (2009)</w:t>
      </w:r>
      <w:r>
        <w:rPr>
          <w:rFonts w:ascii="Arial" w:hAnsi="Arial" w:cs="Arial"/>
        </w:rPr>
        <w:t xml:space="preserve">. </w:t>
      </w:r>
      <w:r w:rsidRPr="000E3071">
        <w:rPr>
          <w:rFonts w:ascii="Arial" w:hAnsi="Arial" w:cs="Arial"/>
          <w:i/>
        </w:rPr>
        <w:t>Financial Statements</w:t>
      </w:r>
      <w:r w:rsidR="00833C82">
        <w:rPr>
          <w:rFonts w:ascii="Arial" w:hAnsi="Arial" w:cs="Arial"/>
          <w:i/>
        </w:rPr>
        <w:t>:</w:t>
      </w:r>
      <w:r w:rsidRPr="000E3071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A Step-by-Step Guide to </w:t>
      </w:r>
      <w:r>
        <w:rPr>
          <w:rFonts w:ascii="Arial" w:hAnsi="Arial" w:cs="Arial"/>
          <w:i/>
        </w:rPr>
        <w:tab/>
        <w:t>Understanding and Creating Financial Reports</w:t>
      </w:r>
      <w:r>
        <w:rPr>
          <w:rFonts w:ascii="Arial" w:hAnsi="Arial" w:cs="Arial"/>
        </w:rPr>
        <w:t xml:space="preserve">. Franklin Lakes, NJ: The </w:t>
      </w:r>
      <w:r>
        <w:rPr>
          <w:rFonts w:ascii="Arial" w:hAnsi="Arial" w:cs="Arial"/>
        </w:rPr>
        <w:tab/>
        <w:t>Career Press, Inc.</w:t>
      </w:r>
    </w:p>
    <w:p w14:paraId="55F357CD" w14:textId="43ABDFA5" w:rsidR="00F76DBA" w:rsidRPr="007424EB" w:rsidRDefault="00F76DBA" w:rsidP="002F2175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Jenkins</w:t>
      </w:r>
      <w:r w:rsidR="007424EB">
        <w:rPr>
          <w:rFonts w:ascii="Arial" w:hAnsi="Arial" w:cs="Arial"/>
        </w:rPr>
        <w:t>, J. &amp;</w:t>
      </w:r>
      <w:r>
        <w:rPr>
          <w:rFonts w:ascii="Arial" w:hAnsi="Arial" w:cs="Arial"/>
        </w:rPr>
        <w:t xml:space="preserve"> Calzone</w:t>
      </w:r>
      <w:r w:rsidR="007424EB">
        <w:rPr>
          <w:rFonts w:ascii="Arial" w:hAnsi="Arial" w:cs="Arial"/>
        </w:rPr>
        <w:t>, K.A.</w:t>
      </w:r>
      <w:r>
        <w:rPr>
          <w:rFonts w:ascii="Arial" w:hAnsi="Arial" w:cs="Arial"/>
        </w:rPr>
        <w:t xml:space="preserve"> (2007)</w:t>
      </w:r>
      <w:r w:rsidR="007424EB">
        <w:rPr>
          <w:rFonts w:ascii="Arial" w:hAnsi="Arial" w:cs="Arial"/>
        </w:rPr>
        <w:t xml:space="preserve">. Establishing the essential nursing </w:t>
      </w:r>
      <w:r w:rsidR="000A3691">
        <w:rPr>
          <w:rFonts w:ascii="Arial" w:hAnsi="Arial" w:cs="Arial"/>
        </w:rPr>
        <w:tab/>
      </w:r>
      <w:r w:rsidR="007424EB">
        <w:rPr>
          <w:rFonts w:ascii="Arial" w:hAnsi="Arial" w:cs="Arial"/>
        </w:rPr>
        <w:t xml:space="preserve">competencies for genetics and genomics. </w:t>
      </w:r>
      <w:r w:rsidR="007424EB">
        <w:rPr>
          <w:rFonts w:ascii="Arial" w:hAnsi="Arial" w:cs="Arial"/>
          <w:i/>
        </w:rPr>
        <w:t>Journal of Nursing Scholarship</w:t>
      </w:r>
      <w:r w:rsidR="007D4829">
        <w:rPr>
          <w:rFonts w:ascii="Arial" w:hAnsi="Arial" w:cs="Arial"/>
        </w:rPr>
        <w:t xml:space="preserve">, </w:t>
      </w:r>
      <w:r w:rsidR="00227DE0">
        <w:rPr>
          <w:rFonts w:ascii="Arial" w:hAnsi="Arial" w:cs="Arial"/>
        </w:rPr>
        <w:tab/>
      </w:r>
      <w:r w:rsidR="007D4829">
        <w:rPr>
          <w:rFonts w:ascii="Arial" w:hAnsi="Arial" w:cs="Arial"/>
        </w:rPr>
        <w:t>39:1, 10-16.</w:t>
      </w:r>
    </w:p>
    <w:p w14:paraId="27283D1B" w14:textId="7DBA1362" w:rsidR="007607B7" w:rsidRPr="000C43C5" w:rsidRDefault="000C43C5" w:rsidP="002F2175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Way, J. (2015). How to Calculate a Five-Year Pro Forma. </w:t>
      </w:r>
      <w:r w:rsidRPr="000C43C5">
        <w:rPr>
          <w:rFonts w:ascii="Arial" w:hAnsi="Arial" w:cs="Arial"/>
          <w:i/>
        </w:rPr>
        <w:t>Houston Chronicle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ab/>
        <w:t xml:space="preserve">Retrieved from: </w:t>
      </w:r>
      <w:r w:rsidR="00695207" w:rsidRPr="00695207">
        <w:rPr>
          <w:rFonts w:ascii="Arial" w:hAnsi="Arial" w:cs="Arial"/>
        </w:rPr>
        <w:t>http://smallbusiness.chron.com/calculate-fiveyear-pro-</w:t>
      </w:r>
      <w:r w:rsidR="00695207">
        <w:rPr>
          <w:rFonts w:ascii="Arial" w:hAnsi="Arial" w:cs="Arial"/>
        </w:rPr>
        <w:tab/>
      </w:r>
      <w:r w:rsidR="00695207" w:rsidRPr="00695207">
        <w:rPr>
          <w:rFonts w:ascii="Arial" w:hAnsi="Arial" w:cs="Arial"/>
        </w:rPr>
        <w:t>forma-39682.html</w:t>
      </w:r>
    </w:p>
    <w:sectPr w:rsidR="007607B7" w:rsidRPr="000C43C5" w:rsidSect="00786C2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57"/>
    <w:rsid w:val="00027DBE"/>
    <w:rsid w:val="0006276F"/>
    <w:rsid w:val="00086A28"/>
    <w:rsid w:val="00091A2B"/>
    <w:rsid w:val="000A0D54"/>
    <w:rsid w:val="000A19CC"/>
    <w:rsid w:val="000A3691"/>
    <w:rsid w:val="000C1C6C"/>
    <w:rsid w:val="000C43C5"/>
    <w:rsid w:val="000C63F7"/>
    <w:rsid w:val="000E3071"/>
    <w:rsid w:val="000F189B"/>
    <w:rsid w:val="00123243"/>
    <w:rsid w:val="00164D00"/>
    <w:rsid w:val="00165A02"/>
    <w:rsid w:val="001E497B"/>
    <w:rsid w:val="001E7458"/>
    <w:rsid w:val="001F31D8"/>
    <w:rsid w:val="002023CA"/>
    <w:rsid w:val="0021170C"/>
    <w:rsid w:val="00227DE0"/>
    <w:rsid w:val="002644FE"/>
    <w:rsid w:val="002A582A"/>
    <w:rsid w:val="002B279F"/>
    <w:rsid w:val="002E5666"/>
    <w:rsid w:val="002F2175"/>
    <w:rsid w:val="0030159B"/>
    <w:rsid w:val="0033760C"/>
    <w:rsid w:val="0035664F"/>
    <w:rsid w:val="003A759A"/>
    <w:rsid w:val="003E78F4"/>
    <w:rsid w:val="00461A24"/>
    <w:rsid w:val="00467957"/>
    <w:rsid w:val="004E7C59"/>
    <w:rsid w:val="004F2E2F"/>
    <w:rsid w:val="00537F33"/>
    <w:rsid w:val="00566823"/>
    <w:rsid w:val="0059015B"/>
    <w:rsid w:val="005C0080"/>
    <w:rsid w:val="005C6E49"/>
    <w:rsid w:val="005D5430"/>
    <w:rsid w:val="005E6D2B"/>
    <w:rsid w:val="005F78F5"/>
    <w:rsid w:val="00605E74"/>
    <w:rsid w:val="0062228A"/>
    <w:rsid w:val="00695207"/>
    <w:rsid w:val="006B14E8"/>
    <w:rsid w:val="006B1FD1"/>
    <w:rsid w:val="006C2B9E"/>
    <w:rsid w:val="00710EB5"/>
    <w:rsid w:val="007276F8"/>
    <w:rsid w:val="007373B6"/>
    <w:rsid w:val="007424EB"/>
    <w:rsid w:val="007607B7"/>
    <w:rsid w:val="00771E70"/>
    <w:rsid w:val="00786C23"/>
    <w:rsid w:val="00787A2C"/>
    <w:rsid w:val="007A65E5"/>
    <w:rsid w:val="007D4829"/>
    <w:rsid w:val="00833C82"/>
    <w:rsid w:val="008362D8"/>
    <w:rsid w:val="008A2900"/>
    <w:rsid w:val="008A6461"/>
    <w:rsid w:val="008B2695"/>
    <w:rsid w:val="008E0A32"/>
    <w:rsid w:val="008E0ECC"/>
    <w:rsid w:val="008F03A0"/>
    <w:rsid w:val="00942F0B"/>
    <w:rsid w:val="0096422B"/>
    <w:rsid w:val="00964CBC"/>
    <w:rsid w:val="00983797"/>
    <w:rsid w:val="009B0081"/>
    <w:rsid w:val="009E7537"/>
    <w:rsid w:val="009F37D7"/>
    <w:rsid w:val="00A40C1B"/>
    <w:rsid w:val="00AF1C77"/>
    <w:rsid w:val="00B93C7E"/>
    <w:rsid w:val="00BB3AE2"/>
    <w:rsid w:val="00BB76D6"/>
    <w:rsid w:val="00BD240D"/>
    <w:rsid w:val="00C03CEB"/>
    <w:rsid w:val="00C450B8"/>
    <w:rsid w:val="00C66601"/>
    <w:rsid w:val="00C74118"/>
    <w:rsid w:val="00C94508"/>
    <w:rsid w:val="00CF681D"/>
    <w:rsid w:val="00D0011C"/>
    <w:rsid w:val="00D17A17"/>
    <w:rsid w:val="00D46F01"/>
    <w:rsid w:val="00D532F2"/>
    <w:rsid w:val="00D838A5"/>
    <w:rsid w:val="00E20299"/>
    <w:rsid w:val="00E670FA"/>
    <w:rsid w:val="00E71AE0"/>
    <w:rsid w:val="00E73EAA"/>
    <w:rsid w:val="00E92244"/>
    <w:rsid w:val="00EC640B"/>
    <w:rsid w:val="00F27705"/>
    <w:rsid w:val="00F36570"/>
    <w:rsid w:val="00F70EA8"/>
    <w:rsid w:val="00F76DBA"/>
    <w:rsid w:val="00FA11F1"/>
    <w:rsid w:val="00FA15AE"/>
    <w:rsid w:val="00FA1C0B"/>
    <w:rsid w:val="00FA6266"/>
    <w:rsid w:val="00FA6D53"/>
    <w:rsid w:val="00FC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7BE9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76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6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76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6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Student</Company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Coy Brent</dc:creator>
  <cp:lastModifiedBy>Jenkins, Jean (NIH/NHGRI) [C]</cp:lastModifiedBy>
  <cp:revision>2</cp:revision>
  <dcterms:created xsi:type="dcterms:W3CDTF">2016-06-27T15:44:00Z</dcterms:created>
  <dcterms:modified xsi:type="dcterms:W3CDTF">2016-06-27T15:44:00Z</dcterms:modified>
</cp:coreProperties>
</file>