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D93B3" w14:textId="6F567326" w:rsidR="00C31E0C" w:rsidRPr="00037164" w:rsidRDefault="005478F3" w:rsidP="00E576CD">
      <w:pPr>
        <w:jc w:val="center"/>
        <w:rPr>
          <w:rFonts w:ascii="Calibri" w:hAnsi="Calibri"/>
          <w:b/>
          <w:i/>
          <w:color w:val="660066"/>
          <w:sz w:val="24"/>
          <w:szCs w:val="24"/>
        </w:rPr>
      </w:pPr>
      <w:r>
        <w:rPr>
          <w:rFonts w:ascii="Calibri" w:hAnsi="Calibri"/>
          <w:b/>
          <w:i/>
          <w:color w:val="660066"/>
          <w:sz w:val="24"/>
          <w:szCs w:val="24"/>
        </w:rPr>
        <w:t>Roll out of the IASC GBV Guidelines</w:t>
      </w:r>
      <w:r>
        <w:rPr>
          <w:rStyle w:val="FootnoteReference"/>
          <w:rFonts w:ascii="Calibri" w:hAnsi="Calibri"/>
          <w:b/>
          <w:i/>
          <w:color w:val="660066"/>
          <w:sz w:val="24"/>
          <w:szCs w:val="24"/>
        </w:rPr>
        <w:footnoteReference w:id="1"/>
      </w:r>
      <w:r>
        <w:rPr>
          <w:rFonts w:ascii="Calibri" w:hAnsi="Calibri"/>
          <w:b/>
          <w:i/>
          <w:color w:val="660066"/>
          <w:sz w:val="24"/>
          <w:szCs w:val="24"/>
        </w:rPr>
        <w:t xml:space="preserve"> in </w:t>
      </w:r>
      <w:r w:rsidR="00E8419B">
        <w:rPr>
          <w:rFonts w:ascii="Calibri" w:hAnsi="Calibri"/>
          <w:b/>
          <w:i/>
          <w:color w:val="660066"/>
          <w:sz w:val="24"/>
          <w:szCs w:val="24"/>
        </w:rPr>
        <w:t>Greece</w:t>
      </w:r>
    </w:p>
    <w:p w14:paraId="4467CF76" w14:textId="169E6B88" w:rsidR="007512AA" w:rsidRDefault="00232F45" w:rsidP="00CD44E6">
      <w:pPr>
        <w:jc w:val="center"/>
        <w:rPr>
          <w:rFonts w:ascii="Calibri" w:hAnsi="Calibri"/>
          <w:b/>
          <w:i/>
          <w:color w:val="660066"/>
          <w:sz w:val="24"/>
          <w:szCs w:val="24"/>
        </w:rPr>
      </w:pPr>
      <w:r>
        <w:rPr>
          <w:rFonts w:ascii="Calibri" w:hAnsi="Calibri"/>
          <w:b/>
          <w:i/>
          <w:color w:val="660066"/>
          <w:sz w:val="24"/>
          <w:szCs w:val="24"/>
        </w:rPr>
        <w:t xml:space="preserve">24 </w:t>
      </w:r>
      <w:r w:rsidR="00E8419B">
        <w:rPr>
          <w:rFonts w:ascii="Calibri" w:hAnsi="Calibri"/>
          <w:b/>
          <w:i/>
          <w:color w:val="660066"/>
          <w:sz w:val="24"/>
          <w:szCs w:val="24"/>
        </w:rPr>
        <w:t xml:space="preserve">April </w:t>
      </w:r>
      <w:r>
        <w:rPr>
          <w:rFonts w:ascii="Calibri" w:hAnsi="Calibri"/>
          <w:b/>
          <w:i/>
          <w:color w:val="660066"/>
          <w:sz w:val="24"/>
          <w:szCs w:val="24"/>
        </w:rPr>
        <w:t>–</w:t>
      </w:r>
      <w:r w:rsidR="00E8419B">
        <w:rPr>
          <w:rFonts w:ascii="Calibri" w:hAnsi="Calibri"/>
          <w:b/>
          <w:i/>
          <w:color w:val="660066"/>
          <w:sz w:val="24"/>
          <w:szCs w:val="24"/>
        </w:rPr>
        <w:t xml:space="preserve"> </w:t>
      </w:r>
      <w:r>
        <w:rPr>
          <w:rFonts w:ascii="Calibri" w:hAnsi="Calibri"/>
          <w:b/>
          <w:i/>
          <w:color w:val="660066"/>
          <w:sz w:val="24"/>
          <w:szCs w:val="24"/>
        </w:rPr>
        <w:t xml:space="preserve">12 </w:t>
      </w:r>
      <w:r w:rsidR="00E8419B">
        <w:rPr>
          <w:rFonts w:ascii="Calibri" w:hAnsi="Calibri"/>
          <w:b/>
          <w:i/>
          <w:color w:val="660066"/>
          <w:sz w:val="24"/>
          <w:szCs w:val="24"/>
        </w:rPr>
        <w:t>May</w:t>
      </w:r>
      <w:r w:rsidR="007512AA" w:rsidRPr="00037164">
        <w:rPr>
          <w:rFonts w:ascii="Calibri" w:hAnsi="Calibri"/>
          <w:b/>
          <w:i/>
          <w:color w:val="660066"/>
          <w:sz w:val="24"/>
          <w:szCs w:val="24"/>
        </w:rPr>
        <w:t xml:space="preserve"> 2017</w:t>
      </w:r>
    </w:p>
    <w:p w14:paraId="127DDD1A" w14:textId="0197E286" w:rsidR="005478F3" w:rsidRPr="00037164" w:rsidRDefault="005478F3" w:rsidP="00CD44E6">
      <w:pPr>
        <w:jc w:val="center"/>
        <w:rPr>
          <w:rFonts w:ascii="Calibri" w:hAnsi="Calibri"/>
          <w:i/>
          <w:color w:val="660066"/>
          <w:sz w:val="26"/>
          <w:szCs w:val="26"/>
        </w:rPr>
      </w:pPr>
      <w:r w:rsidRPr="00037164">
        <w:rPr>
          <w:rFonts w:ascii="Calibri" w:hAnsi="Calibri"/>
          <w:b/>
          <w:i/>
          <w:color w:val="660066"/>
          <w:sz w:val="24"/>
          <w:szCs w:val="24"/>
        </w:rPr>
        <w:t>Country Brief</w:t>
      </w:r>
    </w:p>
    <w:p w14:paraId="21F0F40A" w14:textId="77777777" w:rsidR="000535EC" w:rsidRDefault="000535EC" w:rsidP="000535EC">
      <w:pPr>
        <w:rPr>
          <w:rFonts w:ascii="Univers 57 Condensed" w:hAnsi="Univers 57 Condensed"/>
          <w:sz w:val="24"/>
          <w:szCs w:val="24"/>
        </w:rPr>
      </w:pPr>
    </w:p>
    <w:p w14:paraId="1FC3127F" w14:textId="23A8C794" w:rsidR="00037164" w:rsidRDefault="0003355B" w:rsidP="00AF7246">
      <w:pPr>
        <w:spacing w:line="240" w:lineRule="auto"/>
        <w:rPr>
          <w:rFonts w:ascii="Calibri Light" w:hAnsi="Calibri Light"/>
        </w:rPr>
      </w:pPr>
      <w:r>
        <w:rPr>
          <w:rFonts w:ascii="Calibri Light" w:hAnsi="Calibri Light"/>
          <w:noProof/>
          <w:lang w:bidi="ar-SA"/>
        </w:rPr>
        <w:drawing>
          <wp:anchor distT="0" distB="0" distL="114300" distR="114300" simplePos="0" relativeHeight="251658240" behindDoc="0" locked="0" layoutInCell="1" allowOverlap="1" wp14:anchorId="618DB3F9" wp14:editId="3C19A6B6">
            <wp:simplePos x="0" y="0"/>
            <wp:positionH relativeFrom="column">
              <wp:posOffset>2857500</wp:posOffset>
            </wp:positionH>
            <wp:positionV relativeFrom="paragraph">
              <wp:posOffset>42545</wp:posOffset>
            </wp:positionV>
            <wp:extent cx="3781425" cy="2620010"/>
            <wp:effectExtent l="0" t="0" r="3175" b="0"/>
            <wp:wrapSquare wrapText="bothSides"/>
            <wp:docPr id="1" name="Picture 1" descr="Macintosh HD:Users:SoniaRastogi:Dropbox:GBV Guidelines training folder:1. Trainings:2017 trainings:Greece:Training Photos:Thessaloniki:IMG_84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oniaRastogi:Dropbox:GBV Guidelines training folder:1. Trainings:2017 trainings:Greece:Training Photos:Thessaloniki:IMG_8486.JPG"/>
                    <pic:cNvPicPr>
                      <a:picLocks noChangeAspect="1" noChangeArrowheads="1"/>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3781425" cy="2620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7164" w:rsidRPr="00414591">
        <w:rPr>
          <w:rFonts w:ascii="Calibri Light" w:hAnsi="Calibri Light"/>
        </w:rPr>
        <w:t>Over the cours</w:t>
      </w:r>
      <w:r w:rsidR="00D26CC4">
        <w:rPr>
          <w:rFonts w:ascii="Calibri Light" w:hAnsi="Calibri Light"/>
        </w:rPr>
        <w:t xml:space="preserve">e of three </w:t>
      </w:r>
      <w:r w:rsidR="00E8419B">
        <w:rPr>
          <w:rFonts w:ascii="Calibri Light" w:hAnsi="Calibri Light"/>
        </w:rPr>
        <w:t>weeks</w:t>
      </w:r>
      <w:r w:rsidR="00D26CC4">
        <w:rPr>
          <w:rFonts w:ascii="Calibri Light" w:hAnsi="Calibri Light"/>
        </w:rPr>
        <w:t xml:space="preserve">, a cadre of </w:t>
      </w:r>
      <w:r w:rsidR="0033784D">
        <w:rPr>
          <w:rFonts w:ascii="Calibri Light" w:hAnsi="Calibri Light"/>
        </w:rPr>
        <w:t>36</w:t>
      </w:r>
      <w:r w:rsidR="007F40AA">
        <w:rPr>
          <w:rFonts w:ascii="Calibri Light" w:hAnsi="Calibri Light"/>
        </w:rPr>
        <w:t>8</w:t>
      </w:r>
      <w:r w:rsidR="00037164" w:rsidRPr="00414591">
        <w:rPr>
          <w:rFonts w:ascii="Calibri Light" w:hAnsi="Calibri Light"/>
        </w:rPr>
        <w:t xml:space="preserve"> practitioners were trained in three </w:t>
      </w:r>
      <w:r w:rsidR="0033784D">
        <w:rPr>
          <w:rFonts w:ascii="Calibri Light" w:hAnsi="Calibri Light"/>
        </w:rPr>
        <w:t>locations</w:t>
      </w:r>
      <w:r w:rsidR="00037164" w:rsidRPr="00414591">
        <w:rPr>
          <w:rFonts w:ascii="Calibri Light" w:hAnsi="Calibri Light"/>
        </w:rPr>
        <w:t xml:space="preserve"> –</w:t>
      </w:r>
      <w:r w:rsidR="00E8419B">
        <w:rPr>
          <w:rFonts w:ascii="Calibri Light" w:hAnsi="Calibri Light"/>
        </w:rPr>
        <w:t xml:space="preserve"> Athens, Lesvos and Thessaloniki </w:t>
      </w:r>
      <w:r w:rsidR="00037164" w:rsidRPr="00414591">
        <w:rPr>
          <w:rFonts w:ascii="Calibri Light" w:hAnsi="Calibri Light"/>
        </w:rPr>
        <w:t>–</w:t>
      </w:r>
      <w:r w:rsidR="00183EAA" w:rsidRPr="00414591">
        <w:rPr>
          <w:rFonts w:ascii="Calibri Light" w:hAnsi="Calibri Light"/>
        </w:rPr>
        <w:t xml:space="preserve"> </w:t>
      </w:r>
      <w:r w:rsidR="00037164" w:rsidRPr="00414591">
        <w:rPr>
          <w:rFonts w:ascii="Calibri Light" w:hAnsi="Calibri Light"/>
        </w:rPr>
        <w:t xml:space="preserve">across </w:t>
      </w:r>
      <w:r w:rsidR="0033784D">
        <w:rPr>
          <w:rFonts w:ascii="Calibri Light" w:hAnsi="Calibri Light"/>
        </w:rPr>
        <w:t>seven sectors</w:t>
      </w:r>
      <w:r w:rsidR="00037164" w:rsidRPr="00414591">
        <w:rPr>
          <w:rFonts w:ascii="Calibri Light" w:hAnsi="Calibri Light"/>
        </w:rPr>
        <w:t xml:space="preserve"> – </w:t>
      </w:r>
      <w:r w:rsidR="0033784D">
        <w:rPr>
          <w:rFonts w:ascii="Calibri Light" w:hAnsi="Calibri Light"/>
        </w:rPr>
        <w:t>Site Management Support, Protection, Child Protection, WASH, Shelter, Health and Education</w:t>
      </w:r>
      <w:r w:rsidR="00037164" w:rsidRPr="00414591">
        <w:rPr>
          <w:rFonts w:ascii="Calibri Light" w:hAnsi="Calibri Light"/>
        </w:rPr>
        <w:t xml:space="preserve">. </w:t>
      </w:r>
      <w:r w:rsidR="00183EAA" w:rsidRPr="00414591">
        <w:rPr>
          <w:rFonts w:ascii="Calibri Light" w:hAnsi="Calibri Light"/>
        </w:rPr>
        <w:t xml:space="preserve">In </w:t>
      </w:r>
      <w:r w:rsidR="0033784D">
        <w:rPr>
          <w:rFonts w:ascii="Calibri Light" w:hAnsi="Calibri Light"/>
        </w:rPr>
        <w:t>Lesvos</w:t>
      </w:r>
      <w:r w:rsidR="00183EAA" w:rsidRPr="00414591">
        <w:rPr>
          <w:rFonts w:ascii="Calibri Light" w:hAnsi="Calibri Light"/>
        </w:rPr>
        <w:t xml:space="preserve"> and </w:t>
      </w:r>
      <w:r w:rsidR="0033784D">
        <w:rPr>
          <w:rFonts w:ascii="Calibri Light" w:hAnsi="Calibri Light"/>
        </w:rPr>
        <w:t>Thessaloniki</w:t>
      </w:r>
      <w:r w:rsidR="00183EAA" w:rsidRPr="00414591">
        <w:rPr>
          <w:rFonts w:ascii="Calibri Light" w:hAnsi="Calibri Light"/>
        </w:rPr>
        <w:t xml:space="preserve">, training participants developed tangible GBV prevention and risk mitigation commitments that they could take forward in their day-to-day work as frontline service providers. In </w:t>
      </w:r>
      <w:r w:rsidR="001B4B84">
        <w:rPr>
          <w:rFonts w:ascii="Calibri Light" w:hAnsi="Calibri Light"/>
        </w:rPr>
        <w:t>Athens</w:t>
      </w:r>
      <w:r w:rsidR="00183EAA" w:rsidRPr="00414591">
        <w:rPr>
          <w:rFonts w:ascii="Calibri Light" w:hAnsi="Calibri Light"/>
        </w:rPr>
        <w:t xml:space="preserve">, training participants developed Action Plans to provide a roadmap for further GBV prevention and risk mitigation </w:t>
      </w:r>
      <w:r w:rsidR="008C5BC0" w:rsidRPr="00414591">
        <w:rPr>
          <w:rFonts w:ascii="Calibri Light" w:hAnsi="Calibri Light"/>
        </w:rPr>
        <w:t xml:space="preserve">integration </w:t>
      </w:r>
      <w:r w:rsidR="00183EAA" w:rsidRPr="00414591">
        <w:rPr>
          <w:rFonts w:ascii="Calibri Light" w:hAnsi="Calibri Light"/>
        </w:rPr>
        <w:t xml:space="preserve">into </w:t>
      </w:r>
      <w:r w:rsidR="0033784D">
        <w:rPr>
          <w:rFonts w:ascii="Calibri Light" w:hAnsi="Calibri Light"/>
        </w:rPr>
        <w:t>sector</w:t>
      </w:r>
      <w:r w:rsidR="00183EAA" w:rsidRPr="00414591">
        <w:rPr>
          <w:rFonts w:ascii="Calibri Light" w:hAnsi="Calibri Light"/>
        </w:rPr>
        <w:t xml:space="preserve"> response plans and national strategies. </w:t>
      </w:r>
    </w:p>
    <w:p w14:paraId="494EF2D4" w14:textId="77777777" w:rsidR="00FD5428" w:rsidRDefault="00FD5428" w:rsidP="00AF7246">
      <w:pPr>
        <w:spacing w:line="240" w:lineRule="auto"/>
        <w:rPr>
          <w:rFonts w:ascii="Calibri Light" w:hAnsi="Calibri Light"/>
        </w:rPr>
      </w:pPr>
    </w:p>
    <w:p w14:paraId="74C6900B" w14:textId="5C0433C3" w:rsidR="00FD5428" w:rsidRDefault="00FD5428" w:rsidP="00AF7246">
      <w:pPr>
        <w:spacing w:line="240" w:lineRule="auto"/>
        <w:rPr>
          <w:rFonts w:ascii="Calibri Light" w:hAnsi="Calibri Light"/>
        </w:rPr>
      </w:pPr>
      <w:r>
        <w:rPr>
          <w:rFonts w:ascii="Calibri Light" w:hAnsi="Calibri Light"/>
        </w:rPr>
        <w:t xml:space="preserve">The GBV Guidelines </w:t>
      </w:r>
      <w:r w:rsidR="00EF6E2C">
        <w:rPr>
          <w:rFonts w:ascii="Calibri Light" w:hAnsi="Calibri Light"/>
        </w:rPr>
        <w:t>roll-out in Greece</w:t>
      </w:r>
      <w:r>
        <w:rPr>
          <w:rFonts w:ascii="Calibri Light" w:hAnsi="Calibri Light"/>
        </w:rPr>
        <w:t xml:space="preserve"> consisted of a one-day training</w:t>
      </w:r>
      <w:r w:rsidR="00EF6E2C">
        <w:rPr>
          <w:rFonts w:ascii="Calibri Light" w:hAnsi="Calibri Light"/>
        </w:rPr>
        <w:t xml:space="preserve"> per sector in each location, which </w:t>
      </w:r>
      <w:r>
        <w:rPr>
          <w:rFonts w:ascii="Calibri Light" w:hAnsi="Calibri Light"/>
        </w:rPr>
        <w:t xml:space="preserve">focused on building awareness, knowledge and capacity of </w:t>
      </w:r>
      <w:r w:rsidR="00EF6E2C">
        <w:rPr>
          <w:rFonts w:ascii="Calibri Light" w:hAnsi="Calibri Light"/>
        </w:rPr>
        <w:t>practitioners</w:t>
      </w:r>
      <w:r>
        <w:rPr>
          <w:rFonts w:ascii="Calibri Light" w:hAnsi="Calibri Light"/>
        </w:rPr>
        <w:t xml:space="preserve"> to identify and mitigate sector-specific GBV risks during all stages of the humanitarian programme cycle. </w:t>
      </w:r>
      <w:r w:rsidR="00EF6E2C">
        <w:rPr>
          <w:rFonts w:ascii="Calibri Light" w:hAnsi="Calibri Light"/>
        </w:rPr>
        <w:t>T</w:t>
      </w:r>
      <w:r>
        <w:rPr>
          <w:rFonts w:ascii="Calibri Light" w:hAnsi="Calibri Light"/>
        </w:rPr>
        <w:t>he GBV Guidelines trainers</w:t>
      </w:r>
      <w:r w:rsidR="00EF6E2C">
        <w:rPr>
          <w:rFonts w:ascii="Calibri Light" w:hAnsi="Calibri Light"/>
        </w:rPr>
        <w:t xml:space="preserve"> also</w:t>
      </w:r>
      <w:r>
        <w:rPr>
          <w:rFonts w:ascii="Calibri Light" w:hAnsi="Calibri Light"/>
        </w:rPr>
        <w:t xml:space="preserve"> held a half-day GBV Core Concepts training at each location to provide refresher competencies</w:t>
      </w:r>
      <w:r w:rsidR="00EF6E2C">
        <w:rPr>
          <w:rFonts w:ascii="Calibri Light" w:hAnsi="Calibri Light"/>
        </w:rPr>
        <w:t xml:space="preserve"> critical to all sector-specific programming</w:t>
      </w:r>
      <w:r>
        <w:rPr>
          <w:rFonts w:ascii="Calibri Light" w:hAnsi="Calibri Light"/>
        </w:rPr>
        <w:t xml:space="preserve">. </w:t>
      </w:r>
      <w:r w:rsidR="00EF6E2C">
        <w:rPr>
          <w:rFonts w:ascii="Calibri Light" w:hAnsi="Calibri Light"/>
        </w:rPr>
        <w:t>At the end of each week of training in each location, trainers held a debrief session with sector coordinators and with government counterparts in an effort to (1) ensure coordination, streamlined priority-setting (2) support the critical role of government counterparts in Greece’s refugee response and (3) discuss concrete next steps and action planning.</w:t>
      </w:r>
    </w:p>
    <w:p w14:paraId="5D5C63E3" w14:textId="77777777" w:rsidR="0003355B" w:rsidRDefault="0003355B" w:rsidP="000535EC">
      <w:pPr>
        <w:rPr>
          <w:rFonts w:ascii="Calibri Light" w:hAnsi="Calibri Light"/>
        </w:rPr>
      </w:pPr>
    </w:p>
    <w:p w14:paraId="3CDE0506" w14:textId="673C0DBF" w:rsidR="00FB1151" w:rsidRPr="003A4D37" w:rsidRDefault="00FB1151" w:rsidP="0003355B">
      <w:pPr>
        <w:spacing w:line="240" w:lineRule="auto"/>
        <w:rPr>
          <w:rFonts w:ascii="Calibri" w:hAnsi="Calibri"/>
          <w:b/>
          <w:sz w:val="24"/>
          <w:szCs w:val="24"/>
        </w:rPr>
      </w:pPr>
      <w:r w:rsidRPr="00FB6768">
        <w:rPr>
          <w:rFonts w:ascii="Calibri" w:hAnsi="Calibri"/>
          <w:b/>
          <w:sz w:val="24"/>
          <w:szCs w:val="24"/>
          <w:highlight w:val="yellow"/>
        </w:rPr>
        <w:t>Key GBV risks in Greece</w:t>
      </w:r>
    </w:p>
    <w:p w14:paraId="2C73882E" w14:textId="77777777" w:rsidR="00FB1151" w:rsidRPr="00E576CD" w:rsidRDefault="00FB1151" w:rsidP="0003355B">
      <w:pPr>
        <w:spacing w:line="240" w:lineRule="auto"/>
        <w:rPr>
          <w:rFonts w:ascii="Calibri Light" w:hAnsi="Calibri Light"/>
        </w:rPr>
      </w:pPr>
    </w:p>
    <w:p w14:paraId="126F7587" w14:textId="77777777" w:rsidR="00E576CD" w:rsidRDefault="00E576CD" w:rsidP="0003355B">
      <w:pPr>
        <w:spacing w:line="240" w:lineRule="auto"/>
        <w:rPr>
          <w:rFonts w:ascii="Calibri" w:hAnsi="Calibri"/>
          <w:b/>
          <w:sz w:val="24"/>
          <w:szCs w:val="24"/>
        </w:rPr>
      </w:pPr>
    </w:p>
    <w:p w14:paraId="5A1C0BAC" w14:textId="5F71E8E3" w:rsidR="00FB1151" w:rsidRPr="003A4D37" w:rsidRDefault="00FB1151" w:rsidP="0003355B">
      <w:pPr>
        <w:spacing w:line="240" w:lineRule="auto"/>
        <w:rPr>
          <w:rFonts w:ascii="Calibri" w:hAnsi="Calibri"/>
          <w:b/>
          <w:sz w:val="24"/>
          <w:szCs w:val="24"/>
        </w:rPr>
      </w:pPr>
      <w:r w:rsidRPr="003A4D37">
        <w:rPr>
          <w:rFonts w:ascii="Calibri" w:hAnsi="Calibri"/>
          <w:b/>
          <w:sz w:val="24"/>
          <w:szCs w:val="24"/>
        </w:rPr>
        <w:t>Baseline survey highlights</w:t>
      </w:r>
    </w:p>
    <w:p w14:paraId="00F8AF83" w14:textId="4C592D60" w:rsidR="00FB1151" w:rsidRDefault="00FB1151" w:rsidP="0003355B">
      <w:pPr>
        <w:spacing w:line="240" w:lineRule="auto"/>
        <w:rPr>
          <w:rFonts w:ascii="Calibri Light" w:hAnsi="Calibri Light"/>
        </w:rPr>
      </w:pPr>
      <w:r w:rsidRPr="0003355B">
        <w:rPr>
          <w:rFonts w:ascii="Calibri Light" w:hAnsi="Calibri Light"/>
        </w:rPr>
        <w:t>A baseline survey on GBV-related knowledge, attitude and behavior was administered before the roll-out of the GBV Guidelines in country training. 169 respondents participated.</w:t>
      </w:r>
      <w:r>
        <w:rPr>
          <w:rFonts w:ascii="Calibri Light" w:hAnsi="Calibri Light"/>
        </w:rPr>
        <w:t xml:space="preserve"> Below are key highlights from the baseline survey. For more information, see Annex I with </w:t>
      </w:r>
      <w:r w:rsidR="00FD5428">
        <w:rPr>
          <w:rFonts w:ascii="Calibri Light" w:hAnsi="Calibri Light"/>
        </w:rPr>
        <w:t>expanded</w:t>
      </w:r>
      <w:r>
        <w:rPr>
          <w:rFonts w:ascii="Calibri Light" w:hAnsi="Calibri Light"/>
        </w:rPr>
        <w:t xml:space="preserve"> country and sector level findings.</w:t>
      </w:r>
    </w:p>
    <w:p w14:paraId="768BAFF9" w14:textId="77777777" w:rsidR="00FB1151" w:rsidRDefault="00FB1151" w:rsidP="0003355B">
      <w:pPr>
        <w:spacing w:line="240" w:lineRule="auto"/>
        <w:rPr>
          <w:rFonts w:ascii="Calibri Light" w:hAnsi="Calibri Light"/>
        </w:rPr>
      </w:pPr>
    </w:p>
    <w:p w14:paraId="67EAC8C2" w14:textId="03701C4E" w:rsidR="00FB1151" w:rsidRDefault="00FB1151" w:rsidP="00FB1151">
      <w:pPr>
        <w:spacing w:line="240" w:lineRule="auto"/>
        <w:rPr>
          <w:rFonts w:ascii="Calibri Light" w:hAnsi="Calibri Light"/>
        </w:rPr>
      </w:pPr>
      <w:r w:rsidRPr="0003355B">
        <w:rPr>
          <w:rFonts w:ascii="Calibri Light" w:hAnsi="Calibri Light"/>
          <w:b/>
        </w:rPr>
        <w:t xml:space="preserve">Knowledge. </w:t>
      </w:r>
      <w:r w:rsidRPr="0003355B">
        <w:rPr>
          <w:rFonts w:ascii="Calibri Light" w:hAnsi="Calibri Light"/>
        </w:rPr>
        <w:t>It is encouraging and positive that overall there is a basic level of understanding of some of the critical components of GBV necessary to engage in GBV mainstreaming and prevention/risk mitigation, namely survivor-centered principles, understanding of who is affected by GBV, a non-GBV specialist’s role in negotiating an incident and so on.</w:t>
      </w:r>
      <w:r>
        <w:rPr>
          <w:rFonts w:ascii="Calibri Light" w:hAnsi="Calibri Light"/>
        </w:rPr>
        <w:t xml:space="preserve"> </w:t>
      </w:r>
      <w:r w:rsidRPr="0003355B">
        <w:rPr>
          <w:rFonts w:ascii="Calibri Light" w:hAnsi="Calibri Light"/>
        </w:rPr>
        <w:t xml:space="preserve">The two areas requiring increased attention and further understanding </w:t>
      </w:r>
      <w:r>
        <w:rPr>
          <w:rFonts w:ascii="Calibri Light" w:hAnsi="Calibri Light"/>
        </w:rPr>
        <w:t xml:space="preserve">by practitioners </w:t>
      </w:r>
      <w:r w:rsidRPr="0003355B">
        <w:rPr>
          <w:rFonts w:ascii="Calibri Light" w:hAnsi="Calibri Light"/>
        </w:rPr>
        <w:t xml:space="preserve">are: 1) </w:t>
      </w:r>
      <w:r>
        <w:rPr>
          <w:rFonts w:ascii="Calibri Light" w:hAnsi="Calibri Light"/>
        </w:rPr>
        <w:t xml:space="preserve">the increased harm that can be caused by </w:t>
      </w:r>
      <w:r w:rsidRPr="0003355B">
        <w:rPr>
          <w:rFonts w:ascii="Calibri Light" w:hAnsi="Calibri Light"/>
        </w:rPr>
        <w:t>collection of GBV prevalence information during non-GBV specialist rapid assessments and 2) the consequences of GBV on a survivor.</w:t>
      </w:r>
    </w:p>
    <w:p w14:paraId="2BE6CCC0" w14:textId="77777777" w:rsidR="00FB1151" w:rsidRDefault="00FB1151" w:rsidP="00FB1151">
      <w:pPr>
        <w:spacing w:line="240" w:lineRule="auto"/>
        <w:rPr>
          <w:rFonts w:ascii="Calibri Light" w:hAnsi="Calibri Light"/>
        </w:rPr>
      </w:pPr>
    </w:p>
    <w:p w14:paraId="7DC6A326" w14:textId="3BF83ED1" w:rsidR="00FB1151" w:rsidRPr="0003355B" w:rsidRDefault="00FB1151" w:rsidP="00BE7582">
      <w:pPr>
        <w:spacing w:line="240" w:lineRule="auto"/>
        <w:rPr>
          <w:rFonts w:ascii="Calibri Light" w:hAnsi="Calibri Light"/>
        </w:rPr>
      </w:pPr>
      <w:r w:rsidRPr="0003355B">
        <w:rPr>
          <w:rFonts w:ascii="Calibri Light" w:hAnsi="Calibri Light"/>
          <w:b/>
        </w:rPr>
        <w:lastRenderedPageBreak/>
        <w:t xml:space="preserve">Attitude. </w:t>
      </w:r>
      <w:r w:rsidRPr="0003355B">
        <w:rPr>
          <w:rFonts w:ascii="Calibri Light" w:hAnsi="Calibri Light"/>
        </w:rPr>
        <w:t>Overall, respondents have a positive attitude towards their individual and sector’s ability, and their time availability to address GBV through prevention and risk mitigation efforts. Furthermore, most respondents report a positive, supportive environment from their line manager and senior management to undertake GBV activities in their day-to-day work.</w:t>
      </w:r>
      <w:r>
        <w:rPr>
          <w:rFonts w:ascii="Calibri Light" w:hAnsi="Calibri Light"/>
        </w:rPr>
        <w:t xml:space="preserve"> </w:t>
      </w:r>
      <w:r w:rsidRPr="0003355B">
        <w:rPr>
          <w:rFonts w:ascii="Calibri Light" w:hAnsi="Calibri Light"/>
        </w:rPr>
        <w:t>For respondents who self-selected their professional level as technical specialist/program manager, senior management or executive, there is almost complete agreement that GBV can be a priority in Humanitarian Response Plans.</w:t>
      </w:r>
    </w:p>
    <w:p w14:paraId="5049A602" w14:textId="77777777" w:rsidR="00FB1151" w:rsidRDefault="00FB1151" w:rsidP="00FB1151">
      <w:pPr>
        <w:spacing w:line="240" w:lineRule="auto"/>
        <w:rPr>
          <w:rFonts w:ascii="Calibri Light" w:hAnsi="Calibri Light"/>
          <w:b/>
        </w:rPr>
      </w:pPr>
    </w:p>
    <w:p w14:paraId="280409D5" w14:textId="46D84F11" w:rsidR="00FB1151" w:rsidRPr="00FB1151" w:rsidRDefault="00FB1151" w:rsidP="00BE7582">
      <w:pPr>
        <w:spacing w:line="240" w:lineRule="auto"/>
        <w:rPr>
          <w:rFonts w:ascii="Calibri Light" w:hAnsi="Calibri Light"/>
          <w:b/>
        </w:rPr>
      </w:pPr>
      <w:r w:rsidRPr="0003355B">
        <w:rPr>
          <w:rFonts w:ascii="Calibri Light" w:hAnsi="Calibri Light"/>
          <w:b/>
        </w:rPr>
        <w:t xml:space="preserve">Behavior. </w:t>
      </w:r>
      <w:r w:rsidRPr="0003355B">
        <w:rPr>
          <w:rFonts w:ascii="Calibri Light" w:hAnsi="Calibri Light"/>
        </w:rPr>
        <w:t xml:space="preserve">Over the past year, almost half (40%) of respondents have engaged in referral of a survivor to a GBV specialist service or provider. While the referral rate depends on sector, with child protection (78.2%) and protection (60%) respondents reporting more referrals than others, it is encouraging to </w:t>
      </w:r>
      <w:r>
        <w:rPr>
          <w:rFonts w:ascii="Calibri Light" w:hAnsi="Calibri Light"/>
        </w:rPr>
        <w:t>see this practice taking place.</w:t>
      </w:r>
      <w:r w:rsidRPr="0003355B">
        <w:rPr>
          <w:rFonts w:ascii="Calibri Light" w:hAnsi="Calibri Light"/>
        </w:rPr>
        <w:t xml:space="preserve"> Among 80 respondents who are technical specialists/program managers, senior management or executive level, approximately one-third report having dedicated funds in some or all budgets they oversee to address GBV, whereas one-third do not have funds and one-third do not know. In this same sub-group of respondents, only 20.7% report GBV-related indicators in the log frames of the grants they oversee and only 30% report GBV activities to their donors.</w:t>
      </w:r>
    </w:p>
    <w:p w14:paraId="3000446D" w14:textId="77777777" w:rsidR="00FB1151" w:rsidRPr="00FB1151" w:rsidRDefault="00FB1151" w:rsidP="0003355B">
      <w:pPr>
        <w:spacing w:line="240" w:lineRule="auto"/>
        <w:rPr>
          <w:rFonts w:ascii="Calibri" w:hAnsi="Calibri"/>
          <w:sz w:val="24"/>
          <w:szCs w:val="24"/>
        </w:rPr>
      </w:pPr>
    </w:p>
    <w:p w14:paraId="0DB7A71B" w14:textId="77777777" w:rsidR="008F1252" w:rsidRDefault="008F1252" w:rsidP="008F1252">
      <w:pPr>
        <w:spacing w:line="240" w:lineRule="auto"/>
        <w:rPr>
          <w:rFonts w:ascii="Calibri" w:hAnsi="Calibri"/>
          <w:b/>
          <w:sz w:val="24"/>
          <w:szCs w:val="24"/>
        </w:rPr>
      </w:pPr>
      <w:r>
        <w:rPr>
          <w:rFonts w:ascii="Calibri" w:hAnsi="Calibri"/>
          <w:b/>
          <w:sz w:val="24"/>
          <w:szCs w:val="24"/>
        </w:rPr>
        <w:t>Participation</w:t>
      </w:r>
    </w:p>
    <w:p w14:paraId="5992778C" w14:textId="77777777" w:rsidR="008F1252" w:rsidRDefault="008F1252" w:rsidP="008F1252">
      <w:pPr>
        <w:spacing w:line="240" w:lineRule="auto"/>
        <w:rPr>
          <w:rFonts w:ascii="Calibri Light" w:hAnsi="Calibri Light"/>
        </w:rPr>
      </w:pPr>
      <w:r>
        <w:rPr>
          <w:rFonts w:ascii="Calibri Light" w:hAnsi="Calibri Light"/>
        </w:rPr>
        <w:t xml:space="preserve">Below is a snapshot of participants by sector across all three locations. For more information on participants, please see Annex II. </w:t>
      </w:r>
    </w:p>
    <w:p w14:paraId="5D8F1C3B" w14:textId="77777777" w:rsidR="008F1252" w:rsidRDefault="008F1252" w:rsidP="008F1252">
      <w:pPr>
        <w:spacing w:line="240" w:lineRule="auto"/>
        <w:rPr>
          <w:rFonts w:ascii="Calibri Light" w:hAnsi="Calibri Light"/>
        </w:rPr>
      </w:pPr>
    </w:p>
    <w:p w14:paraId="63010D4D" w14:textId="6F69168C" w:rsidR="008F1252" w:rsidRDefault="008F1252" w:rsidP="0003355B">
      <w:pPr>
        <w:spacing w:line="240" w:lineRule="auto"/>
        <w:rPr>
          <w:rFonts w:ascii="Calibri" w:hAnsi="Calibri"/>
          <w:b/>
          <w:sz w:val="24"/>
          <w:szCs w:val="24"/>
        </w:rPr>
      </w:pPr>
      <w:r>
        <w:rPr>
          <w:rFonts w:ascii="Calibri Light" w:hAnsi="Calibri Light"/>
          <w:noProof/>
          <w:lang w:bidi="ar-SA"/>
        </w:rPr>
        <w:drawing>
          <wp:inline distT="0" distB="0" distL="0" distR="0" wp14:anchorId="2D92F278" wp14:editId="796CB7F0">
            <wp:extent cx="5143500" cy="2861310"/>
            <wp:effectExtent l="0" t="0" r="12700" b="3429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A681BD7" w14:textId="77777777" w:rsidR="008F1252" w:rsidRDefault="008F1252" w:rsidP="0003355B">
      <w:pPr>
        <w:spacing w:line="240" w:lineRule="auto"/>
        <w:rPr>
          <w:rFonts w:ascii="Calibri" w:hAnsi="Calibri"/>
          <w:b/>
          <w:sz w:val="24"/>
          <w:szCs w:val="24"/>
        </w:rPr>
      </w:pPr>
    </w:p>
    <w:p w14:paraId="4F9FC3EA" w14:textId="42BE679B" w:rsidR="0003355B" w:rsidRDefault="00FD5428" w:rsidP="0003355B">
      <w:pPr>
        <w:spacing w:line="240" w:lineRule="auto"/>
        <w:rPr>
          <w:rFonts w:ascii="Calibri" w:hAnsi="Calibri"/>
          <w:b/>
          <w:sz w:val="24"/>
          <w:szCs w:val="24"/>
        </w:rPr>
      </w:pPr>
      <w:r>
        <w:rPr>
          <w:rFonts w:ascii="Calibri" w:hAnsi="Calibri"/>
          <w:b/>
          <w:sz w:val="24"/>
          <w:szCs w:val="24"/>
        </w:rPr>
        <w:t xml:space="preserve">GBV Risk Mitigation Strategies and Trends: </w:t>
      </w:r>
      <w:r w:rsidR="003A4D37">
        <w:rPr>
          <w:rFonts w:ascii="Calibri" w:hAnsi="Calibri"/>
          <w:b/>
          <w:sz w:val="24"/>
          <w:szCs w:val="24"/>
        </w:rPr>
        <w:t>Sample</w:t>
      </w:r>
      <w:r>
        <w:rPr>
          <w:rFonts w:ascii="Calibri" w:hAnsi="Calibri"/>
          <w:b/>
          <w:sz w:val="24"/>
          <w:szCs w:val="24"/>
        </w:rPr>
        <w:t xml:space="preserve"> of Sector Action Plans</w:t>
      </w:r>
    </w:p>
    <w:p w14:paraId="142E9C9C" w14:textId="1D998A77" w:rsidR="00FD5428" w:rsidRDefault="00025CB9" w:rsidP="0003355B">
      <w:pPr>
        <w:spacing w:line="240" w:lineRule="auto"/>
        <w:rPr>
          <w:rFonts w:ascii="Calibri Light" w:hAnsi="Calibri Light"/>
        </w:rPr>
      </w:pPr>
      <w:r>
        <w:rPr>
          <w:rFonts w:ascii="Calibri Light" w:hAnsi="Calibri Light"/>
        </w:rPr>
        <w:t>Each sector at the country-level developed an action plan with core actions that can be implemented at a national and sub-national level. Below is a sample of some of the actions that will be undertaken by sectors over the course of six to 12 months. Full action plans are detailed in each sector’s section.</w:t>
      </w:r>
    </w:p>
    <w:p w14:paraId="7CB0D514" w14:textId="77777777" w:rsidR="00BE7582" w:rsidRPr="00FD5428" w:rsidRDefault="00BE7582" w:rsidP="0003355B">
      <w:pPr>
        <w:spacing w:line="240" w:lineRule="auto"/>
        <w:rPr>
          <w:rFonts w:ascii="Calibri Light" w:hAnsi="Calibri Light"/>
        </w:rPr>
      </w:pPr>
    </w:p>
    <w:p w14:paraId="3A6B8507" w14:textId="49DB2061" w:rsidR="003A4D37" w:rsidRDefault="003A4D37" w:rsidP="003A4D37">
      <w:pPr>
        <w:pStyle w:val="ListParagraph"/>
        <w:numPr>
          <w:ilvl w:val="0"/>
          <w:numId w:val="5"/>
        </w:numPr>
        <w:rPr>
          <w:rFonts w:ascii="Calibri Light" w:hAnsi="Calibri Light"/>
          <w:szCs w:val="22"/>
        </w:rPr>
      </w:pPr>
      <w:r>
        <w:rPr>
          <w:rFonts w:ascii="Calibri Light" w:hAnsi="Calibri Light"/>
          <w:b/>
          <w:szCs w:val="22"/>
        </w:rPr>
        <w:t xml:space="preserve">Shelter. </w:t>
      </w:r>
      <w:r w:rsidRPr="00B62E73">
        <w:rPr>
          <w:rFonts w:ascii="Calibri Light" w:hAnsi="Calibri Light"/>
          <w:szCs w:val="22"/>
        </w:rPr>
        <w:t>Further strengthen existing strategies and systems on how Shelter practitioners, including volunteers, (1) engage with survivors of GBV in relation to a GBV incident, (2) conduct referrals and reporting related to GBV, (3) and facilitate programmatic interventions such as NFI distributions. Mechanisms to be considered and put into place are establishing binding Codes of Conduct (including PSEA) and related training/supervision mechanisms for all practitioners and volunteers, Standard Operating Procedures related to (1) modalities of program delivery such as NFI distributions and cash and (2) reporting and referring GBV incidents safely and ethically, and (3) training or supportive supervision support for practitioners on their obligation, role and skills needed to receive a GBV incident in the scope of their day-to-day work.</w:t>
      </w:r>
    </w:p>
    <w:p w14:paraId="79F86D29" w14:textId="77777777" w:rsidR="003A4D37" w:rsidRPr="00B62E73" w:rsidRDefault="003A4D37" w:rsidP="003A4D37">
      <w:pPr>
        <w:pStyle w:val="ListParagraph"/>
        <w:rPr>
          <w:rFonts w:ascii="Calibri Light" w:hAnsi="Calibri Light"/>
          <w:szCs w:val="22"/>
        </w:rPr>
      </w:pPr>
    </w:p>
    <w:p w14:paraId="3F2BB7E2" w14:textId="53FBB26A" w:rsidR="0003355B" w:rsidRDefault="003A4D37" w:rsidP="0003355B">
      <w:pPr>
        <w:pStyle w:val="ListParagraph"/>
        <w:numPr>
          <w:ilvl w:val="0"/>
          <w:numId w:val="5"/>
        </w:numPr>
        <w:rPr>
          <w:rFonts w:ascii="Calibri Light" w:hAnsi="Calibri Light"/>
          <w:szCs w:val="22"/>
        </w:rPr>
      </w:pPr>
      <w:r w:rsidRPr="003A4D37">
        <w:rPr>
          <w:rFonts w:ascii="Calibri Light" w:hAnsi="Calibri Light"/>
          <w:b/>
          <w:szCs w:val="22"/>
        </w:rPr>
        <w:t xml:space="preserve">Wash. </w:t>
      </w:r>
      <w:r w:rsidRPr="003A4D37">
        <w:rPr>
          <w:rFonts w:ascii="Calibri Light" w:hAnsi="Calibri Light"/>
          <w:szCs w:val="22"/>
        </w:rPr>
        <w:t>Assess WASH infrastructure and access through the lens of reducing GBV related risks. In order to identify risks and mitigate them, engage in participatory consultations with a diversity of women and girl users of WASH facilities in order to understand their challenges or barriers, as well as solutions that would work for their needs.</w:t>
      </w:r>
    </w:p>
    <w:p w14:paraId="3E60A4D4" w14:textId="77777777" w:rsidR="003A4D37" w:rsidRPr="003A4D37" w:rsidRDefault="003A4D37" w:rsidP="003A4D37">
      <w:pPr>
        <w:rPr>
          <w:rFonts w:ascii="Calibri Light" w:hAnsi="Calibri Light"/>
        </w:rPr>
      </w:pPr>
    </w:p>
    <w:p w14:paraId="60878C9A" w14:textId="4B29DDB7" w:rsidR="003A4D37" w:rsidRDefault="003A4D37" w:rsidP="003A4D37">
      <w:pPr>
        <w:pStyle w:val="ListParagraph"/>
        <w:numPr>
          <w:ilvl w:val="0"/>
          <w:numId w:val="5"/>
        </w:numPr>
        <w:rPr>
          <w:rFonts w:ascii="Calibri Light" w:hAnsi="Calibri Light"/>
        </w:rPr>
      </w:pPr>
      <w:r>
        <w:rPr>
          <w:rFonts w:ascii="Calibri Light" w:hAnsi="Calibri Light"/>
          <w:b/>
        </w:rPr>
        <w:t xml:space="preserve">Health. </w:t>
      </w:r>
      <w:r>
        <w:rPr>
          <w:rFonts w:ascii="Calibri Light" w:hAnsi="Calibri Light"/>
        </w:rPr>
        <w:t xml:space="preserve">Convene a working group meeting with appropriate and relevant government counterparts, social workers and GBV specialists to strategically tackle information provision and services for affected persons living in accommodation schemes. Include development of a referral pathway and strategy for communicating and information sharing with affected communities. </w:t>
      </w:r>
    </w:p>
    <w:p w14:paraId="0B3A24B5" w14:textId="77777777" w:rsidR="0003355B" w:rsidRPr="003E6992" w:rsidRDefault="0003355B" w:rsidP="0003355B">
      <w:pPr>
        <w:spacing w:line="240" w:lineRule="auto"/>
        <w:rPr>
          <w:rFonts w:ascii="Calibri" w:hAnsi="Calibri"/>
          <w:sz w:val="24"/>
          <w:szCs w:val="24"/>
        </w:rPr>
      </w:pPr>
    </w:p>
    <w:p w14:paraId="3C101377" w14:textId="1E663340" w:rsidR="00BE7582" w:rsidRDefault="00FD5428" w:rsidP="0003355B">
      <w:pPr>
        <w:spacing w:line="240" w:lineRule="auto"/>
        <w:rPr>
          <w:rFonts w:ascii="Calibri" w:hAnsi="Calibri"/>
          <w:b/>
          <w:sz w:val="24"/>
          <w:szCs w:val="24"/>
        </w:rPr>
      </w:pPr>
      <w:r>
        <w:rPr>
          <w:rFonts w:ascii="Calibri" w:hAnsi="Calibri"/>
          <w:b/>
          <w:sz w:val="24"/>
          <w:szCs w:val="24"/>
        </w:rPr>
        <w:t>Opportunities</w:t>
      </w:r>
      <w:r w:rsidR="0003355B" w:rsidRPr="003E6992">
        <w:rPr>
          <w:rFonts w:ascii="Calibri" w:hAnsi="Calibri"/>
          <w:b/>
          <w:sz w:val="24"/>
          <w:szCs w:val="24"/>
        </w:rPr>
        <w:t xml:space="preserve"> for all Sectors (including the GBV Working Group)</w:t>
      </w:r>
      <w:r w:rsidR="0003355B" w:rsidRPr="003E6992">
        <w:rPr>
          <w:rStyle w:val="FootnoteReference"/>
          <w:rFonts w:ascii="Calibri" w:hAnsi="Calibri"/>
          <w:b/>
          <w:sz w:val="24"/>
          <w:szCs w:val="24"/>
        </w:rPr>
        <w:footnoteReference w:id="2"/>
      </w:r>
    </w:p>
    <w:p w14:paraId="587A6938" w14:textId="36ED3394" w:rsidR="00BE7582" w:rsidRPr="00BE7582" w:rsidRDefault="00BE7582" w:rsidP="00BE7582">
      <w:pPr>
        <w:pBdr>
          <w:top w:val="single" w:sz="4" w:space="1" w:color="auto"/>
          <w:left w:val="single" w:sz="4" w:space="4" w:color="auto"/>
          <w:bottom w:val="single" w:sz="4" w:space="1" w:color="auto"/>
          <w:right w:val="single" w:sz="4" w:space="4" w:color="auto"/>
        </w:pBdr>
        <w:spacing w:line="240" w:lineRule="auto"/>
        <w:rPr>
          <w:rFonts w:ascii="Calibri" w:hAnsi="Calibri"/>
          <w:i/>
          <w:sz w:val="20"/>
          <w:szCs w:val="20"/>
        </w:rPr>
      </w:pPr>
      <w:r w:rsidRPr="00BE7582">
        <w:rPr>
          <w:rFonts w:ascii="Calibri" w:hAnsi="Calibri"/>
          <w:b/>
          <w:i/>
          <w:sz w:val="20"/>
          <w:szCs w:val="20"/>
        </w:rPr>
        <w:t xml:space="preserve">Note: </w:t>
      </w:r>
      <w:r w:rsidRPr="00BE7582">
        <w:rPr>
          <w:rFonts w:ascii="Calibri" w:hAnsi="Calibri"/>
          <w:i/>
          <w:sz w:val="20"/>
          <w:szCs w:val="20"/>
        </w:rPr>
        <w:t>opportunities listed below are suggested by the GBV Guidelines Training Specialists based on their experiences training across sectors and locations, and should be understood as broad, overarching opportunities for all partners/sectors country or location-wide</w:t>
      </w:r>
      <w:r w:rsidR="0063042F">
        <w:rPr>
          <w:rFonts w:ascii="Calibri" w:hAnsi="Calibri"/>
          <w:i/>
          <w:sz w:val="20"/>
          <w:szCs w:val="20"/>
        </w:rPr>
        <w:t>, including advocacy, policy and/or fundraising opportunities</w:t>
      </w:r>
      <w:r w:rsidRPr="00BE7582">
        <w:rPr>
          <w:rFonts w:ascii="Calibri" w:hAnsi="Calibri"/>
          <w:i/>
          <w:sz w:val="20"/>
          <w:szCs w:val="20"/>
        </w:rPr>
        <w:t xml:space="preserve">. </w:t>
      </w:r>
    </w:p>
    <w:p w14:paraId="49427581" w14:textId="77777777" w:rsidR="00BE7582" w:rsidRPr="0063042F" w:rsidRDefault="00BE7582" w:rsidP="00BE7582">
      <w:pPr>
        <w:pBdr>
          <w:top w:val="single" w:sz="4" w:space="1" w:color="auto"/>
          <w:left w:val="single" w:sz="4" w:space="4" w:color="auto"/>
          <w:bottom w:val="single" w:sz="4" w:space="1" w:color="auto"/>
          <w:right w:val="single" w:sz="4" w:space="4" w:color="auto"/>
        </w:pBdr>
        <w:spacing w:line="240" w:lineRule="auto"/>
        <w:rPr>
          <w:rFonts w:ascii="Calibri" w:hAnsi="Calibri"/>
          <w:i/>
          <w:sz w:val="8"/>
          <w:szCs w:val="8"/>
        </w:rPr>
      </w:pPr>
    </w:p>
    <w:p w14:paraId="1E944E8C" w14:textId="0ABC20EF" w:rsidR="00BE7582" w:rsidRPr="00BE7582" w:rsidRDefault="00BE7582" w:rsidP="00BE7582">
      <w:pPr>
        <w:pBdr>
          <w:top w:val="single" w:sz="4" w:space="1" w:color="auto"/>
          <w:left w:val="single" w:sz="4" w:space="4" w:color="auto"/>
          <w:bottom w:val="single" w:sz="4" w:space="1" w:color="auto"/>
          <w:right w:val="single" w:sz="4" w:space="4" w:color="auto"/>
        </w:pBdr>
        <w:spacing w:line="240" w:lineRule="auto"/>
        <w:rPr>
          <w:rFonts w:ascii="Calibri" w:hAnsi="Calibri"/>
          <w:i/>
          <w:sz w:val="20"/>
          <w:szCs w:val="20"/>
        </w:rPr>
      </w:pPr>
      <w:r w:rsidRPr="00BE7582">
        <w:rPr>
          <w:rFonts w:ascii="Calibri" w:hAnsi="Calibri"/>
          <w:b/>
          <w:i/>
          <w:sz w:val="20"/>
          <w:szCs w:val="20"/>
        </w:rPr>
        <w:t>Instructions:</w:t>
      </w:r>
      <w:r w:rsidRPr="00BE7582">
        <w:rPr>
          <w:rFonts w:ascii="Calibri" w:hAnsi="Calibri"/>
          <w:i/>
          <w:sz w:val="20"/>
          <w:szCs w:val="20"/>
        </w:rPr>
        <w:t xml:space="preserve"> the opportunities noted below should be considered draft and feedback from country teams is welcome.</w:t>
      </w:r>
    </w:p>
    <w:p w14:paraId="6B237F6E" w14:textId="77777777" w:rsidR="00BE7582" w:rsidRPr="003E6992" w:rsidRDefault="00BE7582" w:rsidP="0003355B">
      <w:pPr>
        <w:spacing w:line="240" w:lineRule="auto"/>
        <w:rPr>
          <w:rFonts w:ascii="Calibri" w:hAnsi="Calibri"/>
          <w:b/>
          <w:sz w:val="24"/>
          <w:szCs w:val="24"/>
        </w:rPr>
      </w:pPr>
    </w:p>
    <w:p w14:paraId="2AEDDBDE" w14:textId="436814EB" w:rsidR="004C340D" w:rsidRPr="00FB6768" w:rsidRDefault="00FB6768" w:rsidP="00612346">
      <w:pPr>
        <w:pStyle w:val="ListParagraph"/>
        <w:numPr>
          <w:ilvl w:val="0"/>
          <w:numId w:val="24"/>
        </w:numPr>
        <w:rPr>
          <w:rFonts w:ascii="Calibri Light" w:hAnsi="Calibri Light"/>
        </w:rPr>
      </w:pPr>
      <w:r>
        <w:rPr>
          <w:rFonts w:ascii="Calibri Light" w:hAnsi="Calibri Light"/>
        </w:rPr>
        <w:t>Advocate</w:t>
      </w:r>
      <w:r w:rsidR="00C05E7E" w:rsidRPr="00FB6768">
        <w:rPr>
          <w:rFonts w:ascii="Calibri Light" w:hAnsi="Calibri Light"/>
        </w:rPr>
        <w:t xml:space="preserve"> for and </w:t>
      </w:r>
      <w:r>
        <w:rPr>
          <w:rFonts w:ascii="Calibri Light" w:hAnsi="Calibri Light"/>
        </w:rPr>
        <w:t>strengthen coordination</w:t>
      </w:r>
      <w:r w:rsidR="00C05E7E" w:rsidRPr="00FB6768">
        <w:rPr>
          <w:rFonts w:ascii="Calibri Light" w:hAnsi="Calibri Light"/>
        </w:rPr>
        <w:t xml:space="preserve"> of livelihood opportunities for refugees, and specifically survivors </w:t>
      </w:r>
      <w:r>
        <w:rPr>
          <w:rFonts w:ascii="Calibri Light" w:hAnsi="Calibri Light"/>
        </w:rPr>
        <w:t>of violence who may have limited or non-existent opportunities for economic survival.</w:t>
      </w:r>
    </w:p>
    <w:p w14:paraId="0218A76C" w14:textId="58FD2AB4" w:rsidR="004C340D" w:rsidRPr="00FB6768" w:rsidRDefault="00FB6768" w:rsidP="00612346">
      <w:pPr>
        <w:pStyle w:val="ListParagraph"/>
        <w:numPr>
          <w:ilvl w:val="0"/>
          <w:numId w:val="24"/>
        </w:numPr>
        <w:rPr>
          <w:rFonts w:ascii="Calibri Light" w:hAnsi="Calibri Light"/>
        </w:rPr>
      </w:pPr>
      <w:r>
        <w:rPr>
          <w:rFonts w:ascii="Calibri Light" w:hAnsi="Calibri Light"/>
        </w:rPr>
        <w:t>Increase</w:t>
      </w:r>
      <w:r w:rsidR="00C05E7E" w:rsidRPr="00FB6768">
        <w:rPr>
          <w:rFonts w:ascii="Calibri Light" w:hAnsi="Calibri Light"/>
        </w:rPr>
        <w:t xml:space="preserve"> participation and representation of women and girls amongst community leader</w:t>
      </w:r>
      <w:r w:rsidR="002D75F5">
        <w:rPr>
          <w:rFonts w:ascii="Calibri Light" w:hAnsi="Calibri Light"/>
        </w:rPr>
        <w:t>s and on site committees/groups, inclusive of</w:t>
      </w:r>
      <w:r>
        <w:rPr>
          <w:rFonts w:ascii="Calibri Light" w:hAnsi="Calibri Light"/>
        </w:rPr>
        <w:t xml:space="preserve"> translators/cultural mediators.</w:t>
      </w:r>
    </w:p>
    <w:p w14:paraId="06DB9090" w14:textId="5169F981" w:rsidR="004C340D" w:rsidRPr="00FB6768" w:rsidRDefault="00FB6768" w:rsidP="00612346">
      <w:pPr>
        <w:pStyle w:val="ListParagraph"/>
        <w:numPr>
          <w:ilvl w:val="0"/>
          <w:numId w:val="24"/>
        </w:numPr>
        <w:rPr>
          <w:rFonts w:ascii="Calibri Light" w:hAnsi="Calibri Light"/>
        </w:rPr>
      </w:pPr>
      <w:r>
        <w:rPr>
          <w:rFonts w:ascii="Calibri Light" w:hAnsi="Calibri Light"/>
        </w:rPr>
        <w:t xml:space="preserve">Ensure </w:t>
      </w:r>
      <w:r w:rsidR="00C05E7E" w:rsidRPr="00FB6768">
        <w:rPr>
          <w:rFonts w:ascii="Calibri Light" w:hAnsi="Calibri Light"/>
        </w:rPr>
        <w:t xml:space="preserve">Codes of Conduct </w:t>
      </w:r>
      <w:r>
        <w:rPr>
          <w:rFonts w:ascii="Calibri Light" w:hAnsi="Calibri Light"/>
        </w:rPr>
        <w:t xml:space="preserve">are </w:t>
      </w:r>
      <w:r w:rsidR="00C05E7E" w:rsidRPr="00FB6768">
        <w:rPr>
          <w:rFonts w:ascii="Calibri Light" w:hAnsi="Calibri Light"/>
        </w:rPr>
        <w:t>in place and signed a</w:t>
      </w:r>
      <w:r>
        <w:rPr>
          <w:rFonts w:ascii="Calibri Light" w:hAnsi="Calibri Light"/>
        </w:rPr>
        <w:t>t site level with participation/</w:t>
      </w:r>
      <w:r w:rsidR="00B04A55" w:rsidRPr="00B04A55">
        <w:rPr>
          <w:rFonts w:ascii="Calibri Light" w:hAnsi="Calibri Light"/>
        </w:rPr>
        <w:t>commitment</w:t>
      </w:r>
      <w:r w:rsidR="00C05E7E" w:rsidRPr="00FB6768">
        <w:rPr>
          <w:rFonts w:ascii="Calibri Light" w:hAnsi="Calibri Light"/>
        </w:rPr>
        <w:t xml:space="preserve"> from all actors (inclusive </w:t>
      </w:r>
      <w:r>
        <w:rPr>
          <w:rFonts w:ascii="Calibri Light" w:hAnsi="Calibri Light"/>
        </w:rPr>
        <w:t xml:space="preserve">of </w:t>
      </w:r>
      <w:r w:rsidR="00C05E7E" w:rsidRPr="00FB6768">
        <w:rPr>
          <w:rFonts w:ascii="Calibri Light" w:hAnsi="Calibri Light"/>
        </w:rPr>
        <w:t>volunteers</w:t>
      </w:r>
      <w:r>
        <w:rPr>
          <w:rFonts w:ascii="Calibri Light" w:hAnsi="Calibri Light"/>
        </w:rPr>
        <w:t xml:space="preserve"> engaging in humanitarian activities</w:t>
      </w:r>
      <w:r w:rsidR="00C05E7E" w:rsidRPr="00FB6768">
        <w:rPr>
          <w:rFonts w:ascii="Calibri Light" w:hAnsi="Calibri Light"/>
        </w:rPr>
        <w:t>)</w:t>
      </w:r>
      <w:r>
        <w:rPr>
          <w:rFonts w:ascii="Calibri Light" w:hAnsi="Calibri Light"/>
        </w:rPr>
        <w:t>.</w:t>
      </w:r>
      <w:r w:rsidR="00C05E7E" w:rsidRPr="00FB6768">
        <w:rPr>
          <w:rFonts w:ascii="Calibri Light" w:hAnsi="Calibri Light"/>
        </w:rPr>
        <w:t xml:space="preserve"> </w:t>
      </w:r>
    </w:p>
    <w:p w14:paraId="30458BE1" w14:textId="65C9A24D" w:rsidR="004C340D" w:rsidRPr="00FB6768" w:rsidRDefault="00FB6768" w:rsidP="00612346">
      <w:pPr>
        <w:pStyle w:val="ListParagraph"/>
        <w:numPr>
          <w:ilvl w:val="0"/>
          <w:numId w:val="24"/>
        </w:numPr>
        <w:rPr>
          <w:rFonts w:ascii="Calibri Light" w:hAnsi="Calibri Light"/>
        </w:rPr>
      </w:pPr>
      <w:r>
        <w:rPr>
          <w:rFonts w:ascii="Calibri Light" w:hAnsi="Calibri Light"/>
        </w:rPr>
        <w:t xml:space="preserve">Increase accessible, relevant and safe communications </w:t>
      </w:r>
      <w:r w:rsidR="00C05E7E" w:rsidRPr="00FB6768">
        <w:rPr>
          <w:rFonts w:ascii="Calibri Light" w:hAnsi="Calibri Light"/>
        </w:rPr>
        <w:t xml:space="preserve">with affected </w:t>
      </w:r>
      <w:r w:rsidR="00B04A55" w:rsidRPr="00B04A55">
        <w:rPr>
          <w:rFonts w:ascii="Calibri Light" w:hAnsi="Calibri Light"/>
        </w:rPr>
        <w:t>communities</w:t>
      </w:r>
      <w:r>
        <w:rPr>
          <w:rFonts w:ascii="Calibri Light" w:hAnsi="Calibri Light"/>
        </w:rPr>
        <w:t>, including diversifying</w:t>
      </w:r>
      <w:r w:rsidR="00C05E7E" w:rsidRPr="00FB6768">
        <w:rPr>
          <w:rFonts w:ascii="Calibri Light" w:hAnsi="Calibri Light"/>
        </w:rPr>
        <w:t xml:space="preserve"> IEC formats and information on </w:t>
      </w:r>
      <w:r>
        <w:rPr>
          <w:rFonts w:ascii="Calibri Light" w:hAnsi="Calibri Light"/>
        </w:rPr>
        <w:t xml:space="preserve">available </w:t>
      </w:r>
      <w:r w:rsidR="00C05E7E" w:rsidRPr="00FB6768">
        <w:rPr>
          <w:rFonts w:ascii="Calibri Light" w:hAnsi="Calibri Light"/>
        </w:rPr>
        <w:t>GBV</w:t>
      </w:r>
      <w:r>
        <w:rPr>
          <w:rFonts w:ascii="Calibri Light" w:hAnsi="Calibri Light"/>
        </w:rPr>
        <w:t xml:space="preserve"> confidential response services. </w:t>
      </w:r>
    </w:p>
    <w:p w14:paraId="7713FD9C" w14:textId="669D6DBC" w:rsidR="004C340D" w:rsidRPr="00FB6768" w:rsidRDefault="00FB6768" w:rsidP="00612346">
      <w:pPr>
        <w:pStyle w:val="ListParagraph"/>
        <w:numPr>
          <w:ilvl w:val="0"/>
          <w:numId w:val="24"/>
        </w:numPr>
        <w:rPr>
          <w:rFonts w:ascii="Calibri Light" w:hAnsi="Calibri Light"/>
        </w:rPr>
      </w:pPr>
      <w:r>
        <w:rPr>
          <w:rFonts w:ascii="Calibri Light" w:hAnsi="Calibri Light"/>
        </w:rPr>
        <w:t xml:space="preserve">Establish an </w:t>
      </w:r>
      <w:r w:rsidR="00C05E7E" w:rsidRPr="00FB6768">
        <w:rPr>
          <w:rFonts w:ascii="Calibri Light" w:hAnsi="Calibri Light"/>
        </w:rPr>
        <w:t>anonymous feedback mechanism</w:t>
      </w:r>
      <w:r>
        <w:rPr>
          <w:rFonts w:ascii="Calibri Light" w:hAnsi="Calibri Light"/>
        </w:rPr>
        <w:t xml:space="preserve"> keeping in mind that a</w:t>
      </w:r>
      <w:r w:rsidR="00C05E7E" w:rsidRPr="00FB6768">
        <w:rPr>
          <w:rFonts w:ascii="Calibri Light" w:hAnsi="Calibri Light"/>
        </w:rPr>
        <w:t xml:space="preserve"> </w:t>
      </w:r>
      <w:r w:rsidR="00B04A55" w:rsidRPr="00B04A55">
        <w:rPr>
          <w:rFonts w:ascii="Calibri Light" w:hAnsi="Calibri Light"/>
        </w:rPr>
        <w:t>minimum</w:t>
      </w:r>
      <w:r w:rsidR="00C05E7E" w:rsidRPr="00FB6768">
        <w:rPr>
          <w:rFonts w:ascii="Calibri Light" w:hAnsi="Calibri Light"/>
        </w:rPr>
        <w:t xml:space="preserve"> standard</w:t>
      </w:r>
      <w:r w:rsidR="00B04A55">
        <w:rPr>
          <w:rFonts w:ascii="Calibri Light" w:hAnsi="Calibri Light"/>
        </w:rPr>
        <w:t xml:space="preserve"> would include a feedback</w:t>
      </w:r>
      <w:r w:rsidR="00C05E7E" w:rsidRPr="00FB6768">
        <w:rPr>
          <w:rFonts w:ascii="Calibri Light" w:hAnsi="Calibri Light"/>
        </w:rPr>
        <w:t xml:space="preserve"> box</w:t>
      </w:r>
      <w:r>
        <w:rPr>
          <w:rFonts w:ascii="Calibri Light" w:hAnsi="Calibri Light"/>
        </w:rPr>
        <w:t>.</w:t>
      </w:r>
    </w:p>
    <w:p w14:paraId="54F5342E" w14:textId="337CEFD9" w:rsidR="004C340D" w:rsidRPr="00FB6768" w:rsidRDefault="00FB6768" w:rsidP="00612346">
      <w:pPr>
        <w:pStyle w:val="ListParagraph"/>
        <w:numPr>
          <w:ilvl w:val="0"/>
          <w:numId w:val="24"/>
        </w:numPr>
        <w:rPr>
          <w:rFonts w:ascii="Calibri Light" w:hAnsi="Calibri Light"/>
        </w:rPr>
      </w:pPr>
      <w:r>
        <w:rPr>
          <w:rFonts w:ascii="Calibri Light" w:hAnsi="Calibri Light"/>
        </w:rPr>
        <w:t>Regularly map and update</w:t>
      </w:r>
      <w:r w:rsidR="00C05E7E" w:rsidRPr="00FB6768">
        <w:rPr>
          <w:rFonts w:ascii="Calibri Light" w:hAnsi="Calibri Light"/>
        </w:rPr>
        <w:t xml:space="preserve"> se</w:t>
      </w:r>
      <w:r>
        <w:rPr>
          <w:rFonts w:ascii="Calibri Light" w:hAnsi="Calibri Light"/>
        </w:rPr>
        <w:t>rvices/</w:t>
      </w:r>
      <w:r w:rsidR="00C05E7E" w:rsidRPr="00FB6768">
        <w:rPr>
          <w:rFonts w:ascii="Calibri Light" w:hAnsi="Calibri Light"/>
        </w:rPr>
        <w:t xml:space="preserve">actors with information on </w:t>
      </w:r>
      <w:r w:rsidR="00C36A17">
        <w:rPr>
          <w:rFonts w:ascii="Calibri Light" w:hAnsi="Calibri Light"/>
        </w:rPr>
        <w:t xml:space="preserve">GBV specialists </w:t>
      </w:r>
      <w:r>
        <w:rPr>
          <w:rFonts w:ascii="Calibri Light" w:hAnsi="Calibri Light"/>
        </w:rPr>
        <w:t xml:space="preserve">available on site </w:t>
      </w:r>
      <w:r w:rsidR="00C36A17">
        <w:rPr>
          <w:rFonts w:ascii="Calibri Light" w:hAnsi="Calibri Light"/>
        </w:rPr>
        <w:t>or remotely. In conjunction, disseminate a</w:t>
      </w:r>
      <w:r w:rsidR="00C05E7E" w:rsidRPr="00FB6768">
        <w:rPr>
          <w:rFonts w:ascii="Calibri Light" w:hAnsi="Calibri Light"/>
        </w:rPr>
        <w:t xml:space="preserve"> plan or monthly coordination m</w:t>
      </w:r>
      <w:r w:rsidR="00B04A55">
        <w:rPr>
          <w:rFonts w:ascii="Calibri Light" w:hAnsi="Calibri Light"/>
        </w:rPr>
        <w:t>ee</w:t>
      </w:r>
      <w:r w:rsidR="00C05E7E" w:rsidRPr="00FB6768">
        <w:rPr>
          <w:rFonts w:ascii="Calibri Light" w:hAnsi="Calibri Light"/>
        </w:rPr>
        <w:t>t</w:t>
      </w:r>
      <w:r w:rsidR="00B04A55">
        <w:rPr>
          <w:rFonts w:ascii="Calibri Light" w:hAnsi="Calibri Light"/>
        </w:rPr>
        <w:t>in</w:t>
      </w:r>
      <w:r w:rsidR="00C05E7E" w:rsidRPr="00FB6768">
        <w:rPr>
          <w:rFonts w:ascii="Calibri Light" w:hAnsi="Calibri Light"/>
        </w:rPr>
        <w:t>g</w:t>
      </w:r>
      <w:r w:rsidR="00C36A17">
        <w:rPr>
          <w:rFonts w:ascii="Calibri Light" w:hAnsi="Calibri Light"/>
        </w:rPr>
        <w:t xml:space="preserve"> schedule</w:t>
      </w:r>
      <w:r w:rsidR="00C05E7E" w:rsidRPr="00FB6768">
        <w:rPr>
          <w:rFonts w:ascii="Calibri Light" w:hAnsi="Calibri Light"/>
        </w:rPr>
        <w:t xml:space="preserve"> with sector leads</w:t>
      </w:r>
      <w:r w:rsidR="00C36A17">
        <w:rPr>
          <w:rFonts w:ascii="Calibri Light" w:hAnsi="Calibri Light"/>
        </w:rPr>
        <w:t>.</w:t>
      </w:r>
    </w:p>
    <w:p w14:paraId="5DDFBD86" w14:textId="3F531C16" w:rsidR="004C340D" w:rsidRPr="00FB6768" w:rsidRDefault="00C36A17" w:rsidP="00612346">
      <w:pPr>
        <w:pStyle w:val="ListParagraph"/>
        <w:numPr>
          <w:ilvl w:val="0"/>
          <w:numId w:val="24"/>
        </w:numPr>
        <w:rPr>
          <w:rFonts w:ascii="Calibri Light" w:hAnsi="Calibri Light"/>
        </w:rPr>
      </w:pPr>
      <w:r>
        <w:rPr>
          <w:rFonts w:ascii="Calibri Light" w:hAnsi="Calibri Light"/>
        </w:rPr>
        <w:t xml:space="preserve">Develop and disseminate an information/guidance note with accompanying training/facilitation notes to all </w:t>
      </w:r>
      <w:r w:rsidR="00C05E7E" w:rsidRPr="00FB6768">
        <w:rPr>
          <w:rFonts w:ascii="Calibri Light" w:hAnsi="Calibri Light"/>
        </w:rPr>
        <w:t xml:space="preserve">Greek legislation </w:t>
      </w:r>
      <w:r>
        <w:rPr>
          <w:rFonts w:ascii="Calibri Light" w:hAnsi="Calibri Light"/>
        </w:rPr>
        <w:t>for GBV and mandatory reporting requirements.</w:t>
      </w:r>
    </w:p>
    <w:p w14:paraId="6B769E56" w14:textId="18A91D1C" w:rsidR="004C340D" w:rsidRPr="00FB6768" w:rsidRDefault="00C36A17" w:rsidP="00612346">
      <w:pPr>
        <w:pStyle w:val="ListParagraph"/>
        <w:numPr>
          <w:ilvl w:val="0"/>
          <w:numId w:val="24"/>
        </w:numPr>
        <w:rPr>
          <w:rFonts w:ascii="Calibri Light" w:hAnsi="Calibri Light"/>
        </w:rPr>
      </w:pPr>
      <w:r>
        <w:rPr>
          <w:rFonts w:ascii="Calibri Light" w:hAnsi="Calibri Light"/>
        </w:rPr>
        <w:t>Consider conducting joint</w:t>
      </w:r>
      <w:r w:rsidR="00C05E7E" w:rsidRPr="00FB6768">
        <w:rPr>
          <w:rFonts w:ascii="Calibri Light" w:hAnsi="Calibri Light"/>
        </w:rPr>
        <w:t xml:space="preserve"> coordination meetings/workshop</w:t>
      </w:r>
      <w:r>
        <w:rPr>
          <w:rFonts w:ascii="Calibri Light" w:hAnsi="Calibri Light"/>
        </w:rPr>
        <w:t>s</w:t>
      </w:r>
      <w:r w:rsidR="00C05E7E" w:rsidRPr="00FB6768">
        <w:rPr>
          <w:rFonts w:ascii="Calibri Light" w:hAnsi="Calibri Light"/>
        </w:rPr>
        <w:t xml:space="preserve"> with protection actors to identify needs/support o</w:t>
      </w:r>
      <w:r>
        <w:rPr>
          <w:rFonts w:ascii="Calibri Light" w:hAnsi="Calibri Light"/>
        </w:rPr>
        <w:t>n GBV for non-specialized staff.</w:t>
      </w:r>
    </w:p>
    <w:p w14:paraId="6F8B0CC4" w14:textId="77777777" w:rsidR="00FD5428" w:rsidRDefault="00FD5428" w:rsidP="000535EC">
      <w:pPr>
        <w:rPr>
          <w:rFonts w:ascii="Calibri Light" w:hAnsi="Calibri Light"/>
        </w:rPr>
      </w:pPr>
    </w:p>
    <w:p w14:paraId="6458EF81" w14:textId="2ACE8A00" w:rsidR="00BE7582" w:rsidRPr="00C36A17" w:rsidRDefault="003A4D37" w:rsidP="000535EC">
      <w:pPr>
        <w:rPr>
          <w:rFonts w:ascii="Calibri" w:hAnsi="Calibri"/>
          <w:b/>
          <w:sz w:val="24"/>
          <w:szCs w:val="24"/>
        </w:rPr>
      </w:pPr>
      <w:r>
        <w:rPr>
          <w:rFonts w:ascii="Calibri" w:hAnsi="Calibri"/>
          <w:b/>
          <w:sz w:val="24"/>
          <w:szCs w:val="24"/>
        </w:rPr>
        <w:t xml:space="preserve">Ongoing in-country initiatives </w:t>
      </w:r>
      <w:r w:rsidR="00D93DE6">
        <w:rPr>
          <w:rFonts w:ascii="Calibri" w:hAnsi="Calibri"/>
          <w:b/>
          <w:sz w:val="24"/>
          <w:szCs w:val="24"/>
        </w:rPr>
        <w:t xml:space="preserve">related to GBV integration </w:t>
      </w:r>
    </w:p>
    <w:p w14:paraId="7A17AC5B" w14:textId="77777777" w:rsidR="00BE7582" w:rsidRPr="00BE7582" w:rsidRDefault="00BE7582" w:rsidP="0063042F">
      <w:pPr>
        <w:pBdr>
          <w:top w:val="single" w:sz="4" w:space="1" w:color="auto"/>
          <w:left w:val="single" w:sz="4" w:space="4" w:color="auto"/>
          <w:bottom w:val="single" w:sz="4" w:space="1" w:color="auto"/>
          <w:right w:val="single" w:sz="4" w:space="4" w:color="auto"/>
        </w:pBdr>
        <w:spacing w:line="240" w:lineRule="auto"/>
        <w:rPr>
          <w:rFonts w:ascii="Calibri" w:hAnsi="Calibri"/>
          <w:i/>
          <w:sz w:val="20"/>
          <w:szCs w:val="20"/>
        </w:rPr>
      </w:pPr>
      <w:r w:rsidRPr="00BE7582">
        <w:rPr>
          <w:rFonts w:ascii="Calibri" w:hAnsi="Calibri"/>
          <w:b/>
          <w:i/>
          <w:sz w:val="20"/>
          <w:szCs w:val="20"/>
        </w:rPr>
        <w:t>Note:</w:t>
      </w:r>
      <w:r w:rsidRPr="00BE7582">
        <w:rPr>
          <w:rFonts w:ascii="Calibri" w:hAnsi="Calibri"/>
          <w:i/>
          <w:sz w:val="20"/>
          <w:szCs w:val="20"/>
        </w:rPr>
        <w:t xml:space="preserve"> this section refers to specific country-level initiatives that could provide opportunities to support integration of GBV into sector work - for example, the HNO/HRP process; roll out of Protection Mainstreaming tools; revision process for specific sector strategies, etc.  </w:t>
      </w:r>
    </w:p>
    <w:p w14:paraId="0ED389C4" w14:textId="77777777" w:rsidR="00BE7582" w:rsidRPr="0063042F" w:rsidRDefault="00BE7582" w:rsidP="00BE7582">
      <w:pPr>
        <w:pBdr>
          <w:top w:val="single" w:sz="4" w:space="1" w:color="auto"/>
          <w:left w:val="single" w:sz="4" w:space="4" w:color="auto"/>
          <w:bottom w:val="single" w:sz="4" w:space="1" w:color="auto"/>
          <w:right w:val="single" w:sz="4" w:space="4" w:color="auto"/>
        </w:pBdr>
        <w:rPr>
          <w:rFonts w:ascii="Calibri" w:hAnsi="Calibri"/>
          <w:i/>
          <w:sz w:val="8"/>
          <w:szCs w:val="8"/>
        </w:rPr>
      </w:pPr>
    </w:p>
    <w:p w14:paraId="374A9C58" w14:textId="61B6835B" w:rsidR="00BE7582" w:rsidRPr="00BE7582" w:rsidRDefault="00BE7582" w:rsidP="00BE7582">
      <w:pPr>
        <w:pBdr>
          <w:top w:val="single" w:sz="4" w:space="1" w:color="auto"/>
          <w:left w:val="single" w:sz="4" w:space="4" w:color="auto"/>
          <w:bottom w:val="single" w:sz="4" w:space="1" w:color="auto"/>
          <w:right w:val="single" w:sz="4" w:space="4" w:color="auto"/>
        </w:pBdr>
        <w:rPr>
          <w:rFonts w:ascii="Calibri" w:hAnsi="Calibri"/>
          <w:i/>
          <w:sz w:val="20"/>
          <w:szCs w:val="20"/>
        </w:rPr>
      </w:pPr>
      <w:r w:rsidRPr="00BE7582">
        <w:rPr>
          <w:rFonts w:ascii="Calibri" w:hAnsi="Calibri"/>
          <w:b/>
          <w:i/>
          <w:sz w:val="20"/>
          <w:szCs w:val="20"/>
        </w:rPr>
        <w:t>Instructions:</w:t>
      </w:r>
      <w:r w:rsidRPr="00BE7582">
        <w:rPr>
          <w:rFonts w:ascii="Calibri" w:hAnsi="Calibri"/>
          <w:i/>
          <w:sz w:val="20"/>
          <w:szCs w:val="20"/>
        </w:rPr>
        <w:t xml:space="preserve"> This section should be completed by the GBV sub cluster, in consultation with other partners/sectors. </w:t>
      </w:r>
    </w:p>
    <w:p w14:paraId="1036CA38" w14:textId="170EEF9A" w:rsidR="003A4D37" w:rsidRDefault="003A4D37" w:rsidP="00BE7582">
      <w:pPr>
        <w:rPr>
          <w:rFonts w:ascii="Calibri Light" w:hAnsi="Calibri Light"/>
          <w:b/>
        </w:rPr>
      </w:pPr>
    </w:p>
    <w:p w14:paraId="4AF1FBCF" w14:textId="0C56566A" w:rsidR="00BE7582" w:rsidRDefault="008F1252" w:rsidP="00BE7582">
      <w:pPr>
        <w:pStyle w:val="ListParagraph"/>
        <w:numPr>
          <w:ilvl w:val="0"/>
          <w:numId w:val="26"/>
        </w:numPr>
        <w:rPr>
          <w:rFonts w:ascii="Calibri Light" w:hAnsi="Calibri Light"/>
          <w:b/>
        </w:rPr>
      </w:pPr>
      <w:r>
        <w:rPr>
          <w:rFonts w:ascii="Calibri Light" w:hAnsi="Calibri Light"/>
          <w:b/>
        </w:rPr>
        <w:t>(</w:t>
      </w:r>
      <w:r w:rsidRPr="008F1252">
        <w:rPr>
          <w:rFonts w:ascii="Calibri Light" w:hAnsi="Calibri Light"/>
          <w:b/>
          <w:highlight w:val="yellow"/>
        </w:rPr>
        <w:t>GBV sub cluster to insert</w:t>
      </w:r>
      <w:r w:rsidR="00BE7582">
        <w:rPr>
          <w:rFonts w:ascii="Calibri Light" w:hAnsi="Calibri Light"/>
          <w:b/>
        </w:rPr>
        <w:t>)</w:t>
      </w:r>
    </w:p>
    <w:p w14:paraId="6B33B481" w14:textId="4D1F1802" w:rsidR="00BE7582" w:rsidRDefault="00BE7582" w:rsidP="00BE7582">
      <w:pPr>
        <w:pStyle w:val="ListParagraph"/>
        <w:numPr>
          <w:ilvl w:val="0"/>
          <w:numId w:val="26"/>
        </w:numPr>
        <w:rPr>
          <w:rFonts w:ascii="Calibri Light" w:hAnsi="Calibri Light"/>
          <w:b/>
        </w:rPr>
      </w:pPr>
      <w:r>
        <w:rPr>
          <w:rFonts w:ascii="Calibri Light" w:hAnsi="Calibri Light"/>
          <w:b/>
        </w:rPr>
        <w:t>(</w:t>
      </w:r>
      <w:r w:rsidR="008F1252">
        <w:rPr>
          <w:rFonts w:ascii="Calibri Light" w:hAnsi="Calibri Light"/>
          <w:b/>
        </w:rPr>
        <w:t>etc.</w:t>
      </w:r>
      <w:r>
        <w:rPr>
          <w:rFonts w:ascii="Calibri Light" w:hAnsi="Calibri Light"/>
          <w:b/>
        </w:rPr>
        <w:t>)</w:t>
      </w:r>
    </w:p>
    <w:p w14:paraId="3CE8DB1F" w14:textId="4C2AF84C" w:rsidR="008F1252" w:rsidRPr="00BE7582" w:rsidRDefault="008F1252" w:rsidP="00BE7582">
      <w:pPr>
        <w:pStyle w:val="ListParagraph"/>
        <w:numPr>
          <w:ilvl w:val="0"/>
          <w:numId w:val="26"/>
        </w:numPr>
        <w:rPr>
          <w:rFonts w:ascii="Calibri Light" w:hAnsi="Calibri Light"/>
          <w:b/>
        </w:rPr>
      </w:pPr>
      <w:r>
        <w:rPr>
          <w:rFonts w:ascii="Calibri Light" w:hAnsi="Calibri Light"/>
          <w:b/>
        </w:rPr>
        <w:t>(etc.)</w:t>
      </w:r>
    </w:p>
    <w:p w14:paraId="20F8763A" w14:textId="77777777" w:rsidR="003A4D37" w:rsidRDefault="003A4D37" w:rsidP="000535EC">
      <w:pPr>
        <w:rPr>
          <w:rFonts w:ascii="Calibri" w:hAnsi="Calibri"/>
          <w:b/>
          <w:sz w:val="24"/>
          <w:szCs w:val="24"/>
        </w:rPr>
      </w:pPr>
    </w:p>
    <w:p w14:paraId="714D716D" w14:textId="1E0881AB" w:rsidR="00FD5428" w:rsidRDefault="00FD5428" w:rsidP="000535EC">
      <w:pPr>
        <w:rPr>
          <w:rFonts w:ascii="Calibri" w:hAnsi="Calibri"/>
          <w:b/>
          <w:sz w:val="24"/>
          <w:szCs w:val="24"/>
        </w:rPr>
      </w:pPr>
      <w:r>
        <w:rPr>
          <w:rFonts w:ascii="Calibri" w:hAnsi="Calibri"/>
          <w:b/>
          <w:sz w:val="24"/>
          <w:szCs w:val="24"/>
        </w:rPr>
        <w:t>Next Steps</w:t>
      </w:r>
    </w:p>
    <w:p w14:paraId="5AF7CB40" w14:textId="77777777" w:rsidR="00AF7246" w:rsidRDefault="00AF7246" w:rsidP="00AF7246">
      <w:pPr>
        <w:rPr>
          <w:rFonts w:ascii="Calibri" w:hAnsi="Calibri"/>
          <w:sz w:val="20"/>
          <w:szCs w:val="20"/>
        </w:rPr>
      </w:pPr>
    </w:p>
    <w:p w14:paraId="6F3D3389" w14:textId="164E38D0" w:rsidR="00AF7246" w:rsidRPr="00BE7582" w:rsidRDefault="00AF7246" w:rsidP="00AF7246">
      <w:pPr>
        <w:pBdr>
          <w:top w:val="single" w:sz="4" w:space="1" w:color="auto"/>
          <w:left w:val="single" w:sz="4" w:space="4" w:color="auto"/>
          <w:bottom w:val="single" w:sz="4" w:space="1" w:color="auto"/>
          <w:right w:val="single" w:sz="4" w:space="4" w:color="auto"/>
        </w:pBdr>
        <w:rPr>
          <w:rFonts w:ascii="Calibri" w:hAnsi="Calibri"/>
          <w:i/>
          <w:sz w:val="20"/>
          <w:szCs w:val="20"/>
        </w:rPr>
      </w:pPr>
      <w:r w:rsidRPr="00BE7582">
        <w:rPr>
          <w:rFonts w:ascii="Calibri" w:hAnsi="Calibri"/>
          <w:b/>
          <w:i/>
          <w:sz w:val="20"/>
          <w:szCs w:val="20"/>
        </w:rPr>
        <w:t>Note:</w:t>
      </w:r>
      <w:r>
        <w:rPr>
          <w:rFonts w:ascii="Calibri" w:hAnsi="Calibri"/>
          <w:i/>
          <w:sz w:val="20"/>
          <w:szCs w:val="20"/>
        </w:rPr>
        <w:t xml:space="preserve"> actions noted below are those to be led by global level Implementation Support Team</w:t>
      </w:r>
    </w:p>
    <w:p w14:paraId="19EEF98C" w14:textId="77777777" w:rsidR="00AF7246" w:rsidRPr="0063042F" w:rsidRDefault="00AF7246" w:rsidP="00AF7246">
      <w:pPr>
        <w:pBdr>
          <w:top w:val="single" w:sz="4" w:space="1" w:color="auto"/>
          <w:left w:val="single" w:sz="4" w:space="4" w:color="auto"/>
          <w:bottom w:val="single" w:sz="4" w:space="1" w:color="auto"/>
          <w:right w:val="single" w:sz="4" w:space="4" w:color="auto"/>
        </w:pBdr>
        <w:rPr>
          <w:rFonts w:ascii="Calibri" w:hAnsi="Calibri"/>
          <w:i/>
          <w:sz w:val="8"/>
          <w:szCs w:val="8"/>
        </w:rPr>
      </w:pPr>
    </w:p>
    <w:p w14:paraId="7FE81D30" w14:textId="4F00790B" w:rsidR="00AF7246" w:rsidRPr="00BE7582" w:rsidRDefault="00AF7246" w:rsidP="00AF7246">
      <w:pPr>
        <w:pBdr>
          <w:top w:val="single" w:sz="4" w:space="1" w:color="auto"/>
          <w:left w:val="single" w:sz="4" w:space="4" w:color="auto"/>
          <w:bottom w:val="single" w:sz="4" w:space="1" w:color="auto"/>
          <w:right w:val="single" w:sz="4" w:space="4" w:color="auto"/>
        </w:pBdr>
        <w:rPr>
          <w:rFonts w:ascii="Calibri" w:hAnsi="Calibri"/>
          <w:i/>
          <w:sz w:val="20"/>
          <w:szCs w:val="20"/>
        </w:rPr>
      </w:pPr>
      <w:r w:rsidRPr="00BE7582">
        <w:rPr>
          <w:rFonts w:ascii="Calibri" w:hAnsi="Calibri"/>
          <w:b/>
          <w:i/>
          <w:sz w:val="20"/>
          <w:szCs w:val="20"/>
        </w:rPr>
        <w:t>Instructions:</w:t>
      </w:r>
      <w:r w:rsidRPr="00BE7582">
        <w:rPr>
          <w:rFonts w:ascii="Calibri" w:hAnsi="Calibri"/>
          <w:i/>
          <w:sz w:val="20"/>
          <w:szCs w:val="20"/>
        </w:rPr>
        <w:t xml:space="preserve"> </w:t>
      </w:r>
      <w:r>
        <w:rPr>
          <w:rFonts w:ascii="Calibri" w:hAnsi="Calibri"/>
          <w:i/>
          <w:sz w:val="20"/>
          <w:szCs w:val="20"/>
        </w:rPr>
        <w:t>Feedback and/or additions from sector leads on the below is welcome.</w:t>
      </w:r>
    </w:p>
    <w:p w14:paraId="5A2C3ED9" w14:textId="77777777" w:rsidR="00BE7582" w:rsidRPr="00AF7246" w:rsidRDefault="00BE7582" w:rsidP="00AF7246">
      <w:pPr>
        <w:rPr>
          <w:rFonts w:asciiTheme="majorHAnsi" w:hAnsiTheme="majorHAnsi"/>
        </w:rPr>
      </w:pPr>
    </w:p>
    <w:p w14:paraId="2B7F9E55" w14:textId="5090D8C6" w:rsidR="00AF7246" w:rsidRPr="00AF7246" w:rsidRDefault="00AF7246" w:rsidP="00AF7246">
      <w:pPr>
        <w:pStyle w:val="ListParagraph"/>
        <w:numPr>
          <w:ilvl w:val="0"/>
          <w:numId w:val="29"/>
        </w:numPr>
        <w:rPr>
          <w:rFonts w:asciiTheme="majorHAnsi" w:hAnsiTheme="majorHAnsi"/>
        </w:rPr>
      </w:pPr>
      <w:r w:rsidRPr="00AF7246">
        <w:rPr>
          <w:rFonts w:asciiTheme="majorHAnsi" w:hAnsiTheme="majorHAnsi"/>
        </w:rPr>
        <w:t>Draft country wide and sector-level training reports and draft Action Plans created during trainings to be shared by GBV Guidelines global Implementation Support Team with GBV sub-sector lead for onward dissemination to all sector leads</w:t>
      </w:r>
      <w:r w:rsidR="00C36A17">
        <w:rPr>
          <w:rFonts w:asciiTheme="majorHAnsi" w:hAnsiTheme="majorHAnsi"/>
        </w:rPr>
        <w:t>.</w:t>
      </w:r>
    </w:p>
    <w:p w14:paraId="75480A22" w14:textId="03615BB8" w:rsidR="00AF7246" w:rsidRDefault="00AF7246" w:rsidP="00AF7246">
      <w:pPr>
        <w:pStyle w:val="ListParagraph"/>
        <w:numPr>
          <w:ilvl w:val="0"/>
          <w:numId w:val="29"/>
        </w:numPr>
        <w:rPr>
          <w:rFonts w:asciiTheme="majorHAnsi" w:hAnsiTheme="majorHAnsi"/>
        </w:rPr>
      </w:pPr>
      <w:r w:rsidRPr="00AF7246">
        <w:rPr>
          <w:rFonts w:asciiTheme="majorHAnsi" w:hAnsiTheme="majorHAnsi"/>
        </w:rPr>
        <w:t>Sector leads to review draft training reports and draft Action Plans and provide feedback</w:t>
      </w:r>
      <w:r>
        <w:rPr>
          <w:rFonts w:asciiTheme="majorHAnsi" w:hAnsiTheme="majorHAnsi"/>
        </w:rPr>
        <w:t xml:space="preserve"> </w:t>
      </w:r>
      <w:bookmarkStart w:id="0" w:name="_GoBack"/>
      <w:r w:rsidR="00CB27B8" w:rsidRPr="00CB27B8">
        <w:rPr>
          <w:rFonts w:asciiTheme="majorHAnsi" w:hAnsiTheme="majorHAnsi"/>
          <w:b/>
        </w:rPr>
        <w:t>by 4 August</w:t>
      </w:r>
      <w:bookmarkEnd w:id="0"/>
      <w:r w:rsidR="00CB27B8">
        <w:rPr>
          <w:rFonts w:asciiTheme="majorHAnsi" w:hAnsiTheme="majorHAnsi"/>
        </w:rPr>
        <w:t>.</w:t>
      </w:r>
    </w:p>
    <w:p w14:paraId="7B81AF86" w14:textId="21476EDB" w:rsidR="00AF7246" w:rsidRDefault="00AF7246" w:rsidP="00AF7246">
      <w:pPr>
        <w:pStyle w:val="ListParagraph"/>
        <w:numPr>
          <w:ilvl w:val="0"/>
          <w:numId w:val="29"/>
        </w:numPr>
        <w:rPr>
          <w:rFonts w:asciiTheme="majorHAnsi" w:hAnsiTheme="majorHAnsi"/>
        </w:rPr>
      </w:pPr>
      <w:r>
        <w:rPr>
          <w:rFonts w:asciiTheme="majorHAnsi" w:hAnsiTheme="majorHAnsi"/>
        </w:rPr>
        <w:t>Once feedback received, Training Specialists and sector coordinators to have bilateral calls to d</w:t>
      </w:r>
      <w:r w:rsidR="00C36A17">
        <w:rPr>
          <w:rFonts w:asciiTheme="majorHAnsi" w:hAnsiTheme="majorHAnsi"/>
        </w:rPr>
        <w:t>etermine specific support needs.</w:t>
      </w:r>
    </w:p>
    <w:p w14:paraId="2ED8CC79" w14:textId="205F6D9E" w:rsidR="00951805" w:rsidRPr="00F37CFC" w:rsidRDefault="00AF7246" w:rsidP="00951805">
      <w:pPr>
        <w:pStyle w:val="ListParagraph"/>
        <w:numPr>
          <w:ilvl w:val="0"/>
          <w:numId w:val="29"/>
        </w:numPr>
        <w:rPr>
          <w:rFonts w:asciiTheme="majorHAnsi" w:hAnsiTheme="majorHAnsi"/>
        </w:rPr>
      </w:pPr>
      <w:r>
        <w:rPr>
          <w:rFonts w:asciiTheme="majorHAnsi" w:hAnsiTheme="majorHAnsi"/>
        </w:rPr>
        <w:t>Further check ins to be scheduled on quarterly or biannual basis as preferred by sector coordinator.</w:t>
      </w:r>
    </w:p>
    <w:p w14:paraId="130A2A03" w14:textId="77777777" w:rsidR="00F37CFC" w:rsidRDefault="00F37CFC">
      <w:pPr>
        <w:spacing w:line="240" w:lineRule="auto"/>
        <w:rPr>
          <w:rFonts w:ascii="Calibri" w:hAnsi="Calibri"/>
          <w:b/>
          <w:i/>
          <w:color w:val="660066"/>
          <w:sz w:val="24"/>
          <w:szCs w:val="24"/>
        </w:rPr>
      </w:pPr>
      <w:r>
        <w:rPr>
          <w:rFonts w:ascii="Calibri" w:hAnsi="Calibri"/>
          <w:b/>
          <w:i/>
          <w:color w:val="660066"/>
          <w:sz w:val="24"/>
          <w:szCs w:val="24"/>
        </w:rPr>
        <w:br w:type="page"/>
      </w:r>
    </w:p>
    <w:p w14:paraId="19A73B8C" w14:textId="07FD148D" w:rsidR="00FD4F4B" w:rsidRDefault="00FD4F4B" w:rsidP="00FD4F4B">
      <w:pPr>
        <w:jc w:val="center"/>
        <w:rPr>
          <w:rFonts w:ascii="Calibri" w:hAnsi="Calibri"/>
          <w:b/>
          <w:i/>
          <w:color w:val="660066"/>
          <w:sz w:val="24"/>
          <w:szCs w:val="24"/>
        </w:rPr>
      </w:pPr>
      <w:r>
        <w:rPr>
          <w:rFonts w:ascii="Calibri" w:hAnsi="Calibri"/>
          <w:b/>
          <w:i/>
          <w:color w:val="660066"/>
          <w:sz w:val="24"/>
          <w:szCs w:val="24"/>
        </w:rPr>
        <w:t>IASC GBV Guidelines Roll out: Greece</w:t>
      </w:r>
      <w:r w:rsidRPr="00037164">
        <w:rPr>
          <w:rFonts w:ascii="Calibri" w:hAnsi="Calibri"/>
          <w:b/>
          <w:i/>
          <w:color w:val="660066"/>
          <w:sz w:val="24"/>
          <w:szCs w:val="24"/>
        </w:rPr>
        <w:t xml:space="preserve"> Country Brief</w:t>
      </w:r>
    </w:p>
    <w:p w14:paraId="3FA417F1" w14:textId="77777777" w:rsidR="00FD4F4B" w:rsidRDefault="00FD4F4B" w:rsidP="00FD4F4B">
      <w:pPr>
        <w:jc w:val="center"/>
        <w:rPr>
          <w:rFonts w:ascii="Calibri" w:hAnsi="Calibri"/>
          <w:b/>
          <w:i/>
          <w:color w:val="660066"/>
          <w:sz w:val="24"/>
          <w:szCs w:val="24"/>
        </w:rPr>
      </w:pPr>
      <w:r>
        <w:rPr>
          <w:rFonts w:ascii="Calibri" w:hAnsi="Calibri"/>
          <w:b/>
          <w:i/>
          <w:color w:val="660066"/>
          <w:sz w:val="24"/>
          <w:szCs w:val="24"/>
        </w:rPr>
        <w:t>PROTECTION Sector and CHILD PROTECTION Working Group</w:t>
      </w:r>
    </w:p>
    <w:p w14:paraId="1537473A" w14:textId="77777777" w:rsidR="00FD4F4B" w:rsidRPr="00AE294C" w:rsidRDefault="00FD4F4B" w:rsidP="00FD4F4B">
      <w:pPr>
        <w:jc w:val="center"/>
        <w:rPr>
          <w:rFonts w:ascii="Calibri" w:hAnsi="Calibri"/>
          <w:sz w:val="24"/>
          <w:szCs w:val="24"/>
        </w:rPr>
      </w:pPr>
    </w:p>
    <w:p w14:paraId="04B44B46" w14:textId="77777777" w:rsidR="00FD4F4B" w:rsidRDefault="00FD4F4B" w:rsidP="00FD4F4B">
      <w:pPr>
        <w:rPr>
          <w:rFonts w:ascii="Calibri" w:hAnsi="Calibri"/>
          <w:b/>
          <w:sz w:val="24"/>
          <w:szCs w:val="24"/>
        </w:rPr>
      </w:pPr>
      <w:r w:rsidRPr="00402E04">
        <w:rPr>
          <w:rFonts w:ascii="Calibri" w:hAnsi="Calibri"/>
          <w:b/>
          <w:sz w:val="24"/>
          <w:szCs w:val="24"/>
        </w:rPr>
        <w:t>Training summary</w:t>
      </w:r>
    </w:p>
    <w:p w14:paraId="13B86FAF" w14:textId="77777777" w:rsidR="00FD4F4B" w:rsidRPr="00EF0E7D" w:rsidRDefault="00FD4F4B" w:rsidP="00FD4F4B">
      <w:pPr>
        <w:rPr>
          <w:rFonts w:ascii="Calibri" w:hAnsi="Calibri"/>
          <w:b/>
          <w:sz w:val="24"/>
          <w:szCs w:val="24"/>
        </w:rPr>
      </w:pPr>
    </w:p>
    <w:tbl>
      <w:tblPr>
        <w:tblStyle w:val="TableGrid"/>
        <w:tblW w:w="0" w:type="auto"/>
        <w:tblInd w:w="720" w:type="dxa"/>
        <w:tblLook w:val="04A0" w:firstRow="1" w:lastRow="0" w:firstColumn="1" w:lastColumn="0" w:noHBand="0" w:noVBand="1"/>
      </w:tblPr>
      <w:tblGrid>
        <w:gridCol w:w="1368"/>
        <w:gridCol w:w="1539"/>
        <w:gridCol w:w="5798"/>
      </w:tblGrid>
      <w:tr w:rsidR="00FD4F4B" w14:paraId="2FC72611" w14:textId="77777777" w:rsidTr="00F2139D">
        <w:tc>
          <w:tcPr>
            <w:tcW w:w="1368" w:type="dxa"/>
            <w:shd w:val="clear" w:color="auto" w:fill="CCC0D9" w:themeFill="accent4" w:themeFillTint="66"/>
          </w:tcPr>
          <w:p w14:paraId="25A14958" w14:textId="77777777" w:rsidR="00FD4F4B" w:rsidRPr="00520804" w:rsidRDefault="00FD4F4B" w:rsidP="00F2139D">
            <w:pPr>
              <w:pStyle w:val="ListParagraph"/>
              <w:ind w:left="0"/>
              <w:jc w:val="center"/>
              <w:rPr>
                <w:rFonts w:ascii="Calibri Light" w:hAnsi="Calibri Light"/>
                <w:b/>
                <w:szCs w:val="22"/>
              </w:rPr>
            </w:pPr>
            <w:r w:rsidRPr="00520804">
              <w:rPr>
                <w:rFonts w:ascii="Calibri Light" w:hAnsi="Calibri Light"/>
                <w:b/>
                <w:szCs w:val="22"/>
              </w:rPr>
              <w:t>Training location</w:t>
            </w:r>
          </w:p>
        </w:tc>
        <w:tc>
          <w:tcPr>
            <w:tcW w:w="1539" w:type="dxa"/>
            <w:shd w:val="clear" w:color="auto" w:fill="CCC0D9" w:themeFill="accent4" w:themeFillTint="66"/>
          </w:tcPr>
          <w:p w14:paraId="3787745C" w14:textId="77777777" w:rsidR="00FD4F4B" w:rsidRPr="00520804" w:rsidRDefault="00FD4F4B" w:rsidP="00F2139D">
            <w:pPr>
              <w:pStyle w:val="ListParagraph"/>
              <w:ind w:left="-1321" w:firstLine="1321"/>
              <w:jc w:val="center"/>
              <w:rPr>
                <w:rFonts w:ascii="Calibri Light" w:hAnsi="Calibri Light"/>
                <w:b/>
                <w:szCs w:val="22"/>
              </w:rPr>
            </w:pPr>
            <w:r w:rsidRPr="00520804">
              <w:rPr>
                <w:rFonts w:ascii="Calibri Light" w:hAnsi="Calibri Light"/>
                <w:b/>
                <w:szCs w:val="22"/>
              </w:rPr>
              <w:t>Participants</w:t>
            </w:r>
          </w:p>
          <w:p w14:paraId="6287BA85" w14:textId="77777777" w:rsidR="00FD4F4B" w:rsidRPr="00520804" w:rsidRDefault="00FD4F4B" w:rsidP="00F2139D">
            <w:pPr>
              <w:pStyle w:val="ListParagraph"/>
              <w:ind w:left="0"/>
              <w:jc w:val="center"/>
              <w:rPr>
                <w:rFonts w:ascii="Calibri Light" w:hAnsi="Calibri Light"/>
                <w:i/>
                <w:szCs w:val="22"/>
              </w:rPr>
            </w:pPr>
          </w:p>
        </w:tc>
        <w:tc>
          <w:tcPr>
            <w:tcW w:w="5798" w:type="dxa"/>
            <w:shd w:val="clear" w:color="auto" w:fill="CCC0D9" w:themeFill="accent4" w:themeFillTint="66"/>
          </w:tcPr>
          <w:p w14:paraId="0C0B7D00" w14:textId="77777777" w:rsidR="00FD4F4B" w:rsidRPr="00520804" w:rsidRDefault="00FD4F4B" w:rsidP="00F2139D">
            <w:pPr>
              <w:pStyle w:val="ListParagraph"/>
              <w:ind w:left="0"/>
              <w:jc w:val="center"/>
              <w:rPr>
                <w:rFonts w:ascii="Calibri Light" w:hAnsi="Calibri Light"/>
                <w:b/>
                <w:szCs w:val="22"/>
              </w:rPr>
            </w:pPr>
            <w:r w:rsidRPr="00520804">
              <w:rPr>
                <w:rFonts w:ascii="Calibri Light" w:hAnsi="Calibri Light"/>
                <w:b/>
                <w:szCs w:val="22"/>
              </w:rPr>
              <w:t>Agencies</w:t>
            </w:r>
          </w:p>
        </w:tc>
      </w:tr>
      <w:tr w:rsidR="00FD4F4B" w14:paraId="4B035388" w14:textId="77777777" w:rsidTr="00F2139D">
        <w:tc>
          <w:tcPr>
            <w:tcW w:w="1368" w:type="dxa"/>
          </w:tcPr>
          <w:p w14:paraId="060C3571" w14:textId="77777777" w:rsidR="00FD4F4B" w:rsidRPr="00520804" w:rsidRDefault="00FD4F4B" w:rsidP="00F2139D">
            <w:pPr>
              <w:pStyle w:val="ListParagraph"/>
              <w:ind w:left="0"/>
              <w:rPr>
                <w:rFonts w:ascii="Calibri Light" w:hAnsi="Calibri Light"/>
                <w:szCs w:val="22"/>
              </w:rPr>
            </w:pPr>
            <w:r w:rsidRPr="00520804">
              <w:rPr>
                <w:rFonts w:ascii="Calibri Light" w:hAnsi="Calibri Light"/>
                <w:szCs w:val="22"/>
              </w:rPr>
              <w:t>Thessaloniki</w:t>
            </w:r>
          </w:p>
        </w:tc>
        <w:tc>
          <w:tcPr>
            <w:tcW w:w="1539" w:type="dxa"/>
          </w:tcPr>
          <w:p w14:paraId="1D6AECAC" w14:textId="77777777" w:rsidR="00FD4F4B" w:rsidRPr="00520804" w:rsidRDefault="00FD4F4B" w:rsidP="00F2139D">
            <w:pPr>
              <w:pStyle w:val="ListParagraph"/>
              <w:ind w:left="0"/>
              <w:jc w:val="center"/>
              <w:rPr>
                <w:rFonts w:ascii="Calibri Light" w:hAnsi="Calibri Light"/>
                <w:szCs w:val="22"/>
              </w:rPr>
            </w:pPr>
            <w:r w:rsidRPr="00520804">
              <w:rPr>
                <w:rFonts w:ascii="Calibri Light" w:hAnsi="Calibri Light"/>
                <w:szCs w:val="22"/>
              </w:rPr>
              <w:t>30</w:t>
            </w:r>
          </w:p>
        </w:tc>
        <w:tc>
          <w:tcPr>
            <w:tcW w:w="5798" w:type="dxa"/>
          </w:tcPr>
          <w:p w14:paraId="2A0633F0" w14:textId="77777777" w:rsidR="00FD4F4B" w:rsidRPr="00520804" w:rsidRDefault="00FD4F4B" w:rsidP="00F2139D">
            <w:pPr>
              <w:pStyle w:val="ListParagraph"/>
              <w:ind w:left="0"/>
              <w:rPr>
                <w:rFonts w:ascii="Calibri Light" w:hAnsi="Calibri Light"/>
                <w:szCs w:val="22"/>
              </w:rPr>
            </w:pPr>
            <w:r w:rsidRPr="00520804">
              <w:rPr>
                <w:rFonts w:ascii="Calibri Light" w:hAnsi="Calibri Light"/>
                <w:szCs w:val="22"/>
              </w:rPr>
              <w:t>NRC, IRC, DRC, SN, TdH, GCR, CARITAS, ELIX, Intersos, PRAKSIS, SCI, UNHCR, ARSIS</w:t>
            </w:r>
          </w:p>
        </w:tc>
      </w:tr>
      <w:tr w:rsidR="00FD4F4B" w14:paraId="55278346" w14:textId="77777777" w:rsidTr="00F2139D">
        <w:tc>
          <w:tcPr>
            <w:tcW w:w="1368" w:type="dxa"/>
          </w:tcPr>
          <w:p w14:paraId="59A85DF9" w14:textId="77777777" w:rsidR="00FD4F4B" w:rsidRPr="00520804" w:rsidRDefault="00FD4F4B" w:rsidP="00F2139D">
            <w:pPr>
              <w:pStyle w:val="ListParagraph"/>
              <w:ind w:left="0"/>
              <w:rPr>
                <w:rFonts w:ascii="Calibri Light" w:hAnsi="Calibri Light"/>
                <w:szCs w:val="22"/>
              </w:rPr>
            </w:pPr>
            <w:r w:rsidRPr="00520804">
              <w:rPr>
                <w:rFonts w:ascii="Calibri Light" w:hAnsi="Calibri Light"/>
                <w:szCs w:val="22"/>
              </w:rPr>
              <w:t>Lesvos</w:t>
            </w:r>
          </w:p>
        </w:tc>
        <w:tc>
          <w:tcPr>
            <w:tcW w:w="1539" w:type="dxa"/>
          </w:tcPr>
          <w:p w14:paraId="2B2A03EF" w14:textId="77777777" w:rsidR="00FD4F4B" w:rsidRPr="00520804" w:rsidRDefault="00FD4F4B" w:rsidP="00F2139D">
            <w:pPr>
              <w:pStyle w:val="ListParagraph"/>
              <w:ind w:left="0"/>
              <w:jc w:val="center"/>
              <w:rPr>
                <w:rFonts w:ascii="Calibri Light" w:hAnsi="Calibri Light"/>
                <w:szCs w:val="22"/>
              </w:rPr>
            </w:pPr>
            <w:r w:rsidRPr="00520804">
              <w:rPr>
                <w:rFonts w:ascii="Calibri Light" w:hAnsi="Calibri Light"/>
                <w:szCs w:val="22"/>
              </w:rPr>
              <w:t>44</w:t>
            </w:r>
          </w:p>
        </w:tc>
        <w:tc>
          <w:tcPr>
            <w:tcW w:w="5798" w:type="dxa"/>
          </w:tcPr>
          <w:p w14:paraId="05E59F93" w14:textId="77777777" w:rsidR="00FD4F4B" w:rsidRPr="00520804" w:rsidRDefault="00FD4F4B" w:rsidP="00F2139D">
            <w:pPr>
              <w:pStyle w:val="ListParagraph"/>
              <w:ind w:left="0"/>
              <w:rPr>
                <w:rFonts w:ascii="Calibri Light" w:hAnsi="Calibri Light"/>
                <w:szCs w:val="22"/>
              </w:rPr>
            </w:pPr>
            <w:r w:rsidRPr="00520804">
              <w:rPr>
                <w:rFonts w:ascii="Calibri Light" w:hAnsi="Calibri Light"/>
                <w:szCs w:val="22"/>
              </w:rPr>
              <w:t>IOM, PRAKSIS, DRC, UNHCR, MdM, RSP, PIKPA, Save the Children, Oxfam, BRF, ER, Humanity Crew, METAdroisi, EuroRelief, HIAS, Hliaktida</w:t>
            </w:r>
          </w:p>
        </w:tc>
      </w:tr>
      <w:tr w:rsidR="00FD4F4B" w14:paraId="2B142CF5" w14:textId="77777777" w:rsidTr="00F2139D">
        <w:tc>
          <w:tcPr>
            <w:tcW w:w="1368" w:type="dxa"/>
          </w:tcPr>
          <w:p w14:paraId="67E3E919" w14:textId="77777777" w:rsidR="00FD4F4B" w:rsidRPr="00520804" w:rsidRDefault="00FD4F4B" w:rsidP="00F2139D">
            <w:pPr>
              <w:pStyle w:val="ListParagraph"/>
              <w:ind w:left="0"/>
              <w:rPr>
                <w:rFonts w:ascii="Calibri Light" w:hAnsi="Calibri Light"/>
                <w:szCs w:val="22"/>
              </w:rPr>
            </w:pPr>
            <w:r w:rsidRPr="00520804">
              <w:rPr>
                <w:rFonts w:ascii="Calibri Light" w:hAnsi="Calibri Light"/>
                <w:szCs w:val="22"/>
              </w:rPr>
              <w:t>Athens</w:t>
            </w:r>
          </w:p>
        </w:tc>
        <w:tc>
          <w:tcPr>
            <w:tcW w:w="1539" w:type="dxa"/>
          </w:tcPr>
          <w:p w14:paraId="2D7247AA" w14:textId="77777777" w:rsidR="00FD4F4B" w:rsidRPr="00520804" w:rsidRDefault="00FD4F4B" w:rsidP="00F2139D">
            <w:pPr>
              <w:pStyle w:val="ListParagraph"/>
              <w:ind w:left="0"/>
              <w:jc w:val="center"/>
              <w:rPr>
                <w:rFonts w:ascii="Calibri Light" w:hAnsi="Calibri Light"/>
                <w:szCs w:val="22"/>
              </w:rPr>
            </w:pPr>
            <w:r w:rsidRPr="00520804">
              <w:rPr>
                <w:rFonts w:ascii="Calibri Light" w:hAnsi="Calibri Light"/>
                <w:szCs w:val="22"/>
              </w:rPr>
              <w:t>28</w:t>
            </w:r>
          </w:p>
        </w:tc>
        <w:tc>
          <w:tcPr>
            <w:tcW w:w="5798" w:type="dxa"/>
          </w:tcPr>
          <w:p w14:paraId="14340799" w14:textId="77777777" w:rsidR="00FD4F4B" w:rsidRPr="00520804" w:rsidRDefault="00FD4F4B" w:rsidP="00F2139D">
            <w:pPr>
              <w:pStyle w:val="ListParagraph"/>
              <w:ind w:left="0"/>
              <w:rPr>
                <w:rFonts w:ascii="Calibri Light" w:hAnsi="Calibri Light"/>
                <w:szCs w:val="22"/>
              </w:rPr>
            </w:pPr>
            <w:r w:rsidRPr="00520804">
              <w:rPr>
                <w:rFonts w:ascii="Calibri Light" w:hAnsi="Calibri Light"/>
                <w:szCs w:val="22"/>
              </w:rPr>
              <w:t>CEAR, SolidarityNow, METAdresi, DC Babel, UNHCR, CARE, CEPR, IRC, RIS, Mercy Corps, IRC, UNICEF, AITIMA, PRAXSIS, IOM, DRC, I AM YOUTH, Save the Children, Organization Earth</w:t>
            </w:r>
          </w:p>
        </w:tc>
      </w:tr>
      <w:tr w:rsidR="00FD4F4B" w14:paraId="2A706860" w14:textId="77777777" w:rsidTr="00F2139D">
        <w:tc>
          <w:tcPr>
            <w:tcW w:w="1368" w:type="dxa"/>
          </w:tcPr>
          <w:p w14:paraId="400D8B92" w14:textId="77777777" w:rsidR="00FD4F4B" w:rsidRPr="00520804" w:rsidRDefault="00FD4F4B" w:rsidP="00F2139D">
            <w:pPr>
              <w:pStyle w:val="ListParagraph"/>
              <w:ind w:left="0"/>
              <w:jc w:val="center"/>
              <w:rPr>
                <w:rFonts w:ascii="Calibri Light" w:hAnsi="Calibri Light"/>
                <w:b/>
                <w:szCs w:val="22"/>
              </w:rPr>
            </w:pPr>
            <w:r w:rsidRPr="00520804">
              <w:rPr>
                <w:rFonts w:ascii="Calibri Light" w:hAnsi="Calibri Light"/>
                <w:b/>
                <w:szCs w:val="22"/>
              </w:rPr>
              <w:t>TOTAL</w:t>
            </w:r>
          </w:p>
        </w:tc>
        <w:tc>
          <w:tcPr>
            <w:tcW w:w="1539" w:type="dxa"/>
          </w:tcPr>
          <w:p w14:paraId="62B02E56" w14:textId="77777777" w:rsidR="00FD4F4B" w:rsidRPr="00520804" w:rsidRDefault="00FD4F4B" w:rsidP="00F2139D">
            <w:pPr>
              <w:pStyle w:val="ListParagraph"/>
              <w:ind w:left="0"/>
              <w:jc w:val="center"/>
              <w:rPr>
                <w:rFonts w:ascii="Calibri Light" w:hAnsi="Calibri Light"/>
                <w:b/>
                <w:szCs w:val="22"/>
              </w:rPr>
            </w:pPr>
            <w:r w:rsidRPr="00520804">
              <w:rPr>
                <w:rFonts w:ascii="Calibri Light" w:hAnsi="Calibri Light"/>
                <w:b/>
                <w:szCs w:val="22"/>
              </w:rPr>
              <w:t>102</w:t>
            </w:r>
          </w:p>
        </w:tc>
        <w:tc>
          <w:tcPr>
            <w:tcW w:w="5798" w:type="dxa"/>
          </w:tcPr>
          <w:p w14:paraId="1BEE9254" w14:textId="77777777" w:rsidR="00FD4F4B" w:rsidRPr="00520804" w:rsidRDefault="00FD4F4B" w:rsidP="00F2139D">
            <w:pPr>
              <w:pStyle w:val="ListParagraph"/>
              <w:ind w:left="0"/>
              <w:rPr>
                <w:rFonts w:ascii="Calibri Light" w:hAnsi="Calibri Light"/>
                <w:szCs w:val="22"/>
              </w:rPr>
            </w:pPr>
          </w:p>
        </w:tc>
      </w:tr>
    </w:tbl>
    <w:p w14:paraId="3560E5C5" w14:textId="77777777" w:rsidR="00FD4F4B" w:rsidRDefault="00FD4F4B" w:rsidP="00FD4F4B">
      <w:pPr>
        <w:pStyle w:val="ListParagraph"/>
        <w:rPr>
          <w:sz w:val="24"/>
          <w:szCs w:val="24"/>
        </w:rPr>
      </w:pPr>
    </w:p>
    <w:p w14:paraId="615B8790" w14:textId="77777777" w:rsidR="00FD4F4B" w:rsidRDefault="00FD4F4B" w:rsidP="00FD4F4B">
      <w:pPr>
        <w:pStyle w:val="ListParagraph"/>
        <w:ind w:left="0"/>
        <w:rPr>
          <w:sz w:val="24"/>
          <w:szCs w:val="24"/>
        </w:rPr>
      </w:pPr>
      <w:r>
        <w:rPr>
          <w:sz w:val="24"/>
          <w:szCs w:val="24"/>
        </w:rPr>
        <w:t>Contacts</w:t>
      </w:r>
    </w:p>
    <w:p w14:paraId="0F6C86B8" w14:textId="77777777" w:rsidR="00FD4F4B" w:rsidRPr="004A48AB" w:rsidRDefault="00FD4F4B" w:rsidP="00FD4F4B">
      <w:pPr>
        <w:pStyle w:val="ListParagraph"/>
        <w:ind w:left="0"/>
        <w:rPr>
          <w:sz w:val="24"/>
          <w:szCs w:val="24"/>
        </w:rPr>
      </w:pPr>
    </w:p>
    <w:p w14:paraId="5178E76E" w14:textId="77777777" w:rsidR="00FD4F4B" w:rsidRPr="00402E04" w:rsidRDefault="00FD4F4B" w:rsidP="00FD4F4B">
      <w:pPr>
        <w:rPr>
          <w:rFonts w:ascii="Calibri Light" w:hAnsi="Calibri Light"/>
        </w:rPr>
      </w:pPr>
      <w:r>
        <w:rPr>
          <w:rFonts w:ascii="Calibri Light" w:hAnsi="Calibri Light"/>
        </w:rPr>
        <w:t>Greece</w:t>
      </w:r>
      <w:r w:rsidRPr="00402E04">
        <w:rPr>
          <w:rFonts w:ascii="Calibri Light" w:hAnsi="Calibri Light"/>
        </w:rPr>
        <w:t xml:space="preserve"> </w:t>
      </w:r>
      <w:r>
        <w:rPr>
          <w:rFonts w:ascii="Calibri Light" w:hAnsi="Calibri Light"/>
        </w:rPr>
        <w:t>Protection and Child Protection Sector focal points</w:t>
      </w:r>
    </w:p>
    <w:p w14:paraId="265355B5" w14:textId="77777777" w:rsidR="00FD4F4B" w:rsidRPr="004A48AB" w:rsidRDefault="00FD4F4B" w:rsidP="00FD4F4B">
      <w:pPr>
        <w:pStyle w:val="ListParagraph"/>
        <w:numPr>
          <w:ilvl w:val="1"/>
          <w:numId w:val="8"/>
        </w:numPr>
        <w:ind w:left="720"/>
        <w:rPr>
          <w:rFonts w:ascii="Calibri Light" w:hAnsi="Calibri Light"/>
          <w:szCs w:val="22"/>
        </w:rPr>
      </w:pPr>
      <w:r>
        <w:rPr>
          <w:rFonts w:ascii="Calibri Light" w:hAnsi="Calibri Light"/>
          <w:szCs w:val="22"/>
        </w:rPr>
        <w:t>(</w:t>
      </w:r>
      <w:r w:rsidRPr="008F1252">
        <w:rPr>
          <w:rFonts w:ascii="Calibri Light" w:hAnsi="Calibri Light"/>
          <w:szCs w:val="22"/>
          <w:highlight w:val="yellow"/>
        </w:rPr>
        <w:t>sector coordinator please insert preferred contacts here</w:t>
      </w:r>
      <w:r>
        <w:rPr>
          <w:rFonts w:ascii="Calibri Light" w:hAnsi="Calibri Light"/>
          <w:szCs w:val="22"/>
        </w:rPr>
        <w:t>)</w:t>
      </w:r>
    </w:p>
    <w:p w14:paraId="660BC610" w14:textId="77777777" w:rsidR="00FD4F4B" w:rsidRPr="00402E04" w:rsidRDefault="00FD4F4B" w:rsidP="00FD4F4B">
      <w:pPr>
        <w:pStyle w:val="ListParagraph"/>
        <w:ind w:hanging="360"/>
        <w:rPr>
          <w:rFonts w:ascii="Calibri Light" w:hAnsi="Calibri Light"/>
          <w:szCs w:val="22"/>
        </w:rPr>
      </w:pPr>
    </w:p>
    <w:p w14:paraId="6CBA2E53" w14:textId="77777777" w:rsidR="00FD4F4B" w:rsidRPr="00402E04" w:rsidRDefault="00FD4F4B" w:rsidP="00FD4F4B">
      <w:pPr>
        <w:pStyle w:val="ListParagraph"/>
        <w:ind w:left="0"/>
        <w:rPr>
          <w:rFonts w:ascii="Calibri Light" w:hAnsi="Calibri Light"/>
          <w:szCs w:val="22"/>
        </w:rPr>
      </w:pPr>
      <w:r w:rsidRPr="00402E04">
        <w:rPr>
          <w:rFonts w:ascii="Calibri Light" w:hAnsi="Calibri Light"/>
          <w:szCs w:val="22"/>
        </w:rPr>
        <w:t>GBV Guidelines Implementation Support Team focal points</w:t>
      </w:r>
    </w:p>
    <w:p w14:paraId="3D90102D" w14:textId="77777777" w:rsidR="00FD4F4B" w:rsidRPr="004D459B" w:rsidRDefault="00FD4F4B" w:rsidP="00FD4F4B">
      <w:pPr>
        <w:pStyle w:val="ListParagraph"/>
        <w:numPr>
          <w:ilvl w:val="1"/>
          <w:numId w:val="8"/>
        </w:numPr>
        <w:ind w:left="810" w:hanging="450"/>
        <w:rPr>
          <w:rFonts w:ascii="Calibri Light" w:hAnsi="Calibri Light"/>
          <w:szCs w:val="22"/>
        </w:rPr>
      </w:pPr>
      <w:r w:rsidRPr="004D459B">
        <w:rPr>
          <w:rFonts w:ascii="Calibri Light" w:hAnsi="Calibri Light"/>
          <w:szCs w:val="22"/>
        </w:rPr>
        <w:t xml:space="preserve">Erin Patrick, GBV Guidelines Coordinator, </w:t>
      </w:r>
      <w:hyperlink r:id="rId10" w:history="1">
        <w:r w:rsidRPr="004D459B">
          <w:rPr>
            <w:rStyle w:val="Hyperlink"/>
            <w:rFonts w:ascii="Calibri Light" w:hAnsi="Calibri Light"/>
            <w:szCs w:val="22"/>
          </w:rPr>
          <w:t>gbv.guidelines@gmail.com</w:t>
        </w:r>
      </w:hyperlink>
    </w:p>
    <w:p w14:paraId="5AC96916" w14:textId="77777777" w:rsidR="00FD4F4B" w:rsidRPr="00F2139D" w:rsidRDefault="00FD4F4B" w:rsidP="00FD4F4B">
      <w:pPr>
        <w:pStyle w:val="ListParagraph"/>
        <w:numPr>
          <w:ilvl w:val="1"/>
          <w:numId w:val="8"/>
        </w:numPr>
        <w:ind w:left="810" w:hanging="450"/>
        <w:rPr>
          <w:rFonts w:ascii="Calibri Light" w:hAnsi="Calibri Light"/>
          <w:szCs w:val="22"/>
        </w:rPr>
      </w:pPr>
      <w:r w:rsidRPr="00F2139D">
        <w:rPr>
          <w:rFonts w:ascii="Calibri Light" w:hAnsi="Calibri Light"/>
          <w:szCs w:val="22"/>
        </w:rPr>
        <w:t>Iman Qassis, GBV Guidelines Trainer, iqassis@unfpa.org</w:t>
      </w:r>
    </w:p>
    <w:p w14:paraId="26FFC140" w14:textId="16647654" w:rsidR="00FD4F4B" w:rsidRPr="006839CE" w:rsidRDefault="00FD4F4B" w:rsidP="00FD4F4B">
      <w:pPr>
        <w:pStyle w:val="ListParagraph"/>
        <w:numPr>
          <w:ilvl w:val="1"/>
          <w:numId w:val="8"/>
        </w:numPr>
        <w:ind w:left="810" w:hanging="450"/>
        <w:rPr>
          <w:sz w:val="24"/>
          <w:szCs w:val="24"/>
          <w:lang w:val="es-ES"/>
        </w:rPr>
      </w:pPr>
      <w:r w:rsidRPr="006839CE">
        <w:rPr>
          <w:rFonts w:ascii="Calibri Light" w:hAnsi="Calibri Light"/>
          <w:szCs w:val="22"/>
          <w:lang w:val="es-ES"/>
        </w:rPr>
        <w:t>Jessica Izquierdo, GBV Guidelines Trainer,</w:t>
      </w:r>
      <w:r w:rsidR="008A190B">
        <w:rPr>
          <w:rFonts w:ascii="Calibri Light" w:hAnsi="Calibri Light"/>
          <w:szCs w:val="22"/>
          <w:lang w:val="es-ES"/>
        </w:rPr>
        <w:t xml:space="preserve"> </w:t>
      </w:r>
      <w:hyperlink r:id="rId11" w:history="1">
        <w:r w:rsidR="008A190B" w:rsidRPr="00C30ED9">
          <w:rPr>
            <w:rStyle w:val="Hyperlink"/>
            <w:rFonts w:ascii="Calibri Light" w:hAnsi="Calibri Light"/>
            <w:szCs w:val="22"/>
            <w:lang w:val="es-ES"/>
          </w:rPr>
          <w:t>jizquierdo@iom.int</w:t>
        </w:r>
      </w:hyperlink>
      <w:r w:rsidR="008A190B">
        <w:rPr>
          <w:rFonts w:ascii="Calibri Light" w:hAnsi="Calibri Light"/>
          <w:szCs w:val="22"/>
          <w:lang w:val="es-ES"/>
        </w:rPr>
        <w:t xml:space="preserve"> </w:t>
      </w:r>
    </w:p>
    <w:p w14:paraId="6239F78C" w14:textId="77777777" w:rsidR="006839CE" w:rsidRPr="006839CE" w:rsidRDefault="006839CE" w:rsidP="006839CE">
      <w:pPr>
        <w:pStyle w:val="ListParagraph"/>
        <w:ind w:left="810"/>
        <w:rPr>
          <w:sz w:val="24"/>
          <w:szCs w:val="24"/>
          <w:lang w:val="es-ES"/>
        </w:rPr>
      </w:pPr>
    </w:p>
    <w:p w14:paraId="3CA5870C" w14:textId="77777777" w:rsidR="00FD4F4B" w:rsidRPr="00F52430" w:rsidRDefault="00FD4F4B" w:rsidP="00FD4F4B">
      <w:pPr>
        <w:rPr>
          <w:rFonts w:ascii="Calibri" w:hAnsi="Calibri"/>
          <w:sz w:val="24"/>
          <w:szCs w:val="24"/>
        </w:rPr>
      </w:pPr>
      <w:r>
        <w:rPr>
          <w:rFonts w:ascii="Calibri" w:hAnsi="Calibri"/>
          <w:sz w:val="24"/>
          <w:szCs w:val="24"/>
        </w:rPr>
        <w:t>Key Objectives Outlined in Action Plan</w:t>
      </w:r>
    </w:p>
    <w:p w14:paraId="353AA62F" w14:textId="77777777" w:rsidR="00FD4F4B" w:rsidRPr="00BE7582" w:rsidRDefault="00FD4F4B" w:rsidP="00FD4F4B">
      <w:pPr>
        <w:pBdr>
          <w:top w:val="single" w:sz="4" w:space="1" w:color="auto"/>
          <w:left w:val="single" w:sz="4" w:space="4" w:color="auto"/>
          <w:bottom w:val="single" w:sz="4" w:space="1" w:color="auto"/>
          <w:right w:val="single" w:sz="4" w:space="4" w:color="auto"/>
        </w:pBdr>
        <w:spacing w:line="240" w:lineRule="auto"/>
        <w:rPr>
          <w:rFonts w:ascii="Calibri" w:hAnsi="Calibri"/>
          <w:i/>
          <w:sz w:val="20"/>
          <w:szCs w:val="20"/>
        </w:rPr>
      </w:pPr>
      <w:r w:rsidRPr="00BE7582">
        <w:rPr>
          <w:rFonts w:ascii="Calibri" w:hAnsi="Calibri"/>
          <w:b/>
          <w:i/>
          <w:sz w:val="20"/>
          <w:szCs w:val="20"/>
        </w:rPr>
        <w:t xml:space="preserve">Note: </w:t>
      </w:r>
      <w:r>
        <w:rPr>
          <w:rFonts w:ascii="Calibri" w:hAnsi="Calibri"/>
          <w:i/>
          <w:sz w:val="20"/>
          <w:szCs w:val="20"/>
        </w:rPr>
        <w:t>objectives</w:t>
      </w:r>
      <w:r w:rsidRPr="00BE7582">
        <w:rPr>
          <w:rFonts w:ascii="Calibri" w:hAnsi="Calibri"/>
          <w:i/>
          <w:sz w:val="20"/>
          <w:szCs w:val="20"/>
        </w:rPr>
        <w:t xml:space="preserve"> listed below</w:t>
      </w:r>
      <w:r>
        <w:rPr>
          <w:rFonts w:ascii="Calibri" w:hAnsi="Calibri"/>
          <w:i/>
          <w:sz w:val="20"/>
          <w:szCs w:val="20"/>
        </w:rPr>
        <w:t xml:space="preserve"> are</w:t>
      </w:r>
      <w:r w:rsidRPr="00BE7582">
        <w:rPr>
          <w:rFonts w:ascii="Calibri" w:hAnsi="Calibri"/>
          <w:i/>
          <w:sz w:val="20"/>
          <w:szCs w:val="20"/>
        </w:rPr>
        <w:t xml:space="preserve"> </w:t>
      </w:r>
      <w:r>
        <w:rPr>
          <w:rFonts w:ascii="Calibri" w:hAnsi="Calibri"/>
          <w:i/>
          <w:sz w:val="20"/>
          <w:szCs w:val="20"/>
        </w:rPr>
        <w:t>the key, tangible actions/priorities that arose from the trainings, as interpreted by the GBV Guidelines Training Specialists.</w:t>
      </w:r>
    </w:p>
    <w:p w14:paraId="26063636" w14:textId="77777777" w:rsidR="00FD4F4B" w:rsidRPr="00BE7582" w:rsidRDefault="00FD4F4B" w:rsidP="00FD4F4B">
      <w:pPr>
        <w:pBdr>
          <w:top w:val="single" w:sz="4" w:space="1" w:color="auto"/>
          <w:left w:val="single" w:sz="4" w:space="4" w:color="auto"/>
          <w:bottom w:val="single" w:sz="4" w:space="1" w:color="auto"/>
          <w:right w:val="single" w:sz="4" w:space="4" w:color="auto"/>
        </w:pBdr>
        <w:spacing w:line="240" w:lineRule="auto"/>
        <w:rPr>
          <w:rFonts w:ascii="Calibri" w:hAnsi="Calibri"/>
          <w:i/>
          <w:sz w:val="20"/>
          <w:szCs w:val="20"/>
        </w:rPr>
      </w:pPr>
    </w:p>
    <w:p w14:paraId="575A86FD" w14:textId="77777777" w:rsidR="00FD4F4B" w:rsidRPr="00BE7582" w:rsidRDefault="00FD4F4B" w:rsidP="00FD4F4B">
      <w:pPr>
        <w:pBdr>
          <w:top w:val="single" w:sz="4" w:space="1" w:color="auto"/>
          <w:left w:val="single" w:sz="4" w:space="4" w:color="auto"/>
          <w:bottom w:val="single" w:sz="4" w:space="1" w:color="auto"/>
          <w:right w:val="single" w:sz="4" w:space="4" w:color="auto"/>
        </w:pBdr>
        <w:spacing w:line="240" w:lineRule="auto"/>
        <w:rPr>
          <w:rFonts w:ascii="Calibri" w:hAnsi="Calibri"/>
          <w:i/>
          <w:sz w:val="20"/>
          <w:szCs w:val="20"/>
        </w:rPr>
      </w:pPr>
      <w:r w:rsidRPr="00BE7582">
        <w:rPr>
          <w:rFonts w:ascii="Calibri" w:hAnsi="Calibri"/>
          <w:b/>
          <w:i/>
          <w:sz w:val="20"/>
          <w:szCs w:val="20"/>
        </w:rPr>
        <w:t>Instructions:</w:t>
      </w:r>
      <w:r w:rsidRPr="00BE7582">
        <w:rPr>
          <w:rFonts w:ascii="Calibri" w:hAnsi="Calibri"/>
          <w:i/>
          <w:sz w:val="20"/>
          <w:szCs w:val="20"/>
        </w:rPr>
        <w:t xml:space="preserve"> the </w:t>
      </w:r>
      <w:r>
        <w:rPr>
          <w:rFonts w:ascii="Calibri" w:hAnsi="Calibri"/>
          <w:i/>
          <w:sz w:val="20"/>
          <w:szCs w:val="20"/>
        </w:rPr>
        <w:t>objectives</w:t>
      </w:r>
      <w:r w:rsidRPr="00BE7582">
        <w:rPr>
          <w:rFonts w:ascii="Calibri" w:hAnsi="Calibri"/>
          <w:i/>
          <w:sz w:val="20"/>
          <w:szCs w:val="20"/>
        </w:rPr>
        <w:t xml:space="preserve"> </w:t>
      </w:r>
      <w:r>
        <w:rPr>
          <w:rFonts w:ascii="Calibri" w:hAnsi="Calibri"/>
          <w:i/>
          <w:sz w:val="20"/>
          <w:szCs w:val="20"/>
        </w:rPr>
        <w:t>noted below are DRAFT</w:t>
      </w:r>
      <w:r w:rsidRPr="00BE7582">
        <w:rPr>
          <w:rFonts w:ascii="Calibri" w:hAnsi="Calibri"/>
          <w:i/>
          <w:sz w:val="20"/>
          <w:szCs w:val="20"/>
        </w:rPr>
        <w:t xml:space="preserve"> </w:t>
      </w:r>
      <w:r>
        <w:rPr>
          <w:rFonts w:ascii="Calibri" w:hAnsi="Calibri"/>
          <w:i/>
          <w:sz w:val="20"/>
          <w:szCs w:val="20"/>
        </w:rPr>
        <w:t>and should be reviewed, verified and approved by the full sector membership, for example during a sector-level coordination meeting. Once validated at sector level these objectives will form the basis for future follow up support, as needed, from the global Implementation Support Team.</w:t>
      </w:r>
    </w:p>
    <w:p w14:paraId="46F97BCA" w14:textId="77777777" w:rsidR="00FD4F4B" w:rsidRDefault="00FD4F4B" w:rsidP="00FD4F4B">
      <w:pPr>
        <w:rPr>
          <w:rFonts w:ascii="Calibri" w:hAnsi="Calibri"/>
          <w:sz w:val="24"/>
          <w:szCs w:val="24"/>
        </w:rPr>
      </w:pPr>
    </w:p>
    <w:p w14:paraId="2162BED1" w14:textId="310191CD" w:rsidR="00186578" w:rsidRPr="006839CE" w:rsidRDefault="00F71F90" w:rsidP="00186578">
      <w:pPr>
        <w:pStyle w:val="ListParagraph"/>
        <w:numPr>
          <w:ilvl w:val="0"/>
          <w:numId w:val="13"/>
        </w:numPr>
        <w:rPr>
          <w:sz w:val="24"/>
          <w:szCs w:val="24"/>
        </w:rPr>
      </w:pPr>
      <w:r w:rsidRPr="007D6C8D">
        <w:rPr>
          <w:rFonts w:ascii="Calibri Light" w:hAnsi="Calibri Light"/>
        </w:rPr>
        <w:t xml:space="preserve">Undertake </w:t>
      </w:r>
      <w:r w:rsidR="00D50E05" w:rsidRPr="007D6C8D">
        <w:rPr>
          <w:rFonts w:ascii="Calibri Light" w:hAnsi="Calibri Light"/>
        </w:rPr>
        <w:t>CP service mapping per site (localized) that is shared with all stakeholders (actors and PoCs)</w:t>
      </w:r>
      <w:r w:rsidR="006839CE">
        <w:rPr>
          <w:rFonts w:ascii="Calibri Light" w:hAnsi="Calibri Light"/>
        </w:rPr>
        <w:t>.</w:t>
      </w:r>
    </w:p>
    <w:p w14:paraId="7058942F" w14:textId="236FEFC5" w:rsidR="00186578" w:rsidRPr="006839CE" w:rsidRDefault="00186578" w:rsidP="00186578">
      <w:pPr>
        <w:pStyle w:val="ListParagraph"/>
        <w:numPr>
          <w:ilvl w:val="0"/>
          <w:numId w:val="13"/>
        </w:numPr>
        <w:rPr>
          <w:sz w:val="24"/>
          <w:szCs w:val="24"/>
        </w:rPr>
      </w:pPr>
      <w:r w:rsidRPr="006839CE">
        <w:rPr>
          <w:rFonts w:ascii="Calibri Light" w:hAnsi="Calibri Light"/>
          <w:szCs w:val="22"/>
        </w:rPr>
        <w:t>Establish clear referral pathways</w:t>
      </w:r>
      <w:r w:rsidR="006839CE">
        <w:rPr>
          <w:rFonts w:ascii="Calibri Light" w:hAnsi="Calibri Light"/>
          <w:szCs w:val="22"/>
        </w:rPr>
        <w:t xml:space="preserve"> for child survivors of violence</w:t>
      </w:r>
      <w:r w:rsidRPr="006839CE">
        <w:rPr>
          <w:rFonts w:ascii="Calibri Light" w:hAnsi="Calibri Light"/>
          <w:szCs w:val="22"/>
        </w:rPr>
        <w:t xml:space="preserve"> at site level</w:t>
      </w:r>
      <w:r w:rsidR="006839CE">
        <w:rPr>
          <w:rFonts w:ascii="Calibri Light" w:hAnsi="Calibri Light"/>
          <w:szCs w:val="22"/>
        </w:rPr>
        <w:t>.</w:t>
      </w:r>
    </w:p>
    <w:p w14:paraId="527E7508" w14:textId="05FA0A9E" w:rsidR="002B6968" w:rsidRPr="006839CE" w:rsidRDefault="002B6968" w:rsidP="00FD4F4B">
      <w:pPr>
        <w:pStyle w:val="ListParagraph"/>
        <w:numPr>
          <w:ilvl w:val="0"/>
          <w:numId w:val="13"/>
        </w:numPr>
        <w:rPr>
          <w:sz w:val="24"/>
          <w:szCs w:val="24"/>
        </w:rPr>
      </w:pPr>
      <w:r w:rsidRPr="006839CE">
        <w:rPr>
          <w:rFonts w:ascii="Calibri Light" w:hAnsi="Calibri Light"/>
          <w:szCs w:val="22"/>
        </w:rPr>
        <w:t xml:space="preserve">Integrate GBV prevention and mitigation into </w:t>
      </w:r>
      <w:r w:rsidR="006839CE">
        <w:rPr>
          <w:rFonts w:ascii="Calibri Light" w:hAnsi="Calibri Light"/>
          <w:szCs w:val="22"/>
        </w:rPr>
        <w:t xml:space="preserve">routine </w:t>
      </w:r>
      <w:r w:rsidRPr="006839CE">
        <w:rPr>
          <w:rFonts w:ascii="Calibri Light" w:hAnsi="Calibri Light"/>
          <w:szCs w:val="22"/>
        </w:rPr>
        <w:t xml:space="preserve">protection monitoring </w:t>
      </w:r>
      <w:r w:rsidR="006839CE">
        <w:rPr>
          <w:rFonts w:ascii="Calibri Light" w:hAnsi="Calibri Light"/>
          <w:szCs w:val="22"/>
        </w:rPr>
        <w:t>exercises.</w:t>
      </w:r>
    </w:p>
    <w:p w14:paraId="77DB8710" w14:textId="28F352FC" w:rsidR="002B6968" w:rsidRPr="006839CE" w:rsidRDefault="006839CE" w:rsidP="00FD4F4B">
      <w:pPr>
        <w:pStyle w:val="ListParagraph"/>
        <w:numPr>
          <w:ilvl w:val="0"/>
          <w:numId w:val="13"/>
        </w:numPr>
        <w:rPr>
          <w:sz w:val="24"/>
          <w:szCs w:val="24"/>
        </w:rPr>
      </w:pPr>
      <w:r>
        <w:rPr>
          <w:rFonts w:ascii="Calibri Light" w:hAnsi="Calibri Light"/>
          <w:szCs w:val="22"/>
        </w:rPr>
        <w:t>Integrate GBV as a risk factor in r</w:t>
      </w:r>
      <w:r w:rsidR="00186578" w:rsidRPr="006839CE">
        <w:rPr>
          <w:rFonts w:ascii="Calibri Light" w:hAnsi="Calibri Light"/>
          <w:szCs w:val="22"/>
        </w:rPr>
        <w:t>egistration and</w:t>
      </w:r>
      <w:r w:rsidR="002B6968" w:rsidRPr="006839CE">
        <w:rPr>
          <w:rFonts w:ascii="Calibri Light" w:hAnsi="Calibri Light"/>
          <w:szCs w:val="22"/>
        </w:rPr>
        <w:t xml:space="preserve"> relocation process</w:t>
      </w:r>
      <w:r>
        <w:rPr>
          <w:rFonts w:ascii="Calibri Light" w:hAnsi="Calibri Light"/>
          <w:szCs w:val="22"/>
        </w:rPr>
        <w:t>es.</w:t>
      </w:r>
    </w:p>
    <w:p w14:paraId="40E5FCC6" w14:textId="19C34585" w:rsidR="00186578" w:rsidRPr="006839CE" w:rsidRDefault="00186578" w:rsidP="00FD4F4B">
      <w:pPr>
        <w:pStyle w:val="ListParagraph"/>
        <w:numPr>
          <w:ilvl w:val="0"/>
          <w:numId w:val="13"/>
        </w:numPr>
        <w:rPr>
          <w:sz w:val="24"/>
          <w:szCs w:val="24"/>
        </w:rPr>
      </w:pPr>
      <w:r w:rsidRPr="006839CE">
        <w:rPr>
          <w:rFonts w:ascii="Calibri Light" w:hAnsi="Calibri Light"/>
          <w:szCs w:val="22"/>
        </w:rPr>
        <w:t xml:space="preserve">Strengthen and support community based protection mechanisms </w:t>
      </w:r>
      <w:r w:rsidR="006839CE">
        <w:rPr>
          <w:rFonts w:ascii="Calibri Light" w:hAnsi="Calibri Light"/>
          <w:szCs w:val="22"/>
        </w:rPr>
        <w:t>with an analysis of GBV issues and considerations.</w:t>
      </w:r>
    </w:p>
    <w:p w14:paraId="0FC509FA" w14:textId="77777777" w:rsidR="00FD4F4B" w:rsidRPr="00B979CA" w:rsidRDefault="00FD4F4B" w:rsidP="00FD4F4B">
      <w:pPr>
        <w:pStyle w:val="ListParagraph"/>
        <w:rPr>
          <w:sz w:val="24"/>
          <w:szCs w:val="24"/>
        </w:rPr>
      </w:pPr>
    </w:p>
    <w:p w14:paraId="151C6F99" w14:textId="77777777" w:rsidR="00FD4F4B" w:rsidRPr="003F04F2" w:rsidRDefault="00FD4F4B" w:rsidP="00FD4F4B">
      <w:pPr>
        <w:rPr>
          <w:rFonts w:ascii="Calibri" w:hAnsi="Calibri"/>
          <w:sz w:val="24"/>
          <w:szCs w:val="24"/>
        </w:rPr>
      </w:pPr>
      <w:r>
        <w:rPr>
          <w:rFonts w:ascii="Calibri" w:hAnsi="Calibri"/>
          <w:sz w:val="24"/>
          <w:szCs w:val="24"/>
        </w:rPr>
        <w:t>Recommendations for Protection and Child Protection partners</w:t>
      </w:r>
    </w:p>
    <w:p w14:paraId="7EF207C3" w14:textId="77777777" w:rsidR="00FD4F4B" w:rsidRPr="00BE7582" w:rsidRDefault="00FD4F4B" w:rsidP="00FD4F4B">
      <w:pPr>
        <w:pBdr>
          <w:top w:val="single" w:sz="4" w:space="1" w:color="auto"/>
          <w:left w:val="single" w:sz="4" w:space="4" w:color="auto"/>
          <w:bottom w:val="single" w:sz="4" w:space="1" w:color="auto"/>
          <w:right w:val="single" w:sz="4" w:space="4" w:color="auto"/>
        </w:pBdr>
        <w:spacing w:line="240" w:lineRule="auto"/>
        <w:rPr>
          <w:rFonts w:ascii="Calibri" w:hAnsi="Calibri"/>
          <w:i/>
          <w:sz w:val="20"/>
          <w:szCs w:val="20"/>
        </w:rPr>
      </w:pPr>
      <w:r w:rsidRPr="00BE7582">
        <w:rPr>
          <w:rFonts w:ascii="Calibri" w:hAnsi="Calibri"/>
          <w:b/>
          <w:i/>
          <w:sz w:val="20"/>
          <w:szCs w:val="20"/>
        </w:rPr>
        <w:t xml:space="preserve">Note: </w:t>
      </w:r>
      <w:r>
        <w:rPr>
          <w:rFonts w:ascii="Calibri" w:hAnsi="Calibri"/>
          <w:i/>
          <w:sz w:val="20"/>
          <w:szCs w:val="20"/>
        </w:rPr>
        <w:t>these recommendations</w:t>
      </w:r>
      <w:r w:rsidRPr="00BE7582">
        <w:rPr>
          <w:rFonts w:ascii="Calibri" w:hAnsi="Calibri"/>
          <w:i/>
          <w:sz w:val="20"/>
          <w:szCs w:val="20"/>
        </w:rPr>
        <w:t xml:space="preserve"> are suggested by the GBV Guidelines Training Specialists based on their experiences </w:t>
      </w:r>
      <w:r>
        <w:rPr>
          <w:rFonts w:ascii="Calibri" w:hAnsi="Calibri"/>
          <w:i/>
          <w:sz w:val="20"/>
          <w:szCs w:val="20"/>
        </w:rPr>
        <w:t xml:space="preserve">during the </w:t>
      </w:r>
      <w:r w:rsidRPr="00BE7582">
        <w:rPr>
          <w:rFonts w:ascii="Calibri" w:hAnsi="Calibri"/>
          <w:i/>
          <w:sz w:val="20"/>
          <w:szCs w:val="20"/>
        </w:rPr>
        <w:t>training</w:t>
      </w:r>
      <w:r>
        <w:rPr>
          <w:rFonts w:ascii="Calibri" w:hAnsi="Calibri"/>
          <w:i/>
          <w:sz w:val="20"/>
          <w:szCs w:val="20"/>
        </w:rPr>
        <w:t>s</w:t>
      </w:r>
      <w:r w:rsidRPr="00BE7582">
        <w:rPr>
          <w:rFonts w:ascii="Calibri" w:hAnsi="Calibri"/>
          <w:i/>
          <w:sz w:val="20"/>
          <w:szCs w:val="20"/>
        </w:rPr>
        <w:t xml:space="preserve">. </w:t>
      </w:r>
    </w:p>
    <w:p w14:paraId="2620B31C" w14:textId="77777777" w:rsidR="00FD4F4B" w:rsidRPr="00BE7582" w:rsidRDefault="00FD4F4B" w:rsidP="00FD4F4B">
      <w:pPr>
        <w:pBdr>
          <w:top w:val="single" w:sz="4" w:space="1" w:color="auto"/>
          <w:left w:val="single" w:sz="4" w:space="4" w:color="auto"/>
          <w:bottom w:val="single" w:sz="4" w:space="1" w:color="auto"/>
          <w:right w:val="single" w:sz="4" w:space="4" w:color="auto"/>
        </w:pBdr>
        <w:spacing w:line="240" w:lineRule="auto"/>
        <w:rPr>
          <w:rFonts w:ascii="Calibri" w:hAnsi="Calibri"/>
          <w:i/>
          <w:sz w:val="20"/>
          <w:szCs w:val="20"/>
        </w:rPr>
      </w:pPr>
    </w:p>
    <w:p w14:paraId="4F8408F8" w14:textId="77777777" w:rsidR="00FD4F4B" w:rsidRPr="00F52430" w:rsidRDefault="00FD4F4B" w:rsidP="00FD4F4B">
      <w:pPr>
        <w:pBdr>
          <w:top w:val="single" w:sz="4" w:space="1" w:color="auto"/>
          <w:left w:val="single" w:sz="4" w:space="4" w:color="auto"/>
          <w:bottom w:val="single" w:sz="4" w:space="1" w:color="auto"/>
          <w:right w:val="single" w:sz="4" w:space="4" w:color="auto"/>
        </w:pBdr>
        <w:spacing w:line="240" w:lineRule="auto"/>
        <w:rPr>
          <w:rFonts w:ascii="Calibri" w:hAnsi="Calibri"/>
          <w:i/>
          <w:sz w:val="20"/>
          <w:szCs w:val="20"/>
        </w:rPr>
      </w:pPr>
      <w:r w:rsidRPr="00BE7582">
        <w:rPr>
          <w:rFonts w:ascii="Calibri" w:hAnsi="Calibri"/>
          <w:b/>
          <w:i/>
          <w:sz w:val="20"/>
          <w:szCs w:val="20"/>
        </w:rPr>
        <w:t>Instructions:</w:t>
      </w:r>
      <w:r w:rsidRPr="00BE7582">
        <w:rPr>
          <w:rFonts w:ascii="Calibri" w:hAnsi="Calibri"/>
          <w:i/>
          <w:sz w:val="20"/>
          <w:szCs w:val="20"/>
        </w:rPr>
        <w:t xml:space="preserve"> the </w:t>
      </w:r>
      <w:r>
        <w:rPr>
          <w:rFonts w:ascii="Calibri" w:hAnsi="Calibri"/>
          <w:i/>
          <w:sz w:val="20"/>
          <w:szCs w:val="20"/>
        </w:rPr>
        <w:t>recommendation</w:t>
      </w:r>
      <w:r w:rsidRPr="00BE7582">
        <w:rPr>
          <w:rFonts w:ascii="Calibri" w:hAnsi="Calibri"/>
          <w:i/>
          <w:sz w:val="20"/>
          <w:szCs w:val="20"/>
        </w:rPr>
        <w:t>s noted below should be considered draft and feedback from country teams is welcome.</w:t>
      </w:r>
    </w:p>
    <w:p w14:paraId="1758FD18" w14:textId="77777777" w:rsidR="00FD4F4B" w:rsidRDefault="00FD4F4B" w:rsidP="00FD4F4B">
      <w:pPr>
        <w:rPr>
          <w:rFonts w:ascii="Calibri" w:hAnsi="Calibri"/>
          <w:sz w:val="24"/>
          <w:szCs w:val="24"/>
        </w:rPr>
      </w:pPr>
    </w:p>
    <w:p w14:paraId="72E90A36" w14:textId="6D875498" w:rsidR="00F7253D" w:rsidRPr="006839CE" w:rsidRDefault="00186578">
      <w:pPr>
        <w:pStyle w:val="ListParagraph"/>
        <w:numPr>
          <w:ilvl w:val="0"/>
          <w:numId w:val="34"/>
        </w:numPr>
        <w:rPr>
          <w:sz w:val="24"/>
          <w:szCs w:val="24"/>
        </w:rPr>
      </w:pPr>
      <w:r w:rsidRPr="006839CE">
        <w:rPr>
          <w:rFonts w:ascii="Calibri Light" w:hAnsi="Calibri Light"/>
          <w:szCs w:val="22"/>
        </w:rPr>
        <w:t xml:space="preserve">Work with key stakeholders, </w:t>
      </w:r>
      <w:r w:rsidR="00F7253D" w:rsidRPr="006839CE">
        <w:rPr>
          <w:rFonts w:ascii="Calibri Light" w:hAnsi="Calibri Light"/>
          <w:szCs w:val="22"/>
        </w:rPr>
        <w:t>at</w:t>
      </w:r>
      <w:r w:rsidRPr="006839CE">
        <w:rPr>
          <w:rFonts w:ascii="Calibri Light" w:hAnsi="Calibri Light"/>
          <w:szCs w:val="22"/>
        </w:rPr>
        <w:t xml:space="preserve"> a</w:t>
      </w:r>
      <w:r w:rsidR="00F7253D" w:rsidRPr="006839CE">
        <w:rPr>
          <w:rFonts w:ascii="Calibri Light" w:hAnsi="Calibri Light"/>
          <w:szCs w:val="22"/>
        </w:rPr>
        <w:t xml:space="preserve"> site level</w:t>
      </w:r>
      <w:r w:rsidRPr="006839CE">
        <w:rPr>
          <w:rFonts w:ascii="Calibri Light" w:hAnsi="Calibri Light"/>
          <w:szCs w:val="22"/>
        </w:rPr>
        <w:t>, to map</w:t>
      </w:r>
      <w:r w:rsidR="00F7253D" w:rsidRPr="006839CE">
        <w:rPr>
          <w:rFonts w:ascii="Calibri Light" w:hAnsi="Calibri Light"/>
          <w:szCs w:val="22"/>
        </w:rPr>
        <w:t xml:space="preserve"> CP services</w:t>
      </w:r>
      <w:r w:rsidRPr="006839CE">
        <w:rPr>
          <w:rFonts w:ascii="Calibri Light" w:hAnsi="Calibri Light"/>
          <w:szCs w:val="22"/>
        </w:rPr>
        <w:t xml:space="preserve"> available</w:t>
      </w:r>
      <w:r w:rsidR="00F7253D" w:rsidRPr="006839CE">
        <w:rPr>
          <w:rFonts w:ascii="Calibri Light" w:hAnsi="Calibri Light"/>
          <w:szCs w:val="22"/>
        </w:rPr>
        <w:t>, inclusive of PSS support for GBV victims</w:t>
      </w:r>
      <w:r w:rsidRPr="006839CE">
        <w:rPr>
          <w:rFonts w:ascii="Calibri Light" w:hAnsi="Calibri Light"/>
          <w:szCs w:val="22"/>
        </w:rPr>
        <w:t xml:space="preserve">. Ensure staff are trained on the referral pathway, with considerations for children, and that the affected population receives messaging on their rights and services available. </w:t>
      </w:r>
    </w:p>
    <w:p w14:paraId="34C33B03" w14:textId="1233FFB7" w:rsidR="0066785F" w:rsidRPr="006839CE" w:rsidRDefault="0066785F">
      <w:pPr>
        <w:pStyle w:val="ListParagraph"/>
        <w:numPr>
          <w:ilvl w:val="0"/>
          <w:numId w:val="34"/>
        </w:numPr>
        <w:rPr>
          <w:sz w:val="24"/>
          <w:szCs w:val="24"/>
        </w:rPr>
      </w:pPr>
      <w:r>
        <w:rPr>
          <w:rFonts w:ascii="Calibri Light" w:hAnsi="Calibri Light"/>
          <w:szCs w:val="22"/>
        </w:rPr>
        <w:t xml:space="preserve">Work across shelter, SMS, WASH, education and health sectors to integrate a focus on child-friendly services, especially for those at heightened risk for exclusion or vulnerable to GBV; children with disabilities and girls menstruating amongst others.  </w:t>
      </w:r>
    </w:p>
    <w:p w14:paraId="543C1897" w14:textId="26D4585C" w:rsidR="00F7253D" w:rsidRPr="006839CE" w:rsidRDefault="00F7253D">
      <w:pPr>
        <w:pStyle w:val="ListParagraph"/>
        <w:numPr>
          <w:ilvl w:val="0"/>
          <w:numId w:val="34"/>
        </w:numPr>
        <w:rPr>
          <w:sz w:val="24"/>
          <w:szCs w:val="24"/>
        </w:rPr>
      </w:pPr>
      <w:r w:rsidRPr="006839CE">
        <w:rPr>
          <w:rFonts w:ascii="Calibri Light" w:hAnsi="Calibri Light"/>
          <w:szCs w:val="22"/>
        </w:rPr>
        <w:t>Integrate GBV risks for children in site audi</w:t>
      </w:r>
      <w:r w:rsidR="0066785F">
        <w:rPr>
          <w:rFonts w:ascii="Calibri Light" w:hAnsi="Calibri Light"/>
          <w:szCs w:val="22"/>
        </w:rPr>
        <w:t xml:space="preserve">t </w:t>
      </w:r>
      <w:r w:rsidRPr="006839CE">
        <w:rPr>
          <w:rFonts w:ascii="Calibri Light" w:hAnsi="Calibri Light"/>
          <w:szCs w:val="22"/>
        </w:rPr>
        <w:t xml:space="preserve">and </w:t>
      </w:r>
      <w:r w:rsidR="0066785F">
        <w:rPr>
          <w:rFonts w:ascii="Calibri Light" w:hAnsi="Calibri Light"/>
          <w:szCs w:val="22"/>
        </w:rPr>
        <w:t>protection monitoring tools</w:t>
      </w:r>
      <w:r w:rsidR="00186578" w:rsidRPr="006839CE">
        <w:rPr>
          <w:rFonts w:ascii="Calibri Light" w:hAnsi="Calibri Light"/>
          <w:szCs w:val="22"/>
        </w:rPr>
        <w:t xml:space="preserve">. </w:t>
      </w:r>
      <w:r w:rsidRPr="006839CE">
        <w:rPr>
          <w:rFonts w:ascii="Calibri Light" w:hAnsi="Calibri Light"/>
          <w:szCs w:val="22"/>
        </w:rPr>
        <w:t xml:space="preserve"> </w:t>
      </w:r>
      <w:r w:rsidR="00186578" w:rsidRPr="006839CE">
        <w:rPr>
          <w:rFonts w:ascii="Calibri Light" w:hAnsi="Calibri Light"/>
          <w:szCs w:val="22"/>
        </w:rPr>
        <w:t xml:space="preserve">Work with shelter, SMS and protection staff on a site level to map protection risks; inclusive of infrastructure, housing allocation, site management and access to services, i.e. child learning / friendly spaces, food distribution, etc. </w:t>
      </w:r>
    </w:p>
    <w:p w14:paraId="4C1C5BBF" w14:textId="1735C882" w:rsidR="00F7253D" w:rsidRPr="006839CE" w:rsidRDefault="00186578" w:rsidP="00F7253D">
      <w:pPr>
        <w:pStyle w:val="ListParagraph"/>
        <w:numPr>
          <w:ilvl w:val="0"/>
          <w:numId w:val="34"/>
        </w:numPr>
        <w:rPr>
          <w:rFonts w:ascii="Calibri Light" w:hAnsi="Calibri Light"/>
          <w:szCs w:val="22"/>
        </w:rPr>
      </w:pPr>
      <w:r w:rsidRPr="006839CE">
        <w:rPr>
          <w:rFonts w:ascii="Calibri Light" w:hAnsi="Calibri Light"/>
          <w:szCs w:val="22"/>
        </w:rPr>
        <w:t>Ensure that staff are adequately trained on protection considerations throughout registration processes, for example</w:t>
      </w:r>
      <w:r w:rsidR="007D6C8D">
        <w:rPr>
          <w:rFonts w:ascii="Calibri Light" w:hAnsi="Calibri Light"/>
          <w:szCs w:val="22"/>
        </w:rPr>
        <w:t>,</w:t>
      </w:r>
      <w:r w:rsidRPr="006839CE">
        <w:rPr>
          <w:rFonts w:ascii="Calibri Light" w:hAnsi="Calibri Light"/>
          <w:szCs w:val="22"/>
        </w:rPr>
        <w:t xml:space="preserve"> risks inherent when only male heads of households are registered. It would also assist the identification of vulnerable groups to ensure female cultural mediators and translators are available and a safe confidential space provided at registration points</w:t>
      </w:r>
      <w:r w:rsidR="007D6C8D">
        <w:rPr>
          <w:rFonts w:ascii="Calibri Light" w:hAnsi="Calibri Light"/>
          <w:szCs w:val="22"/>
        </w:rPr>
        <w:t xml:space="preserve"> for vulnerable groups, GBV survivors and trafficked children amongst others</w:t>
      </w:r>
      <w:r w:rsidRPr="006839CE">
        <w:rPr>
          <w:rFonts w:ascii="Calibri Light" w:hAnsi="Calibri Light"/>
          <w:szCs w:val="22"/>
        </w:rPr>
        <w:t xml:space="preserve">. </w:t>
      </w:r>
    </w:p>
    <w:p w14:paraId="2822F77D" w14:textId="77777777" w:rsidR="00FD4F4B" w:rsidRDefault="00FD4F4B" w:rsidP="00FD4F4B">
      <w:pPr>
        <w:rPr>
          <w:rFonts w:ascii="Calibri Light" w:hAnsi="Calibri Light"/>
        </w:rPr>
      </w:pPr>
    </w:p>
    <w:p w14:paraId="607D4DB3" w14:textId="1F9E4A93" w:rsidR="00FD4F4B" w:rsidRPr="00826BD1" w:rsidRDefault="00FD4F4B" w:rsidP="00FD4F4B">
      <w:pPr>
        <w:spacing w:line="240" w:lineRule="auto"/>
        <w:rPr>
          <w:rFonts w:ascii="Calibri Light" w:hAnsi="Calibri Light"/>
        </w:rPr>
      </w:pPr>
    </w:p>
    <w:sectPr w:rsidR="00FD4F4B" w:rsidRPr="00826BD1" w:rsidSect="00AF7246">
      <w:headerReference w:type="default" r:id="rId12"/>
      <w:footerReference w:type="even" r:id="rId13"/>
      <w:footerReference w:type="default" r:id="rId14"/>
      <w:pgSz w:w="11894" w:h="16834"/>
      <w:pgMar w:top="1530" w:right="720" w:bottom="720" w:left="720" w:header="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952A16" w15:done="0"/>
  <w15:commentEx w15:paraId="6DC7F0FA" w15:done="0"/>
  <w15:commentEx w15:paraId="3FEA914D" w15:done="0"/>
  <w15:commentEx w15:paraId="3DAA3A31" w15:done="0"/>
  <w15:commentEx w15:paraId="25134806" w15:done="0"/>
  <w15:commentEx w15:paraId="481468E8" w15:done="0"/>
  <w15:commentEx w15:paraId="6A9B898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CDD2D" w14:textId="77777777" w:rsidR="007F40AA" w:rsidRDefault="007F40AA" w:rsidP="00201330">
      <w:pPr>
        <w:spacing w:line="240" w:lineRule="auto"/>
      </w:pPr>
      <w:r>
        <w:separator/>
      </w:r>
    </w:p>
  </w:endnote>
  <w:endnote w:type="continuationSeparator" w:id="0">
    <w:p w14:paraId="03571D74" w14:textId="77777777" w:rsidR="007F40AA" w:rsidRDefault="007F40AA" w:rsidP="002013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tlingmes New Roman PSMT"/>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altName w:val="Times New Roman"/>
    <w:panose1 w:val="020B0600040502020204"/>
    <w:charset w:val="00"/>
    <w:family w:val="auto"/>
    <w:pitch w:val="variable"/>
    <w:sig w:usb0="E1000AEF" w:usb1="5000A1FF" w:usb2="00000000" w:usb3="00000000" w:csb0="000001BF" w:csb1="00000000"/>
  </w:font>
  <w:font w:name="Calibri Light">
    <w:panose1 w:val="020F0302020204030204"/>
    <w:charset w:val="00"/>
    <w:family w:val="auto"/>
    <w:pitch w:val="variable"/>
    <w:sig w:usb0="A00002EF" w:usb1="4000207B" w:usb2="00000000" w:usb3="00000000" w:csb0="0000009F" w:csb1="00000000"/>
  </w:font>
  <w:font w:name="Times">
    <w:panose1 w:val="02000500000000000000"/>
    <w:charset w:val="00"/>
    <w:family w:val="auto"/>
    <w:pitch w:val="variable"/>
    <w:sig w:usb0="00000003" w:usb1="00000000" w:usb2="00000000" w:usb3="00000000" w:csb0="00000001" w:csb1="00000000"/>
  </w:font>
  <w:font w:name="Univers 57 Condensed">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0106C" w14:textId="77777777" w:rsidR="007F40AA" w:rsidRDefault="007F40AA" w:rsidP="00EC45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EBFB99" w14:textId="77777777" w:rsidR="007F40AA" w:rsidRDefault="007F40AA" w:rsidP="00C256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62212" w14:textId="77777777" w:rsidR="007F40AA" w:rsidRPr="00D93DE6" w:rsidRDefault="007F40AA" w:rsidP="00EC4572">
    <w:pPr>
      <w:pStyle w:val="Footer"/>
      <w:framePr w:wrap="around" w:vAnchor="text" w:hAnchor="margin" w:xAlign="right" w:y="1"/>
      <w:rPr>
        <w:rStyle w:val="PageNumber"/>
        <w:rFonts w:ascii="Calibri Light" w:hAnsi="Calibri Light"/>
        <w:sz w:val="20"/>
        <w:szCs w:val="20"/>
      </w:rPr>
    </w:pPr>
    <w:r w:rsidRPr="00D93DE6">
      <w:rPr>
        <w:rStyle w:val="PageNumber"/>
        <w:rFonts w:ascii="Calibri Light" w:hAnsi="Calibri Light"/>
        <w:sz w:val="20"/>
        <w:szCs w:val="20"/>
      </w:rPr>
      <w:fldChar w:fldCharType="begin"/>
    </w:r>
    <w:r w:rsidRPr="00D93DE6">
      <w:rPr>
        <w:rStyle w:val="PageNumber"/>
        <w:rFonts w:ascii="Calibri Light" w:hAnsi="Calibri Light"/>
        <w:sz w:val="20"/>
        <w:szCs w:val="20"/>
      </w:rPr>
      <w:instrText xml:space="preserve">PAGE  </w:instrText>
    </w:r>
    <w:r w:rsidRPr="00D93DE6">
      <w:rPr>
        <w:rStyle w:val="PageNumber"/>
        <w:rFonts w:ascii="Calibri Light" w:hAnsi="Calibri Light"/>
        <w:sz w:val="20"/>
        <w:szCs w:val="20"/>
      </w:rPr>
      <w:fldChar w:fldCharType="separate"/>
    </w:r>
    <w:r w:rsidR="00CB27B8">
      <w:rPr>
        <w:rStyle w:val="PageNumber"/>
        <w:rFonts w:ascii="Calibri Light" w:hAnsi="Calibri Light"/>
        <w:noProof/>
        <w:sz w:val="20"/>
        <w:szCs w:val="20"/>
      </w:rPr>
      <w:t>1</w:t>
    </w:r>
    <w:r w:rsidRPr="00D93DE6">
      <w:rPr>
        <w:rStyle w:val="PageNumber"/>
        <w:rFonts w:ascii="Calibri Light" w:hAnsi="Calibri Light"/>
        <w:sz w:val="20"/>
        <w:szCs w:val="20"/>
      </w:rPr>
      <w:fldChar w:fldCharType="end"/>
    </w:r>
  </w:p>
  <w:p w14:paraId="02DBF9FA" w14:textId="77777777" w:rsidR="007F40AA" w:rsidRDefault="007F40AA" w:rsidP="00C2560F">
    <w:pPr>
      <w:pStyle w:val="Footer"/>
      <w:ind w:right="360"/>
      <w:rPr>
        <w:rFonts w:ascii="Calibri" w:hAnsi="Calibri"/>
        <w:sz w:val="20"/>
        <w:szCs w:val="20"/>
      </w:rPr>
    </w:pPr>
  </w:p>
  <w:p w14:paraId="49E04BBB" w14:textId="173C642E" w:rsidR="007F40AA" w:rsidRPr="00037164" w:rsidRDefault="007F40AA" w:rsidP="00C2560F">
    <w:pPr>
      <w:pStyle w:val="Footer"/>
      <w:ind w:right="360"/>
      <w:rPr>
        <w:rFonts w:ascii="Calibri" w:hAnsi="Calibri"/>
        <w:sz w:val="20"/>
        <w:szCs w:val="20"/>
      </w:rPr>
    </w:pPr>
    <w:r>
      <w:rPr>
        <w:rFonts w:ascii="Calibri" w:hAnsi="Calibri"/>
        <w:sz w:val="20"/>
        <w:szCs w:val="20"/>
      </w:rPr>
      <w:t>For more information: Visit</w:t>
    </w:r>
    <w:r w:rsidRPr="00037164">
      <w:rPr>
        <w:rFonts w:ascii="Calibri" w:hAnsi="Calibri"/>
        <w:sz w:val="20"/>
        <w:szCs w:val="20"/>
      </w:rPr>
      <w:t xml:space="preserve"> </w:t>
    </w:r>
    <w:hyperlink r:id="rId1" w:history="1">
      <w:r w:rsidRPr="00787599">
        <w:rPr>
          <w:rStyle w:val="Hyperlink"/>
          <w:rFonts w:ascii="Calibri" w:hAnsi="Calibri"/>
          <w:sz w:val="20"/>
          <w:szCs w:val="20"/>
        </w:rPr>
        <w:t>www.gbvguidelines.org</w:t>
      </w:r>
    </w:hyperlink>
    <w:r>
      <w:rPr>
        <w:rFonts w:ascii="Calibri" w:hAnsi="Calibri"/>
        <w:sz w:val="20"/>
        <w:szCs w:val="20"/>
      </w:rPr>
      <w:t xml:space="preserve"> or contact Erin Patrick, IASC GBV Guidelines Coordinator, at </w:t>
    </w:r>
    <w:hyperlink r:id="rId2" w:history="1">
      <w:r w:rsidRPr="00536AB7">
        <w:rPr>
          <w:rStyle w:val="Hyperlink"/>
          <w:rFonts w:ascii="Calibri" w:hAnsi="Calibri"/>
          <w:sz w:val="20"/>
          <w:szCs w:val="20"/>
        </w:rPr>
        <w:t>gbv.guidelines@gmail.com</w:t>
      </w:r>
    </w:hyperlink>
    <w:r>
      <w:rPr>
        <w:rFonts w:ascii="Calibri" w:hAnsi="Calibri"/>
        <w:sz w:val="20"/>
        <w:szCs w:val="20"/>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7C139" w14:textId="77777777" w:rsidR="007F40AA" w:rsidRDefault="007F40AA" w:rsidP="00201330">
      <w:pPr>
        <w:spacing w:line="240" w:lineRule="auto"/>
      </w:pPr>
      <w:r>
        <w:separator/>
      </w:r>
    </w:p>
  </w:footnote>
  <w:footnote w:type="continuationSeparator" w:id="0">
    <w:p w14:paraId="2745AEC3" w14:textId="77777777" w:rsidR="007F40AA" w:rsidRDefault="007F40AA" w:rsidP="00201330">
      <w:pPr>
        <w:spacing w:line="240" w:lineRule="auto"/>
      </w:pPr>
      <w:r>
        <w:continuationSeparator/>
      </w:r>
    </w:p>
  </w:footnote>
  <w:footnote w:id="1">
    <w:p w14:paraId="5ED063B7" w14:textId="3A9C9BB5" w:rsidR="007F40AA" w:rsidRPr="00814409" w:rsidRDefault="007F40AA" w:rsidP="00A6065F">
      <w:pPr>
        <w:widowControl w:val="0"/>
        <w:autoSpaceDE w:val="0"/>
        <w:autoSpaceDN w:val="0"/>
        <w:adjustRightInd w:val="0"/>
        <w:spacing w:line="240" w:lineRule="auto"/>
        <w:ind w:left="86"/>
        <w:jc w:val="both"/>
        <w:rPr>
          <w:rFonts w:ascii="Calibri Light" w:hAnsi="Calibri Light" w:cs="Times"/>
          <w:i/>
          <w:color w:val="262626"/>
          <w:sz w:val="18"/>
          <w:szCs w:val="18"/>
        </w:rPr>
      </w:pPr>
      <w:r w:rsidRPr="00814409">
        <w:rPr>
          <w:rStyle w:val="FootnoteReference"/>
          <w:rFonts w:ascii="Calibri Light" w:hAnsi="Calibri Light"/>
          <w:i/>
          <w:sz w:val="18"/>
          <w:szCs w:val="18"/>
        </w:rPr>
        <w:footnoteRef/>
      </w:r>
      <w:r w:rsidRPr="00814409">
        <w:rPr>
          <w:rFonts w:ascii="Calibri Light" w:hAnsi="Calibri Light"/>
          <w:i/>
          <w:sz w:val="18"/>
          <w:szCs w:val="18"/>
        </w:rPr>
        <w:t xml:space="preserve"> </w:t>
      </w:r>
      <w:r w:rsidRPr="00814409">
        <w:rPr>
          <w:rFonts w:ascii="Calibri Light" w:hAnsi="Calibri Light" w:cs="Times"/>
          <w:i/>
          <w:color w:val="262626"/>
          <w:sz w:val="18"/>
          <w:szCs w:val="18"/>
        </w:rPr>
        <w:t xml:space="preserve">The IASC GBV Guidelines (revised from the 2005 version) are a practical, field-tested tool that recognize the particularly high risk for women and girls of GBV in crisis-affected settings, and provide guidance for humanitarian actors and communities affected by conflict and disasters on essential actions across all sectors of humanitarian response – resulting in safer and more effective programmes. </w:t>
      </w:r>
      <w:r w:rsidRPr="00814409">
        <w:rPr>
          <w:rFonts w:ascii="Calibri Light" w:hAnsi="Calibri Light"/>
          <w:i/>
          <w:sz w:val="18"/>
          <w:szCs w:val="18"/>
        </w:rPr>
        <w:t xml:space="preserve">The GBV Guidelines are targeted to non-GBV specialists – that is, national and international humanitarian actors across all levels and sectors of humanitarian response, who can and should undertake actions within their day-to-day operations to prevent and mitigate the risk of GBV faced by the people and communities they serve. </w:t>
      </w:r>
    </w:p>
    <w:p w14:paraId="0BC183D0" w14:textId="51E1D943" w:rsidR="007F40AA" w:rsidRDefault="007F40AA">
      <w:pPr>
        <w:pStyle w:val="FootnoteText"/>
      </w:pPr>
    </w:p>
  </w:footnote>
  <w:footnote w:id="2">
    <w:p w14:paraId="7CAEE1DE" w14:textId="1E478DB5" w:rsidR="007F40AA" w:rsidRPr="00A6065F" w:rsidRDefault="007F40AA" w:rsidP="00A6065F">
      <w:pPr>
        <w:pStyle w:val="FootnoteText"/>
        <w:rPr>
          <w:sz w:val="18"/>
          <w:szCs w:val="18"/>
        </w:rPr>
      </w:pPr>
      <w:r w:rsidRPr="00814409">
        <w:rPr>
          <w:rStyle w:val="FootnoteReference"/>
          <w:rFonts w:ascii="Calibri Light" w:hAnsi="Calibri Light"/>
          <w:i/>
          <w:sz w:val="18"/>
          <w:szCs w:val="18"/>
        </w:rPr>
        <w:footnoteRef/>
      </w:r>
      <w:r w:rsidRPr="00814409">
        <w:rPr>
          <w:rFonts w:ascii="Calibri Light" w:hAnsi="Calibri Light"/>
          <w:i/>
          <w:sz w:val="18"/>
          <w:szCs w:val="18"/>
        </w:rPr>
        <w:t xml:space="preserve"> These recommendations are specific to the </w:t>
      </w:r>
      <w:r>
        <w:rPr>
          <w:rFonts w:ascii="Calibri Light" w:hAnsi="Calibri Light"/>
          <w:i/>
          <w:sz w:val="18"/>
          <w:szCs w:val="18"/>
        </w:rPr>
        <w:t>Greece</w:t>
      </w:r>
      <w:r w:rsidRPr="00814409">
        <w:rPr>
          <w:rFonts w:ascii="Calibri Light" w:hAnsi="Calibri Light"/>
          <w:i/>
          <w:sz w:val="18"/>
          <w:szCs w:val="18"/>
        </w:rPr>
        <w:t xml:space="preserve"> context but based on the generalized recommendations for ensuring implementation contained within the GBV Guidelines or additional information please see “Ensuring Implementation,” beginning on p.18 of the Guidelines, or available on </w:t>
      </w:r>
      <w:hyperlink r:id="rId1" w:history="1">
        <w:r w:rsidRPr="00814409">
          <w:rPr>
            <w:rStyle w:val="Hyperlink"/>
            <w:rFonts w:ascii="Calibri Light" w:hAnsi="Calibri Light"/>
            <w:i/>
            <w:sz w:val="18"/>
            <w:szCs w:val="18"/>
          </w:rPr>
          <w:t>www.gbvguidelines.org</w:t>
        </w:r>
      </w:hyperlink>
      <w:r>
        <w:rPr>
          <w:sz w:val="18"/>
          <w:szCs w:val="18"/>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719B6" w14:textId="059DC50F" w:rsidR="007F40AA" w:rsidRDefault="007F40AA" w:rsidP="00AE294C">
    <w:pPr>
      <w:pStyle w:val="Heading1"/>
      <w:jc w:val="center"/>
      <w:rPr>
        <w:rFonts w:ascii="Calibri" w:hAnsi="Calibri" w:cstheme="minorBidi"/>
        <w:color w:val="660066"/>
        <w:sz w:val="26"/>
        <w:szCs w:val="26"/>
        <w:lang w:val="en-GB"/>
      </w:rPr>
    </w:pPr>
    <w:r w:rsidRPr="00AE294C">
      <w:rPr>
        <w:rFonts w:ascii="Calibri" w:hAnsi="Calibri" w:cstheme="minorBidi"/>
        <w:color w:val="660066"/>
        <w:sz w:val="26"/>
        <w:szCs w:val="26"/>
        <w:lang w:val="en-GB"/>
      </w:rPr>
      <w:t>Guidelines for Integrating Gender-based Violence Interventions in Humanitarian Action</w:t>
    </w:r>
  </w:p>
  <w:p w14:paraId="4503F8FF" w14:textId="4474221B" w:rsidR="007F40AA" w:rsidRPr="007D3836" w:rsidRDefault="007F40AA" w:rsidP="007D3836">
    <w:pPr>
      <w:jc w:val="center"/>
      <w:rPr>
        <w:color w:val="FF0000"/>
      </w:rPr>
    </w:pPr>
    <w:r w:rsidRPr="007D3836">
      <w:rPr>
        <w:color w:val="FF0000"/>
      </w:rPr>
      <w:t>DRAFT FOR REVIEW</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07C55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254F0"/>
    <w:multiLevelType w:val="hybridMultilevel"/>
    <w:tmpl w:val="11BE0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12B80"/>
    <w:multiLevelType w:val="hybridMultilevel"/>
    <w:tmpl w:val="2F986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226672"/>
    <w:multiLevelType w:val="hybridMultilevel"/>
    <w:tmpl w:val="2F986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A7523"/>
    <w:multiLevelType w:val="hybridMultilevel"/>
    <w:tmpl w:val="2084E4C4"/>
    <w:lvl w:ilvl="0" w:tplc="E7BEEB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D3F35"/>
    <w:multiLevelType w:val="hybridMultilevel"/>
    <w:tmpl w:val="80AA8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D63A10"/>
    <w:multiLevelType w:val="hybridMultilevel"/>
    <w:tmpl w:val="11C4C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26689A"/>
    <w:multiLevelType w:val="hybridMultilevel"/>
    <w:tmpl w:val="3CDC0DEC"/>
    <w:lvl w:ilvl="0" w:tplc="5F70B832">
      <w:start w:val="1"/>
      <w:numFmt w:val="bullet"/>
      <w:lvlText w:val="•"/>
      <w:lvlJc w:val="left"/>
      <w:pPr>
        <w:tabs>
          <w:tab w:val="num" w:pos="720"/>
        </w:tabs>
        <w:ind w:left="720" w:hanging="360"/>
      </w:pPr>
      <w:rPr>
        <w:rFonts w:ascii="Arial" w:hAnsi="Arial" w:hint="default"/>
      </w:rPr>
    </w:lvl>
    <w:lvl w:ilvl="1" w:tplc="02B8A8AC" w:tentative="1">
      <w:start w:val="1"/>
      <w:numFmt w:val="bullet"/>
      <w:lvlText w:val="•"/>
      <w:lvlJc w:val="left"/>
      <w:pPr>
        <w:tabs>
          <w:tab w:val="num" w:pos="1440"/>
        </w:tabs>
        <w:ind w:left="1440" w:hanging="360"/>
      </w:pPr>
      <w:rPr>
        <w:rFonts w:ascii="Arial" w:hAnsi="Arial" w:hint="default"/>
      </w:rPr>
    </w:lvl>
    <w:lvl w:ilvl="2" w:tplc="3C109A6C" w:tentative="1">
      <w:start w:val="1"/>
      <w:numFmt w:val="bullet"/>
      <w:lvlText w:val="•"/>
      <w:lvlJc w:val="left"/>
      <w:pPr>
        <w:tabs>
          <w:tab w:val="num" w:pos="2160"/>
        </w:tabs>
        <w:ind w:left="2160" w:hanging="360"/>
      </w:pPr>
      <w:rPr>
        <w:rFonts w:ascii="Arial" w:hAnsi="Arial" w:hint="default"/>
      </w:rPr>
    </w:lvl>
    <w:lvl w:ilvl="3" w:tplc="C8C49D4E" w:tentative="1">
      <w:start w:val="1"/>
      <w:numFmt w:val="bullet"/>
      <w:lvlText w:val="•"/>
      <w:lvlJc w:val="left"/>
      <w:pPr>
        <w:tabs>
          <w:tab w:val="num" w:pos="2880"/>
        </w:tabs>
        <w:ind w:left="2880" w:hanging="360"/>
      </w:pPr>
      <w:rPr>
        <w:rFonts w:ascii="Arial" w:hAnsi="Arial" w:hint="default"/>
      </w:rPr>
    </w:lvl>
    <w:lvl w:ilvl="4" w:tplc="43FEF7EA" w:tentative="1">
      <w:start w:val="1"/>
      <w:numFmt w:val="bullet"/>
      <w:lvlText w:val="•"/>
      <w:lvlJc w:val="left"/>
      <w:pPr>
        <w:tabs>
          <w:tab w:val="num" w:pos="3600"/>
        </w:tabs>
        <w:ind w:left="3600" w:hanging="360"/>
      </w:pPr>
      <w:rPr>
        <w:rFonts w:ascii="Arial" w:hAnsi="Arial" w:hint="default"/>
      </w:rPr>
    </w:lvl>
    <w:lvl w:ilvl="5" w:tplc="624A3E66" w:tentative="1">
      <w:start w:val="1"/>
      <w:numFmt w:val="bullet"/>
      <w:lvlText w:val="•"/>
      <w:lvlJc w:val="left"/>
      <w:pPr>
        <w:tabs>
          <w:tab w:val="num" w:pos="4320"/>
        </w:tabs>
        <w:ind w:left="4320" w:hanging="360"/>
      </w:pPr>
      <w:rPr>
        <w:rFonts w:ascii="Arial" w:hAnsi="Arial" w:hint="default"/>
      </w:rPr>
    </w:lvl>
    <w:lvl w:ilvl="6" w:tplc="41FE366E" w:tentative="1">
      <w:start w:val="1"/>
      <w:numFmt w:val="bullet"/>
      <w:lvlText w:val="•"/>
      <w:lvlJc w:val="left"/>
      <w:pPr>
        <w:tabs>
          <w:tab w:val="num" w:pos="5040"/>
        </w:tabs>
        <w:ind w:left="5040" w:hanging="360"/>
      </w:pPr>
      <w:rPr>
        <w:rFonts w:ascii="Arial" w:hAnsi="Arial" w:hint="default"/>
      </w:rPr>
    </w:lvl>
    <w:lvl w:ilvl="7" w:tplc="A0242EA6" w:tentative="1">
      <w:start w:val="1"/>
      <w:numFmt w:val="bullet"/>
      <w:lvlText w:val="•"/>
      <w:lvlJc w:val="left"/>
      <w:pPr>
        <w:tabs>
          <w:tab w:val="num" w:pos="5760"/>
        </w:tabs>
        <w:ind w:left="5760" w:hanging="360"/>
      </w:pPr>
      <w:rPr>
        <w:rFonts w:ascii="Arial" w:hAnsi="Arial" w:hint="default"/>
      </w:rPr>
    </w:lvl>
    <w:lvl w:ilvl="8" w:tplc="14648C1E" w:tentative="1">
      <w:start w:val="1"/>
      <w:numFmt w:val="bullet"/>
      <w:lvlText w:val="•"/>
      <w:lvlJc w:val="left"/>
      <w:pPr>
        <w:tabs>
          <w:tab w:val="num" w:pos="6480"/>
        </w:tabs>
        <w:ind w:left="6480" w:hanging="360"/>
      </w:pPr>
      <w:rPr>
        <w:rFonts w:ascii="Arial" w:hAnsi="Arial" w:hint="default"/>
      </w:rPr>
    </w:lvl>
  </w:abstractNum>
  <w:abstractNum w:abstractNumId="8">
    <w:nsid w:val="1A8641D5"/>
    <w:multiLevelType w:val="hybridMultilevel"/>
    <w:tmpl w:val="A45CFD66"/>
    <w:lvl w:ilvl="0" w:tplc="6B6432E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C73425"/>
    <w:multiLevelType w:val="hybridMultilevel"/>
    <w:tmpl w:val="80AA8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566593"/>
    <w:multiLevelType w:val="hybridMultilevel"/>
    <w:tmpl w:val="28628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F7059E"/>
    <w:multiLevelType w:val="hybridMultilevel"/>
    <w:tmpl w:val="5964D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B05012"/>
    <w:multiLevelType w:val="hybridMultilevel"/>
    <w:tmpl w:val="91887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504961"/>
    <w:multiLevelType w:val="multilevel"/>
    <w:tmpl w:val="A42842D6"/>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6055500"/>
    <w:multiLevelType w:val="singleLevel"/>
    <w:tmpl w:val="61B0082A"/>
    <w:lvl w:ilvl="0">
      <w:start w:val="1"/>
      <w:numFmt w:val="decimal"/>
      <w:lvlText w:val="%1)"/>
      <w:lvlJc w:val="left"/>
      <w:pPr>
        <w:tabs>
          <w:tab w:val="num" w:pos="720"/>
        </w:tabs>
        <w:ind w:left="720" w:hanging="720"/>
      </w:pPr>
      <w:rPr>
        <w:rFonts w:hint="default"/>
      </w:rPr>
    </w:lvl>
  </w:abstractNum>
  <w:abstractNum w:abstractNumId="15">
    <w:nsid w:val="26A5382D"/>
    <w:multiLevelType w:val="hybridMultilevel"/>
    <w:tmpl w:val="72C42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785DC9"/>
    <w:multiLevelType w:val="hybridMultilevel"/>
    <w:tmpl w:val="37E24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C95D37"/>
    <w:multiLevelType w:val="hybridMultilevel"/>
    <w:tmpl w:val="A224E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1B6C19"/>
    <w:multiLevelType w:val="hybridMultilevel"/>
    <w:tmpl w:val="9566F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E16D16"/>
    <w:multiLevelType w:val="hybridMultilevel"/>
    <w:tmpl w:val="814E0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FB60B3"/>
    <w:multiLevelType w:val="hybridMultilevel"/>
    <w:tmpl w:val="F1FE6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2C599B"/>
    <w:multiLevelType w:val="hybridMultilevel"/>
    <w:tmpl w:val="D28619E6"/>
    <w:lvl w:ilvl="0" w:tplc="CB7E369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4EC11A3"/>
    <w:multiLevelType w:val="hybridMultilevel"/>
    <w:tmpl w:val="90F22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DE3986"/>
    <w:multiLevelType w:val="hybridMultilevel"/>
    <w:tmpl w:val="C9705144"/>
    <w:lvl w:ilvl="0" w:tplc="6B6432E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FA5E7E"/>
    <w:multiLevelType w:val="hybridMultilevel"/>
    <w:tmpl w:val="0D9EA23A"/>
    <w:lvl w:ilvl="0" w:tplc="540E2B3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EF322E5"/>
    <w:multiLevelType w:val="hybridMultilevel"/>
    <w:tmpl w:val="B860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30150B"/>
    <w:multiLevelType w:val="hybridMultilevel"/>
    <w:tmpl w:val="123E1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1B19AF"/>
    <w:multiLevelType w:val="hybridMultilevel"/>
    <w:tmpl w:val="5964D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B4787C"/>
    <w:multiLevelType w:val="hybridMultilevel"/>
    <w:tmpl w:val="03228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E97DB2"/>
    <w:multiLevelType w:val="hybridMultilevel"/>
    <w:tmpl w:val="F686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F24D78"/>
    <w:multiLevelType w:val="hybridMultilevel"/>
    <w:tmpl w:val="B5DAF3DE"/>
    <w:lvl w:ilvl="0" w:tplc="56044038">
      <w:start w:val="10"/>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7F272CC"/>
    <w:multiLevelType w:val="hybridMultilevel"/>
    <w:tmpl w:val="7E8EA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323143"/>
    <w:multiLevelType w:val="hybridMultilevel"/>
    <w:tmpl w:val="11C4C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337109"/>
    <w:multiLevelType w:val="hybridMultilevel"/>
    <w:tmpl w:val="95B48CBC"/>
    <w:lvl w:ilvl="0" w:tplc="E4923BE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47700E"/>
    <w:multiLevelType w:val="hybridMultilevel"/>
    <w:tmpl w:val="2084E4C4"/>
    <w:lvl w:ilvl="0" w:tplc="E7BEEB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0D44D9"/>
    <w:multiLevelType w:val="hybridMultilevel"/>
    <w:tmpl w:val="D3248942"/>
    <w:lvl w:ilvl="0" w:tplc="41E0AA48">
      <w:start w:val="1"/>
      <w:numFmt w:val="bullet"/>
      <w:lvlText w:val="•"/>
      <w:lvlJc w:val="left"/>
      <w:pPr>
        <w:tabs>
          <w:tab w:val="num" w:pos="720"/>
        </w:tabs>
        <w:ind w:left="720" w:hanging="360"/>
      </w:pPr>
      <w:rPr>
        <w:rFonts w:ascii="Arial" w:hAnsi="Arial" w:hint="default"/>
      </w:rPr>
    </w:lvl>
    <w:lvl w:ilvl="1" w:tplc="03E84A60">
      <w:start w:val="1"/>
      <w:numFmt w:val="bullet"/>
      <w:lvlText w:val="•"/>
      <w:lvlJc w:val="left"/>
      <w:pPr>
        <w:tabs>
          <w:tab w:val="num" w:pos="1440"/>
        </w:tabs>
        <w:ind w:left="1440" w:hanging="360"/>
      </w:pPr>
      <w:rPr>
        <w:rFonts w:ascii="Arial" w:hAnsi="Arial" w:hint="default"/>
      </w:rPr>
    </w:lvl>
    <w:lvl w:ilvl="2" w:tplc="9162E6EE" w:tentative="1">
      <w:start w:val="1"/>
      <w:numFmt w:val="bullet"/>
      <w:lvlText w:val="•"/>
      <w:lvlJc w:val="left"/>
      <w:pPr>
        <w:tabs>
          <w:tab w:val="num" w:pos="2160"/>
        </w:tabs>
        <w:ind w:left="2160" w:hanging="360"/>
      </w:pPr>
      <w:rPr>
        <w:rFonts w:ascii="Arial" w:hAnsi="Arial" w:hint="default"/>
      </w:rPr>
    </w:lvl>
    <w:lvl w:ilvl="3" w:tplc="B3DCAFA4" w:tentative="1">
      <w:start w:val="1"/>
      <w:numFmt w:val="bullet"/>
      <w:lvlText w:val="•"/>
      <w:lvlJc w:val="left"/>
      <w:pPr>
        <w:tabs>
          <w:tab w:val="num" w:pos="2880"/>
        </w:tabs>
        <w:ind w:left="2880" w:hanging="360"/>
      </w:pPr>
      <w:rPr>
        <w:rFonts w:ascii="Arial" w:hAnsi="Arial" w:hint="default"/>
      </w:rPr>
    </w:lvl>
    <w:lvl w:ilvl="4" w:tplc="C832DE80" w:tentative="1">
      <w:start w:val="1"/>
      <w:numFmt w:val="bullet"/>
      <w:lvlText w:val="•"/>
      <w:lvlJc w:val="left"/>
      <w:pPr>
        <w:tabs>
          <w:tab w:val="num" w:pos="3600"/>
        </w:tabs>
        <w:ind w:left="3600" w:hanging="360"/>
      </w:pPr>
      <w:rPr>
        <w:rFonts w:ascii="Arial" w:hAnsi="Arial" w:hint="default"/>
      </w:rPr>
    </w:lvl>
    <w:lvl w:ilvl="5" w:tplc="63A2C20E" w:tentative="1">
      <w:start w:val="1"/>
      <w:numFmt w:val="bullet"/>
      <w:lvlText w:val="•"/>
      <w:lvlJc w:val="left"/>
      <w:pPr>
        <w:tabs>
          <w:tab w:val="num" w:pos="4320"/>
        </w:tabs>
        <w:ind w:left="4320" w:hanging="360"/>
      </w:pPr>
      <w:rPr>
        <w:rFonts w:ascii="Arial" w:hAnsi="Arial" w:hint="default"/>
      </w:rPr>
    </w:lvl>
    <w:lvl w:ilvl="6" w:tplc="05A87F1C" w:tentative="1">
      <w:start w:val="1"/>
      <w:numFmt w:val="bullet"/>
      <w:lvlText w:val="•"/>
      <w:lvlJc w:val="left"/>
      <w:pPr>
        <w:tabs>
          <w:tab w:val="num" w:pos="5040"/>
        </w:tabs>
        <w:ind w:left="5040" w:hanging="360"/>
      </w:pPr>
      <w:rPr>
        <w:rFonts w:ascii="Arial" w:hAnsi="Arial" w:hint="default"/>
      </w:rPr>
    </w:lvl>
    <w:lvl w:ilvl="7" w:tplc="CC486AC4" w:tentative="1">
      <w:start w:val="1"/>
      <w:numFmt w:val="bullet"/>
      <w:lvlText w:val="•"/>
      <w:lvlJc w:val="left"/>
      <w:pPr>
        <w:tabs>
          <w:tab w:val="num" w:pos="5760"/>
        </w:tabs>
        <w:ind w:left="5760" w:hanging="360"/>
      </w:pPr>
      <w:rPr>
        <w:rFonts w:ascii="Arial" w:hAnsi="Arial" w:hint="default"/>
      </w:rPr>
    </w:lvl>
    <w:lvl w:ilvl="8" w:tplc="550662BC" w:tentative="1">
      <w:start w:val="1"/>
      <w:numFmt w:val="bullet"/>
      <w:lvlText w:val="•"/>
      <w:lvlJc w:val="left"/>
      <w:pPr>
        <w:tabs>
          <w:tab w:val="num" w:pos="6480"/>
        </w:tabs>
        <w:ind w:left="6480" w:hanging="360"/>
      </w:pPr>
      <w:rPr>
        <w:rFonts w:ascii="Arial" w:hAnsi="Arial" w:hint="default"/>
      </w:rPr>
    </w:lvl>
  </w:abstractNum>
  <w:abstractNum w:abstractNumId="36">
    <w:nsid w:val="793D5BCE"/>
    <w:multiLevelType w:val="hybridMultilevel"/>
    <w:tmpl w:val="11C4C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3B5D5E"/>
    <w:multiLevelType w:val="hybridMultilevel"/>
    <w:tmpl w:val="38208F4E"/>
    <w:lvl w:ilvl="0" w:tplc="39A600EE">
      <w:start w:val="1"/>
      <w:numFmt w:val="bullet"/>
      <w:lvlText w:val="•"/>
      <w:lvlJc w:val="left"/>
      <w:pPr>
        <w:tabs>
          <w:tab w:val="num" w:pos="720"/>
        </w:tabs>
        <w:ind w:left="720" w:hanging="360"/>
      </w:pPr>
      <w:rPr>
        <w:rFonts w:ascii="Arial" w:hAnsi="Arial" w:hint="default"/>
      </w:rPr>
    </w:lvl>
    <w:lvl w:ilvl="1" w:tplc="E296490C" w:tentative="1">
      <w:start w:val="1"/>
      <w:numFmt w:val="bullet"/>
      <w:lvlText w:val="•"/>
      <w:lvlJc w:val="left"/>
      <w:pPr>
        <w:tabs>
          <w:tab w:val="num" w:pos="1440"/>
        </w:tabs>
        <w:ind w:left="1440" w:hanging="360"/>
      </w:pPr>
      <w:rPr>
        <w:rFonts w:ascii="Arial" w:hAnsi="Arial" w:hint="default"/>
      </w:rPr>
    </w:lvl>
    <w:lvl w:ilvl="2" w:tplc="BFE07B4E" w:tentative="1">
      <w:start w:val="1"/>
      <w:numFmt w:val="bullet"/>
      <w:lvlText w:val="•"/>
      <w:lvlJc w:val="left"/>
      <w:pPr>
        <w:tabs>
          <w:tab w:val="num" w:pos="2160"/>
        </w:tabs>
        <w:ind w:left="2160" w:hanging="360"/>
      </w:pPr>
      <w:rPr>
        <w:rFonts w:ascii="Arial" w:hAnsi="Arial" w:hint="default"/>
      </w:rPr>
    </w:lvl>
    <w:lvl w:ilvl="3" w:tplc="D92028A0" w:tentative="1">
      <w:start w:val="1"/>
      <w:numFmt w:val="bullet"/>
      <w:lvlText w:val="•"/>
      <w:lvlJc w:val="left"/>
      <w:pPr>
        <w:tabs>
          <w:tab w:val="num" w:pos="2880"/>
        </w:tabs>
        <w:ind w:left="2880" w:hanging="360"/>
      </w:pPr>
      <w:rPr>
        <w:rFonts w:ascii="Arial" w:hAnsi="Arial" w:hint="default"/>
      </w:rPr>
    </w:lvl>
    <w:lvl w:ilvl="4" w:tplc="04B84914" w:tentative="1">
      <w:start w:val="1"/>
      <w:numFmt w:val="bullet"/>
      <w:lvlText w:val="•"/>
      <w:lvlJc w:val="left"/>
      <w:pPr>
        <w:tabs>
          <w:tab w:val="num" w:pos="3600"/>
        </w:tabs>
        <w:ind w:left="3600" w:hanging="360"/>
      </w:pPr>
      <w:rPr>
        <w:rFonts w:ascii="Arial" w:hAnsi="Arial" w:hint="default"/>
      </w:rPr>
    </w:lvl>
    <w:lvl w:ilvl="5" w:tplc="104476D8" w:tentative="1">
      <w:start w:val="1"/>
      <w:numFmt w:val="bullet"/>
      <w:lvlText w:val="•"/>
      <w:lvlJc w:val="left"/>
      <w:pPr>
        <w:tabs>
          <w:tab w:val="num" w:pos="4320"/>
        </w:tabs>
        <w:ind w:left="4320" w:hanging="360"/>
      </w:pPr>
      <w:rPr>
        <w:rFonts w:ascii="Arial" w:hAnsi="Arial" w:hint="default"/>
      </w:rPr>
    </w:lvl>
    <w:lvl w:ilvl="6" w:tplc="A7C6FAE8" w:tentative="1">
      <w:start w:val="1"/>
      <w:numFmt w:val="bullet"/>
      <w:lvlText w:val="•"/>
      <w:lvlJc w:val="left"/>
      <w:pPr>
        <w:tabs>
          <w:tab w:val="num" w:pos="5040"/>
        </w:tabs>
        <w:ind w:left="5040" w:hanging="360"/>
      </w:pPr>
      <w:rPr>
        <w:rFonts w:ascii="Arial" w:hAnsi="Arial" w:hint="default"/>
      </w:rPr>
    </w:lvl>
    <w:lvl w:ilvl="7" w:tplc="51B63348" w:tentative="1">
      <w:start w:val="1"/>
      <w:numFmt w:val="bullet"/>
      <w:lvlText w:val="•"/>
      <w:lvlJc w:val="left"/>
      <w:pPr>
        <w:tabs>
          <w:tab w:val="num" w:pos="5760"/>
        </w:tabs>
        <w:ind w:left="5760" w:hanging="360"/>
      </w:pPr>
      <w:rPr>
        <w:rFonts w:ascii="Arial" w:hAnsi="Arial" w:hint="default"/>
      </w:rPr>
    </w:lvl>
    <w:lvl w:ilvl="8" w:tplc="AC84BA6C" w:tentative="1">
      <w:start w:val="1"/>
      <w:numFmt w:val="bullet"/>
      <w:lvlText w:val="•"/>
      <w:lvlJc w:val="left"/>
      <w:pPr>
        <w:tabs>
          <w:tab w:val="num" w:pos="6480"/>
        </w:tabs>
        <w:ind w:left="6480" w:hanging="360"/>
      </w:pPr>
      <w:rPr>
        <w:rFonts w:ascii="Arial" w:hAnsi="Arial" w:hint="default"/>
      </w:rPr>
    </w:lvl>
  </w:abstractNum>
  <w:abstractNum w:abstractNumId="38">
    <w:nsid w:val="7FDF539A"/>
    <w:multiLevelType w:val="hybridMultilevel"/>
    <w:tmpl w:val="91887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0"/>
  </w:num>
  <w:num w:numId="3">
    <w:abstractNumId w:val="14"/>
  </w:num>
  <w:num w:numId="4">
    <w:abstractNumId w:val="16"/>
  </w:num>
  <w:num w:numId="5">
    <w:abstractNumId w:val="1"/>
  </w:num>
  <w:num w:numId="6">
    <w:abstractNumId w:val="27"/>
  </w:num>
  <w:num w:numId="7">
    <w:abstractNumId w:val="3"/>
  </w:num>
  <w:num w:numId="8">
    <w:abstractNumId w:val="19"/>
  </w:num>
  <w:num w:numId="9">
    <w:abstractNumId w:val="2"/>
  </w:num>
  <w:num w:numId="10">
    <w:abstractNumId w:val="32"/>
  </w:num>
  <w:num w:numId="11">
    <w:abstractNumId w:val="36"/>
  </w:num>
  <w:num w:numId="12">
    <w:abstractNumId w:val="22"/>
  </w:num>
  <w:num w:numId="13">
    <w:abstractNumId w:val="12"/>
  </w:num>
  <w:num w:numId="14">
    <w:abstractNumId w:val="6"/>
  </w:num>
  <w:num w:numId="15">
    <w:abstractNumId w:val="20"/>
  </w:num>
  <w:num w:numId="16">
    <w:abstractNumId w:val="10"/>
  </w:num>
  <w:num w:numId="17">
    <w:abstractNumId w:val="11"/>
  </w:num>
  <w:num w:numId="18">
    <w:abstractNumId w:val="33"/>
  </w:num>
  <w:num w:numId="19">
    <w:abstractNumId w:val="25"/>
  </w:num>
  <w:num w:numId="20">
    <w:abstractNumId w:val="0"/>
  </w:num>
  <w:num w:numId="21">
    <w:abstractNumId w:val="17"/>
  </w:num>
  <w:num w:numId="22">
    <w:abstractNumId w:val="21"/>
  </w:num>
  <w:num w:numId="23">
    <w:abstractNumId w:val="24"/>
  </w:num>
  <w:num w:numId="24">
    <w:abstractNumId w:val="9"/>
  </w:num>
  <w:num w:numId="25">
    <w:abstractNumId w:val="18"/>
  </w:num>
  <w:num w:numId="26">
    <w:abstractNumId w:val="5"/>
  </w:num>
  <w:num w:numId="27">
    <w:abstractNumId w:val="29"/>
  </w:num>
  <w:num w:numId="28">
    <w:abstractNumId w:val="31"/>
  </w:num>
  <w:num w:numId="29">
    <w:abstractNumId w:val="28"/>
  </w:num>
  <w:num w:numId="30">
    <w:abstractNumId w:val="15"/>
  </w:num>
  <w:num w:numId="31">
    <w:abstractNumId w:val="4"/>
  </w:num>
  <w:num w:numId="32">
    <w:abstractNumId w:val="34"/>
  </w:num>
  <w:num w:numId="33">
    <w:abstractNumId w:val="7"/>
  </w:num>
  <w:num w:numId="34">
    <w:abstractNumId w:val="38"/>
  </w:num>
  <w:num w:numId="35">
    <w:abstractNumId w:val="23"/>
  </w:num>
  <w:num w:numId="36">
    <w:abstractNumId w:val="8"/>
  </w:num>
  <w:num w:numId="37">
    <w:abstractNumId w:val="35"/>
  </w:num>
  <w:num w:numId="38">
    <w:abstractNumId w:val="37"/>
  </w:num>
  <w:num w:numId="39">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ZQUIERDO Jessica">
    <w15:presenceInfo w15:providerId="AD" w15:userId="S-1-5-21-4064896599-1321994828-1977553258-34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330"/>
    <w:rsid w:val="00003F51"/>
    <w:rsid w:val="00004B08"/>
    <w:rsid w:val="00005FA5"/>
    <w:rsid w:val="0000632C"/>
    <w:rsid w:val="00016BD1"/>
    <w:rsid w:val="00022D9C"/>
    <w:rsid w:val="00025911"/>
    <w:rsid w:val="00025CB9"/>
    <w:rsid w:val="0003204D"/>
    <w:rsid w:val="0003355B"/>
    <w:rsid w:val="0003430E"/>
    <w:rsid w:val="00035817"/>
    <w:rsid w:val="00037164"/>
    <w:rsid w:val="000449BF"/>
    <w:rsid w:val="00053060"/>
    <w:rsid w:val="000535EC"/>
    <w:rsid w:val="000604E7"/>
    <w:rsid w:val="00061295"/>
    <w:rsid w:val="00072CC2"/>
    <w:rsid w:val="000804D0"/>
    <w:rsid w:val="0008217E"/>
    <w:rsid w:val="00092CB7"/>
    <w:rsid w:val="000A0DFA"/>
    <w:rsid w:val="000A4D0B"/>
    <w:rsid w:val="000A7E5E"/>
    <w:rsid w:val="000C3D75"/>
    <w:rsid w:val="000C6ED7"/>
    <w:rsid w:val="00100045"/>
    <w:rsid w:val="001042F7"/>
    <w:rsid w:val="00113782"/>
    <w:rsid w:val="001508B4"/>
    <w:rsid w:val="0016427E"/>
    <w:rsid w:val="00183EAA"/>
    <w:rsid w:val="00186578"/>
    <w:rsid w:val="0019576C"/>
    <w:rsid w:val="001965A8"/>
    <w:rsid w:val="001A0F64"/>
    <w:rsid w:val="001A6C65"/>
    <w:rsid w:val="001B4B84"/>
    <w:rsid w:val="001B645C"/>
    <w:rsid w:val="001D7633"/>
    <w:rsid w:val="001F3135"/>
    <w:rsid w:val="001F4A4F"/>
    <w:rsid w:val="001F7BA4"/>
    <w:rsid w:val="00201330"/>
    <w:rsid w:val="0021551D"/>
    <w:rsid w:val="002310FE"/>
    <w:rsid w:val="00232F45"/>
    <w:rsid w:val="002462D9"/>
    <w:rsid w:val="002505D0"/>
    <w:rsid w:val="00262ACF"/>
    <w:rsid w:val="00266665"/>
    <w:rsid w:val="00266AB5"/>
    <w:rsid w:val="002A01A1"/>
    <w:rsid w:val="002A188F"/>
    <w:rsid w:val="002A256E"/>
    <w:rsid w:val="002B6968"/>
    <w:rsid w:val="002B6F28"/>
    <w:rsid w:val="002D0A31"/>
    <w:rsid w:val="002D75F5"/>
    <w:rsid w:val="002E0C86"/>
    <w:rsid w:val="002E1F83"/>
    <w:rsid w:val="003011B9"/>
    <w:rsid w:val="003025FB"/>
    <w:rsid w:val="00304BD9"/>
    <w:rsid w:val="0031258E"/>
    <w:rsid w:val="00320D8F"/>
    <w:rsid w:val="0032360F"/>
    <w:rsid w:val="00324FE6"/>
    <w:rsid w:val="003279A5"/>
    <w:rsid w:val="0033784D"/>
    <w:rsid w:val="00341CF5"/>
    <w:rsid w:val="00347A11"/>
    <w:rsid w:val="00353B80"/>
    <w:rsid w:val="00366AC7"/>
    <w:rsid w:val="00383B96"/>
    <w:rsid w:val="00384999"/>
    <w:rsid w:val="00390A86"/>
    <w:rsid w:val="00394929"/>
    <w:rsid w:val="00396216"/>
    <w:rsid w:val="003A0CBD"/>
    <w:rsid w:val="003A378D"/>
    <w:rsid w:val="003A4D37"/>
    <w:rsid w:val="003B1731"/>
    <w:rsid w:val="003B4C36"/>
    <w:rsid w:val="003C641D"/>
    <w:rsid w:val="003C78D9"/>
    <w:rsid w:val="003D1FB9"/>
    <w:rsid w:val="003D210E"/>
    <w:rsid w:val="003E2D89"/>
    <w:rsid w:val="003E6992"/>
    <w:rsid w:val="003F04F2"/>
    <w:rsid w:val="003F4FDB"/>
    <w:rsid w:val="003F5A28"/>
    <w:rsid w:val="00402E04"/>
    <w:rsid w:val="00405527"/>
    <w:rsid w:val="0041058B"/>
    <w:rsid w:val="00414591"/>
    <w:rsid w:val="004154FC"/>
    <w:rsid w:val="004261B4"/>
    <w:rsid w:val="00432C24"/>
    <w:rsid w:val="00432EDC"/>
    <w:rsid w:val="00453791"/>
    <w:rsid w:val="0047412C"/>
    <w:rsid w:val="004819C3"/>
    <w:rsid w:val="00495F98"/>
    <w:rsid w:val="004A38B0"/>
    <w:rsid w:val="004A48AB"/>
    <w:rsid w:val="004B4076"/>
    <w:rsid w:val="004C340D"/>
    <w:rsid w:val="004D0D47"/>
    <w:rsid w:val="004D2B63"/>
    <w:rsid w:val="004D459B"/>
    <w:rsid w:val="004E4EFF"/>
    <w:rsid w:val="004F4B03"/>
    <w:rsid w:val="004F6539"/>
    <w:rsid w:val="005013F2"/>
    <w:rsid w:val="00520804"/>
    <w:rsid w:val="00522BFF"/>
    <w:rsid w:val="005251D1"/>
    <w:rsid w:val="00531511"/>
    <w:rsid w:val="00533164"/>
    <w:rsid w:val="00543327"/>
    <w:rsid w:val="005478F3"/>
    <w:rsid w:val="00547D80"/>
    <w:rsid w:val="005552C1"/>
    <w:rsid w:val="00567346"/>
    <w:rsid w:val="00576EE4"/>
    <w:rsid w:val="005A4A3B"/>
    <w:rsid w:val="005A527F"/>
    <w:rsid w:val="005B49AF"/>
    <w:rsid w:val="005D1D2C"/>
    <w:rsid w:val="005F3EDF"/>
    <w:rsid w:val="005F61E1"/>
    <w:rsid w:val="00607D34"/>
    <w:rsid w:val="00612346"/>
    <w:rsid w:val="006125F5"/>
    <w:rsid w:val="00620005"/>
    <w:rsid w:val="00620AF2"/>
    <w:rsid w:val="00621C1D"/>
    <w:rsid w:val="0063042F"/>
    <w:rsid w:val="006445C5"/>
    <w:rsid w:val="0064475D"/>
    <w:rsid w:val="00656B03"/>
    <w:rsid w:val="00660027"/>
    <w:rsid w:val="00661555"/>
    <w:rsid w:val="0066785F"/>
    <w:rsid w:val="00670926"/>
    <w:rsid w:val="0067665B"/>
    <w:rsid w:val="00680E71"/>
    <w:rsid w:val="00681D2A"/>
    <w:rsid w:val="006839CE"/>
    <w:rsid w:val="006850A8"/>
    <w:rsid w:val="00691949"/>
    <w:rsid w:val="00693D83"/>
    <w:rsid w:val="00694DAD"/>
    <w:rsid w:val="00695DFB"/>
    <w:rsid w:val="00696D76"/>
    <w:rsid w:val="006C26A3"/>
    <w:rsid w:val="006C5085"/>
    <w:rsid w:val="006D6539"/>
    <w:rsid w:val="006E5C9B"/>
    <w:rsid w:val="006F2CC1"/>
    <w:rsid w:val="006F44ED"/>
    <w:rsid w:val="007013C3"/>
    <w:rsid w:val="0070496E"/>
    <w:rsid w:val="00717246"/>
    <w:rsid w:val="00726EF2"/>
    <w:rsid w:val="0073394A"/>
    <w:rsid w:val="00736ED4"/>
    <w:rsid w:val="00736F6B"/>
    <w:rsid w:val="007512AA"/>
    <w:rsid w:val="00752EE3"/>
    <w:rsid w:val="00756368"/>
    <w:rsid w:val="00763609"/>
    <w:rsid w:val="00763840"/>
    <w:rsid w:val="00772D55"/>
    <w:rsid w:val="00794952"/>
    <w:rsid w:val="007A6703"/>
    <w:rsid w:val="007B027B"/>
    <w:rsid w:val="007B75A3"/>
    <w:rsid w:val="007C084C"/>
    <w:rsid w:val="007C2EF2"/>
    <w:rsid w:val="007C3450"/>
    <w:rsid w:val="007C3F1C"/>
    <w:rsid w:val="007C6C6B"/>
    <w:rsid w:val="007D07CA"/>
    <w:rsid w:val="007D3836"/>
    <w:rsid w:val="007D6C8D"/>
    <w:rsid w:val="007E3FC4"/>
    <w:rsid w:val="007E7A56"/>
    <w:rsid w:val="007F0EE1"/>
    <w:rsid w:val="007F23A9"/>
    <w:rsid w:val="007F40AA"/>
    <w:rsid w:val="007F73C9"/>
    <w:rsid w:val="00800779"/>
    <w:rsid w:val="00814409"/>
    <w:rsid w:val="0082657E"/>
    <w:rsid w:val="00826BD1"/>
    <w:rsid w:val="00844009"/>
    <w:rsid w:val="00867662"/>
    <w:rsid w:val="00867AC0"/>
    <w:rsid w:val="00870022"/>
    <w:rsid w:val="00871613"/>
    <w:rsid w:val="00874142"/>
    <w:rsid w:val="00874DB2"/>
    <w:rsid w:val="008830F4"/>
    <w:rsid w:val="008A190B"/>
    <w:rsid w:val="008A5289"/>
    <w:rsid w:val="008C12D9"/>
    <w:rsid w:val="008C5BC0"/>
    <w:rsid w:val="008C7570"/>
    <w:rsid w:val="008D0E28"/>
    <w:rsid w:val="008D3295"/>
    <w:rsid w:val="008D714C"/>
    <w:rsid w:val="008D7344"/>
    <w:rsid w:val="008E6549"/>
    <w:rsid w:val="008F1252"/>
    <w:rsid w:val="008F1DEE"/>
    <w:rsid w:val="008F51C8"/>
    <w:rsid w:val="008F6EA7"/>
    <w:rsid w:val="009009C2"/>
    <w:rsid w:val="00917358"/>
    <w:rsid w:val="00923F64"/>
    <w:rsid w:val="00934929"/>
    <w:rsid w:val="0094058A"/>
    <w:rsid w:val="00946E3C"/>
    <w:rsid w:val="00951805"/>
    <w:rsid w:val="009555A2"/>
    <w:rsid w:val="009876A9"/>
    <w:rsid w:val="009C5612"/>
    <w:rsid w:val="009D3CD9"/>
    <w:rsid w:val="009D4457"/>
    <w:rsid w:val="009D518E"/>
    <w:rsid w:val="009E4C5B"/>
    <w:rsid w:val="009F4301"/>
    <w:rsid w:val="00A00AC0"/>
    <w:rsid w:val="00A028E4"/>
    <w:rsid w:val="00A254D3"/>
    <w:rsid w:val="00A368FA"/>
    <w:rsid w:val="00A4711D"/>
    <w:rsid w:val="00A51E40"/>
    <w:rsid w:val="00A6065F"/>
    <w:rsid w:val="00A615BB"/>
    <w:rsid w:val="00A741DF"/>
    <w:rsid w:val="00A86AA5"/>
    <w:rsid w:val="00A941DC"/>
    <w:rsid w:val="00A95555"/>
    <w:rsid w:val="00A96C29"/>
    <w:rsid w:val="00A97DBF"/>
    <w:rsid w:val="00AB06CF"/>
    <w:rsid w:val="00AE294C"/>
    <w:rsid w:val="00AE7D38"/>
    <w:rsid w:val="00AF7246"/>
    <w:rsid w:val="00B0356D"/>
    <w:rsid w:val="00B04A55"/>
    <w:rsid w:val="00B13795"/>
    <w:rsid w:val="00B15D0E"/>
    <w:rsid w:val="00B24CF9"/>
    <w:rsid w:val="00B30B8C"/>
    <w:rsid w:val="00B36E09"/>
    <w:rsid w:val="00B4193E"/>
    <w:rsid w:val="00B424F9"/>
    <w:rsid w:val="00B5002D"/>
    <w:rsid w:val="00B535BF"/>
    <w:rsid w:val="00B62E73"/>
    <w:rsid w:val="00B72C78"/>
    <w:rsid w:val="00B732AC"/>
    <w:rsid w:val="00B92C04"/>
    <w:rsid w:val="00B979CA"/>
    <w:rsid w:val="00BA372A"/>
    <w:rsid w:val="00BC0E78"/>
    <w:rsid w:val="00BD1411"/>
    <w:rsid w:val="00BE6C86"/>
    <w:rsid w:val="00BE7582"/>
    <w:rsid w:val="00BF1582"/>
    <w:rsid w:val="00BF2613"/>
    <w:rsid w:val="00C00158"/>
    <w:rsid w:val="00C05C36"/>
    <w:rsid w:val="00C05E7E"/>
    <w:rsid w:val="00C06401"/>
    <w:rsid w:val="00C21824"/>
    <w:rsid w:val="00C22C1E"/>
    <w:rsid w:val="00C2560F"/>
    <w:rsid w:val="00C31E0C"/>
    <w:rsid w:val="00C36A17"/>
    <w:rsid w:val="00C55AF3"/>
    <w:rsid w:val="00C6376F"/>
    <w:rsid w:val="00C74160"/>
    <w:rsid w:val="00C810AF"/>
    <w:rsid w:val="00C816EB"/>
    <w:rsid w:val="00C90B0B"/>
    <w:rsid w:val="00CA3E84"/>
    <w:rsid w:val="00CB27B8"/>
    <w:rsid w:val="00CB4CFC"/>
    <w:rsid w:val="00CB6A76"/>
    <w:rsid w:val="00CC2447"/>
    <w:rsid w:val="00CC3485"/>
    <w:rsid w:val="00CC5D04"/>
    <w:rsid w:val="00CC67C0"/>
    <w:rsid w:val="00CD44E6"/>
    <w:rsid w:val="00CD51DC"/>
    <w:rsid w:val="00CE6B32"/>
    <w:rsid w:val="00CF2C28"/>
    <w:rsid w:val="00CF7B10"/>
    <w:rsid w:val="00D01F6F"/>
    <w:rsid w:val="00D02CBA"/>
    <w:rsid w:val="00D03F85"/>
    <w:rsid w:val="00D20EDF"/>
    <w:rsid w:val="00D26CC4"/>
    <w:rsid w:val="00D31EDF"/>
    <w:rsid w:val="00D50E05"/>
    <w:rsid w:val="00D67AAC"/>
    <w:rsid w:val="00D747AD"/>
    <w:rsid w:val="00D752D9"/>
    <w:rsid w:val="00D93DE6"/>
    <w:rsid w:val="00D94B53"/>
    <w:rsid w:val="00D9657E"/>
    <w:rsid w:val="00DB0752"/>
    <w:rsid w:val="00DB110F"/>
    <w:rsid w:val="00DB137B"/>
    <w:rsid w:val="00DC1185"/>
    <w:rsid w:val="00DC17AC"/>
    <w:rsid w:val="00DC5668"/>
    <w:rsid w:val="00DC582B"/>
    <w:rsid w:val="00DD521A"/>
    <w:rsid w:val="00DD76C6"/>
    <w:rsid w:val="00DE19AC"/>
    <w:rsid w:val="00DF347A"/>
    <w:rsid w:val="00E151E0"/>
    <w:rsid w:val="00E21AB3"/>
    <w:rsid w:val="00E306F6"/>
    <w:rsid w:val="00E30983"/>
    <w:rsid w:val="00E32035"/>
    <w:rsid w:val="00E36A23"/>
    <w:rsid w:val="00E40D24"/>
    <w:rsid w:val="00E423E6"/>
    <w:rsid w:val="00E576CD"/>
    <w:rsid w:val="00E642CB"/>
    <w:rsid w:val="00E777C3"/>
    <w:rsid w:val="00E8419B"/>
    <w:rsid w:val="00E91891"/>
    <w:rsid w:val="00EA1F74"/>
    <w:rsid w:val="00EB0344"/>
    <w:rsid w:val="00EB296B"/>
    <w:rsid w:val="00EB6347"/>
    <w:rsid w:val="00EC3391"/>
    <w:rsid w:val="00EC4572"/>
    <w:rsid w:val="00EC5AE1"/>
    <w:rsid w:val="00EE358B"/>
    <w:rsid w:val="00EE5C28"/>
    <w:rsid w:val="00EF0E7D"/>
    <w:rsid w:val="00EF6E2C"/>
    <w:rsid w:val="00F06358"/>
    <w:rsid w:val="00F06B46"/>
    <w:rsid w:val="00F12005"/>
    <w:rsid w:val="00F2139D"/>
    <w:rsid w:val="00F23619"/>
    <w:rsid w:val="00F31CD3"/>
    <w:rsid w:val="00F32611"/>
    <w:rsid w:val="00F36D3D"/>
    <w:rsid w:val="00F37CFC"/>
    <w:rsid w:val="00F41B18"/>
    <w:rsid w:val="00F43341"/>
    <w:rsid w:val="00F518F5"/>
    <w:rsid w:val="00F52430"/>
    <w:rsid w:val="00F6309A"/>
    <w:rsid w:val="00F640C0"/>
    <w:rsid w:val="00F670A0"/>
    <w:rsid w:val="00F71F90"/>
    <w:rsid w:val="00F721EA"/>
    <w:rsid w:val="00F7222F"/>
    <w:rsid w:val="00F7253D"/>
    <w:rsid w:val="00F85BC9"/>
    <w:rsid w:val="00F86D14"/>
    <w:rsid w:val="00F97BA4"/>
    <w:rsid w:val="00FA4D65"/>
    <w:rsid w:val="00FB1151"/>
    <w:rsid w:val="00FB4399"/>
    <w:rsid w:val="00FB6768"/>
    <w:rsid w:val="00FC3E48"/>
    <w:rsid w:val="00FC40CB"/>
    <w:rsid w:val="00FC643C"/>
    <w:rsid w:val="00FD1054"/>
    <w:rsid w:val="00FD4F4B"/>
    <w:rsid w:val="00FD5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29DD8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330"/>
    <w:pPr>
      <w:spacing w:line="276" w:lineRule="auto"/>
    </w:pPr>
    <w:rPr>
      <w:rFonts w:eastAsiaTheme="minorHAnsi"/>
      <w:sz w:val="22"/>
      <w:szCs w:val="22"/>
      <w:lang w:bidi="en-US"/>
    </w:rPr>
  </w:style>
  <w:style w:type="paragraph" w:styleId="Heading1">
    <w:name w:val="heading 1"/>
    <w:basedOn w:val="Normal"/>
    <w:next w:val="Normal"/>
    <w:link w:val="Heading1Char"/>
    <w:uiPriority w:val="9"/>
    <w:qFormat/>
    <w:rsid w:val="00201330"/>
    <w:pPr>
      <w:keepNext/>
      <w:keepLines/>
      <w:spacing w:before="480"/>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330"/>
    <w:pPr>
      <w:tabs>
        <w:tab w:val="center" w:pos="4320"/>
        <w:tab w:val="right" w:pos="8640"/>
      </w:tabs>
      <w:spacing w:line="240" w:lineRule="auto"/>
    </w:pPr>
    <w:rPr>
      <w:rFonts w:eastAsiaTheme="minorEastAsia"/>
      <w:sz w:val="24"/>
      <w:szCs w:val="24"/>
      <w:lang w:bidi="ar-SA"/>
    </w:rPr>
  </w:style>
  <w:style w:type="character" w:customStyle="1" w:styleId="HeaderChar">
    <w:name w:val="Header Char"/>
    <w:basedOn w:val="DefaultParagraphFont"/>
    <w:link w:val="Header"/>
    <w:uiPriority w:val="99"/>
    <w:rsid w:val="00201330"/>
  </w:style>
  <w:style w:type="paragraph" w:styleId="Footer">
    <w:name w:val="footer"/>
    <w:basedOn w:val="Normal"/>
    <w:link w:val="FooterChar"/>
    <w:uiPriority w:val="99"/>
    <w:unhideWhenUsed/>
    <w:rsid w:val="00201330"/>
    <w:pPr>
      <w:tabs>
        <w:tab w:val="center" w:pos="4320"/>
        <w:tab w:val="right" w:pos="8640"/>
      </w:tabs>
      <w:spacing w:line="240" w:lineRule="auto"/>
    </w:pPr>
    <w:rPr>
      <w:rFonts w:eastAsiaTheme="minorEastAsia"/>
      <w:sz w:val="24"/>
      <w:szCs w:val="24"/>
      <w:lang w:bidi="ar-SA"/>
    </w:rPr>
  </w:style>
  <w:style w:type="character" w:customStyle="1" w:styleId="FooterChar">
    <w:name w:val="Footer Char"/>
    <w:basedOn w:val="DefaultParagraphFont"/>
    <w:link w:val="Footer"/>
    <w:uiPriority w:val="99"/>
    <w:rsid w:val="00201330"/>
  </w:style>
  <w:style w:type="character" w:customStyle="1" w:styleId="Heading1Char">
    <w:name w:val="Heading 1 Char"/>
    <w:basedOn w:val="DefaultParagraphFont"/>
    <w:link w:val="Heading1"/>
    <w:uiPriority w:val="9"/>
    <w:rsid w:val="00201330"/>
    <w:rPr>
      <w:rFonts w:asciiTheme="majorHAnsi" w:eastAsiaTheme="majorEastAsia" w:hAnsiTheme="majorHAnsi" w:cstheme="majorBidi"/>
      <w:b/>
      <w:bCs/>
      <w:sz w:val="28"/>
      <w:szCs w:val="28"/>
      <w:lang w:bidi="en-US"/>
    </w:rPr>
  </w:style>
  <w:style w:type="table" w:styleId="TableGrid">
    <w:name w:val="Table Grid"/>
    <w:basedOn w:val="TableNormal"/>
    <w:uiPriority w:val="59"/>
    <w:rsid w:val="00201330"/>
    <w:rPr>
      <w:rFonts w:eastAsiaTheme="minorHAnsi"/>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965A8"/>
    <w:rPr>
      <w:sz w:val="18"/>
      <w:szCs w:val="18"/>
    </w:rPr>
  </w:style>
  <w:style w:type="paragraph" w:styleId="CommentText">
    <w:name w:val="annotation text"/>
    <w:basedOn w:val="Normal"/>
    <w:link w:val="CommentTextChar"/>
    <w:uiPriority w:val="99"/>
    <w:unhideWhenUsed/>
    <w:rsid w:val="001965A8"/>
    <w:pPr>
      <w:spacing w:line="240" w:lineRule="auto"/>
    </w:pPr>
    <w:rPr>
      <w:sz w:val="24"/>
      <w:szCs w:val="24"/>
    </w:rPr>
  </w:style>
  <w:style w:type="character" w:customStyle="1" w:styleId="CommentTextChar">
    <w:name w:val="Comment Text Char"/>
    <w:basedOn w:val="DefaultParagraphFont"/>
    <w:link w:val="CommentText"/>
    <w:uiPriority w:val="99"/>
    <w:rsid w:val="001965A8"/>
    <w:rPr>
      <w:rFonts w:eastAsiaTheme="minorHAnsi"/>
      <w:lang w:bidi="en-US"/>
    </w:rPr>
  </w:style>
  <w:style w:type="paragraph" w:styleId="CommentSubject">
    <w:name w:val="annotation subject"/>
    <w:basedOn w:val="CommentText"/>
    <w:next w:val="CommentText"/>
    <w:link w:val="CommentSubjectChar"/>
    <w:uiPriority w:val="99"/>
    <w:semiHidden/>
    <w:unhideWhenUsed/>
    <w:rsid w:val="001965A8"/>
    <w:rPr>
      <w:b/>
      <w:bCs/>
      <w:sz w:val="20"/>
      <w:szCs w:val="20"/>
    </w:rPr>
  </w:style>
  <w:style w:type="character" w:customStyle="1" w:styleId="CommentSubjectChar">
    <w:name w:val="Comment Subject Char"/>
    <w:basedOn w:val="CommentTextChar"/>
    <w:link w:val="CommentSubject"/>
    <w:uiPriority w:val="99"/>
    <w:semiHidden/>
    <w:rsid w:val="001965A8"/>
    <w:rPr>
      <w:rFonts w:eastAsiaTheme="minorHAnsi"/>
      <w:b/>
      <w:bCs/>
      <w:sz w:val="20"/>
      <w:szCs w:val="20"/>
      <w:lang w:bidi="en-US"/>
    </w:rPr>
  </w:style>
  <w:style w:type="paragraph" w:styleId="BalloonText">
    <w:name w:val="Balloon Text"/>
    <w:basedOn w:val="Normal"/>
    <w:link w:val="BalloonTextChar"/>
    <w:uiPriority w:val="99"/>
    <w:semiHidden/>
    <w:unhideWhenUsed/>
    <w:rsid w:val="001965A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65A8"/>
    <w:rPr>
      <w:rFonts w:ascii="Lucida Grande" w:eastAsiaTheme="minorHAnsi" w:hAnsi="Lucida Grande" w:cs="Lucida Grande"/>
      <w:sz w:val="18"/>
      <w:szCs w:val="18"/>
      <w:lang w:bidi="en-US"/>
    </w:rPr>
  </w:style>
  <w:style w:type="character" w:styleId="PageNumber">
    <w:name w:val="page number"/>
    <w:basedOn w:val="DefaultParagraphFont"/>
    <w:uiPriority w:val="99"/>
    <w:semiHidden/>
    <w:unhideWhenUsed/>
    <w:rsid w:val="00C2560F"/>
  </w:style>
  <w:style w:type="paragraph" w:styleId="ListParagraph">
    <w:name w:val="List Paragraph"/>
    <w:basedOn w:val="Normal"/>
    <w:uiPriority w:val="34"/>
    <w:qFormat/>
    <w:rsid w:val="00072CC2"/>
    <w:pPr>
      <w:spacing w:line="240" w:lineRule="auto"/>
      <w:ind w:left="720"/>
      <w:contextualSpacing/>
    </w:pPr>
    <w:rPr>
      <w:rFonts w:ascii="Calibri" w:eastAsia="Times New Roman" w:hAnsi="Calibri" w:cs="Courier New"/>
      <w:szCs w:val="20"/>
    </w:rPr>
  </w:style>
  <w:style w:type="paragraph" w:styleId="FootnoteText">
    <w:name w:val="footnote text"/>
    <w:basedOn w:val="Normal"/>
    <w:link w:val="FootnoteTextChar"/>
    <w:uiPriority w:val="99"/>
    <w:unhideWhenUsed/>
    <w:rsid w:val="00670926"/>
    <w:pPr>
      <w:spacing w:line="240" w:lineRule="auto"/>
    </w:pPr>
    <w:rPr>
      <w:sz w:val="24"/>
      <w:szCs w:val="24"/>
    </w:rPr>
  </w:style>
  <w:style w:type="character" w:customStyle="1" w:styleId="FootnoteTextChar">
    <w:name w:val="Footnote Text Char"/>
    <w:basedOn w:val="DefaultParagraphFont"/>
    <w:link w:val="FootnoteText"/>
    <w:uiPriority w:val="99"/>
    <w:rsid w:val="00670926"/>
    <w:rPr>
      <w:rFonts w:eastAsiaTheme="minorHAnsi"/>
      <w:lang w:bidi="en-US"/>
    </w:rPr>
  </w:style>
  <w:style w:type="character" w:styleId="FootnoteReference">
    <w:name w:val="footnote reference"/>
    <w:basedOn w:val="DefaultParagraphFont"/>
    <w:uiPriority w:val="99"/>
    <w:unhideWhenUsed/>
    <w:rsid w:val="00670926"/>
    <w:rPr>
      <w:vertAlign w:val="superscript"/>
    </w:rPr>
  </w:style>
  <w:style w:type="character" w:styleId="Hyperlink">
    <w:name w:val="Hyperlink"/>
    <w:basedOn w:val="DefaultParagraphFont"/>
    <w:uiPriority w:val="99"/>
    <w:unhideWhenUsed/>
    <w:rsid w:val="0003716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330"/>
    <w:pPr>
      <w:spacing w:line="276" w:lineRule="auto"/>
    </w:pPr>
    <w:rPr>
      <w:rFonts w:eastAsiaTheme="minorHAnsi"/>
      <w:sz w:val="22"/>
      <w:szCs w:val="22"/>
      <w:lang w:bidi="en-US"/>
    </w:rPr>
  </w:style>
  <w:style w:type="paragraph" w:styleId="Heading1">
    <w:name w:val="heading 1"/>
    <w:basedOn w:val="Normal"/>
    <w:next w:val="Normal"/>
    <w:link w:val="Heading1Char"/>
    <w:uiPriority w:val="9"/>
    <w:qFormat/>
    <w:rsid w:val="00201330"/>
    <w:pPr>
      <w:keepNext/>
      <w:keepLines/>
      <w:spacing w:before="480"/>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330"/>
    <w:pPr>
      <w:tabs>
        <w:tab w:val="center" w:pos="4320"/>
        <w:tab w:val="right" w:pos="8640"/>
      </w:tabs>
      <w:spacing w:line="240" w:lineRule="auto"/>
    </w:pPr>
    <w:rPr>
      <w:rFonts w:eastAsiaTheme="minorEastAsia"/>
      <w:sz w:val="24"/>
      <w:szCs w:val="24"/>
      <w:lang w:bidi="ar-SA"/>
    </w:rPr>
  </w:style>
  <w:style w:type="character" w:customStyle="1" w:styleId="HeaderChar">
    <w:name w:val="Header Char"/>
    <w:basedOn w:val="DefaultParagraphFont"/>
    <w:link w:val="Header"/>
    <w:uiPriority w:val="99"/>
    <w:rsid w:val="00201330"/>
  </w:style>
  <w:style w:type="paragraph" w:styleId="Footer">
    <w:name w:val="footer"/>
    <w:basedOn w:val="Normal"/>
    <w:link w:val="FooterChar"/>
    <w:uiPriority w:val="99"/>
    <w:unhideWhenUsed/>
    <w:rsid w:val="00201330"/>
    <w:pPr>
      <w:tabs>
        <w:tab w:val="center" w:pos="4320"/>
        <w:tab w:val="right" w:pos="8640"/>
      </w:tabs>
      <w:spacing w:line="240" w:lineRule="auto"/>
    </w:pPr>
    <w:rPr>
      <w:rFonts w:eastAsiaTheme="minorEastAsia"/>
      <w:sz w:val="24"/>
      <w:szCs w:val="24"/>
      <w:lang w:bidi="ar-SA"/>
    </w:rPr>
  </w:style>
  <w:style w:type="character" w:customStyle="1" w:styleId="FooterChar">
    <w:name w:val="Footer Char"/>
    <w:basedOn w:val="DefaultParagraphFont"/>
    <w:link w:val="Footer"/>
    <w:uiPriority w:val="99"/>
    <w:rsid w:val="00201330"/>
  </w:style>
  <w:style w:type="character" w:customStyle="1" w:styleId="Heading1Char">
    <w:name w:val="Heading 1 Char"/>
    <w:basedOn w:val="DefaultParagraphFont"/>
    <w:link w:val="Heading1"/>
    <w:uiPriority w:val="9"/>
    <w:rsid w:val="00201330"/>
    <w:rPr>
      <w:rFonts w:asciiTheme="majorHAnsi" w:eastAsiaTheme="majorEastAsia" w:hAnsiTheme="majorHAnsi" w:cstheme="majorBidi"/>
      <w:b/>
      <w:bCs/>
      <w:sz w:val="28"/>
      <w:szCs w:val="28"/>
      <w:lang w:bidi="en-US"/>
    </w:rPr>
  </w:style>
  <w:style w:type="table" w:styleId="TableGrid">
    <w:name w:val="Table Grid"/>
    <w:basedOn w:val="TableNormal"/>
    <w:uiPriority w:val="59"/>
    <w:rsid w:val="00201330"/>
    <w:rPr>
      <w:rFonts w:eastAsiaTheme="minorHAnsi"/>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965A8"/>
    <w:rPr>
      <w:sz w:val="18"/>
      <w:szCs w:val="18"/>
    </w:rPr>
  </w:style>
  <w:style w:type="paragraph" w:styleId="CommentText">
    <w:name w:val="annotation text"/>
    <w:basedOn w:val="Normal"/>
    <w:link w:val="CommentTextChar"/>
    <w:uiPriority w:val="99"/>
    <w:unhideWhenUsed/>
    <w:rsid w:val="001965A8"/>
    <w:pPr>
      <w:spacing w:line="240" w:lineRule="auto"/>
    </w:pPr>
    <w:rPr>
      <w:sz w:val="24"/>
      <w:szCs w:val="24"/>
    </w:rPr>
  </w:style>
  <w:style w:type="character" w:customStyle="1" w:styleId="CommentTextChar">
    <w:name w:val="Comment Text Char"/>
    <w:basedOn w:val="DefaultParagraphFont"/>
    <w:link w:val="CommentText"/>
    <w:uiPriority w:val="99"/>
    <w:rsid w:val="001965A8"/>
    <w:rPr>
      <w:rFonts w:eastAsiaTheme="minorHAnsi"/>
      <w:lang w:bidi="en-US"/>
    </w:rPr>
  </w:style>
  <w:style w:type="paragraph" w:styleId="CommentSubject">
    <w:name w:val="annotation subject"/>
    <w:basedOn w:val="CommentText"/>
    <w:next w:val="CommentText"/>
    <w:link w:val="CommentSubjectChar"/>
    <w:uiPriority w:val="99"/>
    <w:semiHidden/>
    <w:unhideWhenUsed/>
    <w:rsid w:val="001965A8"/>
    <w:rPr>
      <w:b/>
      <w:bCs/>
      <w:sz w:val="20"/>
      <w:szCs w:val="20"/>
    </w:rPr>
  </w:style>
  <w:style w:type="character" w:customStyle="1" w:styleId="CommentSubjectChar">
    <w:name w:val="Comment Subject Char"/>
    <w:basedOn w:val="CommentTextChar"/>
    <w:link w:val="CommentSubject"/>
    <w:uiPriority w:val="99"/>
    <w:semiHidden/>
    <w:rsid w:val="001965A8"/>
    <w:rPr>
      <w:rFonts w:eastAsiaTheme="minorHAnsi"/>
      <w:b/>
      <w:bCs/>
      <w:sz w:val="20"/>
      <w:szCs w:val="20"/>
      <w:lang w:bidi="en-US"/>
    </w:rPr>
  </w:style>
  <w:style w:type="paragraph" w:styleId="BalloonText">
    <w:name w:val="Balloon Text"/>
    <w:basedOn w:val="Normal"/>
    <w:link w:val="BalloonTextChar"/>
    <w:uiPriority w:val="99"/>
    <w:semiHidden/>
    <w:unhideWhenUsed/>
    <w:rsid w:val="001965A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65A8"/>
    <w:rPr>
      <w:rFonts w:ascii="Lucida Grande" w:eastAsiaTheme="minorHAnsi" w:hAnsi="Lucida Grande" w:cs="Lucida Grande"/>
      <w:sz w:val="18"/>
      <w:szCs w:val="18"/>
      <w:lang w:bidi="en-US"/>
    </w:rPr>
  </w:style>
  <w:style w:type="character" w:styleId="PageNumber">
    <w:name w:val="page number"/>
    <w:basedOn w:val="DefaultParagraphFont"/>
    <w:uiPriority w:val="99"/>
    <w:semiHidden/>
    <w:unhideWhenUsed/>
    <w:rsid w:val="00C2560F"/>
  </w:style>
  <w:style w:type="paragraph" w:styleId="ListParagraph">
    <w:name w:val="List Paragraph"/>
    <w:basedOn w:val="Normal"/>
    <w:uiPriority w:val="34"/>
    <w:qFormat/>
    <w:rsid w:val="00072CC2"/>
    <w:pPr>
      <w:spacing w:line="240" w:lineRule="auto"/>
      <w:ind w:left="720"/>
      <w:contextualSpacing/>
    </w:pPr>
    <w:rPr>
      <w:rFonts w:ascii="Calibri" w:eastAsia="Times New Roman" w:hAnsi="Calibri" w:cs="Courier New"/>
      <w:szCs w:val="20"/>
    </w:rPr>
  </w:style>
  <w:style w:type="paragraph" w:styleId="FootnoteText">
    <w:name w:val="footnote text"/>
    <w:basedOn w:val="Normal"/>
    <w:link w:val="FootnoteTextChar"/>
    <w:uiPriority w:val="99"/>
    <w:unhideWhenUsed/>
    <w:rsid w:val="00670926"/>
    <w:pPr>
      <w:spacing w:line="240" w:lineRule="auto"/>
    </w:pPr>
    <w:rPr>
      <w:sz w:val="24"/>
      <w:szCs w:val="24"/>
    </w:rPr>
  </w:style>
  <w:style w:type="character" w:customStyle="1" w:styleId="FootnoteTextChar">
    <w:name w:val="Footnote Text Char"/>
    <w:basedOn w:val="DefaultParagraphFont"/>
    <w:link w:val="FootnoteText"/>
    <w:uiPriority w:val="99"/>
    <w:rsid w:val="00670926"/>
    <w:rPr>
      <w:rFonts w:eastAsiaTheme="minorHAnsi"/>
      <w:lang w:bidi="en-US"/>
    </w:rPr>
  </w:style>
  <w:style w:type="character" w:styleId="FootnoteReference">
    <w:name w:val="footnote reference"/>
    <w:basedOn w:val="DefaultParagraphFont"/>
    <w:uiPriority w:val="99"/>
    <w:unhideWhenUsed/>
    <w:rsid w:val="00670926"/>
    <w:rPr>
      <w:vertAlign w:val="superscript"/>
    </w:rPr>
  </w:style>
  <w:style w:type="character" w:styleId="Hyperlink">
    <w:name w:val="Hyperlink"/>
    <w:basedOn w:val="DefaultParagraphFont"/>
    <w:uiPriority w:val="99"/>
    <w:unhideWhenUsed/>
    <w:rsid w:val="000371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501830">
      <w:bodyDiv w:val="1"/>
      <w:marLeft w:val="0"/>
      <w:marRight w:val="0"/>
      <w:marTop w:val="0"/>
      <w:marBottom w:val="0"/>
      <w:divBdr>
        <w:top w:val="none" w:sz="0" w:space="0" w:color="auto"/>
        <w:left w:val="none" w:sz="0" w:space="0" w:color="auto"/>
        <w:bottom w:val="none" w:sz="0" w:space="0" w:color="auto"/>
        <w:right w:val="none" w:sz="0" w:space="0" w:color="auto"/>
      </w:divBdr>
      <w:divsChild>
        <w:div w:id="1815872990">
          <w:marLeft w:val="446"/>
          <w:marRight w:val="0"/>
          <w:marTop w:val="0"/>
          <w:marBottom w:val="200"/>
          <w:divBdr>
            <w:top w:val="none" w:sz="0" w:space="0" w:color="auto"/>
            <w:left w:val="none" w:sz="0" w:space="0" w:color="auto"/>
            <w:bottom w:val="none" w:sz="0" w:space="0" w:color="auto"/>
            <w:right w:val="none" w:sz="0" w:space="0" w:color="auto"/>
          </w:divBdr>
        </w:div>
      </w:divsChild>
    </w:div>
    <w:div w:id="1012414777">
      <w:bodyDiv w:val="1"/>
      <w:marLeft w:val="0"/>
      <w:marRight w:val="0"/>
      <w:marTop w:val="0"/>
      <w:marBottom w:val="0"/>
      <w:divBdr>
        <w:top w:val="none" w:sz="0" w:space="0" w:color="auto"/>
        <w:left w:val="none" w:sz="0" w:space="0" w:color="auto"/>
        <w:bottom w:val="none" w:sz="0" w:space="0" w:color="auto"/>
        <w:right w:val="none" w:sz="0" w:space="0" w:color="auto"/>
      </w:divBdr>
      <w:divsChild>
        <w:div w:id="121310073">
          <w:marLeft w:val="461"/>
          <w:marRight w:val="0"/>
          <w:marTop w:val="0"/>
          <w:marBottom w:val="0"/>
          <w:divBdr>
            <w:top w:val="none" w:sz="0" w:space="0" w:color="auto"/>
            <w:left w:val="none" w:sz="0" w:space="0" w:color="auto"/>
            <w:bottom w:val="none" w:sz="0" w:space="0" w:color="auto"/>
            <w:right w:val="none" w:sz="0" w:space="0" w:color="auto"/>
          </w:divBdr>
        </w:div>
        <w:div w:id="269701242">
          <w:marLeft w:val="446"/>
          <w:marRight w:val="0"/>
          <w:marTop w:val="0"/>
          <w:marBottom w:val="200"/>
          <w:divBdr>
            <w:top w:val="none" w:sz="0" w:space="0" w:color="auto"/>
            <w:left w:val="none" w:sz="0" w:space="0" w:color="auto"/>
            <w:bottom w:val="none" w:sz="0" w:space="0" w:color="auto"/>
            <w:right w:val="none" w:sz="0" w:space="0" w:color="auto"/>
          </w:divBdr>
        </w:div>
        <w:div w:id="1003628861">
          <w:marLeft w:val="446"/>
          <w:marRight w:val="0"/>
          <w:marTop w:val="0"/>
          <w:marBottom w:val="200"/>
          <w:divBdr>
            <w:top w:val="none" w:sz="0" w:space="0" w:color="auto"/>
            <w:left w:val="none" w:sz="0" w:space="0" w:color="auto"/>
            <w:bottom w:val="none" w:sz="0" w:space="0" w:color="auto"/>
            <w:right w:val="none" w:sz="0" w:space="0" w:color="auto"/>
          </w:divBdr>
        </w:div>
        <w:div w:id="1239705997">
          <w:marLeft w:val="446"/>
          <w:marRight w:val="0"/>
          <w:marTop w:val="0"/>
          <w:marBottom w:val="200"/>
          <w:divBdr>
            <w:top w:val="none" w:sz="0" w:space="0" w:color="auto"/>
            <w:left w:val="none" w:sz="0" w:space="0" w:color="auto"/>
            <w:bottom w:val="none" w:sz="0" w:space="0" w:color="auto"/>
            <w:right w:val="none" w:sz="0" w:space="0" w:color="auto"/>
          </w:divBdr>
        </w:div>
        <w:div w:id="983702726">
          <w:marLeft w:val="446"/>
          <w:marRight w:val="0"/>
          <w:marTop w:val="0"/>
          <w:marBottom w:val="200"/>
          <w:divBdr>
            <w:top w:val="none" w:sz="0" w:space="0" w:color="auto"/>
            <w:left w:val="none" w:sz="0" w:space="0" w:color="auto"/>
            <w:bottom w:val="none" w:sz="0" w:space="0" w:color="auto"/>
            <w:right w:val="none" w:sz="0" w:space="0" w:color="auto"/>
          </w:divBdr>
        </w:div>
        <w:div w:id="1839806265">
          <w:marLeft w:val="446"/>
          <w:marRight w:val="0"/>
          <w:marTop w:val="0"/>
          <w:marBottom w:val="200"/>
          <w:divBdr>
            <w:top w:val="none" w:sz="0" w:space="0" w:color="auto"/>
            <w:left w:val="none" w:sz="0" w:space="0" w:color="auto"/>
            <w:bottom w:val="none" w:sz="0" w:space="0" w:color="auto"/>
            <w:right w:val="none" w:sz="0" w:space="0" w:color="auto"/>
          </w:divBdr>
        </w:div>
        <w:div w:id="1755320705">
          <w:marLeft w:val="446"/>
          <w:marRight w:val="0"/>
          <w:marTop w:val="0"/>
          <w:marBottom w:val="200"/>
          <w:divBdr>
            <w:top w:val="none" w:sz="0" w:space="0" w:color="auto"/>
            <w:left w:val="none" w:sz="0" w:space="0" w:color="auto"/>
            <w:bottom w:val="none" w:sz="0" w:space="0" w:color="auto"/>
            <w:right w:val="none" w:sz="0" w:space="0" w:color="auto"/>
          </w:divBdr>
        </w:div>
        <w:div w:id="1497069735">
          <w:marLeft w:val="446"/>
          <w:marRight w:val="0"/>
          <w:marTop w:val="0"/>
          <w:marBottom w:val="2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izquierdo@iom.int"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chart" Target="charts/chart1.xml"/><Relationship Id="rId30" Type="http://schemas.microsoft.com/office/2011/relationships/commentsExtended" Target="commentsExtended.xml"/><Relationship Id="rId31" Type="http://schemas.microsoft.com/office/2011/relationships/people" Target="people.xml"/><Relationship Id="rId10" Type="http://schemas.openxmlformats.org/officeDocument/2006/relationships/hyperlink" Target="mailto:gbv.guidelines@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bvguidelines.org" TargetMode="External"/><Relationship Id="rId2" Type="http://schemas.openxmlformats.org/officeDocument/2006/relationships/hyperlink" Target="mailto:gbv.guidelines@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gbvguideleins.org"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100">
                <a:latin typeface="Calibri Light"/>
                <a:cs typeface="Calibri Light"/>
              </a:rPr>
              <a:t>Participation by sector</a:t>
            </a:r>
          </a:p>
        </c:rich>
      </c:tx>
      <c:layout/>
      <c:overlay val="0"/>
    </c:title>
    <c:autoTitleDeleted val="0"/>
    <c:plotArea>
      <c:layout/>
      <c:doughnutChart>
        <c:varyColors val="1"/>
        <c:ser>
          <c:idx val="0"/>
          <c:order val="0"/>
          <c:tx>
            <c:strRef>
              <c:f>Sheet1!$B$1</c:f>
              <c:strCache>
                <c:ptCount val="1"/>
                <c:pt idx="0">
                  <c:v>Participation by sector</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Sheet1!$A$2:$A$7</c:f>
              <c:strCache>
                <c:ptCount val="6"/>
                <c:pt idx="0">
                  <c:v>Education</c:v>
                </c:pt>
                <c:pt idx="1">
                  <c:v>Health</c:v>
                </c:pt>
                <c:pt idx="2">
                  <c:v>Protection and CP</c:v>
                </c:pt>
                <c:pt idx="3">
                  <c:v>Shelter</c:v>
                </c:pt>
                <c:pt idx="4">
                  <c:v>Site Management</c:v>
                </c:pt>
                <c:pt idx="5">
                  <c:v>WASH</c:v>
                </c:pt>
              </c:strCache>
            </c:strRef>
          </c:cat>
          <c:val>
            <c:numRef>
              <c:f>Sheet1!$B$2:$B$7</c:f>
              <c:numCache>
                <c:formatCode>General</c:formatCode>
                <c:ptCount val="6"/>
                <c:pt idx="0">
                  <c:v>64.0</c:v>
                </c:pt>
                <c:pt idx="1">
                  <c:v>51.0</c:v>
                </c:pt>
                <c:pt idx="2">
                  <c:v>102.0</c:v>
                </c:pt>
                <c:pt idx="3">
                  <c:v>21.5</c:v>
                </c:pt>
                <c:pt idx="4">
                  <c:v>27.0</c:v>
                </c:pt>
                <c:pt idx="5">
                  <c:v>24.5</c:v>
                </c:pt>
              </c:numCache>
            </c:numRef>
          </c:val>
        </c:ser>
        <c:dLbls>
          <c:showLegendKey val="0"/>
          <c:showVal val="0"/>
          <c:showCatName val="0"/>
          <c:showSerName val="0"/>
          <c:showPercent val="1"/>
          <c:showBubbleSize val="0"/>
          <c:showLeaderLines val="1"/>
        </c:dLbls>
        <c:firstSliceAng val="0"/>
        <c:holeSize val="50"/>
      </c:doughnutChart>
    </c:plotArea>
    <c:legend>
      <c:legendPos val="r"/>
      <c:layout/>
      <c:overlay val="0"/>
      <c:txPr>
        <a:bodyPr/>
        <a:lstStyle/>
        <a:p>
          <a:pPr>
            <a:defRPr sz="1100">
              <a:latin typeface="Calibri Light"/>
              <a:cs typeface="Calibri Light"/>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1912</Words>
  <Characters>10903</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Samira Sami</dc:creator>
  <cp:keywords/>
  <dc:description/>
  <cp:lastModifiedBy>erin patrick</cp:lastModifiedBy>
  <cp:revision>3</cp:revision>
  <cp:lastPrinted>2017-07-13T18:49:00Z</cp:lastPrinted>
  <dcterms:created xsi:type="dcterms:W3CDTF">2017-07-18T19:21:00Z</dcterms:created>
  <dcterms:modified xsi:type="dcterms:W3CDTF">2017-07-19T20:02:00Z</dcterms:modified>
</cp:coreProperties>
</file>